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5CC44" w14:textId="77777777" w:rsidR="00EB7625" w:rsidRDefault="00EB7625" w:rsidP="00EB7625">
      <w:pPr>
        <w:spacing w:line="360" w:lineRule="auto"/>
        <w:jc w:val="center"/>
        <w:rPr>
          <w:b/>
        </w:rPr>
      </w:pPr>
      <w:r w:rsidRPr="00EB7625">
        <w:rPr>
          <w:b/>
        </w:rPr>
        <w:t>TWENTY YEARS OF DENGUE SURVEILLANCE AT A MINISTRY OF HEALTH HOSPITAL IN KAMPHAENG PHET, THAILAND, 1994-2013</w:t>
      </w:r>
    </w:p>
    <w:p w14:paraId="2D7A1589" w14:textId="77777777" w:rsidR="00EB7625" w:rsidRDefault="00EB7625" w:rsidP="00EB7625">
      <w:pPr>
        <w:jc w:val="center"/>
        <w:rPr>
          <w:b/>
        </w:rPr>
      </w:pPr>
    </w:p>
    <w:p w14:paraId="3F98F186" w14:textId="77777777" w:rsidR="00EB7625" w:rsidRDefault="00EB7625" w:rsidP="00EB7625">
      <w:pPr>
        <w:jc w:val="center"/>
        <w:rPr>
          <w:b/>
        </w:rPr>
      </w:pPr>
    </w:p>
    <w:p w14:paraId="697689D4" w14:textId="77777777" w:rsidR="00EB7625" w:rsidRDefault="00EB7625" w:rsidP="00EB7625">
      <w:pPr>
        <w:jc w:val="center"/>
        <w:rPr>
          <w:b/>
        </w:rPr>
      </w:pPr>
    </w:p>
    <w:p w14:paraId="0392764B" w14:textId="77777777" w:rsidR="00EB7625" w:rsidRDefault="00EB7625" w:rsidP="00EB7625">
      <w:pPr>
        <w:jc w:val="center"/>
        <w:rPr>
          <w:b/>
        </w:rPr>
      </w:pPr>
    </w:p>
    <w:p w14:paraId="24D0BA6B" w14:textId="77777777" w:rsidR="00EB7625" w:rsidRDefault="00EB7625" w:rsidP="00EB7625">
      <w:pPr>
        <w:jc w:val="center"/>
      </w:pPr>
    </w:p>
    <w:p w14:paraId="395B457B" w14:textId="77777777" w:rsidR="00EB7625" w:rsidRDefault="00EB7625" w:rsidP="00EB7625">
      <w:pPr>
        <w:jc w:val="center"/>
      </w:pPr>
    </w:p>
    <w:p w14:paraId="7D854969" w14:textId="77777777" w:rsidR="00EB7625" w:rsidRDefault="00EB7625" w:rsidP="00EB7625">
      <w:pPr>
        <w:jc w:val="center"/>
      </w:pPr>
    </w:p>
    <w:p w14:paraId="7D5E3727" w14:textId="77777777" w:rsidR="00EB7625" w:rsidRDefault="00EB7625" w:rsidP="00EB7625">
      <w:pPr>
        <w:jc w:val="center"/>
      </w:pPr>
    </w:p>
    <w:p w14:paraId="2276D6AB" w14:textId="77777777" w:rsidR="00EB7625" w:rsidRDefault="00EB7625" w:rsidP="00EB7625">
      <w:pPr>
        <w:jc w:val="center"/>
      </w:pPr>
    </w:p>
    <w:p w14:paraId="44162F91" w14:textId="56834B3E" w:rsidR="00EB7625" w:rsidRDefault="008B6521" w:rsidP="00EB7625">
      <w:pPr>
        <w:spacing w:line="360" w:lineRule="auto"/>
        <w:jc w:val="center"/>
      </w:pPr>
      <w:r>
        <w:t>b</w:t>
      </w:r>
      <w:r w:rsidR="00EB7625">
        <w:t>y</w:t>
      </w:r>
    </w:p>
    <w:p w14:paraId="222BB887" w14:textId="77777777" w:rsidR="00EB7625" w:rsidRDefault="00EB7625" w:rsidP="009B7498">
      <w:pPr>
        <w:spacing w:line="360" w:lineRule="auto"/>
        <w:jc w:val="center"/>
        <w:outlineLvl w:val="0"/>
        <w:rPr>
          <w:b/>
        </w:rPr>
      </w:pPr>
      <w:r>
        <w:rPr>
          <w:b/>
        </w:rPr>
        <w:t>Stephanie Johnson</w:t>
      </w:r>
    </w:p>
    <w:p w14:paraId="0252C746" w14:textId="77777777" w:rsidR="00EB7625" w:rsidRDefault="00EB7625" w:rsidP="009B7498">
      <w:pPr>
        <w:spacing w:line="360" w:lineRule="auto"/>
        <w:jc w:val="center"/>
        <w:outlineLvl w:val="0"/>
      </w:pPr>
      <w:r>
        <w:t>BS, Ohio State University, 2014</w:t>
      </w:r>
    </w:p>
    <w:p w14:paraId="3CB36CB2" w14:textId="77777777" w:rsidR="00EB7625" w:rsidRDefault="00EB7625" w:rsidP="00EB7625">
      <w:pPr>
        <w:jc w:val="center"/>
      </w:pPr>
    </w:p>
    <w:p w14:paraId="4A5DBF35" w14:textId="77777777" w:rsidR="00EB7625" w:rsidRDefault="00EB7625" w:rsidP="00EB7625">
      <w:pPr>
        <w:jc w:val="center"/>
      </w:pPr>
    </w:p>
    <w:p w14:paraId="097D3D3B" w14:textId="77777777" w:rsidR="00EB7625" w:rsidRDefault="00EB7625" w:rsidP="00EB7625">
      <w:pPr>
        <w:jc w:val="center"/>
      </w:pPr>
    </w:p>
    <w:p w14:paraId="404F52FB" w14:textId="77777777" w:rsidR="008B6521" w:rsidRDefault="008B6521" w:rsidP="00EB7625">
      <w:pPr>
        <w:jc w:val="center"/>
      </w:pPr>
    </w:p>
    <w:p w14:paraId="3E2F46CB" w14:textId="77777777" w:rsidR="008B6521" w:rsidRDefault="008B6521" w:rsidP="00EB7625">
      <w:pPr>
        <w:jc w:val="center"/>
      </w:pPr>
    </w:p>
    <w:p w14:paraId="24A2C645" w14:textId="77777777" w:rsidR="00EB7625" w:rsidRDefault="00EB7625" w:rsidP="00EB7625">
      <w:pPr>
        <w:jc w:val="center"/>
      </w:pPr>
    </w:p>
    <w:p w14:paraId="139D03A2" w14:textId="77777777" w:rsidR="00EB7625" w:rsidRDefault="00EB7625" w:rsidP="00EB7625">
      <w:pPr>
        <w:jc w:val="center"/>
      </w:pPr>
    </w:p>
    <w:p w14:paraId="09A12B08" w14:textId="77777777" w:rsidR="00EB7625" w:rsidRDefault="00EB7625" w:rsidP="00EB7625">
      <w:pPr>
        <w:jc w:val="center"/>
      </w:pPr>
    </w:p>
    <w:p w14:paraId="54192E2B" w14:textId="77777777" w:rsidR="00EB7625" w:rsidRDefault="00EB7625" w:rsidP="009B7498">
      <w:pPr>
        <w:spacing w:line="360" w:lineRule="auto"/>
        <w:jc w:val="center"/>
        <w:outlineLvl w:val="0"/>
      </w:pPr>
      <w:r>
        <w:t xml:space="preserve">Submitted to the Graduate Faculty of </w:t>
      </w:r>
    </w:p>
    <w:p w14:paraId="650D09B3" w14:textId="77777777" w:rsidR="00EB7625" w:rsidRDefault="00EB7625" w:rsidP="00EB7625">
      <w:pPr>
        <w:spacing w:line="360" w:lineRule="auto"/>
        <w:jc w:val="center"/>
      </w:pPr>
      <w:r>
        <w:t xml:space="preserve">Epidemiology of </w:t>
      </w:r>
    </w:p>
    <w:p w14:paraId="403A0F50" w14:textId="0BF2B876" w:rsidR="00EB7625" w:rsidRDefault="008B6521" w:rsidP="00EB7625">
      <w:pPr>
        <w:spacing w:line="360" w:lineRule="auto"/>
        <w:jc w:val="center"/>
      </w:pPr>
      <w:r>
        <w:t>t</w:t>
      </w:r>
      <w:r w:rsidR="00EB7625">
        <w:t>he Graduate School of Public Health in partial fulfillment</w:t>
      </w:r>
    </w:p>
    <w:p w14:paraId="0E6A5080" w14:textId="77777777" w:rsidR="00EB7625" w:rsidRDefault="00EB7625" w:rsidP="00EB7625">
      <w:pPr>
        <w:spacing w:line="360" w:lineRule="auto"/>
        <w:jc w:val="center"/>
      </w:pPr>
      <w:r>
        <w:t xml:space="preserve">Of the requirements for the degrees of </w:t>
      </w:r>
    </w:p>
    <w:p w14:paraId="1F9EE936" w14:textId="77777777" w:rsidR="00EB7625" w:rsidRDefault="00EB7625" w:rsidP="00EB7625">
      <w:pPr>
        <w:spacing w:line="360" w:lineRule="auto"/>
        <w:jc w:val="center"/>
      </w:pPr>
      <w:r>
        <w:t>Master of Public Health</w:t>
      </w:r>
    </w:p>
    <w:p w14:paraId="2E6584A0" w14:textId="77777777" w:rsidR="00EB7625" w:rsidRDefault="00EB7625" w:rsidP="00EB7625">
      <w:pPr>
        <w:jc w:val="center"/>
      </w:pPr>
    </w:p>
    <w:p w14:paraId="079DB6F6" w14:textId="77777777" w:rsidR="00EB7625" w:rsidRDefault="00EB7625" w:rsidP="00EB7625">
      <w:pPr>
        <w:jc w:val="center"/>
      </w:pPr>
    </w:p>
    <w:p w14:paraId="48809DC2" w14:textId="77777777" w:rsidR="00EB7625" w:rsidRDefault="00EB7625" w:rsidP="00EB7625">
      <w:pPr>
        <w:jc w:val="center"/>
      </w:pPr>
    </w:p>
    <w:p w14:paraId="093103A1" w14:textId="77777777" w:rsidR="00171914" w:rsidRDefault="00171914" w:rsidP="00EB7625">
      <w:pPr>
        <w:jc w:val="center"/>
      </w:pPr>
    </w:p>
    <w:p w14:paraId="3864FD66" w14:textId="77777777" w:rsidR="00171914" w:rsidRDefault="00171914" w:rsidP="00EB7625">
      <w:pPr>
        <w:jc w:val="center"/>
      </w:pPr>
    </w:p>
    <w:p w14:paraId="799B39E4" w14:textId="77777777" w:rsidR="008B6521" w:rsidRDefault="008B6521" w:rsidP="00EB7625">
      <w:pPr>
        <w:jc w:val="center"/>
      </w:pPr>
    </w:p>
    <w:p w14:paraId="6BC34C53" w14:textId="77777777" w:rsidR="008B6521" w:rsidRDefault="008B6521" w:rsidP="00EB7625">
      <w:pPr>
        <w:jc w:val="center"/>
      </w:pPr>
    </w:p>
    <w:p w14:paraId="3E540709" w14:textId="77777777" w:rsidR="008B6521" w:rsidRDefault="008B6521" w:rsidP="00EB7625">
      <w:pPr>
        <w:jc w:val="center"/>
      </w:pPr>
    </w:p>
    <w:p w14:paraId="389EB9EA" w14:textId="77777777" w:rsidR="008B6521" w:rsidRDefault="008B6521" w:rsidP="00EB7625">
      <w:pPr>
        <w:jc w:val="center"/>
      </w:pPr>
    </w:p>
    <w:p w14:paraId="36BBAAE5" w14:textId="77777777" w:rsidR="008B6521" w:rsidRDefault="008B6521" w:rsidP="00EB7625">
      <w:pPr>
        <w:jc w:val="center"/>
      </w:pPr>
    </w:p>
    <w:p w14:paraId="3C4F1116" w14:textId="77777777" w:rsidR="008B6521" w:rsidRDefault="008B6521" w:rsidP="00EB7625">
      <w:pPr>
        <w:jc w:val="center"/>
      </w:pPr>
    </w:p>
    <w:p w14:paraId="1559F797" w14:textId="77777777" w:rsidR="00171914" w:rsidRDefault="00171914" w:rsidP="009B7498">
      <w:pPr>
        <w:spacing w:line="360" w:lineRule="auto"/>
        <w:jc w:val="center"/>
        <w:outlineLvl w:val="0"/>
      </w:pPr>
      <w:r>
        <w:t xml:space="preserve">University of Pittsburgh </w:t>
      </w:r>
    </w:p>
    <w:p w14:paraId="377C24E9" w14:textId="61EFA3A7" w:rsidR="00171914" w:rsidRDefault="008F6073" w:rsidP="00171914">
      <w:pPr>
        <w:spacing w:line="360" w:lineRule="auto"/>
        <w:jc w:val="center"/>
      </w:pPr>
      <w:r>
        <w:rPr>
          <w:noProof/>
        </w:rPr>
        <w:pict w14:anchorId="41661BEE">
          <v:shapetype id="_x0000_t202" coordsize="21600,21600" o:spt="202" path="m,l,21600r21600,l21600,xe">
            <v:stroke joinstyle="miter"/>
            <v:path gradientshapeok="t" o:connecttype="rect"/>
          </v:shapetype>
          <v:shape id="_x0000_s1026" type="#_x0000_t202" style="position:absolute;left:0;text-align:left;margin-left:218.95pt;margin-top:34.65pt;width:50pt;height:26.25pt;z-index:251658240" stroked="f">
            <v:textbox>
              <w:txbxContent>
                <w:p w14:paraId="58B6B989" w14:textId="77777777" w:rsidR="00C01FB4" w:rsidRDefault="00C01FB4"/>
              </w:txbxContent>
            </v:textbox>
          </v:shape>
        </w:pict>
      </w:r>
      <w:r w:rsidR="00171914">
        <w:t>2016</w:t>
      </w:r>
    </w:p>
    <w:p w14:paraId="30A0DC4E" w14:textId="77777777" w:rsidR="00171914" w:rsidRDefault="00171914" w:rsidP="00171914">
      <w:pPr>
        <w:spacing w:line="360" w:lineRule="auto"/>
        <w:jc w:val="center"/>
      </w:pPr>
      <w:r>
        <w:lastRenderedPageBreak/>
        <w:t>UNIVERSITY OF PITTSBURGH</w:t>
      </w:r>
    </w:p>
    <w:p w14:paraId="26307820" w14:textId="77777777" w:rsidR="00171914" w:rsidRDefault="00171914" w:rsidP="00171914">
      <w:pPr>
        <w:spacing w:line="360" w:lineRule="auto"/>
        <w:jc w:val="center"/>
      </w:pPr>
      <w:r>
        <w:t>Graduate School of Public Health</w:t>
      </w:r>
    </w:p>
    <w:p w14:paraId="2C7D2AA9" w14:textId="77777777" w:rsidR="00171914" w:rsidRDefault="00171914" w:rsidP="00171914">
      <w:pPr>
        <w:spacing w:line="360" w:lineRule="auto"/>
        <w:jc w:val="center"/>
      </w:pPr>
    </w:p>
    <w:p w14:paraId="58DA505D" w14:textId="77777777" w:rsidR="00171914" w:rsidRDefault="00171914" w:rsidP="009B7498">
      <w:pPr>
        <w:spacing w:line="360" w:lineRule="auto"/>
        <w:jc w:val="center"/>
        <w:outlineLvl w:val="0"/>
      </w:pPr>
      <w:r>
        <w:t xml:space="preserve">This essay is submitted </w:t>
      </w:r>
    </w:p>
    <w:p w14:paraId="4A49D7C0" w14:textId="15985FFB" w:rsidR="00171914" w:rsidRDefault="003221B1" w:rsidP="00171914">
      <w:pPr>
        <w:spacing w:line="360" w:lineRule="auto"/>
        <w:jc w:val="center"/>
      </w:pPr>
      <w:r>
        <w:t>b</w:t>
      </w:r>
      <w:r w:rsidR="00171914">
        <w:t>y</w:t>
      </w:r>
    </w:p>
    <w:p w14:paraId="0DE6C409" w14:textId="77777777" w:rsidR="00171914" w:rsidRDefault="00171914" w:rsidP="00171914">
      <w:pPr>
        <w:spacing w:line="360" w:lineRule="auto"/>
        <w:jc w:val="center"/>
        <w:rPr>
          <w:b/>
        </w:rPr>
      </w:pPr>
      <w:r>
        <w:rPr>
          <w:b/>
        </w:rPr>
        <w:t>Stephanie Johnson</w:t>
      </w:r>
    </w:p>
    <w:p w14:paraId="68FB343B" w14:textId="77777777" w:rsidR="00171914" w:rsidRDefault="00171914" w:rsidP="00171914">
      <w:pPr>
        <w:spacing w:line="360" w:lineRule="auto"/>
        <w:jc w:val="center"/>
      </w:pPr>
      <w:r>
        <w:t>On</w:t>
      </w:r>
    </w:p>
    <w:p w14:paraId="080FA6A9" w14:textId="7A4C9515" w:rsidR="00171914" w:rsidRPr="00171914" w:rsidRDefault="00437B0D" w:rsidP="00171914">
      <w:pPr>
        <w:spacing w:line="360" w:lineRule="auto"/>
        <w:jc w:val="center"/>
        <w:rPr>
          <w:b/>
        </w:rPr>
      </w:pPr>
      <w:r>
        <w:rPr>
          <w:b/>
        </w:rPr>
        <w:t>May 2</w:t>
      </w:r>
      <w:r w:rsidR="00171914" w:rsidRPr="00171914">
        <w:rPr>
          <w:b/>
        </w:rPr>
        <w:t>, 2016</w:t>
      </w:r>
    </w:p>
    <w:p w14:paraId="5B795219" w14:textId="48AB2536" w:rsidR="00171914" w:rsidRDefault="003221B1" w:rsidP="00171914">
      <w:pPr>
        <w:spacing w:line="360" w:lineRule="auto"/>
        <w:jc w:val="center"/>
      </w:pPr>
      <w:r>
        <w:t>a</w:t>
      </w:r>
      <w:r w:rsidR="00171914">
        <w:t>nd approved by</w:t>
      </w:r>
    </w:p>
    <w:p w14:paraId="584F6578" w14:textId="77777777" w:rsidR="00171914" w:rsidRDefault="00171914" w:rsidP="00171914">
      <w:pPr>
        <w:spacing w:line="360" w:lineRule="auto"/>
        <w:jc w:val="center"/>
      </w:pPr>
    </w:p>
    <w:p w14:paraId="08D5BD22" w14:textId="77777777" w:rsidR="003221B1" w:rsidRDefault="003221B1" w:rsidP="003221B1">
      <w:pPr>
        <w:outlineLvl w:val="0"/>
        <w:rPr>
          <w:b/>
        </w:rPr>
      </w:pPr>
    </w:p>
    <w:p w14:paraId="0AC5688B" w14:textId="77777777" w:rsidR="003221B1" w:rsidRDefault="003221B1" w:rsidP="003221B1">
      <w:pPr>
        <w:outlineLvl w:val="0"/>
        <w:rPr>
          <w:b/>
        </w:rPr>
      </w:pPr>
    </w:p>
    <w:p w14:paraId="78F48502" w14:textId="77777777" w:rsidR="00171914" w:rsidRDefault="00171914" w:rsidP="003221B1">
      <w:pPr>
        <w:outlineLvl w:val="0"/>
        <w:rPr>
          <w:b/>
        </w:rPr>
      </w:pPr>
      <w:r w:rsidRPr="00171914">
        <w:rPr>
          <w:b/>
        </w:rPr>
        <w:t>Essay Advisor:</w:t>
      </w:r>
    </w:p>
    <w:p w14:paraId="64DD0D57" w14:textId="70E3777D" w:rsidR="00A2383D" w:rsidRDefault="00A2383D" w:rsidP="003221B1">
      <w:r>
        <w:t>Thomas Songer, PhD</w:t>
      </w:r>
      <w:r w:rsidR="003221B1">
        <w:tab/>
      </w:r>
      <w:r w:rsidR="003221B1">
        <w:tab/>
      </w:r>
      <w:r w:rsidR="003221B1">
        <w:tab/>
      </w:r>
      <w:r w:rsidR="003221B1">
        <w:tab/>
      </w:r>
      <w:r w:rsidR="003221B1">
        <w:tab/>
        <w:t>__________________________________________________</w:t>
      </w:r>
    </w:p>
    <w:p w14:paraId="0F55AD75" w14:textId="77777777" w:rsidR="00A2383D" w:rsidRDefault="00A2383D" w:rsidP="003221B1">
      <w:r>
        <w:t>Assistant Professor</w:t>
      </w:r>
    </w:p>
    <w:p w14:paraId="64EC15BA" w14:textId="77777777" w:rsidR="00A2383D" w:rsidRDefault="00A2383D" w:rsidP="003221B1">
      <w:r>
        <w:t>Epidemiology</w:t>
      </w:r>
    </w:p>
    <w:p w14:paraId="500A7190" w14:textId="77777777" w:rsidR="00A2383D" w:rsidRDefault="00A2383D" w:rsidP="003221B1">
      <w:r>
        <w:t>Graduate School of Public Health</w:t>
      </w:r>
    </w:p>
    <w:p w14:paraId="3BB377DB" w14:textId="77777777" w:rsidR="00A2383D" w:rsidRDefault="00A2383D" w:rsidP="003221B1">
      <w:r>
        <w:t>University of Pittsburgh</w:t>
      </w:r>
    </w:p>
    <w:p w14:paraId="4B430329" w14:textId="77777777" w:rsidR="00A2383D" w:rsidRDefault="00A2383D" w:rsidP="003221B1">
      <w:pPr>
        <w:rPr>
          <w:b/>
        </w:rPr>
      </w:pPr>
    </w:p>
    <w:p w14:paraId="141C89A0" w14:textId="77777777" w:rsidR="003221B1" w:rsidRDefault="003221B1" w:rsidP="003221B1">
      <w:pPr>
        <w:rPr>
          <w:b/>
        </w:rPr>
      </w:pPr>
    </w:p>
    <w:p w14:paraId="68AAD64E" w14:textId="08B629BB" w:rsidR="00A2383D" w:rsidRDefault="00A2383D" w:rsidP="003221B1">
      <w:pPr>
        <w:outlineLvl w:val="0"/>
        <w:rPr>
          <w:b/>
        </w:rPr>
      </w:pPr>
      <w:r w:rsidRPr="00171914">
        <w:rPr>
          <w:b/>
        </w:rPr>
        <w:t>Essay Reader</w:t>
      </w:r>
      <w:r w:rsidR="003221B1">
        <w:rPr>
          <w:b/>
        </w:rPr>
        <w:t>s</w:t>
      </w:r>
      <w:r w:rsidRPr="00171914">
        <w:rPr>
          <w:b/>
        </w:rPr>
        <w:t>:</w:t>
      </w:r>
    </w:p>
    <w:p w14:paraId="4F6B93EB" w14:textId="77777777" w:rsidR="003221B1" w:rsidRPr="00171914" w:rsidRDefault="003221B1" w:rsidP="003221B1">
      <w:pPr>
        <w:outlineLvl w:val="0"/>
        <w:rPr>
          <w:b/>
        </w:rPr>
      </w:pPr>
    </w:p>
    <w:p w14:paraId="579F8474" w14:textId="3F6ADDF0" w:rsidR="00171914" w:rsidRDefault="00171914" w:rsidP="003221B1">
      <w:r>
        <w:t>Wilbert Van Panhuis, MD PhD</w:t>
      </w:r>
      <w:r w:rsidR="003221B1">
        <w:tab/>
      </w:r>
      <w:r w:rsidR="003221B1">
        <w:tab/>
      </w:r>
      <w:r w:rsidR="003221B1">
        <w:tab/>
        <w:t>__________________________________________________</w:t>
      </w:r>
    </w:p>
    <w:p w14:paraId="1DA9312E" w14:textId="77777777" w:rsidR="00171914" w:rsidRDefault="00171914" w:rsidP="003221B1">
      <w:r>
        <w:t>Assistant Professor</w:t>
      </w:r>
    </w:p>
    <w:p w14:paraId="7ED07FC8" w14:textId="77777777" w:rsidR="00171914" w:rsidRDefault="00171914" w:rsidP="003221B1">
      <w:r>
        <w:t>Epidemiology</w:t>
      </w:r>
    </w:p>
    <w:p w14:paraId="1FC32633" w14:textId="77777777" w:rsidR="00171914" w:rsidRDefault="00171914" w:rsidP="003221B1">
      <w:r>
        <w:t>Graduate School of Public Health</w:t>
      </w:r>
    </w:p>
    <w:p w14:paraId="1C9D46D3" w14:textId="77777777" w:rsidR="00171914" w:rsidRDefault="00171914" w:rsidP="003221B1">
      <w:r>
        <w:t>University of Pittsburgh</w:t>
      </w:r>
    </w:p>
    <w:p w14:paraId="58B2CD64" w14:textId="77777777" w:rsidR="00171914" w:rsidRDefault="00171914" w:rsidP="003221B1"/>
    <w:p w14:paraId="6D1685EB" w14:textId="77777777" w:rsidR="003221B1" w:rsidRDefault="003221B1" w:rsidP="003221B1"/>
    <w:p w14:paraId="2E53FA6F" w14:textId="4B3F9801" w:rsidR="00171914" w:rsidRDefault="00325CA2" w:rsidP="003221B1">
      <w:pPr>
        <w:outlineLvl w:val="0"/>
      </w:pPr>
      <w:r>
        <w:t>Jeremy Martinson, DPhil</w:t>
      </w:r>
      <w:r w:rsidR="003221B1">
        <w:tab/>
      </w:r>
      <w:r w:rsidR="003221B1">
        <w:tab/>
      </w:r>
      <w:r w:rsidR="003221B1">
        <w:tab/>
      </w:r>
      <w:r w:rsidR="003221B1">
        <w:tab/>
        <w:t>__________________________________________________</w:t>
      </w:r>
    </w:p>
    <w:p w14:paraId="66BB3822" w14:textId="77777777" w:rsidR="00171914" w:rsidRDefault="00171914" w:rsidP="003221B1">
      <w:r>
        <w:t xml:space="preserve">Assistant Professor </w:t>
      </w:r>
    </w:p>
    <w:p w14:paraId="376558F4" w14:textId="37808E5C" w:rsidR="00171914" w:rsidRDefault="00171914" w:rsidP="003221B1">
      <w:r>
        <w:t>Infectious Disease</w:t>
      </w:r>
      <w:r w:rsidR="00CE5BD8">
        <w:t>s</w:t>
      </w:r>
      <w:r>
        <w:t xml:space="preserve"> and Microbiology</w:t>
      </w:r>
    </w:p>
    <w:p w14:paraId="461251FF" w14:textId="77777777" w:rsidR="00171914" w:rsidRDefault="00171914" w:rsidP="003221B1">
      <w:r>
        <w:t>Graduate School of Public Health</w:t>
      </w:r>
    </w:p>
    <w:p w14:paraId="47E076CF" w14:textId="77777777" w:rsidR="007F1D19" w:rsidRDefault="00171914" w:rsidP="003221B1">
      <w:pPr>
        <w:spacing w:line="360" w:lineRule="auto"/>
      </w:pPr>
      <w:r>
        <w:t>University of Pittsburgh</w:t>
      </w:r>
    </w:p>
    <w:p w14:paraId="0F2FCBF0" w14:textId="77777777" w:rsidR="003221B1" w:rsidRDefault="003221B1" w:rsidP="003221B1">
      <w:pPr>
        <w:spacing w:line="360" w:lineRule="auto"/>
        <w:outlineLvl w:val="0"/>
      </w:pPr>
    </w:p>
    <w:p w14:paraId="37AF7E58" w14:textId="77777777" w:rsidR="003221B1" w:rsidRDefault="003221B1" w:rsidP="003221B1">
      <w:pPr>
        <w:spacing w:line="360" w:lineRule="auto"/>
        <w:outlineLvl w:val="0"/>
      </w:pPr>
    </w:p>
    <w:p w14:paraId="628ECCBC" w14:textId="77777777" w:rsidR="003221B1" w:rsidRDefault="003221B1" w:rsidP="003221B1">
      <w:pPr>
        <w:spacing w:line="360" w:lineRule="auto"/>
        <w:outlineLvl w:val="0"/>
      </w:pPr>
    </w:p>
    <w:p w14:paraId="1B512F2D" w14:textId="77777777" w:rsidR="003221B1" w:rsidRDefault="003221B1" w:rsidP="003221B1">
      <w:pPr>
        <w:spacing w:line="360" w:lineRule="auto"/>
        <w:outlineLvl w:val="0"/>
      </w:pPr>
    </w:p>
    <w:p w14:paraId="317FA47A" w14:textId="77777777" w:rsidR="003221B1" w:rsidRDefault="003221B1" w:rsidP="009B7498">
      <w:pPr>
        <w:spacing w:line="360" w:lineRule="auto"/>
        <w:jc w:val="right"/>
        <w:outlineLvl w:val="0"/>
      </w:pPr>
    </w:p>
    <w:p w14:paraId="7936BA24" w14:textId="0D024129" w:rsidR="007F1D19" w:rsidRDefault="00A2383D" w:rsidP="009B7498">
      <w:pPr>
        <w:spacing w:line="360" w:lineRule="auto"/>
        <w:jc w:val="right"/>
        <w:outlineLvl w:val="0"/>
      </w:pPr>
      <w:r>
        <w:t>Thomas Songer, PhD</w:t>
      </w:r>
    </w:p>
    <w:p w14:paraId="438FF2EF" w14:textId="77777777" w:rsidR="007F1D19" w:rsidRDefault="007F1D19" w:rsidP="007F1D19">
      <w:pPr>
        <w:spacing w:line="360" w:lineRule="auto"/>
        <w:jc w:val="center"/>
        <w:rPr>
          <w:b/>
        </w:rPr>
      </w:pPr>
    </w:p>
    <w:p w14:paraId="04679E68" w14:textId="77777777" w:rsidR="007F1D19" w:rsidRDefault="007F1D19" w:rsidP="007F1D19">
      <w:pPr>
        <w:spacing w:line="360" w:lineRule="auto"/>
        <w:jc w:val="center"/>
        <w:rPr>
          <w:b/>
        </w:rPr>
      </w:pPr>
      <w:r w:rsidRPr="00EB7625">
        <w:rPr>
          <w:b/>
        </w:rPr>
        <w:t>TWENTY YEARS OF DENGUE SURVEILLANCE AT A MINISTRY OF HEALTH HOSPITAL IN KAMPHAENG PHET, THAILAND, 1994-2013</w:t>
      </w:r>
    </w:p>
    <w:p w14:paraId="1634BE9F" w14:textId="77777777" w:rsidR="007F1D19" w:rsidRDefault="007F1D19" w:rsidP="007F1D19">
      <w:pPr>
        <w:spacing w:line="360" w:lineRule="auto"/>
        <w:jc w:val="center"/>
      </w:pPr>
      <w:r>
        <w:t>Stephanie Johnson, MPH</w:t>
      </w:r>
    </w:p>
    <w:p w14:paraId="00818E24" w14:textId="77777777" w:rsidR="007F1D19" w:rsidRDefault="007F1D19" w:rsidP="007F1D19">
      <w:pPr>
        <w:spacing w:line="360" w:lineRule="auto"/>
        <w:jc w:val="center"/>
      </w:pPr>
      <w:r>
        <w:t>University of Pittsburgh, 2016</w:t>
      </w:r>
    </w:p>
    <w:p w14:paraId="0536AD49" w14:textId="77777777" w:rsidR="007F1D19" w:rsidRDefault="007F1D19" w:rsidP="007F1D19">
      <w:pPr>
        <w:spacing w:line="360" w:lineRule="auto"/>
        <w:jc w:val="center"/>
        <w:rPr>
          <w:b/>
        </w:rPr>
      </w:pPr>
      <w:r>
        <w:rPr>
          <w:b/>
        </w:rPr>
        <w:t>ABSTRACT</w:t>
      </w:r>
    </w:p>
    <w:p w14:paraId="1DA27176" w14:textId="069E5951" w:rsidR="007F1D19" w:rsidRDefault="00D05BEA" w:rsidP="007F1D19">
      <w:pPr>
        <w:spacing w:line="360" w:lineRule="auto"/>
      </w:pPr>
      <w:r>
        <w:tab/>
      </w:r>
      <w:r w:rsidR="007F1D19">
        <w:t xml:space="preserve">Dengue virus (DENV) is a vector-borne viral disease transmitted by the </w:t>
      </w:r>
      <w:r w:rsidR="007F1D19" w:rsidRPr="007F1D19">
        <w:rPr>
          <w:i/>
        </w:rPr>
        <w:t>Aedes aegypti</w:t>
      </w:r>
      <w:r w:rsidR="007F1D19" w:rsidRPr="007F1D19">
        <w:t> and </w:t>
      </w:r>
      <w:r w:rsidR="007F1D19" w:rsidRPr="007F1D19">
        <w:rPr>
          <w:i/>
        </w:rPr>
        <w:t>Aedes albopictus</w:t>
      </w:r>
      <w:r w:rsidR="007F1D19">
        <w:t xml:space="preserve"> mosquitos. The majority of dengue cases </w:t>
      </w:r>
      <w:r w:rsidR="00686EBC">
        <w:t xml:space="preserve">present </w:t>
      </w:r>
      <w:r w:rsidR="007F1D19">
        <w:t>as asymptomatic to mild febrile illness. Only a small percentage of cases manifest more severe symptoms. Currentl</w:t>
      </w:r>
      <w:r w:rsidR="00B14590">
        <w:t>y, dengue is endemic in</w:t>
      </w:r>
      <w:r w:rsidR="00705734">
        <w:t xml:space="preserve"> over</w:t>
      </w:r>
      <w:r w:rsidR="007F1D19">
        <w:t xml:space="preserve"> 100 countries, and five different continents, </w:t>
      </w:r>
      <w:r w:rsidR="00B14590">
        <w:t xml:space="preserve">making </w:t>
      </w:r>
      <w:r w:rsidR="007F1D19">
        <w:t>about 40% of the world’s population at risk for dengue transmission. This represents a global public health risk.</w:t>
      </w:r>
    </w:p>
    <w:p w14:paraId="7BE773B8" w14:textId="6301FE4A" w:rsidR="00D05BEA" w:rsidRDefault="00D05BEA" w:rsidP="007F1D19">
      <w:pPr>
        <w:spacing w:line="360" w:lineRule="auto"/>
      </w:pPr>
      <w:r>
        <w:tab/>
      </w:r>
      <w:r w:rsidR="007F1D19">
        <w:t>Long-term observational studies provide valuable insights into over</w:t>
      </w:r>
      <w:r w:rsidR="00686EBC">
        <w:t>all dengue epidemiology. This paper presents</w:t>
      </w:r>
      <w:r w:rsidR="007F1D19">
        <w:t xml:space="preserve"> an analysis</w:t>
      </w:r>
      <w:r w:rsidR="00686EBC">
        <w:t xml:space="preserve"> of dengue cases presenting to</w:t>
      </w:r>
      <w:r w:rsidR="007F1D19">
        <w:t xml:space="preserve"> a Ministry of Health </w:t>
      </w:r>
      <w:r w:rsidR="00E979B5">
        <w:t xml:space="preserve">provincial </w:t>
      </w:r>
      <w:r w:rsidR="007F1D19">
        <w:t>hospital in K</w:t>
      </w:r>
      <w:r w:rsidR="00686EBC">
        <w:t>amphaeng Phet, Thailand during the</w:t>
      </w:r>
      <w:r w:rsidR="007F1D19">
        <w:t xml:space="preserve"> twenty-year period from 1994-2013. Data was analyzed from 12,200 hospitalized patient</w:t>
      </w:r>
      <w:r w:rsidR="00B14590">
        <w:t>s with suspected DENV infection and confirmed by N</w:t>
      </w:r>
      <w:r w:rsidR="007F1D19">
        <w:t>ested PCR and enzyme-linked immunosorbent assay (ELISA).</w:t>
      </w:r>
    </w:p>
    <w:p w14:paraId="794F4F11" w14:textId="18A4684A" w:rsidR="00D05BEA" w:rsidRDefault="00D05BEA" w:rsidP="007F1D19">
      <w:pPr>
        <w:spacing w:line="360" w:lineRule="auto"/>
      </w:pPr>
      <w:r>
        <w:tab/>
      </w:r>
      <w:r w:rsidR="003D084A">
        <w:t>Exploratory data analysis was performed and s</w:t>
      </w:r>
      <w:r w:rsidRPr="00B37958">
        <w:t>everal long-term trends of</w:t>
      </w:r>
      <w:r w:rsidR="003D084A">
        <w:t xml:space="preserve"> dengue disease were identified. Chief </w:t>
      </w:r>
      <w:r w:rsidR="00053F98">
        <w:t>among those findings was</w:t>
      </w:r>
      <w:r w:rsidR="003D084A">
        <w:t xml:space="preserve"> a</w:t>
      </w:r>
      <w:r w:rsidR="00E76CE5">
        <w:t>n</w:t>
      </w:r>
      <w:r w:rsidR="003D084A">
        <w:t xml:space="preserve"> </w:t>
      </w:r>
      <w:r w:rsidR="001367E2">
        <w:t>increase in mean age</w:t>
      </w:r>
      <w:r w:rsidR="00053F98">
        <w:t xml:space="preserve"> for both primary and secondary infections. C</w:t>
      </w:r>
      <w:r w:rsidR="001367E2">
        <w:t xml:space="preserve">o-circulation of </w:t>
      </w:r>
      <w:r w:rsidR="00076507">
        <w:t>multiple serotypes</w:t>
      </w:r>
      <w:r w:rsidR="00053F98">
        <w:t xml:space="preserve"> in multiple years was also found</w:t>
      </w:r>
      <w:r w:rsidR="00C12B75">
        <w:t>.</w:t>
      </w:r>
      <w:r w:rsidRPr="00B37958">
        <w:t xml:space="preserve"> </w:t>
      </w:r>
    </w:p>
    <w:p w14:paraId="72993316" w14:textId="61B7356E" w:rsidR="0096024C" w:rsidRDefault="00D05BEA" w:rsidP="0096024C">
      <w:pPr>
        <w:spacing w:line="360" w:lineRule="auto"/>
      </w:pPr>
      <w:r>
        <w:tab/>
        <w:t>Thailand is an important setting for studying DE</w:t>
      </w:r>
      <w:r w:rsidR="00686EBC">
        <w:t>NV transmission due to the</w:t>
      </w:r>
      <w:r>
        <w:t xml:space="preserve"> hyper endemic status</w:t>
      </w:r>
      <w:r w:rsidR="00686EBC">
        <w:t xml:space="preserve"> of dengue, and the presence of a</w:t>
      </w:r>
      <w:r>
        <w:t xml:space="preserve"> strong surveillance.  Further research within Thailand is needed to continue to understand the relationship between geography and dengue</w:t>
      </w:r>
      <w:r w:rsidR="00686EBC">
        <w:t xml:space="preserve"> </w:t>
      </w:r>
      <w:r w:rsidR="00B14590">
        <w:t>incidence.</w:t>
      </w:r>
      <w:r w:rsidR="0096024C">
        <w:t xml:space="preserve"> These results may increase understanding of dengue in other countries with similar changes in transmission and population demographics that may now or soon be occurring</w:t>
      </w:r>
      <w:r w:rsidR="00325CA2">
        <w:t>.</w:t>
      </w:r>
    </w:p>
    <w:p w14:paraId="72C6823C" w14:textId="77777777" w:rsidR="0096024C" w:rsidRDefault="0096024C" w:rsidP="004B60ED">
      <w:pPr>
        <w:spacing w:line="360" w:lineRule="auto"/>
      </w:pPr>
    </w:p>
    <w:sdt>
      <w:sdtPr>
        <w:rPr>
          <w:rFonts w:asciiTheme="minorHAnsi" w:eastAsiaTheme="minorEastAsia" w:hAnsiTheme="minorHAnsi" w:cstheme="minorBidi"/>
          <w:b w:val="0"/>
          <w:bCs w:val="0"/>
          <w:color w:val="000000" w:themeColor="text1"/>
          <w:kern w:val="2"/>
          <w:sz w:val="24"/>
          <w:szCs w:val="24"/>
          <w:lang w:eastAsia="ja-JP"/>
        </w:rPr>
        <w:id w:val="284017964"/>
        <w:docPartObj>
          <w:docPartGallery w:val="Table of Contents"/>
          <w:docPartUnique/>
        </w:docPartObj>
      </w:sdtPr>
      <w:sdtEndPr>
        <w:rPr>
          <w:rFonts w:eastAsiaTheme="minorHAnsi"/>
          <w:color w:val="auto"/>
          <w:kern w:val="0"/>
          <w:lang w:eastAsia="en-US"/>
        </w:rPr>
      </w:sdtEndPr>
      <w:sdtContent>
        <w:p w14:paraId="447F3933" w14:textId="77777777" w:rsidR="0096024C" w:rsidRDefault="0096024C" w:rsidP="009B7498">
          <w:pPr>
            <w:pStyle w:val="TOCHeading"/>
            <w:jc w:val="center"/>
            <w:outlineLvl w:val="0"/>
            <w:rPr>
              <w:rFonts w:asciiTheme="minorHAnsi" w:hAnsiTheme="minorHAnsi"/>
              <w:color w:val="000000" w:themeColor="text1"/>
            </w:rPr>
          </w:pPr>
          <w:r w:rsidRPr="000E48AB">
            <w:rPr>
              <w:rFonts w:asciiTheme="minorHAnsi" w:hAnsiTheme="minorHAnsi"/>
              <w:color w:val="000000" w:themeColor="text1"/>
            </w:rPr>
            <w:t>Table of Contents</w:t>
          </w:r>
        </w:p>
        <w:p w14:paraId="7C8C87BB" w14:textId="77777777" w:rsidR="00CE5BD8" w:rsidRDefault="00CE5BD8" w:rsidP="00CE5BD8"/>
        <w:p w14:paraId="12BDE9D2" w14:textId="77777777" w:rsidR="00CE5BD8" w:rsidRPr="00CE5BD8" w:rsidRDefault="00CE5BD8" w:rsidP="00CE5BD8"/>
        <w:p w14:paraId="5FC227AD" w14:textId="1FB6C077" w:rsidR="0096024C" w:rsidRPr="000E48AB" w:rsidRDefault="0096024C" w:rsidP="009B7498">
          <w:pPr>
            <w:outlineLvl w:val="0"/>
            <w:rPr>
              <w:b/>
              <w:color w:val="000000" w:themeColor="text1"/>
            </w:rPr>
          </w:pPr>
          <w:r w:rsidRPr="000E48AB">
            <w:rPr>
              <w:b/>
              <w:color w:val="000000" w:themeColor="text1"/>
            </w:rPr>
            <w:t>ACKNOWLEDGEMENTS</w:t>
          </w:r>
          <w:r w:rsidR="00686EBC">
            <w:rPr>
              <w:b/>
              <w:color w:val="000000" w:themeColor="text1"/>
            </w:rPr>
            <w:t>……………………………………………………………………………………………..vii</w:t>
          </w:r>
          <w:r w:rsidRPr="000E48AB">
            <w:rPr>
              <w:b/>
              <w:color w:val="000000" w:themeColor="text1"/>
            </w:rPr>
            <w:tab/>
          </w:r>
        </w:p>
        <w:p w14:paraId="367902FF" w14:textId="2666B7A4" w:rsidR="0096024C" w:rsidRPr="000E48AB" w:rsidRDefault="003221B1" w:rsidP="0096024C">
          <w:pPr>
            <w:pStyle w:val="TOC1"/>
            <w:rPr>
              <w:rFonts w:asciiTheme="minorHAnsi" w:hAnsiTheme="minorHAnsi"/>
              <w:color w:val="000000" w:themeColor="text1"/>
            </w:rPr>
          </w:pPr>
          <w:r>
            <w:rPr>
              <w:rFonts w:asciiTheme="minorHAnsi" w:hAnsiTheme="minorHAnsi"/>
              <w:color w:val="000000" w:themeColor="text1"/>
            </w:rPr>
            <w:t xml:space="preserve">1.0 </w:t>
          </w:r>
          <w:r w:rsidR="00420199">
            <w:rPr>
              <w:rFonts w:asciiTheme="minorHAnsi" w:hAnsiTheme="minorHAnsi"/>
              <w:color w:val="000000" w:themeColor="text1"/>
            </w:rPr>
            <w:tab/>
          </w:r>
          <w:r w:rsidR="0096024C" w:rsidRPr="000E48AB">
            <w:rPr>
              <w:rFonts w:asciiTheme="minorHAnsi" w:hAnsiTheme="minorHAnsi"/>
              <w:color w:val="000000" w:themeColor="text1"/>
            </w:rPr>
            <w:t>INTRODUCTION</w:t>
          </w:r>
          <w:r w:rsidR="008D3E5A">
            <w:rPr>
              <w:rFonts w:asciiTheme="minorHAnsi" w:hAnsiTheme="minorHAnsi"/>
              <w:color w:val="000000" w:themeColor="text1"/>
            </w:rPr>
            <w:t>……………………………………………………………………………………………….</w:t>
          </w:r>
          <w:r w:rsidR="0096024C" w:rsidRPr="000E48AB">
            <w:rPr>
              <w:rFonts w:asciiTheme="minorHAnsi" w:hAnsiTheme="minorHAnsi"/>
              <w:color w:val="000000" w:themeColor="text1"/>
            </w:rPr>
            <w:t>1</w:t>
          </w:r>
        </w:p>
        <w:p w14:paraId="4892596F" w14:textId="33B0F2FE" w:rsidR="0096024C" w:rsidRPr="008D3E5A" w:rsidRDefault="006E4868" w:rsidP="006E4868">
          <w:pPr>
            <w:pStyle w:val="TOC2"/>
            <w:rPr>
              <w:b/>
              <w:color w:val="000000" w:themeColor="text1"/>
              <w:sz w:val="24"/>
              <w:szCs w:val="24"/>
            </w:rPr>
          </w:pPr>
          <w:r w:rsidRPr="000E48AB">
            <w:rPr>
              <w:b/>
              <w:color w:val="000000" w:themeColor="text1"/>
            </w:rPr>
            <w:tab/>
            <w:t>1.1</w:t>
          </w:r>
          <w:r w:rsidRPr="000E48AB">
            <w:rPr>
              <w:b/>
              <w:color w:val="000000" w:themeColor="text1"/>
            </w:rPr>
            <w:tab/>
          </w:r>
          <w:r w:rsidRPr="000E48AB">
            <w:rPr>
              <w:b/>
              <w:color w:val="000000" w:themeColor="text1"/>
              <w:sz w:val="24"/>
              <w:szCs w:val="24"/>
            </w:rPr>
            <w:t>Dengue</w:t>
          </w:r>
          <w:r w:rsidR="008D3E5A">
            <w:rPr>
              <w:b/>
              <w:color w:val="000000" w:themeColor="text1"/>
            </w:rPr>
            <w:t>……………………………………………………………………………………………………………</w:t>
          </w:r>
          <w:r w:rsidR="008D3E5A">
            <w:rPr>
              <w:b/>
              <w:color w:val="000000" w:themeColor="text1"/>
              <w:sz w:val="24"/>
              <w:szCs w:val="24"/>
            </w:rPr>
            <w:t>1</w:t>
          </w:r>
        </w:p>
        <w:p w14:paraId="2BC99DE9" w14:textId="09485232" w:rsidR="00177F62" w:rsidRPr="00177F62" w:rsidRDefault="00177F62" w:rsidP="00177F62">
          <w:pPr>
            <w:rPr>
              <w:b/>
            </w:rPr>
          </w:pPr>
          <w:r>
            <w:tab/>
          </w:r>
          <w:r w:rsidRPr="00177F62">
            <w:rPr>
              <w:b/>
            </w:rPr>
            <w:t xml:space="preserve">1.2 </w:t>
          </w:r>
          <w:r w:rsidRPr="00177F62">
            <w:rPr>
              <w:b/>
            </w:rPr>
            <w:tab/>
            <w:t>Objectives</w:t>
          </w:r>
          <w:r w:rsidR="00E54F4D">
            <w:rPr>
              <w:b/>
            </w:rPr>
            <w:t>……………………………………………………………………………………………</w:t>
          </w:r>
          <w:r w:rsidR="008D3E5A">
            <w:rPr>
              <w:b/>
            </w:rPr>
            <w:t>.20</w:t>
          </w:r>
        </w:p>
        <w:p w14:paraId="317DCC72" w14:textId="4D9FDF5A" w:rsidR="0096024C" w:rsidRPr="000E48AB" w:rsidRDefault="00686EBC" w:rsidP="0096024C">
          <w:pPr>
            <w:pStyle w:val="TOC1"/>
            <w:rPr>
              <w:rFonts w:asciiTheme="minorHAnsi" w:hAnsiTheme="minorHAnsi"/>
              <w:color w:val="000000" w:themeColor="text1"/>
            </w:rPr>
          </w:pPr>
          <w:r>
            <w:rPr>
              <w:rFonts w:asciiTheme="minorHAnsi" w:hAnsiTheme="minorHAnsi"/>
              <w:color w:val="000000" w:themeColor="text1"/>
            </w:rPr>
            <w:t xml:space="preserve">2.0 </w:t>
          </w:r>
          <w:r>
            <w:rPr>
              <w:rFonts w:asciiTheme="minorHAnsi" w:hAnsiTheme="minorHAnsi"/>
              <w:color w:val="000000" w:themeColor="text1"/>
            </w:rPr>
            <w:tab/>
            <w:t>METHODS</w:t>
          </w:r>
          <w:r w:rsidR="008D3E5A">
            <w:rPr>
              <w:rFonts w:asciiTheme="minorHAnsi" w:hAnsiTheme="minorHAnsi"/>
              <w:color w:val="000000" w:themeColor="text1"/>
            </w:rPr>
            <w:t>……………………………………………………………………………………………………….22</w:t>
          </w:r>
        </w:p>
        <w:p w14:paraId="73F1A60B" w14:textId="3A1BAB9F" w:rsidR="00A2383D" w:rsidRPr="000E48AB" w:rsidRDefault="00483725" w:rsidP="00E979B5">
          <w:pPr>
            <w:pStyle w:val="TOC2"/>
            <w:rPr>
              <w:b/>
              <w:color w:val="000000" w:themeColor="text1"/>
              <w:sz w:val="24"/>
              <w:szCs w:val="24"/>
            </w:rPr>
          </w:pPr>
          <w:r w:rsidRPr="000E48AB">
            <w:rPr>
              <w:b/>
              <w:color w:val="000000" w:themeColor="text1"/>
            </w:rPr>
            <w:tab/>
          </w:r>
          <w:r w:rsidRPr="000E48AB">
            <w:rPr>
              <w:b/>
              <w:color w:val="000000" w:themeColor="text1"/>
              <w:sz w:val="24"/>
              <w:szCs w:val="24"/>
            </w:rPr>
            <w:t>2.1 Sample Selection</w:t>
          </w:r>
          <w:r w:rsidR="008D3E5A">
            <w:rPr>
              <w:b/>
              <w:color w:val="000000" w:themeColor="text1"/>
              <w:sz w:val="24"/>
              <w:szCs w:val="24"/>
            </w:rPr>
            <w:t>……………………………………………………………………………………….22</w:t>
          </w:r>
        </w:p>
        <w:p w14:paraId="12F2BDB3" w14:textId="0A107A5B" w:rsidR="004330A1" w:rsidRDefault="008D3E5A" w:rsidP="00E54F4D">
          <w:pPr>
            <w:rPr>
              <w:b/>
              <w:color w:val="000000" w:themeColor="text1"/>
            </w:rPr>
          </w:pPr>
          <w:r>
            <w:rPr>
              <w:b/>
              <w:color w:val="000000" w:themeColor="text1"/>
            </w:rPr>
            <w:tab/>
            <w:t>2.2 Statistical Analysis………………………………………………………………………</w:t>
          </w:r>
          <w:r w:rsidR="00437B0D">
            <w:rPr>
              <w:b/>
              <w:color w:val="000000" w:themeColor="text1"/>
            </w:rPr>
            <w:t>…………….24</w:t>
          </w:r>
        </w:p>
        <w:p w14:paraId="4C9341ED" w14:textId="77777777" w:rsidR="00F542A1" w:rsidRPr="000E48AB" w:rsidRDefault="00F542A1" w:rsidP="00E54F4D">
          <w:pPr>
            <w:rPr>
              <w:b/>
              <w:color w:val="000000" w:themeColor="text1"/>
            </w:rPr>
          </w:pPr>
        </w:p>
        <w:p w14:paraId="6FF5143B" w14:textId="11D153D4" w:rsidR="004330A1" w:rsidRDefault="004330A1" w:rsidP="00437B0D">
          <w:pPr>
            <w:rPr>
              <w:b/>
              <w:color w:val="000000" w:themeColor="text1"/>
            </w:rPr>
          </w:pPr>
          <w:r w:rsidRPr="000E48AB">
            <w:rPr>
              <w:b/>
              <w:color w:val="000000" w:themeColor="text1"/>
            </w:rPr>
            <w:t xml:space="preserve">3.0 </w:t>
          </w:r>
          <w:r w:rsidR="00AE6EA6">
            <w:rPr>
              <w:b/>
              <w:color w:val="000000" w:themeColor="text1"/>
            </w:rPr>
            <w:tab/>
          </w:r>
          <w:r w:rsidR="00686EBC">
            <w:rPr>
              <w:b/>
              <w:color w:val="000000" w:themeColor="text1"/>
            </w:rPr>
            <w:t>RESULTS</w:t>
          </w:r>
          <w:r w:rsidR="008D3E5A">
            <w:rPr>
              <w:b/>
              <w:color w:val="000000" w:themeColor="text1"/>
            </w:rPr>
            <w:t>………………………………………………………………………………………………………….25</w:t>
          </w:r>
        </w:p>
        <w:p w14:paraId="2182EDE4" w14:textId="35560F2F" w:rsidR="00186403" w:rsidRPr="000E48AB" w:rsidRDefault="00186403" w:rsidP="00437B0D">
          <w:pPr>
            <w:rPr>
              <w:b/>
              <w:color w:val="000000" w:themeColor="text1"/>
            </w:rPr>
          </w:pPr>
          <w:r>
            <w:rPr>
              <w:b/>
              <w:color w:val="000000" w:themeColor="text1"/>
            </w:rPr>
            <w:tab/>
            <w:t>3.1 Descriptive Epidemiology………………………………………………………………………….25</w:t>
          </w:r>
        </w:p>
        <w:p w14:paraId="28160BAE" w14:textId="4C4EA7A7" w:rsidR="004330A1" w:rsidRPr="000E48AB" w:rsidRDefault="004330A1" w:rsidP="009B7498">
          <w:pPr>
            <w:outlineLvl w:val="0"/>
            <w:rPr>
              <w:b/>
              <w:color w:val="000000" w:themeColor="text1"/>
            </w:rPr>
          </w:pPr>
          <w:r w:rsidRPr="000E48AB">
            <w:rPr>
              <w:b/>
              <w:color w:val="000000" w:themeColor="text1"/>
            </w:rPr>
            <w:tab/>
          </w:r>
          <w:r w:rsidRPr="000E48AB">
            <w:rPr>
              <w:b/>
              <w:color w:val="000000" w:themeColor="text1"/>
            </w:rPr>
            <w:tab/>
            <w:t>3.1.1 Demographics</w:t>
          </w:r>
          <w:r w:rsidR="00B14590">
            <w:rPr>
              <w:b/>
              <w:color w:val="000000" w:themeColor="text1"/>
            </w:rPr>
            <w:t>………………………………………………………………………………25</w:t>
          </w:r>
        </w:p>
        <w:p w14:paraId="70CAC995" w14:textId="4EB859BE" w:rsidR="004330A1" w:rsidRPr="000E48AB" w:rsidRDefault="004330A1" w:rsidP="009B7498">
          <w:pPr>
            <w:outlineLvl w:val="0"/>
            <w:rPr>
              <w:b/>
              <w:color w:val="000000" w:themeColor="text1"/>
            </w:rPr>
          </w:pPr>
          <w:r w:rsidRPr="000E48AB">
            <w:rPr>
              <w:b/>
              <w:color w:val="000000" w:themeColor="text1"/>
            </w:rPr>
            <w:tab/>
          </w:r>
          <w:r w:rsidRPr="000E48AB">
            <w:rPr>
              <w:b/>
              <w:color w:val="000000" w:themeColor="text1"/>
            </w:rPr>
            <w:tab/>
            <w:t>3.1.2 Outbreaks</w:t>
          </w:r>
          <w:r w:rsidR="00B14590">
            <w:rPr>
              <w:b/>
              <w:color w:val="000000" w:themeColor="text1"/>
            </w:rPr>
            <w:t>………</w:t>
          </w:r>
          <w:r w:rsidR="002A06B0">
            <w:rPr>
              <w:b/>
              <w:color w:val="000000" w:themeColor="text1"/>
            </w:rPr>
            <w:t>…………………………………………………………………………….25</w:t>
          </w:r>
        </w:p>
        <w:p w14:paraId="2EA43BE3" w14:textId="6BA7D2D2" w:rsidR="004330A1" w:rsidRPr="000E48AB" w:rsidRDefault="004330A1" w:rsidP="009B7498">
          <w:pPr>
            <w:outlineLvl w:val="0"/>
            <w:rPr>
              <w:b/>
              <w:color w:val="000000" w:themeColor="text1"/>
            </w:rPr>
          </w:pPr>
          <w:r w:rsidRPr="000E48AB">
            <w:rPr>
              <w:b/>
              <w:color w:val="000000" w:themeColor="text1"/>
            </w:rPr>
            <w:tab/>
            <w:t xml:space="preserve">3.2 </w:t>
          </w:r>
          <w:r w:rsidR="008D3E5A">
            <w:rPr>
              <w:b/>
              <w:color w:val="000000" w:themeColor="text1"/>
            </w:rPr>
            <w:t>Classifications of</w:t>
          </w:r>
          <w:r w:rsidR="00616A54">
            <w:rPr>
              <w:b/>
              <w:color w:val="000000" w:themeColor="text1"/>
            </w:rPr>
            <w:t xml:space="preserve"> Infection..</w:t>
          </w:r>
          <w:r w:rsidR="00437B0D">
            <w:rPr>
              <w:b/>
              <w:color w:val="000000" w:themeColor="text1"/>
            </w:rPr>
            <w:t>……………………………………………………………………….27</w:t>
          </w:r>
        </w:p>
        <w:p w14:paraId="6D9A3686" w14:textId="5B421A04" w:rsidR="004330A1" w:rsidRPr="000E48AB" w:rsidRDefault="004330A1" w:rsidP="009B7498">
          <w:pPr>
            <w:outlineLvl w:val="0"/>
            <w:rPr>
              <w:b/>
              <w:color w:val="000000" w:themeColor="text1"/>
            </w:rPr>
          </w:pPr>
          <w:r w:rsidRPr="000E48AB">
            <w:rPr>
              <w:b/>
              <w:color w:val="000000" w:themeColor="text1"/>
            </w:rPr>
            <w:tab/>
          </w:r>
          <w:r w:rsidRPr="000E48AB">
            <w:rPr>
              <w:b/>
              <w:color w:val="000000" w:themeColor="text1"/>
            </w:rPr>
            <w:tab/>
            <w:t xml:space="preserve">3.2.1 </w:t>
          </w:r>
          <w:r w:rsidR="00437B0D">
            <w:rPr>
              <w:b/>
              <w:color w:val="000000" w:themeColor="text1"/>
            </w:rPr>
            <w:t>Primary Infection</w:t>
          </w:r>
          <w:r w:rsidR="00F542A1">
            <w:rPr>
              <w:b/>
              <w:color w:val="000000" w:themeColor="text1"/>
            </w:rPr>
            <w:t>……………………………………………………………...</w:t>
          </w:r>
          <w:r w:rsidR="00437B0D">
            <w:rPr>
              <w:b/>
              <w:color w:val="000000" w:themeColor="text1"/>
            </w:rPr>
            <w:t>..............</w:t>
          </w:r>
          <w:r w:rsidR="00F542A1">
            <w:rPr>
              <w:b/>
              <w:color w:val="000000" w:themeColor="text1"/>
            </w:rPr>
            <w:t>27</w:t>
          </w:r>
        </w:p>
        <w:p w14:paraId="502AA252" w14:textId="4DCD5D1F" w:rsidR="004330A1" w:rsidRPr="000E48AB" w:rsidRDefault="004330A1" w:rsidP="009B7498">
          <w:pPr>
            <w:outlineLvl w:val="0"/>
            <w:rPr>
              <w:b/>
              <w:color w:val="000000" w:themeColor="text1"/>
            </w:rPr>
          </w:pPr>
          <w:r w:rsidRPr="000E48AB">
            <w:rPr>
              <w:b/>
              <w:color w:val="000000" w:themeColor="text1"/>
            </w:rPr>
            <w:tab/>
          </w:r>
          <w:r w:rsidRPr="000E48AB">
            <w:rPr>
              <w:b/>
              <w:color w:val="000000" w:themeColor="text1"/>
            </w:rPr>
            <w:tab/>
            <w:t xml:space="preserve">3.2.2 </w:t>
          </w:r>
          <w:r w:rsidR="00437B0D">
            <w:rPr>
              <w:b/>
              <w:color w:val="000000" w:themeColor="text1"/>
            </w:rPr>
            <w:t>Secondary Infection</w:t>
          </w:r>
          <w:r w:rsidR="00F542A1">
            <w:rPr>
              <w:b/>
              <w:color w:val="000000" w:themeColor="text1"/>
            </w:rPr>
            <w:t>……………………………………………………….…</w:t>
          </w:r>
          <w:r w:rsidR="00437B0D">
            <w:rPr>
              <w:b/>
              <w:color w:val="000000" w:themeColor="text1"/>
            </w:rPr>
            <w:t>…………..</w:t>
          </w:r>
          <w:r w:rsidR="00F542A1">
            <w:rPr>
              <w:b/>
              <w:color w:val="000000" w:themeColor="text1"/>
            </w:rPr>
            <w:t>27</w:t>
          </w:r>
        </w:p>
        <w:p w14:paraId="3E109C33" w14:textId="703BDA80" w:rsidR="00D47B3F" w:rsidRDefault="004330A1" w:rsidP="009B7498">
          <w:pPr>
            <w:outlineLvl w:val="0"/>
            <w:rPr>
              <w:b/>
              <w:color w:val="000000" w:themeColor="text1"/>
            </w:rPr>
          </w:pPr>
          <w:r w:rsidRPr="000E48AB">
            <w:rPr>
              <w:b/>
              <w:color w:val="000000" w:themeColor="text1"/>
            </w:rPr>
            <w:tab/>
            <w:t>3.3 Age</w:t>
          </w:r>
          <w:r w:rsidR="00F542A1">
            <w:rPr>
              <w:b/>
              <w:color w:val="000000" w:themeColor="text1"/>
            </w:rPr>
            <w:t>…………………………………………………………………………………………………………….30</w:t>
          </w:r>
        </w:p>
        <w:p w14:paraId="4C209C09" w14:textId="3BB1C8A2" w:rsidR="003221B1" w:rsidRPr="000E48AB" w:rsidRDefault="004330A1" w:rsidP="009B7498">
          <w:pPr>
            <w:outlineLvl w:val="0"/>
            <w:rPr>
              <w:b/>
              <w:color w:val="000000" w:themeColor="text1"/>
            </w:rPr>
          </w:pPr>
          <w:r w:rsidRPr="000E48AB">
            <w:rPr>
              <w:b/>
              <w:color w:val="000000" w:themeColor="text1"/>
            </w:rPr>
            <w:t xml:space="preserve"> </w:t>
          </w:r>
        </w:p>
        <w:p w14:paraId="1A0ED9B7" w14:textId="4C80EC19" w:rsidR="003221B1" w:rsidRDefault="00F97683" w:rsidP="004330A1">
          <w:pPr>
            <w:rPr>
              <w:b/>
              <w:color w:val="000000" w:themeColor="text1"/>
            </w:rPr>
          </w:pPr>
          <w:r w:rsidRPr="000E48AB">
            <w:rPr>
              <w:b/>
              <w:color w:val="000000" w:themeColor="text1"/>
            </w:rPr>
            <w:t xml:space="preserve">4.0 </w:t>
          </w:r>
          <w:r w:rsidR="00420199">
            <w:rPr>
              <w:b/>
              <w:color w:val="000000" w:themeColor="text1"/>
            </w:rPr>
            <w:tab/>
          </w:r>
          <w:r w:rsidR="00686EBC">
            <w:rPr>
              <w:b/>
              <w:color w:val="000000" w:themeColor="text1"/>
            </w:rPr>
            <w:t>DISCUSSION</w:t>
          </w:r>
          <w:r w:rsidR="00F542A1">
            <w:rPr>
              <w:b/>
              <w:color w:val="000000" w:themeColor="text1"/>
            </w:rPr>
            <w:t>…………………………………………………………………</w:t>
          </w:r>
          <w:r w:rsidR="00D47B3F">
            <w:rPr>
              <w:b/>
              <w:color w:val="000000" w:themeColor="text1"/>
            </w:rPr>
            <w:t>………………………………….33</w:t>
          </w:r>
        </w:p>
        <w:p w14:paraId="062839A5" w14:textId="4FE6633A" w:rsidR="00F542A1" w:rsidRDefault="00F542A1" w:rsidP="004330A1">
          <w:pPr>
            <w:rPr>
              <w:b/>
              <w:color w:val="000000" w:themeColor="text1"/>
            </w:rPr>
          </w:pPr>
          <w:r>
            <w:rPr>
              <w:b/>
              <w:color w:val="000000" w:themeColor="text1"/>
            </w:rPr>
            <w:tab/>
            <w:t>4.1 Summary……………………</w:t>
          </w:r>
          <w:r w:rsidR="00993F17">
            <w:rPr>
              <w:b/>
              <w:color w:val="000000" w:themeColor="text1"/>
            </w:rPr>
            <w:t>……………………………………………………………………………..</w:t>
          </w:r>
          <w:r w:rsidR="00D47B3F">
            <w:rPr>
              <w:b/>
              <w:color w:val="000000" w:themeColor="text1"/>
            </w:rPr>
            <w:t>33</w:t>
          </w:r>
        </w:p>
        <w:p w14:paraId="79AB1808" w14:textId="7EE7DD24" w:rsidR="00F542A1" w:rsidRDefault="00F542A1" w:rsidP="004330A1">
          <w:pPr>
            <w:rPr>
              <w:b/>
              <w:color w:val="000000" w:themeColor="text1"/>
            </w:rPr>
          </w:pPr>
          <w:r>
            <w:rPr>
              <w:b/>
              <w:color w:val="000000" w:themeColor="text1"/>
            </w:rPr>
            <w:tab/>
            <w:t>4.2 Limitations……………………</w:t>
          </w:r>
          <w:r w:rsidR="00D47B3F">
            <w:rPr>
              <w:b/>
              <w:color w:val="000000" w:themeColor="text1"/>
            </w:rPr>
            <w:t>…………………………………………………………………………..37</w:t>
          </w:r>
        </w:p>
        <w:p w14:paraId="2E6AD102" w14:textId="77777777" w:rsidR="00F542A1" w:rsidRPr="000E48AB" w:rsidRDefault="00F542A1" w:rsidP="004330A1">
          <w:pPr>
            <w:rPr>
              <w:b/>
              <w:color w:val="000000" w:themeColor="text1"/>
            </w:rPr>
          </w:pPr>
        </w:p>
        <w:p w14:paraId="444F9DBB" w14:textId="7C97A305" w:rsidR="003221B1" w:rsidRDefault="00F97683" w:rsidP="004330A1">
          <w:pPr>
            <w:rPr>
              <w:b/>
              <w:color w:val="000000" w:themeColor="text1"/>
            </w:rPr>
          </w:pPr>
          <w:r w:rsidRPr="000E48AB">
            <w:rPr>
              <w:b/>
              <w:color w:val="000000" w:themeColor="text1"/>
            </w:rPr>
            <w:t>5.0</w:t>
          </w:r>
          <w:r w:rsidR="00420199">
            <w:rPr>
              <w:b/>
              <w:color w:val="000000" w:themeColor="text1"/>
            </w:rPr>
            <w:tab/>
          </w:r>
          <w:r w:rsidR="00686EBC">
            <w:rPr>
              <w:b/>
              <w:color w:val="000000" w:themeColor="text1"/>
            </w:rPr>
            <w:t>PUBLIC HEALTH SIGNIFICANCE</w:t>
          </w:r>
          <w:r w:rsidR="00D47B3F">
            <w:rPr>
              <w:b/>
              <w:color w:val="000000" w:themeColor="text1"/>
            </w:rPr>
            <w:t>……………………………………………………………………….39</w:t>
          </w:r>
        </w:p>
        <w:p w14:paraId="59ED3D63" w14:textId="77777777" w:rsidR="00F542A1" w:rsidRPr="000E48AB" w:rsidRDefault="00F542A1" w:rsidP="004330A1">
          <w:pPr>
            <w:rPr>
              <w:b/>
              <w:color w:val="000000" w:themeColor="text1"/>
            </w:rPr>
          </w:pPr>
        </w:p>
        <w:p w14:paraId="46C31028" w14:textId="5859B70C" w:rsidR="003221B1" w:rsidRDefault="00F97683" w:rsidP="004330A1">
          <w:pPr>
            <w:rPr>
              <w:b/>
              <w:color w:val="000000" w:themeColor="text1"/>
            </w:rPr>
          </w:pPr>
          <w:r w:rsidRPr="000E48AB">
            <w:rPr>
              <w:b/>
              <w:color w:val="000000" w:themeColor="text1"/>
            </w:rPr>
            <w:t>6.0</w:t>
          </w:r>
          <w:r w:rsidR="00420199">
            <w:rPr>
              <w:b/>
              <w:color w:val="000000" w:themeColor="text1"/>
            </w:rPr>
            <w:tab/>
          </w:r>
          <w:r w:rsidR="00686EBC">
            <w:rPr>
              <w:b/>
              <w:color w:val="000000" w:themeColor="text1"/>
            </w:rPr>
            <w:t>CONCLUSION</w:t>
          </w:r>
          <w:r w:rsidR="00F542A1">
            <w:rPr>
              <w:b/>
              <w:color w:val="000000" w:themeColor="text1"/>
            </w:rPr>
            <w:t>……………………</w:t>
          </w:r>
          <w:r w:rsidR="00D47B3F">
            <w:rPr>
              <w:b/>
              <w:color w:val="000000" w:themeColor="text1"/>
            </w:rPr>
            <w:t>………………………………………………………………………………40</w:t>
          </w:r>
        </w:p>
        <w:p w14:paraId="194BEAC0" w14:textId="77777777" w:rsidR="00F542A1" w:rsidRPr="000E48AB" w:rsidRDefault="00F542A1" w:rsidP="004330A1">
          <w:pPr>
            <w:rPr>
              <w:b/>
              <w:color w:val="000000" w:themeColor="text1"/>
            </w:rPr>
          </w:pPr>
        </w:p>
        <w:p w14:paraId="29011E54" w14:textId="4029FA82" w:rsidR="004330A1" w:rsidRPr="000E48AB" w:rsidRDefault="00686EBC" w:rsidP="004330A1">
          <w:pPr>
            <w:rPr>
              <w:b/>
            </w:rPr>
          </w:pPr>
          <w:r>
            <w:rPr>
              <w:b/>
              <w:color w:val="000000" w:themeColor="text1"/>
            </w:rPr>
            <w:t>BIBLIOGRAPHY</w:t>
          </w:r>
          <w:r w:rsidR="00F542A1">
            <w:rPr>
              <w:b/>
              <w:color w:val="000000" w:themeColor="text1"/>
            </w:rPr>
            <w:t>………………………………………………………………………………………………………….4</w:t>
          </w:r>
          <w:r w:rsidR="00D47B3F">
            <w:rPr>
              <w:b/>
              <w:color w:val="000000" w:themeColor="text1"/>
            </w:rPr>
            <w:t>1</w:t>
          </w:r>
          <w:r w:rsidR="00F97683" w:rsidRPr="000E48AB">
            <w:rPr>
              <w:b/>
            </w:rPr>
            <w:tab/>
          </w:r>
          <w:r w:rsidR="00F97683" w:rsidRPr="000E48AB">
            <w:rPr>
              <w:b/>
            </w:rPr>
            <w:tab/>
          </w:r>
        </w:p>
        <w:p w14:paraId="2AF540ED" w14:textId="77777777" w:rsidR="0096024C" w:rsidRPr="000E48AB" w:rsidRDefault="004330A1" w:rsidP="004330A1">
          <w:pPr>
            <w:rPr>
              <w:b/>
            </w:rPr>
          </w:pPr>
          <w:r w:rsidRPr="000E48AB">
            <w:rPr>
              <w:b/>
            </w:rPr>
            <w:tab/>
          </w:r>
          <w:r w:rsidRPr="000E48AB">
            <w:rPr>
              <w:b/>
            </w:rPr>
            <w:tab/>
          </w:r>
        </w:p>
      </w:sdtContent>
    </w:sdt>
    <w:p w14:paraId="30EDD3A3" w14:textId="77777777" w:rsidR="003221B1" w:rsidRDefault="003221B1" w:rsidP="009B7498">
      <w:pPr>
        <w:spacing w:line="360" w:lineRule="auto"/>
        <w:jc w:val="center"/>
        <w:outlineLvl w:val="0"/>
      </w:pPr>
    </w:p>
    <w:p w14:paraId="6EF89D69" w14:textId="77777777" w:rsidR="003221B1" w:rsidRDefault="003221B1" w:rsidP="009B7498">
      <w:pPr>
        <w:spacing w:line="360" w:lineRule="auto"/>
        <w:jc w:val="center"/>
        <w:outlineLvl w:val="0"/>
      </w:pPr>
    </w:p>
    <w:p w14:paraId="52BBC4D2" w14:textId="77777777" w:rsidR="003221B1" w:rsidRDefault="003221B1" w:rsidP="009B7498">
      <w:pPr>
        <w:spacing w:line="360" w:lineRule="auto"/>
        <w:jc w:val="center"/>
        <w:outlineLvl w:val="0"/>
      </w:pPr>
    </w:p>
    <w:p w14:paraId="6F4110B1" w14:textId="77777777" w:rsidR="008D3E5A" w:rsidRDefault="008D3E5A" w:rsidP="009B7498">
      <w:pPr>
        <w:spacing w:line="360" w:lineRule="auto"/>
        <w:jc w:val="center"/>
        <w:outlineLvl w:val="0"/>
      </w:pPr>
    </w:p>
    <w:p w14:paraId="1B9F7172" w14:textId="77777777" w:rsidR="008D3E5A" w:rsidRDefault="008D3E5A" w:rsidP="009B7498">
      <w:pPr>
        <w:spacing w:line="360" w:lineRule="auto"/>
        <w:jc w:val="center"/>
        <w:outlineLvl w:val="0"/>
      </w:pPr>
    </w:p>
    <w:p w14:paraId="4ECFDCEF" w14:textId="77777777" w:rsidR="008D3E5A" w:rsidRDefault="008D3E5A" w:rsidP="009B7498">
      <w:pPr>
        <w:spacing w:line="360" w:lineRule="auto"/>
        <w:jc w:val="center"/>
        <w:outlineLvl w:val="0"/>
      </w:pPr>
    </w:p>
    <w:p w14:paraId="360C0F13" w14:textId="77777777" w:rsidR="008D3E5A" w:rsidRDefault="008D3E5A" w:rsidP="009B7498">
      <w:pPr>
        <w:spacing w:line="360" w:lineRule="auto"/>
        <w:jc w:val="center"/>
        <w:outlineLvl w:val="0"/>
      </w:pPr>
    </w:p>
    <w:p w14:paraId="2F30BB65" w14:textId="77777777" w:rsidR="00AF4E5E" w:rsidRDefault="00AF4E5E" w:rsidP="00195B5B">
      <w:pPr>
        <w:spacing w:line="360" w:lineRule="auto"/>
        <w:outlineLvl w:val="0"/>
      </w:pPr>
    </w:p>
    <w:p w14:paraId="7B445853" w14:textId="77777777" w:rsidR="00AF4E5E" w:rsidRDefault="00AF4E5E" w:rsidP="009B7498">
      <w:pPr>
        <w:spacing w:line="360" w:lineRule="auto"/>
        <w:jc w:val="center"/>
        <w:outlineLvl w:val="0"/>
      </w:pPr>
    </w:p>
    <w:p w14:paraId="1A2E6964" w14:textId="1D0BB0D1" w:rsidR="00F97683" w:rsidRPr="003221B1" w:rsidRDefault="003221B1" w:rsidP="009B7498">
      <w:pPr>
        <w:spacing w:line="360" w:lineRule="auto"/>
        <w:jc w:val="center"/>
        <w:outlineLvl w:val="0"/>
        <w:rPr>
          <w:b/>
          <w:sz w:val="28"/>
          <w:szCs w:val="28"/>
        </w:rPr>
      </w:pPr>
      <w:r w:rsidRPr="003221B1">
        <w:rPr>
          <w:b/>
          <w:sz w:val="28"/>
          <w:szCs w:val="28"/>
        </w:rPr>
        <w:t>List of Tables</w:t>
      </w:r>
    </w:p>
    <w:p w14:paraId="4466A188" w14:textId="77777777" w:rsidR="006257E1" w:rsidRDefault="006257E1" w:rsidP="006257E1">
      <w:pPr>
        <w:spacing w:line="360" w:lineRule="auto"/>
      </w:pPr>
    </w:p>
    <w:p w14:paraId="304FA8E3" w14:textId="49549914" w:rsidR="006257E1" w:rsidRPr="001F3A86" w:rsidRDefault="001F3A86" w:rsidP="001536FD">
      <w:pPr>
        <w:spacing w:line="480" w:lineRule="auto"/>
      </w:pPr>
      <w:r w:rsidRPr="001F3A86">
        <w:t xml:space="preserve">Table 1. Baseline Characteristics </w:t>
      </w:r>
      <w:r>
        <w:t>of KPPH Dengue Cases, 1994-</w:t>
      </w:r>
      <w:r w:rsidRPr="001F3A86">
        <w:t>2013</w:t>
      </w:r>
      <w:r w:rsidR="00EF5493">
        <w:t>..</w:t>
      </w:r>
      <w:r>
        <w:rPr>
          <w:b/>
        </w:rPr>
        <w:t>………………………………</w:t>
      </w:r>
      <w:r w:rsidR="002A06B0">
        <w:t>26</w:t>
      </w:r>
    </w:p>
    <w:p w14:paraId="10EC893A" w14:textId="1F4B3E83" w:rsidR="001F3A86" w:rsidRDefault="001F3A86" w:rsidP="003221B1">
      <w:pPr>
        <w:spacing w:line="480" w:lineRule="auto"/>
      </w:pPr>
      <w:r>
        <w:t>Table 2</w:t>
      </w:r>
      <w:r w:rsidR="00F542A1">
        <w:t>. Number of Dengue Cases by Year</w:t>
      </w:r>
      <w:r w:rsidR="00A360E4">
        <w:t>.....................................................................................................</w:t>
      </w:r>
      <w:r w:rsidR="00F542A1">
        <w:t>28</w:t>
      </w:r>
    </w:p>
    <w:p w14:paraId="018DD076" w14:textId="5F62A58B" w:rsidR="00F97683" w:rsidRDefault="001F3A86" w:rsidP="003221B1">
      <w:pPr>
        <w:spacing w:line="480" w:lineRule="auto"/>
      </w:pPr>
      <w:r>
        <w:t>Table 3</w:t>
      </w:r>
      <w:r w:rsidR="004B60ED">
        <w:t xml:space="preserve">. </w:t>
      </w:r>
      <w:r w:rsidR="000E48AB">
        <w:t xml:space="preserve">Proportion </w:t>
      </w:r>
      <w:r w:rsidR="001536FD">
        <w:t>o</w:t>
      </w:r>
      <w:r w:rsidR="00EF5493">
        <w:t>f Primary t</w:t>
      </w:r>
      <w:r>
        <w:t>o Secondary Cases</w:t>
      </w:r>
      <w:r w:rsidR="00EF5493">
        <w:t>...</w:t>
      </w:r>
      <w:r>
        <w:t>…………………………………</w:t>
      </w:r>
      <w:r w:rsidR="00F542A1">
        <w:t>..</w:t>
      </w:r>
      <w:r>
        <w:t>……………………</w:t>
      </w:r>
      <w:r w:rsidR="00F542A1">
        <w:t>29</w:t>
      </w:r>
    </w:p>
    <w:p w14:paraId="42EA7A23" w14:textId="0E7B211F" w:rsidR="00F16A7E" w:rsidRDefault="001F3A86" w:rsidP="003221B1">
      <w:pPr>
        <w:spacing w:line="480" w:lineRule="auto"/>
      </w:pPr>
      <w:r>
        <w:t>Table 4</w:t>
      </w:r>
      <w:r w:rsidR="00993F17">
        <w:t>.</w:t>
      </w:r>
      <w:r w:rsidR="00993F17" w:rsidRPr="00993F17">
        <w:t xml:space="preserve"> </w:t>
      </w:r>
      <w:r w:rsidR="00A360E4">
        <w:t>Average Age Over Time.........................................................................................................................</w:t>
      </w:r>
      <w:r w:rsidR="00993F17">
        <w:t>31</w:t>
      </w:r>
    </w:p>
    <w:p w14:paraId="403E48A2" w14:textId="301F459D" w:rsidR="000E48AB" w:rsidRDefault="00F542A1" w:rsidP="00F542A1">
      <w:pPr>
        <w:spacing w:line="480" w:lineRule="auto"/>
      </w:pPr>
      <w:r>
        <w:t>Table 5</w:t>
      </w:r>
      <w:r w:rsidR="000E48AB">
        <w:t xml:space="preserve">. </w:t>
      </w:r>
      <w:r>
        <w:t xml:space="preserve">Average Age Over Time </w:t>
      </w:r>
      <w:r w:rsidR="007D5E1A">
        <w:t>by</w:t>
      </w:r>
      <w:r>
        <w:t xml:space="preserve"> Infection Type…………………………………………………….……</w:t>
      </w:r>
      <w:r w:rsidR="0093575A">
        <w:t>.</w:t>
      </w:r>
      <w:r w:rsidR="00D47B3F">
        <w:t>32</w:t>
      </w:r>
    </w:p>
    <w:p w14:paraId="1DC8ED24" w14:textId="77777777" w:rsidR="000E48AB" w:rsidRDefault="000E48AB" w:rsidP="000E48AB">
      <w:pPr>
        <w:spacing w:line="480" w:lineRule="auto"/>
      </w:pPr>
    </w:p>
    <w:p w14:paraId="537E6AB0" w14:textId="283D751E" w:rsidR="000E48AB" w:rsidRDefault="000E48AB" w:rsidP="004B60ED">
      <w:pPr>
        <w:spacing w:line="360" w:lineRule="auto"/>
      </w:pPr>
    </w:p>
    <w:p w14:paraId="3882FC02" w14:textId="77777777" w:rsidR="00F97683" w:rsidRDefault="00F97683" w:rsidP="00171914">
      <w:pPr>
        <w:spacing w:line="360" w:lineRule="auto"/>
        <w:jc w:val="center"/>
      </w:pPr>
    </w:p>
    <w:p w14:paraId="140ABAF6" w14:textId="77777777" w:rsidR="00F97683" w:rsidRDefault="00F97683" w:rsidP="00171914">
      <w:pPr>
        <w:spacing w:line="360" w:lineRule="auto"/>
        <w:jc w:val="center"/>
      </w:pPr>
    </w:p>
    <w:p w14:paraId="7AB33353" w14:textId="77777777" w:rsidR="00F97683" w:rsidRDefault="00F97683" w:rsidP="00171914">
      <w:pPr>
        <w:spacing w:line="360" w:lineRule="auto"/>
        <w:jc w:val="center"/>
      </w:pPr>
    </w:p>
    <w:p w14:paraId="47C4EDB0" w14:textId="77777777" w:rsidR="00F97683" w:rsidRDefault="00F97683" w:rsidP="00171914">
      <w:pPr>
        <w:spacing w:line="360" w:lineRule="auto"/>
        <w:jc w:val="center"/>
      </w:pPr>
    </w:p>
    <w:p w14:paraId="68DF6090" w14:textId="77777777" w:rsidR="00F97683" w:rsidRDefault="00F97683" w:rsidP="00171914">
      <w:pPr>
        <w:spacing w:line="360" w:lineRule="auto"/>
        <w:jc w:val="center"/>
      </w:pPr>
    </w:p>
    <w:p w14:paraId="5C88562B" w14:textId="77777777" w:rsidR="00F97683" w:rsidRDefault="00F97683" w:rsidP="00171914">
      <w:pPr>
        <w:spacing w:line="360" w:lineRule="auto"/>
        <w:jc w:val="center"/>
      </w:pPr>
    </w:p>
    <w:p w14:paraId="755E9200" w14:textId="77777777" w:rsidR="00F97683" w:rsidRDefault="00F97683" w:rsidP="00171914">
      <w:pPr>
        <w:spacing w:line="360" w:lineRule="auto"/>
        <w:jc w:val="center"/>
      </w:pPr>
    </w:p>
    <w:p w14:paraId="4813F6CC" w14:textId="77777777" w:rsidR="00F97683" w:rsidRDefault="00F97683" w:rsidP="00171914">
      <w:pPr>
        <w:spacing w:line="360" w:lineRule="auto"/>
        <w:jc w:val="center"/>
      </w:pPr>
    </w:p>
    <w:p w14:paraId="40EFC00F" w14:textId="77777777" w:rsidR="00F97683" w:rsidRDefault="00F97683" w:rsidP="00171914">
      <w:pPr>
        <w:spacing w:line="360" w:lineRule="auto"/>
        <w:jc w:val="center"/>
      </w:pPr>
    </w:p>
    <w:p w14:paraId="48A7D205" w14:textId="77777777" w:rsidR="00F97683" w:rsidRDefault="00F97683" w:rsidP="00171914">
      <w:pPr>
        <w:spacing w:line="360" w:lineRule="auto"/>
        <w:jc w:val="center"/>
      </w:pPr>
    </w:p>
    <w:p w14:paraId="6930EA19" w14:textId="77777777" w:rsidR="00F97683" w:rsidRDefault="00F97683" w:rsidP="00171914">
      <w:pPr>
        <w:spacing w:line="360" w:lineRule="auto"/>
        <w:jc w:val="center"/>
      </w:pPr>
    </w:p>
    <w:p w14:paraId="1491AA96" w14:textId="77777777" w:rsidR="00F97683" w:rsidRDefault="00F97683" w:rsidP="00171914">
      <w:pPr>
        <w:spacing w:line="360" w:lineRule="auto"/>
        <w:jc w:val="center"/>
      </w:pPr>
    </w:p>
    <w:p w14:paraId="3517DF52" w14:textId="77777777" w:rsidR="00F97683" w:rsidRDefault="00F97683" w:rsidP="00171914">
      <w:pPr>
        <w:spacing w:line="360" w:lineRule="auto"/>
        <w:jc w:val="center"/>
      </w:pPr>
    </w:p>
    <w:p w14:paraId="6B4F597F" w14:textId="77777777" w:rsidR="00195B5B" w:rsidRDefault="00195B5B" w:rsidP="00171914">
      <w:pPr>
        <w:spacing w:line="360" w:lineRule="auto"/>
        <w:jc w:val="center"/>
      </w:pPr>
    </w:p>
    <w:p w14:paraId="69F894A2" w14:textId="77777777" w:rsidR="00993F17" w:rsidRDefault="00993F17" w:rsidP="00171914">
      <w:pPr>
        <w:spacing w:line="360" w:lineRule="auto"/>
        <w:jc w:val="center"/>
      </w:pPr>
    </w:p>
    <w:p w14:paraId="42D739EC" w14:textId="77777777" w:rsidR="00E979B5" w:rsidRDefault="00E979B5" w:rsidP="006E4868">
      <w:pPr>
        <w:spacing w:line="360" w:lineRule="auto"/>
      </w:pPr>
    </w:p>
    <w:p w14:paraId="4EDB8C03" w14:textId="77777777" w:rsidR="00894A1C" w:rsidRDefault="00894A1C" w:rsidP="00171914">
      <w:pPr>
        <w:spacing w:line="360" w:lineRule="auto"/>
        <w:jc w:val="center"/>
      </w:pPr>
    </w:p>
    <w:p w14:paraId="5A7A44CD" w14:textId="77777777" w:rsidR="00437B0D" w:rsidRDefault="00437B0D" w:rsidP="00171914">
      <w:pPr>
        <w:spacing w:line="360" w:lineRule="auto"/>
        <w:jc w:val="center"/>
      </w:pPr>
    </w:p>
    <w:p w14:paraId="6C13EE21" w14:textId="77777777" w:rsidR="00437B0D" w:rsidRDefault="00437B0D" w:rsidP="00171914">
      <w:pPr>
        <w:spacing w:line="360" w:lineRule="auto"/>
        <w:jc w:val="center"/>
      </w:pPr>
    </w:p>
    <w:p w14:paraId="07FEA9D2" w14:textId="77777777" w:rsidR="00F97683" w:rsidRPr="00AE6EA6" w:rsidRDefault="00F97683" w:rsidP="009B7498">
      <w:pPr>
        <w:spacing w:line="360" w:lineRule="auto"/>
        <w:jc w:val="center"/>
        <w:outlineLvl w:val="0"/>
        <w:rPr>
          <w:b/>
          <w:sz w:val="28"/>
          <w:szCs w:val="28"/>
        </w:rPr>
      </w:pPr>
      <w:r w:rsidRPr="00AE6EA6">
        <w:rPr>
          <w:b/>
          <w:sz w:val="28"/>
          <w:szCs w:val="28"/>
        </w:rPr>
        <w:t>List of Figures</w:t>
      </w:r>
    </w:p>
    <w:p w14:paraId="0411AF70" w14:textId="77777777" w:rsidR="006E4868" w:rsidRDefault="006E4868" w:rsidP="00171914">
      <w:pPr>
        <w:spacing w:line="360" w:lineRule="auto"/>
        <w:jc w:val="center"/>
      </w:pPr>
    </w:p>
    <w:p w14:paraId="507DDE47" w14:textId="48C956F5" w:rsidR="0093575A" w:rsidRDefault="006E4868" w:rsidP="00AE6EA6">
      <w:pPr>
        <w:spacing w:line="480" w:lineRule="auto"/>
      </w:pPr>
      <w:r>
        <w:t>Figure 1</w:t>
      </w:r>
      <w:r w:rsidR="00DF350D">
        <w:t>.</w:t>
      </w:r>
      <w:r>
        <w:rPr>
          <w:b/>
        </w:rPr>
        <w:t xml:space="preserve"> </w:t>
      </w:r>
      <w:r>
        <w:t>Pre</w:t>
      </w:r>
      <w:r w:rsidR="005944DA">
        <w:t>sent Mosquito D</w:t>
      </w:r>
      <w:r w:rsidR="00327778">
        <w:t>istribution</w:t>
      </w:r>
      <w:r w:rsidR="007A0451">
        <w:t>.........................................................................................................</w:t>
      </w:r>
      <w:r w:rsidR="0093575A">
        <w:t>10</w:t>
      </w:r>
    </w:p>
    <w:p w14:paraId="281B1ADA" w14:textId="5C848F83" w:rsidR="006E4868" w:rsidRDefault="006E4868" w:rsidP="00AE6EA6">
      <w:pPr>
        <w:spacing w:line="480" w:lineRule="auto"/>
      </w:pPr>
      <w:r>
        <w:t>Figure 2</w:t>
      </w:r>
      <w:r w:rsidR="007A0451">
        <w:t>. Dengue Transmission Cycle...............................................................................................................</w:t>
      </w:r>
      <w:r w:rsidR="002E6F83">
        <w:t>11</w:t>
      </w:r>
    </w:p>
    <w:p w14:paraId="1ECF6879" w14:textId="7F065343" w:rsidR="006E4868" w:rsidRDefault="006E4868" w:rsidP="00AE6EA6">
      <w:pPr>
        <w:spacing w:line="480" w:lineRule="auto"/>
      </w:pPr>
      <w:r>
        <w:t>Figure 3</w:t>
      </w:r>
      <w:r w:rsidR="005944DA">
        <w:t xml:space="preserve"> 1997 WHO Classification of Dengue Virus Infection</w:t>
      </w:r>
      <w:r w:rsidR="007A0451">
        <w:t>...............................................................</w:t>
      </w:r>
      <w:r w:rsidR="002E6F83">
        <w:t>15</w:t>
      </w:r>
    </w:p>
    <w:p w14:paraId="790D05ED" w14:textId="7D98CFF9" w:rsidR="000E48AB" w:rsidRDefault="00DF350D" w:rsidP="00AE6EA6">
      <w:pPr>
        <w:spacing w:line="480" w:lineRule="auto"/>
        <w:outlineLvl w:val="0"/>
      </w:pPr>
      <w:r>
        <w:t xml:space="preserve">Figure 4 2009 WHO </w:t>
      </w:r>
      <w:r w:rsidR="005944DA">
        <w:t>Dengue Case Classification</w:t>
      </w:r>
      <w:r w:rsidR="00327778">
        <w:t xml:space="preserve"> </w:t>
      </w:r>
      <w:r w:rsidR="007A0451">
        <w:t>.........................................................................................</w:t>
      </w:r>
      <w:r w:rsidR="0093575A">
        <w:t>16</w:t>
      </w:r>
    </w:p>
    <w:p w14:paraId="205F1FF8" w14:textId="5D3EA70A" w:rsidR="00DF350D" w:rsidRDefault="007A0451" w:rsidP="00AE6EA6">
      <w:pPr>
        <w:spacing w:line="480" w:lineRule="auto"/>
      </w:pPr>
      <w:r>
        <w:t>Figure 5. Serotypes by Year..................................................................................................................................</w:t>
      </w:r>
      <w:r w:rsidR="00437B0D">
        <w:t>26</w:t>
      </w:r>
    </w:p>
    <w:p w14:paraId="4FC59C27" w14:textId="2858B52D" w:rsidR="00F97683" w:rsidRDefault="000E48AB" w:rsidP="00AE6EA6">
      <w:pPr>
        <w:spacing w:line="480" w:lineRule="auto"/>
      </w:pPr>
      <w:r>
        <w:t>Figure 6</w:t>
      </w:r>
      <w:r w:rsidR="004B60ED">
        <w:t>. Acute Primary Infections by Year</w:t>
      </w:r>
      <w:r w:rsidR="007A0451">
        <w:t>...................................................................................................</w:t>
      </w:r>
      <w:r w:rsidR="0093575A">
        <w:t>29</w:t>
      </w:r>
    </w:p>
    <w:p w14:paraId="79B6ADBE" w14:textId="43C7C48F" w:rsidR="004B60ED" w:rsidRDefault="000E48AB" w:rsidP="00AE6EA6">
      <w:pPr>
        <w:spacing w:line="480" w:lineRule="auto"/>
      </w:pPr>
      <w:r>
        <w:t>Figure 7</w:t>
      </w:r>
      <w:r w:rsidR="004B60ED">
        <w:t>. Acute Secondary Infections</w:t>
      </w:r>
      <w:r w:rsidR="007A0451">
        <w:t xml:space="preserve"> by Year..............................................................................................</w:t>
      </w:r>
      <w:r w:rsidR="0093575A">
        <w:t>30</w:t>
      </w:r>
    </w:p>
    <w:p w14:paraId="6B046D37" w14:textId="77777777" w:rsidR="00F97683" w:rsidRDefault="00F97683" w:rsidP="00171914">
      <w:pPr>
        <w:spacing w:line="360" w:lineRule="auto"/>
        <w:jc w:val="center"/>
      </w:pPr>
    </w:p>
    <w:p w14:paraId="23DECA26" w14:textId="77777777" w:rsidR="00F97683" w:rsidRDefault="00F97683" w:rsidP="00171914">
      <w:pPr>
        <w:spacing w:line="360" w:lineRule="auto"/>
        <w:jc w:val="center"/>
      </w:pPr>
    </w:p>
    <w:p w14:paraId="34FDCE53" w14:textId="77777777" w:rsidR="00F97683" w:rsidRDefault="00F97683" w:rsidP="00171914">
      <w:pPr>
        <w:spacing w:line="360" w:lineRule="auto"/>
        <w:jc w:val="center"/>
      </w:pPr>
    </w:p>
    <w:p w14:paraId="07E11AAD" w14:textId="77777777" w:rsidR="00F97683" w:rsidRDefault="00F97683" w:rsidP="00171914">
      <w:pPr>
        <w:spacing w:line="360" w:lineRule="auto"/>
        <w:jc w:val="center"/>
      </w:pPr>
    </w:p>
    <w:p w14:paraId="61C90E20" w14:textId="77777777" w:rsidR="00F97683" w:rsidRDefault="00F97683" w:rsidP="00171914">
      <w:pPr>
        <w:spacing w:line="360" w:lineRule="auto"/>
        <w:jc w:val="center"/>
      </w:pPr>
    </w:p>
    <w:p w14:paraId="792FD310" w14:textId="77777777" w:rsidR="00F97683" w:rsidRDefault="00F97683" w:rsidP="00171914">
      <w:pPr>
        <w:spacing w:line="360" w:lineRule="auto"/>
        <w:jc w:val="center"/>
      </w:pPr>
    </w:p>
    <w:p w14:paraId="3AC10D2A" w14:textId="77777777" w:rsidR="00F97683" w:rsidRDefault="00F97683" w:rsidP="00171914">
      <w:pPr>
        <w:spacing w:line="360" w:lineRule="auto"/>
        <w:jc w:val="center"/>
      </w:pPr>
    </w:p>
    <w:p w14:paraId="1B22E3F2" w14:textId="77777777" w:rsidR="00F97683" w:rsidRDefault="00F97683" w:rsidP="00171914">
      <w:pPr>
        <w:spacing w:line="360" w:lineRule="auto"/>
        <w:jc w:val="center"/>
      </w:pPr>
    </w:p>
    <w:p w14:paraId="248F6CAB" w14:textId="77777777" w:rsidR="00F97683" w:rsidRDefault="00F97683" w:rsidP="00171914">
      <w:pPr>
        <w:spacing w:line="360" w:lineRule="auto"/>
        <w:jc w:val="center"/>
      </w:pPr>
    </w:p>
    <w:p w14:paraId="2D48A6FA" w14:textId="77777777" w:rsidR="00F97683" w:rsidRDefault="00F97683" w:rsidP="00171914">
      <w:pPr>
        <w:spacing w:line="360" w:lineRule="auto"/>
        <w:jc w:val="center"/>
      </w:pPr>
    </w:p>
    <w:p w14:paraId="573A89E7" w14:textId="77777777" w:rsidR="00F97683" w:rsidRDefault="00F97683" w:rsidP="00171914">
      <w:pPr>
        <w:spacing w:line="360" w:lineRule="auto"/>
        <w:jc w:val="center"/>
      </w:pPr>
    </w:p>
    <w:p w14:paraId="7BC94EE3" w14:textId="77777777" w:rsidR="00F97683" w:rsidRDefault="00F97683" w:rsidP="00171914">
      <w:pPr>
        <w:spacing w:line="360" w:lineRule="auto"/>
        <w:jc w:val="center"/>
      </w:pPr>
    </w:p>
    <w:p w14:paraId="74E450D9" w14:textId="77777777" w:rsidR="00F97683" w:rsidRDefault="00F97683" w:rsidP="00171914">
      <w:pPr>
        <w:spacing w:line="360" w:lineRule="auto"/>
        <w:jc w:val="center"/>
      </w:pPr>
    </w:p>
    <w:p w14:paraId="75FE94BB" w14:textId="77777777" w:rsidR="00F97683" w:rsidRDefault="00F97683" w:rsidP="00171914">
      <w:pPr>
        <w:spacing w:line="360" w:lineRule="auto"/>
        <w:jc w:val="center"/>
      </w:pPr>
    </w:p>
    <w:p w14:paraId="429CCC89" w14:textId="77777777" w:rsidR="00F97683" w:rsidRDefault="00F97683" w:rsidP="00171914">
      <w:pPr>
        <w:spacing w:line="360" w:lineRule="auto"/>
        <w:jc w:val="center"/>
      </w:pPr>
    </w:p>
    <w:p w14:paraId="145F6E54" w14:textId="77777777" w:rsidR="00F97683" w:rsidRDefault="00F97683" w:rsidP="00171914">
      <w:pPr>
        <w:spacing w:line="360" w:lineRule="auto"/>
        <w:jc w:val="center"/>
      </w:pPr>
    </w:p>
    <w:p w14:paraId="248C7D84" w14:textId="77777777" w:rsidR="00F97683" w:rsidRDefault="00F97683" w:rsidP="00171914">
      <w:pPr>
        <w:spacing w:line="360" w:lineRule="auto"/>
        <w:jc w:val="center"/>
      </w:pPr>
    </w:p>
    <w:p w14:paraId="3CB7ECF9" w14:textId="77777777" w:rsidR="00F97683" w:rsidRDefault="00F97683" w:rsidP="000E48AB">
      <w:pPr>
        <w:spacing w:line="360" w:lineRule="auto"/>
      </w:pPr>
    </w:p>
    <w:p w14:paraId="7F1F2C6F" w14:textId="77777777" w:rsidR="00993F17" w:rsidRDefault="00993F17" w:rsidP="000E48AB">
      <w:pPr>
        <w:spacing w:line="360" w:lineRule="auto"/>
      </w:pPr>
    </w:p>
    <w:p w14:paraId="63E5496C" w14:textId="77777777" w:rsidR="00997F3B" w:rsidRDefault="00997F3B" w:rsidP="00894A1C">
      <w:pPr>
        <w:spacing w:line="360" w:lineRule="auto"/>
        <w:rPr>
          <w:b/>
        </w:rPr>
      </w:pPr>
    </w:p>
    <w:p w14:paraId="606C054F" w14:textId="52BDAACF" w:rsidR="00F97683" w:rsidRDefault="00F97683" w:rsidP="009B7498">
      <w:pPr>
        <w:spacing w:line="360" w:lineRule="auto"/>
        <w:jc w:val="center"/>
        <w:outlineLvl w:val="0"/>
        <w:rPr>
          <w:b/>
        </w:rPr>
      </w:pPr>
      <w:r>
        <w:rPr>
          <w:b/>
        </w:rPr>
        <w:t>A</w:t>
      </w:r>
      <w:r w:rsidR="00CE5BD8">
        <w:rPr>
          <w:b/>
        </w:rPr>
        <w:t>CKNOWLEDGEMENTS</w:t>
      </w:r>
    </w:p>
    <w:p w14:paraId="2B148CB4" w14:textId="77777777" w:rsidR="00F97683" w:rsidRDefault="00F97683" w:rsidP="00171914">
      <w:pPr>
        <w:spacing w:line="360" w:lineRule="auto"/>
        <w:jc w:val="center"/>
      </w:pPr>
    </w:p>
    <w:p w14:paraId="18DBFF2B" w14:textId="0877BE15" w:rsidR="00A84EB2" w:rsidRDefault="00F97683" w:rsidP="00F97683">
      <w:pPr>
        <w:spacing w:line="360" w:lineRule="auto"/>
        <w:sectPr w:rsidR="00A84EB2" w:rsidSect="00B45C2E">
          <w:footerReference w:type="even" r:id="rId8"/>
          <w:footerReference w:type="default" r:id="rId9"/>
          <w:footerReference w:type="first" r:id="rId10"/>
          <w:pgSz w:w="12240" w:h="15840"/>
          <w:pgMar w:top="1440" w:right="1440" w:bottom="1440" w:left="1296" w:header="720" w:footer="720" w:gutter="0"/>
          <w:pgNumType w:fmt="lowerRoman" w:start="1"/>
          <w:cols w:space="720"/>
          <w:titlePg/>
          <w:docGrid w:linePitch="326"/>
        </w:sectPr>
      </w:pPr>
      <w:r>
        <w:t xml:space="preserve">I would like to thank AFRIMS for inviting me to travel to Bangkok, Thailand to be an intern for them last summer. I would like to especially thank Dr. Levy for being my mentor and helping me complete my analysis and give </w:t>
      </w:r>
      <w:r w:rsidR="00E979B5">
        <w:t xml:space="preserve">me grounding in R, as well as Dr. Songer for his guidance as my graduate and essay advisor. I would </w:t>
      </w:r>
      <w:r>
        <w:t>like to thank my committee member Dr. Van Panhuis for contacting AFRIMS to see if they would have me for the summer, otherwise I would be stuck in the US.</w:t>
      </w:r>
      <w:r w:rsidR="009B7498">
        <w:t xml:space="preserve"> As well </w:t>
      </w:r>
      <w:r w:rsidR="00F10585">
        <w:t>as to Dr. Martinson for his support and advice</w:t>
      </w:r>
      <w:r w:rsidR="009B7498">
        <w:t xml:space="preserve">. </w:t>
      </w:r>
      <w:r w:rsidR="00993F17">
        <w:t xml:space="preserve"> Hannah Polglase also deserves my many thanks as being a large part in helping shape my background. </w:t>
      </w:r>
      <w:r>
        <w:t xml:space="preserve"> I would also like to say thank you to the Cutler Family. Their scholarship fund made my trip to Thailand possible.</w:t>
      </w:r>
    </w:p>
    <w:p w14:paraId="57973883" w14:textId="77777777" w:rsidR="00894A1C" w:rsidRDefault="00894A1C" w:rsidP="00F97683">
      <w:pPr>
        <w:spacing w:line="360" w:lineRule="auto"/>
      </w:pPr>
    </w:p>
    <w:p w14:paraId="3DEC82E3" w14:textId="21C27895" w:rsidR="00F97683" w:rsidRDefault="00F97683" w:rsidP="000E48AB">
      <w:pPr>
        <w:spacing w:line="480" w:lineRule="auto"/>
        <w:jc w:val="center"/>
        <w:rPr>
          <w:b/>
        </w:rPr>
      </w:pPr>
      <w:r>
        <w:rPr>
          <w:b/>
        </w:rPr>
        <w:t>1.0 INTRODUCTION</w:t>
      </w:r>
    </w:p>
    <w:p w14:paraId="35660B91" w14:textId="77777777" w:rsidR="00F97683" w:rsidRDefault="00F97683" w:rsidP="00997F3B">
      <w:pPr>
        <w:spacing w:line="480" w:lineRule="auto"/>
        <w:rPr>
          <w:b/>
        </w:rPr>
      </w:pPr>
    </w:p>
    <w:p w14:paraId="26D68FFF" w14:textId="54630BEA" w:rsidR="00F97683" w:rsidRDefault="00F97683" w:rsidP="00997F3B">
      <w:pPr>
        <w:spacing w:line="480" w:lineRule="auto"/>
      </w:pPr>
      <w:r>
        <w:t>The purpose of this essay is to evaluate trend</w:t>
      </w:r>
      <w:r w:rsidR="00686EBC">
        <w:t>s of dengue incidence</w:t>
      </w:r>
      <w:r>
        <w:t xml:space="preserve"> over time in a hospital in </w:t>
      </w:r>
      <w:r w:rsidR="00686EBC">
        <w:t>Kamphaeng</w:t>
      </w:r>
      <w:r w:rsidR="00CD7045">
        <w:t xml:space="preserve"> Phet, Thailand. The goal of this was to</w:t>
      </w:r>
      <w:r w:rsidR="00686EBC">
        <w:t xml:space="preserve"> identify information for this region of Thailand to see if there was </w:t>
      </w:r>
      <w:r w:rsidR="007875D8">
        <w:t>anything unusual</w:t>
      </w:r>
      <w:r w:rsidR="00CD7045">
        <w:t xml:space="preserve">. </w:t>
      </w:r>
      <w:r w:rsidR="00E979B5">
        <w:t>There have been many different studies looking at Bangkok over the years, but there has not been a study looking at a rural area in Thailand for over 10 years.</w:t>
      </w:r>
    </w:p>
    <w:p w14:paraId="30439AF6" w14:textId="77777777" w:rsidR="009775F9" w:rsidRDefault="009775F9" w:rsidP="00997F3B">
      <w:pPr>
        <w:spacing w:line="480" w:lineRule="auto"/>
      </w:pPr>
    </w:p>
    <w:p w14:paraId="2C9CA3AA" w14:textId="6FECCD4B" w:rsidR="009775F9" w:rsidRPr="00133ECC" w:rsidRDefault="009775F9" w:rsidP="00E979B5">
      <w:pPr>
        <w:pStyle w:val="ListParagraph"/>
        <w:numPr>
          <w:ilvl w:val="1"/>
          <w:numId w:val="1"/>
        </w:numPr>
        <w:spacing w:line="480" w:lineRule="auto"/>
        <w:jc w:val="center"/>
        <w:rPr>
          <w:b/>
        </w:rPr>
      </w:pPr>
      <w:r w:rsidRPr="00133ECC">
        <w:rPr>
          <w:b/>
        </w:rPr>
        <w:t>Dengue</w:t>
      </w:r>
    </w:p>
    <w:p w14:paraId="2A1A37DF" w14:textId="6D65FF9B" w:rsidR="00107B7F" w:rsidRDefault="009775F9" w:rsidP="00997F3B">
      <w:pPr>
        <w:spacing w:line="480" w:lineRule="auto"/>
      </w:pPr>
      <w:r>
        <w:t xml:space="preserve">Dengue </w:t>
      </w:r>
      <w:r w:rsidR="0010698E">
        <w:t>virus (DENV) is the causative agent of dengue disease</w:t>
      </w:r>
      <w:r w:rsidR="0010698E" w:rsidRPr="00775333">
        <w:rPr>
          <w:vertAlign w:val="superscript"/>
        </w:rPr>
        <w:t>1</w:t>
      </w:r>
      <w:r w:rsidR="0010698E">
        <w:t xml:space="preserve">. </w:t>
      </w:r>
      <w:r w:rsidR="00997F3B">
        <w:t>Dengue is a global</w:t>
      </w:r>
      <w:r w:rsidR="00686EBC">
        <w:t xml:space="preserve"> tropical</w:t>
      </w:r>
      <w:r w:rsidR="00997F3B">
        <w:t xml:space="preserve"> disease that has the capability to affect half of the world’s population</w:t>
      </w:r>
      <w:r w:rsidR="00686EBC">
        <w:t>, because they live in areas where the vector lives. Due to dengue’s wide</w:t>
      </w:r>
      <w:r w:rsidR="00997F3B">
        <w:t xml:space="preserve"> spread and ever-changing dynamic, it is of global health concern. While dengue disease is not new, today’s ever changing world</w:t>
      </w:r>
      <w:r w:rsidR="00686EBC">
        <w:t xml:space="preserve"> with its increasing globalization and travel gives</w:t>
      </w:r>
      <w:r w:rsidR="00997F3B">
        <w:t xml:space="preserve"> it new opportunities to expand its reach and increase infections, giving it a new resurgence and </w:t>
      </w:r>
      <w:r w:rsidR="00686EBC">
        <w:t xml:space="preserve">new </w:t>
      </w:r>
      <w:r w:rsidR="00997F3B">
        <w:t xml:space="preserve">importance on the global agenda. </w:t>
      </w:r>
      <w:r w:rsidR="008955CC">
        <w:t>One recent case in point is the 2015-2016 outbreak of Dengue on the big island of Hawaii, a location not previously affected by dengue for years.</w:t>
      </w:r>
    </w:p>
    <w:p w14:paraId="6CA1F28C" w14:textId="77777777" w:rsidR="00646270" w:rsidRDefault="00646270" w:rsidP="00997F3B">
      <w:pPr>
        <w:spacing w:line="480" w:lineRule="auto"/>
      </w:pPr>
    </w:p>
    <w:p w14:paraId="3F2724FB" w14:textId="77777777" w:rsidR="00107B7F" w:rsidRPr="003F2547" w:rsidRDefault="00107B7F" w:rsidP="00107B7F">
      <w:pPr>
        <w:spacing w:line="480" w:lineRule="auto"/>
        <w:outlineLvl w:val="0"/>
        <w:rPr>
          <w:b/>
        </w:rPr>
      </w:pPr>
      <w:r>
        <w:rPr>
          <w:b/>
        </w:rPr>
        <w:t>Virus</w:t>
      </w:r>
    </w:p>
    <w:p w14:paraId="5BC279A3" w14:textId="4A57C6AF" w:rsidR="00107B7F" w:rsidRDefault="00107B7F" w:rsidP="00107B7F">
      <w:pPr>
        <w:spacing w:line="480" w:lineRule="auto"/>
        <w:ind w:firstLine="720"/>
      </w:pPr>
      <w:r>
        <w:t>Dengue, Yellow Fever, West Nile, a</w:t>
      </w:r>
      <w:r w:rsidR="008955CC">
        <w:t xml:space="preserve">nd Japanese Encephalitis (JEV) </w:t>
      </w:r>
      <w:r>
        <w:t xml:space="preserve">all belong to the family of viruses known as </w:t>
      </w:r>
      <w:r>
        <w:rPr>
          <w:i/>
        </w:rPr>
        <w:t xml:space="preserve">Flaviviradae, </w:t>
      </w:r>
      <w:r>
        <w:t xml:space="preserve">genus </w:t>
      </w:r>
      <w:r>
        <w:rPr>
          <w:i/>
        </w:rPr>
        <w:t>Flavivirus</w:t>
      </w:r>
      <w:r>
        <w:rPr>
          <w:i/>
          <w:vertAlign w:val="superscript"/>
        </w:rPr>
        <w:t>1</w:t>
      </w:r>
      <w:r>
        <w:rPr>
          <w:i/>
        </w:rPr>
        <w:t xml:space="preserve">. </w:t>
      </w:r>
      <w:r>
        <w:t xml:space="preserve">DENV a positive single-strand </w:t>
      </w:r>
      <w:r>
        <w:lastRenderedPageBreak/>
        <w:t>RNA virus</w:t>
      </w:r>
      <w:r>
        <w:rPr>
          <w:vertAlign w:val="superscript"/>
        </w:rPr>
        <w:t>12</w:t>
      </w:r>
      <w:r>
        <w:t>. Its genome is approximately 11 kb in length</w:t>
      </w:r>
      <w:r>
        <w:rPr>
          <w:vertAlign w:val="superscript"/>
        </w:rPr>
        <w:t>12</w:t>
      </w:r>
      <w:r>
        <w:t>. The reading frame has three structural proteins and seven non-structural proteins</w:t>
      </w:r>
      <w:r>
        <w:rPr>
          <w:vertAlign w:val="superscript"/>
        </w:rPr>
        <w:t>12</w:t>
      </w:r>
      <w:r>
        <w:t xml:space="preserve">. </w:t>
      </w:r>
    </w:p>
    <w:p w14:paraId="4EC154DB" w14:textId="01FE44C9" w:rsidR="00107B7F" w:rsidRDefault="00107B7F" w:rsidP="00107B7F">
      <w:pPr>
        <w:spacing w:line="480" w:lineRule="auto"/>
        <w:ind w:firstLine="720"/>
      </w:pPr>
      <w:r>
        <w:t>DENV has four antigentically distinct serotypes (DENV-</w:t>
      </w:r>
      <w:r w:rsidR="008955CC">
        <w:t>1, -</w:t>
      </w:r>
      <w:r>
        <w:t>2,-3,-4)</w:t>
      </w:r>
      <w:r>
        <w:rPr>
          <w:vertAlign w:val="superscript"/>
        </w:rPr>
        <w:t>1</w:t>
      </w:r>
      <w:r>
        <w:t>. The four serotypes share major antigens within the disease, as well as between 62-67% of their genomes</w:t>
      </w:r>
      <w:r>
        <w:rPr>
          <w:vertAlign w:val="superscript"/>
        </w:rPr>
        <w:t>7</w:t>
      </w:r>
      <w:r>
        <w:t>.  This is approximately the same degree of relatedness that different West Nile virus shares with Japanese encephalitis</w:t>
      </w:r>
      <w:r>
        <w:rPr>
          <w:vertAlign w:val="superscript"/>
        </w:rPr>
        <w:t>12</w:t>
      </w:r>
      <w:r>
        <w:t>. Due to the four different serotypes causing almost identical symptoms and circulating in the same ecological niche, they are considered the same disease</w:t>
      </w:r>
      <w:r>
        <w:rPr>
          <w:vertAlign w:val="superscript"/>
        </w:rPr>
        <w:t>12</w:t>
      </w:r>
      <w:r>
        <w:t>.</w:t>
      </w:r>
    </w:p>
    <w:p w14:paraId="69E12BF3" w14:textId="494CE748" w:rsidR="00107B7F" w:rsidRDefault="00107B7F" w:rsidP="00107B7F">
      <w:pPr>
        <w:spacing w:line="480" w:lineRule="auto"/>
      </w:pPr>
      <w:r>
        <w:tab/>
        <w:t>There is ample evidence that suggest</w:t>
      </w:r>
      <w:r w:rsidR="00204D08">
        <w:t>s</w:t>
      </w:r>
      <w:r>
        <w:t xml:space="preserve"> that dengue was originally found in monkeys. It was thought to be a part of the sylvatic transmission between non-human primates and mosquitoes</w:t>
      </w:r>
      <w:r>
        <w:rPr>
          <w:vertAlign w:val="superscript"/>
        </w:rPr>
        <w:t>12</w:t>
      </w:r>
      <w:r>
        <w:t xml:space="preserve">. Forest-dwelling </w:t>
      </w:r>
      <w:r>
        <w:rPr>
          <w:i/>
        </w:rPr>
        <w:t xml:space="preserve">Aedes </w:t>
      </w:r>
      <w:r>
        <w:t>mosquitos have been identified as vectors in the jungles of both Africa (DENV2) and Southeast Asia (DENV1-4), involving mainly non-human primates</w:t>
      </w:r>
      <w:r>
        <w:rPr>
          <w:vertAlign w:val="superscript"/>
        </w:rPr>
        <w:t>7</w:t>
      </w:r>
      <w:r>
        <w:t xml:space="preserve">. The vectors there are phylogenetically distinct from the urban </w:t>
      </w:r>
      <w:r>
        <w:rPr>
          <w:i/>
        </w:rPr>
        <w:t>Aedes</w:t>
      </w:r>
      <w:r>
        <w:t xml:space="preserve"> mosquitos, although these sylvatic strains of DENV may rarely cause disease in humans</w:t>
      </w:r>
      <w:r>
        <w:rPr>
          <w:vertAlign w:val="superscript"/>
        </w:rPr>
        <w:t>7</w:t>
      </w:r>
      <w:r>
        <w:t>.</w:t>
      </w:r>
    </w:p>
    <w:p w14:paraId="7E5FF3AC" w14:textId="6CD84EB1" w:rsidR="00107B7F" w:rsidRDefault="00107B7F" w:rsidP="00107B7F">
      <w:pPr>
        <w:spacing w:line="480" w:lineRule="auto"/>
      </w:pPr>
      <w:r>
        <w:tab/>
        <w:t>DENV is thought to h</w:t>
      </w:r>
      <w:r w:rsidR="00204D08">
        <w:t>ave made the jump to humans in the vicinity of the</w:t>
      </w:r>
      <w:r>
        <w:t xml:space="preserve"> Southeast Asian jungles. Research done in the 1950s, demonstrated high levels of anti-DENV antibodies in both rural humans and non-human primates, even with the disease absent. The antibodies were found to be present in 50% of rural children in Malaysia, compared to only 3-9% in children in urban cities in the region like Singapore or Kuala Lumpur. This is worth noting because at that time, </w:t>
      </w:r>
      <w:r w:rsidRPr="008C706F">
        <w:rPr>
          <w:i/>
        </w:rPr>
        <w:t>A.aegytpi</w:t>
      </w:r>
      <w:r>
        <w:t xml:space="preserve"> was only found in urban, costal cities, and </w:t>
      </w:r>
      <w:r w:rsidRPr="008C706F">
        <w:rPr>
          <w:i/>
        </w:rPr>
        <w:t>A.albopictus</w:t>
      </w:r>
      <w:r>
        <w:t xml:space="preserve"> was found </w:t>
      </w:r>
      <w:r w:rsidR="00204D08">
        <w:t xml:space="preserve">in </w:t>
      </w:r>
      <w:r>
        <w:t>coastal and inland rural areas.</w:t>
      </w:r>
    </w:p>
    <w:p w14:paraId="42140AFD" w14:textId="14067A57" w:rsidR="00107B7F" w:rsidRDefault="00107B7F" w:rsidP="00107B7F">
      <w:pPr>
        <w:spacing w:line="480" w:lineRule="auto"/>
      </w:pPr>
      <w:r>
        <w:tab/>
        <w:t>Using molecular techniques, the progenitor of today’s current DENV serogroups</w:t>
      </w:r>
      <w:r w:rsidR="008955CC">
        <w:t xml:space="preserve"> are thought to have</w:t>
      </w:r>
      <w:r>
        <w:t xml:space="preserve"> evolved about 1000 years ago</w:t>
      </w:r>
      <w:r>
        <w:rPr>
          <w:vertAlign w:val="superscript"/>
        </w:rPr>
        <w:t>7</w:t>
      </w:r>
      <w:r>
        <w:t xml:space="preserve">. Analysis of </w:t>
      </w:r>
      <w:r w:rsidR="00204D08">
        <w:t>phylogenetics</w:t>
      </w:r>
      <w:r>
        <w:t xml:space="preserve"> of both sylvatic </w:t>
      </w:r>
      <w:r>
        <w:lastRenderedPageBreak/>
        <w:t>and human strains suggest that each serotype jumped from non-human primates to humans separately from different sylvatic ancestors. Emergence of DENV serotypes in humans is thought to have happened relatively recently, about 125-320 years ago depending on the serotype</w:t>
      </w:r>
      <w:r>
        <w:rPr>
          <w:vertAlign w:val="superscript"/>
        </w:rPr>
        <w:t>7</w:t>
      </w:r>
      <w:r>
        <w:t xml:space="preserve">. Most phylogenies </w:t>
      </w:r>
      <w:r w:rsidR="00204D08">
        <w:t>have DENV4 as the most divergent genome from the other serotypes</w:t>
      </w:r>
      <w:r>
        <w:rPr>
          <w:vertAlign w:val="superscript"/>
        </w:rPr>
        <w:t xml:space="preserve"> </w:t>
      </w:r>
      <w:r w:rsidR="00204D08">
        <w:t>and have</w:t>
      </w:r>
      <w:r>
        <w:t xml:space="preserve"> DENV</w:t>
      </w:r>
      <w:r w:rsidR="00204D08">
        <w:t>2 as the second most different serotype</w:t>
      </w:r>
      <w:r>
        <w:rPr>
          <w:vertAlign w:val="superscript"/>
        </w:rPr>
        <w:t>7</w:t>
      </w:r>
      <w:r>
        <w:t>. DENV1 and DENV3 have been found to be the two serotypes most closely related</w:t>
      </w:r>
      <w:r>
        <w:rPr>
          <w:vertAlign w:val="superscript"/>
        </w:rPr>
        <w:t>7</w:t>
      </w:r>
      <w:r>
        <w:t>.</w:t>
      </w:r>
    </w:p>
    <w:p w14:paraId="15F66F58" w14:textId="5059BF5D" w:rsidR="00107B7F" w:rsidRDefault="00107B7F" w:rsidP="00107B7F">
      <w:pPr>
        <w:spacing w:line="480" w:lineRule="auto"/>
      </w:pPr>
      <w:r>
        <w:tab/>
        <w:t>Although the four serotypes</w:t>
      </w:r>
      <w:r w:rsidR="008955CC">
        <w:t xml:space="preserve"> of dengue</w:t>
      </w:r>
      <w:r>
        <w:t xml:space="preserve"> are classified as one disease, there are large differences in virulence and severity. DENV4 is usually seen as the most clinically mild serotype, with the smallest percentage of cases having severe disease</w:t>
      </w:r>
      <w:r>
        <w:rPr>
          <w:vertAlign w:val="superscript"/>
        </w:rPr>
        <w:t>7</w:t>
      </w:r>
      <w:r>
        <w:t>. DENV2 and DENV4 are seen as having increased severity of disease if they are secondary infections</w:t>
      </w:r>
      <w:r>
        <w:rPr>
          <w:vertAlign w:val="superscript"/>
        </w:rPr>
        <w:t>7</w:t>
      </w:r>
      <w:r>
        <w:t>. DENV1 and DENV3 are thought of to cause more severity in primary infections then DENV2 or DENV4</w:t>
      </w:r>
      <w:r>
        <w:rPr>
          <w:vertAlign w:val="superscript"/>
        </w:rPr>
        <w:t>7</w:t>
      </w:r>
      <w:r>
        <w:t>. In general, DENV2 is thought of as the serotype most associated with DHF, followed by DENV1 and DENV3</w:t>
      </w:r>
      <w:r>
        <w:rPr>
          <w:vertAlign w:val="superscript"/>
        </w:rPr>
        <w:t>7</w:t>
      </w:r>
      <w:r>
        <w:t>.</w:t>
      </w:r>
    </w:p>
    <w:p w14:paraId="1EF76F4D" w14:textId="77777777" w:rsidR="00DF350D" w:rsidRDefault="00DF350D" w:rsidP="00997F3B">
      <w:pPr>
        <w:spacing w:line="480" w:lineRule="auto"/>
      </w:pPr>
    </w:p>
    <w:p w14:paraId="70E5E02F" w14:textId="63F5AA86" w:rsidR="00997F3B" w:rsidRDefault="00997F3B" w:rsidP="009B7498">
      <w:pPr>
        <w:spacing w:line="480" w:lineRule="auto"/>
        <w:outlineLvl w:val="0"/>
        <w:rPr>
          <w:b/>
        </w:rPr>
      </w:pPr>
      <w:r>
        <w:rPr>
          <w:b/>
        </w:rPr>
        <w:t>Epidemiology</w:t>
      </w:r>
    </w:p>
    <w:p w14:paraId="1FC9321E" w14:textId="32B21C63" w:rsidR="00A914CE" w:rsidRDefault="00ED20A2" w:rsidP="00C31843">
      <w:pPr>
        <w:spacing w:line="480" w:lineRule="auto"/>
        <w:ind w:firstLine="720"/>
      </w:pPr>
      <w:r>
        <w:t>D</w:t>
      </w:r>
      <w:r w:rsidR="00C90418">
        <w:t>eng</w:t>
      </w:r>
      <w:r>
        <w:t>ue is one of the most common vector-borne disease</w:t>
      </w:r>
      <w:r w:rsidR="00DB7D37">
        <w:t xml:space="preserve">s found in humans.  It is </w:t>
      </w:r>
      <w:r w:rsidR="004C38D9">
        <w:t xml:space="preserve">thought </w:t>
      </w:r>
      <w:r w:rsidR="00C36C50">
        <w:t xml:space="preserve">of as the most important international </w:t>
      </w:r>
      <w:r w:rsidR="001B7050">
        <w:t>arb</w:t>
      </w:r>
      <w:r w:rsidR="00813690">
        <w:t>oviral disease</w:t>
      </w:r>
      <w:r w:rsidR="00C36C50">
        <w:t>.</w:t>
      </w:r>
      <w:r w:rsidR="00813690">
        <w:t xml:space="preserve"> Although it is seen</w:t>
      </w:r>
      <w:r w:rsidR="00107B7F">
        <w:t xml:space="preserve"> as a global disease</w:t>
      </w:r>
      <w:r w:rsidR="00813690">
        <w:t>, numerically, there a</w:t>
      </w:r>
      <w:r w:rsidR="00107B7F">
        <w:t>re disagreements about the frequency of dengue in different populations</w:t>
      </w:r>
      <w:r w:rsidR="00813690">
        <w:t xml:space="preserve">. </w:t>
      </w:r>
      <w:r w:rsidR="00C36C50">
        <w:t xml:space="preserve"> </w:t>
      </w:r>
      <w:r w:rsidR="00C90418">
        <w:t>According to the World Health Org</w:t>
      </w:r>
      <w:r w:rsidR="00107B7F">
        <w:t>anization (</w:t>
      </w:r>
      <w:r w:rsidR="00813690">
        <w:t>WHO</w:t>
      </w:r>
      <w:r w:rsidR="00107B7F">
        <w:t xml:space="preserve">, 2012), an </w:t>
      </w:r>
      <w:r w:rsidR="00C90418">
        <w:t>estimated</w:t>
      </w:r>
      <w:r w:rsidR="008955CC">
        <w:t xml:space="preserve"> 390</w:t>
      </w:r>
      <w:r w:rsidR="00C90418">
        <w:t xml:space="preserve"> million people in 128 countries are at risk of dengue viral infection</w:t>
      </w:r>
      <w:r w:rsidR="00C90418">
        <w:rPr>
          <w:vertAlign w:val="superscript"/>
        </w:rPr>
        <w:t>2</w:t>
      </w:r>
      <w:r w:rsidR="00C90418">
        <w:t xml:space="preserve">.  Another </w:t>
      </w:r>
      <w:r w:rsidR="00813690">
        <w:t xml:space="preserve">study </w:t>
      </w:r>
      <w:r w:rsidR="00C90418">
        <w:t>states that 390 million infections happen each year, with a 95% confidence interval of 284-528 million</w:t>
      </w:r>
      <w:r w:rsidR="00C90418">
        <w:rPr>
          <w:vertAlign w:val="superscript"/>
        </w:rPr>
        <w:t>2</w:t>
      </w:r>
      <w:r w:rsidR="00C90418">
        <w:t>. Of those 390 million infections, 96</w:t>
      </w:r>
      <w:r w:rsidR="00813690">
        <w:t xml:space="preserve"> million</w:t>
      </w:r>
      <w:r w:rsidR="00C90418">
        <w:t xml:space="preserve"> will have some clinical </w:t>
      </w:r>
      <w:r w:rsidR="00A914CE">
        <w:t>symptom</w:t>
      </w:r>
      <w:r w:rsidR="00C90418">
        <w:t xml:space="preserve"> of the disease, with a confidence interval of 67-136 million</w:t>
      </w:r>
      <w:r w:rsidR="00C90418">
        <w:rPr>
          <w:vertAlign w:val="superscript"/>
        </w:rPr>
        <w:t>2</w:t>
      </w:r>
      <w:r w:rsidR="00C90418">
        <w:t>.</w:t>
      </w:r>
      <w:r w:rsidR="00813690">
        <w:t xml:space="preserve"> </w:t>
      </w:r>
    </w:p>
    <w:p w14:paraId="26B0A24D" w14:textId="29C33A64" w:rsidR="00813690" w:rsidRDefault="00813690" w:rsidP="00C31843">
      <w:pPr>
        <w:spacing w:line="480" w:lineRule="auto"/>
        <w:ind w:firstLine="720"/>
      </w:pPr>
      <w:r>
        <w:lastRenderedPageBreak/>
        <w:t>Even with dengue being found in all WHO regions, only member states in 3 regions-the Americas, South-East Asia, and Western Pacific- annually report their case numbers. In 2008, the regions had over 1.2 million cases</w:t>
      </w:r>
      <w:r w:rsidR="00133ECC">
        <w:t xml:space="preserve"> total</w:t>
      </w:r>
      <w:r>
        <w:t>, almost 2.4 million in 2010, and over 3 million in 2013. 2.35 million cases of dengue were reported in the Americas alone in 2013.</w:t>
      </w:r>
      <w:r w:rsidR="00133ECC">
        <w:t xml:space="preserve"> </w:t>
      </w:r>
      <w:r w:rsidR="00C31843">
        <w:t xml:space="preserve">Three million is 3.125% of the 96 million with clinical symptoms and </w:t>
      </w:r>
      <w:r w:rsidR="008955CC">
        <w:t>0</w:t>
      </w:r>
      <w:r w:rsidR="00C31843">
        <w:t>.769% of the of the expected 390 million infections each year. These numbers are gross underes</w:t>
      </w:r>
      <w:r w:rsidR="00107B7F">
        <w:t>timates of the bur</w:t>
      </w:r>
      <w:r w:rsidR="008955CC">
        <w:t>den of dengue, mostly due to incomplete reporting systems of several</w:t>
      </w:r>
      <w:r w:rsidR="00107B7F">
        <w:t xml:space="preserve"> countries</w:t>
      </w:r>
      <w:r w:rsidR="008955CC">
        <w:t>.</w:t>
      </w:r>
      <w:r w:rsidR="00107B7F">
        <w:t xml:space="preserve"> </w:t>
      </w:r>
      <w:r w:rsidR="008955CC">
        <w:t>The</w:t>
      </w:r>
      <w:r w:rsidR="00107B7F">
        <w:t xml:space="preserve"> lack of reporting, and lack of seeking medical care keep country reporting numbers low. </w:t>
      </w:r>
    </w:p>
    <w:p w14:paraId="2E1CF9AD" w14:textId="77777777" w:rsidR="00107B7F" w:rsidRDefault="00C31843" w:rsidP="00107B7F">
      <w:pPr>
        <w:spacing w:line="480" w:lineRule="auto"/>
        <w:ind w:firstLine="720"/>
      </w:pPr>
      <w:r>
        <w:t>Dengue is an infectious disease, and like many infectious diseases,</w:t>
      </w:r>
      <w:r w:rsidR="00107B7F">
        <w:t xml:space="preserve"> the</w:t>
      </w:r>
      <w:r>
        <w:t xml:space="preserve"> </w:t>
      </w:r>
      <w:r w:rsidR="00107B7F">
        <w:t>true</w:t>
      </w:r>
      <w:r>
        <w:t xml:space="preserve"> disease</w:t>
      </w:r>
      <w:r w:rsidR="00767C78">
        <w:t xml:space="preserve"> burden on populations</w:t>
      </w:r>
      <w:r w:rsidR="00107B7F">
        <w:t xml:space="preserve"> from dengue </w:t>
      </w:r>
      <w:r>
        <w:t>are hard to find and quantify. Dengue i</w:t>
      </w:r>
      <w:r w:rsidR="00107B7F">
        <w:t xml:space="preserve">s often misdiagnosed, as its initial </w:t>
      </w:r>
      <w:r w:rsidR="001C406A">
        <w:t xml:space="preserve">clinical </w:t>
      </w:r>
      <w:r w:rsidR="00107B7F">
        <w:t xml:space="preserve">symptoms are difficult to distinguish </w:t>
      </w:r>
      <w:r w:rsidR="001C406A">
        <w:t>from other</w:t>
      </w:r>
      <w:r w:rsidR="00767C78">
        <w:t xml:space="preserve"> </w:t>
      </w:r>
      <w:r w:rsidR="001C406A">
        <w:t>viral febrile diseases</w:t>
      </w:r>
      <w:r w:rsidR="00292343">
        <w:rPr>
          <w:vertAlign w:val="superscript"/>
        </w:rPr>
        <w:t>3</w:t>
      </w:r>
      <w:r w:rsidR="001C406A">
        <w:t xml:space="preserve">. </w:t>
      </w:r>
      <w:r w:rsidR="00107B7F">
        <w:t>Reports put 50-90% of dengue cases are subclinical or asymptomatic</w:t>
      </w:r>
      <w:r w:rsidR="00107B7F">
        <w:rPr>
          <w:vertAlign w:val="superscript"/>
        </w:rPr>
        <w:t>5,7</w:t>
      </w:r>
      <w:r w:rsidR="00107B7F">
        <w:t>. People infected either show no symptoms or their symptoms are so mild or non-differentiable from other febrile illnesses that people do not think to seek out medical care</w:t>
      </w:r>
      <w:r w:rsidR="00107B7F">
        <w:rPr>
          <w:vertAlign w:val="superscript"/>
        </w:rPr>
        <w:t>4,5</w:t>
      </w:r>
      <w:r w:rsidR="00107B7F">
        <w:t>.</w:t>
      </w:r>
    </w:p>
    <w:p w14:paraId="33D41CE0" w14:textId="792A430F" w:rsidR="00C31843" w:rsidRDefault="001C406A" w:rsidP="00C31843">
      <w:pPr>
        <w:spacing w:line="480" w:lineRule="auto"/>
        <w:ind w:firstLine="720"/>
      </w:pPr>
      <w:r>
        <w:t>Reporting</w:t>
      </w:r>
      <w:r w:rsidR="008955CC">
        <w:t xml:space="preserve"> of dengue</w:t>
      </w:r>
      <w:r>
        <w:t xml:space="preserve"> is also hindered by the </w:t>
      </w:r>
      <w:r w:rsidR="00767C78">
        <w:t>differences in national health systems</w:t>
      </w:r>
      <w:r w:rsidR="00292343">
        <w:rPr>
          <w:vertAlign w:val="superscript"/>
        </w:rPr>
        <w:t>3</w:t>
      </w:r>
      <w:r w:rsidR="00767C78">
        <w:t>. Outbreaks that happen in remote area</w:t>
      </w:r>
      <w:r w:rsidR="008955CC">
        <w:t>s are less likely to</w:t>
      </w:r>
      <w:r w:rsidR="00767C78">
        <w:t xml:space="preserve"> be counted</w:t>
      </w:r>
      <w:r w:rsidR="007D346F">
        <w:t>, because of the lack of health care in rural areas</w:t>
      </w:r>
      <w:r w:rsidR="00292343">
        <w:rPr>
          <w:vertAlign w:val="superscript"/>
        </w:rPr>
        <w:t>3</w:t>
      </w:r>
      <w:r w:rsidR="007D346F">
        <w:t>. Wh</w:t>
      </w:r>
      <w:r w:rsidR="008955CC">
        <w:t>en health facilities exist, the</w:t>
      </w:r>
      <w:r w:rsidR="00767C78">
        <w:t xml:space="preserve"> facilities</w:t>
      </w:r>
      <w:r w:rsidR="005C4326">
        <w:t xml:space="preserve"> might have poor case management</w:t>
      </w:r>
      <w:r w:rsidR="00767C78">
        <w:t xml:space="preserve"> or</w:t>
      </w:r>
      <w:r w:rsidR="005C4326">
        <w:t xml:space="preserve"> </w:t>
      </w:r>
      <w:r w:rsidR="007D346F">
        <w:t>no laboratories</w:t>
      </w:r>
      <w:r w:rsidR="00767C78">
        <w:t xml:space="preserve"> to correctly diagnose </w:t>
      </w:r>
      <w:r w:rsidR="005C4326">
        <w:t xml:space="preserve">or confirm </w:t>
      </w:r>
      <w:r w:rsidR="00767C78">
        <w:t>dengue infection</w:t>
      </w:r>
      <w:r w:rsidR="00914292">
        <w:rPr>
          <w:vertAlign w:val="superscript"/>
        </w:rPr>
        <w:t>4</w:t>
      </w:r>
      <w:r w:rsidR="00914292">
        <w:t>.</w:t>
      </w:r>
      <w:r w:rsidR="00716300">
        <w:t xml:space="preserve"> </w:t>
      </w:r>
    </w:p>
    <w:p w14:paraId="3DD24AF5" w14:textId="77777777" w:rsidR="007D346F" w:rsidRDefault="007D346F" w:rsidP="00C31843">
      <w:pPr>
        <w:spacing w:line="480" w:lineRule="auto"/>
        <w:ind w:firstLine="720"/>
      </w:pPr>
      <w:r>
        <w:t xml:space="preserve">Historically, dengue has been known to authors for centuries. </w:t>
      </w:r>
      <w:r w:rsidR="00863902">
        <w:t>The first mention of dengue was found in a Chinese medical encyclopedia from 992 A.D., originally published by the Chin Dynasty (265-420 AD) centuries earlier then being formally edited</w:t>
      </w:r>
      <w:r w:rsidR="00914292">
        <w:t xml:space="preserve"> later on</w:t>
      </w:r>
      <w:r w:rsidR="00914292">
        <w:rPr>
          <w:vertAlign w:val="superscript"/>
        </w:rPr>
        <w:t>6</w:t>
      </w:r>
      <w:r w:rsidR="00A33FEB">
        <w:rPr>
          <w:vertAlign w:val="superscript"/>
        </w:rPr>
        <w:t>,7</w:t>
      </w:r>
      <w:r w:rsidR="00863902">
        <w:t xml:space="preserve">. In this encyclopedia, the dengue-like symptoms were referred to as ‘water poison’ whose </w:t>
      </w:r>
      <w:r w:rsidR="00863902">
        <w:lastRenderedPageBreak/>
        <w:t>spread was associated with flying insects</w:t>
      </w:r>
      <w:r w:rsidR="00914292">
        <w:rPr>
          <w:vertAlign w:val="superscript"/>
        </w:rPr>
        <w:t>6</w:t>
      </w:r>
      <w:r w:rsidR="00863902">
        <w:t xml:space="preserve">. </w:t>
      </w:r>
      <w:r w:rsidR="0092040B">
        <w:t>In 1635, the West Indies had an epidemic that simulated dengue in the disease course and spread. Central America also had a similar epidemic in 1699</w:t>
      </w:r>
      <w:r w:rsidR="00914292">
        <w:rPr>
          <w:vertAlign w:val="superscript"/>
        </w:rPr>
        <w:t>6</w:t>
      </w:r>
      <w:r w:rsidR="0092040B">
        <w:t xml:space="preserve">. </w:t>
      </w:r>
      <w:r w:rsidR="00806F4F">
        <w:t>From 1780 in Philadelphia until 1945 in New Orleans, dengue epidemics were typical in the United States</w:t>
      </w:r>
      <w:r w:rsidR="00A33FEB">
        <w:rPr>
          <w:vertAlign w:val="superscript"/>
        </w:rPr>
        <w:t>6</w:t>
      </w:r>
      <w:r w:rsidR="00A33FEB">
        <w:t>.</w:t>
      </w:r>
    </w:p>
    <w:p w14:paraId="29A377E5" w14:textId="2ED7C83F" w:rsidR="00FC6577" w:rsidRDefault="008955CC" w:rsidP="00C31843">
      <w:pPr>
        <w:spacing w:line="480" w:lineRule="auto"/>
        <w:ind w:firstLine="720"/>
      </w:pPr>
      <w:r>
        <w:t>For many years, dengue was spread to other locations</w:t>
      </w:r>
      <w:r w:rsidR="00FC6577">
        <w:t xml:space="preserve"> worldwide </w:t>
      </w:r>
      <w:r>
        <w:t xml:space="preserve">through </w:t>
      </w:r>
      <w:r w:rsidR="00FC6577">
        <w:t>shipping vessels</w:t>
      </w:r>
      <w:r w:rsidR="00FC6577">
        <w:rPr>
          <w:vertAlign w:val="superscript"/>
        </w:rPr>
        <w:t>6</w:t>
      </w:r>
      <w:r w:rsidR="00FC6577">
        <w:t>. The shipping vessels allowed the primary mosquito access to transportation and humans for transmission, allowing the mosquitos and virus to slowly be introduced to the world</w:t>
      </w:r>
      <w:r w:rsidR="00FC6577">
        <w:rPr>
          <w:vertAlign w:val="superscript"/>
        </w:rPr>
        <w:t>6</w:t>
      </w:r>
      <w:r w:rsidR="00FC6577">
        <w:t>.</w:t>
      </w:r>
      <w:r>
        <w:t xml:space="preserve"> During World War II, dengue rapidly expanded globally, as well as after, being facilitated through the movement of military troops. More s</w:t>
      </w:r>
      <w:r w:rsidR="002C38B0">
        <w:t xml:space="preserve">oldiers </w:t>
      </w:r>
      <w:r>
        <w:t xml:space="preserve">then ever before </w:t>
      </w:r>
      <w:r w:rsidR="002C38B0">
        <w:t xml:space="preserve">were </w:t>
      </w:r>
      <w:r>
        <w:t xml:space="preserve">being </w:t>
      </w:r>
      <w:r w:rsidR="002C38B0">
        <w:t xml:space="preserve">dispersed inland </w:t>
      </w:r>
      <w:r>
        <w:t xml:space="preserve">into the jungle </w:t>
      </w:r>
      <w:r w:rsidR="002C38B0">
        <w:t>instead of staying on the coast</w:t>
      </w:r>
      <w:r w:rsidR="002C38B0">
        <w:rPr>
          <w:vertAlign w:val="superscript"/>
        </w:rPr>
        <w:t>6</w:t>
      </w:r>
      <w:r>
        <w:t>. They were utilizing</w:t>
      </w:r>
      <w:r w:rsidR="002C38B0">
        <w:t xml:space="preserve"> modern transportation within and between countries, bringing the disease to areas it had never reached before</w:t>
      </w:r>
      <w:r w:rsidR="002C38B0">
        <w:rPr>
          <w:vertAlign w:val="superscript"/>
        </w:rPr>
        <w:t>6</w:t>
      </w:r>
      <w:r w:rsidR="002C38B0">
        <w:t>. Due to the rapid transportation</w:t>
      </w:r>
      <w:r>
        <w:t>,</w:t>
      </w:r>
      <w:r w:rsidR="002C38B0">
        <w:t xml:space="preserve"> rapid urbanization</w:t>
      </w:r>
      <w:r>
        <w:t>, and population growth</w:t>
      </w:r>
      <w:r w:rsidR="002C38B0">
        <w:t xml:space="preserve"> in post-World War II, South East Asian countries soon became hype</w:t>
      </w:r>
      <w:r w:rsidR="00AB7432">
        <w:t>re</w:t>
      </w:r>
      <w:r w:rsidR="002C38B0">
        <w:t>ndemic for dengue</w:t>
      </w:r>
      <w:r w:rsidR="002C38B0">
        <w:rPr>
          <w:vertAlign w:val="superscript"/>
        </w:rPr>
        <w:t>6</w:t>
      </w:r>
      <w:r w:rsidR="002C38B0">
        <w:t>.</w:t>
      </w:r>
    </w:p>
    <w:p w14:paraId="15BDF5EE" w14:textId="65A4F152" w:rsidR="00ED20A2" w:rsidRDefault="00A33FEB" w:rsidP="00C31843">
      <w:pPr>
        <w:spacing w:line="480" w:lineRule="auto"/>
        <w:ind w:firstLine="720"/>
      </w:pPr>
      <w:r>
        <w:t xml:space="preserve">Despite the fact that dengue has been around for centuries, technical advancements did not allow </w:t>
      </w:r>
      <w:r w:rsidR="007D346F">
        <w:t xml:space="preserve">for the </w:t>
      </w:r>
      <w:r w:rsidR="00316062">
        <w:t xml:space="preserve">laboratory </w:t>
      </w:r>
      <w:r w:rsidR="007D346F">
        <w:t xml:space="preserve">isolation of </w:t>
      </w:r>
      <w:r>
        <w:t>DENV until World War II</w:t>
      </w:r>
      <w:r>
        <w:rPr>
          <w:vertAlign w:val="superscript"/>
        </w:rPr>
        <w:t>7</w:t>
      </w:r>
      <w:r>
        <w:t>. When it was first found, only two serotypes were identified</w:t>
      </w:r>
      <w:r w:rsidR="007D346F">
        <w:t>, named DENV1 and DENV2 respectively</w:t>
      </w:r>
      <w:r w:rsidR="00FC6577">
        <w:rPr>
          <w:vertAlign w:val="superscript"/>
        </w:rPr>
        <w:t>7</w:t>
      </w:r>
      <w:r>
        <w:t xml:space="preserve">. Serotypes three and four were found when the urban centers in the </w:t>
      </w:r>
      <w:r w:rsidR="00FC6577">
        <w:t>Philippines</w:t>
      </w:r>
      <w:r>
        <w:t xml:space="preserve"> and Thailand were faced with a sev</w:t>
      </w:r>
      <w:r w:rsidR="007D346F">
        <w:t>ere dengue outbreak in 1953-1958</w:t>
      </w:r>
      <w:r w:rsidR="00FC6577">
        <w:rPr>
          <w:vertAlign w:val="superscript"/>
        </w:rPr>
        <w:t>7</w:t>
      </w:r>
      <w:r w:rsidR="007D346F">
        <w:rPr>
          <w:vertAlign w:val="superscript"/>
        </w:rPr>
        <w:t>,8</w:t>
      </w:r>
      <w:r w:rsidR="00FC6577">
        <w:t>.</w:t>
      </w:r>
      <w:r w:rsidR="002C38B0">
        <w:t xml:space="preserve"> Due to the majority of large DHF outbreaks happening in cities, it has come to be thought of as a primarily urban disease</w:t>
      </w:r>
      <w:r w:rsidR="002C38B0">
        <w:rPr>
          <w:vertAlign w:val="superscript"/>
        </w:rPr>
        <w:t>8</w:t>
      </w:r>
      <w:r w:rsidR="002C38B0">
        <w:t>.</w:t>
      </w:r>
    </w:p>
    <w:p w14:paraId="3F43A654" w14:textId="77777777" w:rsidR="0083383F" w:rsidRDefault="0083383F" w:rsidP="0083383F">
      <w:pPr>
        <w:spacing w:line="480" w:lineRule="auto"/>
        <w:ind w:firstLine="720"/>
      </w:pPr>
      <w:r>
        <w:t>Over the last forty years, dengue has become a global concern. Before 1970, there were only nine countries that had experienced severe dengue cases</w:t>
      </w:r>
      <w:r>
        <w:rPr>
          <w:vertAlign w:val="superscript"/>
        </w:rPr>
        <w:t>6</w:t>
      </w:r>
      <w:r>
        <w:t xml:space="preserve">. Today, there are over </w:t>
      </w:r>
      <w:r>
        <w:lastRenderedPageBreak/>
        <w:t>120 countries</w:t>
      </w:r>
      <w:r>
        <w:rPr>
          <w:vertAlign w:val="superscript"/>
        </w:rPr>
        <w:t>2,6,7</w:t>
      </w:r>
      <w:r>
        <w:t>. It is an expensive burden, both in labor and economic costs. Estimates of Disability Adjusted Life Years (DALY) due to dengue vary, as the main burden of the disease lies with children.</w:t>
      </w:r>
    </w:p>
    <w:p w14:paraId="74501507" w14:textId="2729D32F" w:rsidR="0083383F" w:rsidRDefault="0083383F" w:rsidP="0083383F">
      <w:pPr>
        <w:spacing w:line="480" w:lineRule="auto"/>
        <w:ind w:firstLine="720"/>
      </w:pPr>
      <w:r>
        <w:t>A 2009 estimate puts a global figure of 700,000 DALYs lost due to dengue annually</w:t>
      </w:r>
      <w:r>
        <w:rPr>
          <w:vertAlign w:val="superscript"/>
        </w:rPr>
        <w:t>6</w:t>
      </w:r>
      <w:r>
        <w:t>. A study done in 2005 examined the costs of dengue, in days hospitalized, work days lost</w:t>
      </w:r>
      <w:r w:rsidR="00316062">
        <w:t>,</w:t>
      </w:r>
      <w:r>
        <w:t xml:space="preserve"> and financial costs </w:t>
      </w:r>
      <w:r w:rsidR="00316062">
        <w:t xml:space="preserve">in </w:t>
      </w:r>
      <w:r>
        <w:t xml:space="preserve">eight countries across Asia and the Americas </w:t>
      </w:r>
      <w:r>
        <w:rPr>
          <w:vertAlign w:val="superscript"/>
        </w:rPr>
        <w:t>9</w:t>
      </w:r>
      <w:r>
        <w:t>. The study found that for patients who were able to ambulate, their average length of illness was 11.9 days, 5.9 of those days with fever</w:t>
      </w:r>
      <w:r>
        <w:rPr>
          <w:vertAlign w:val="superscript"/>
        </w:rPr>
        <w:t>9</w:t>
      </w:r>
      <w:r>
        <w:t>. For those hospitalized, average illness length was 11.0 days</w:t>
      </w:r>
      <w:r>
        <w:rPr>
          <w:vertAlign w:val="superscript"/>
        </w:rPr>
        <w:t>9</w:t>
      </w:r>
      <w:r>
        <w:t>. If the patient was a student, they lost 4.2 days of school if they were ambulatory, compared to 5.6 if they were hospitalized</w:t>
      </w:r>
      <w:r>
        <w:rPr>
          <w:vertAlign w:val="superscript"/>
        </w:rPr>
        <w:t>9</w:t>
      </w:r>
      <w:r w:rsidR="00316062">
        <w:t>. For people working,</w:t>
      </w:r>
      <w:r>
        <w:t xml:space="preserve"> patients lost 6.6 days of work compared to 9.9 if they were hospitalized</w:t>
      </w:r>
      <w:r>
        <w:rPr>
          <w:vertAlign w:val="superscript"/>
        </w:rPr>
        <w:t>9</w:t>
      </w:r>
      <w:r>
        <w:t>. Unweighted costs per case were $514 2005 International dollars for ambulatory patients</w:t>
      </w:r>
      <w:r>
        <w:rPr>
          <w:vertAlign w:val="superscript"/>
        </w:rPr>
        <w:t>9</w:t>
      </w:r>
      <w:r>
        <w:t>. For hospitalized patients, it was $1,394</w:t>
      </w:r>
      <w:r>
        <w:rPr>
          <w:vertAlign w:val="superscript"/>
        </w:rPr>
        <w:t>9</w:t>
      </w:r>
      <w:r>
        <w:t>. Weighted by the official numbers of deaths and cases by setting, the mean cost of a dengue reported case was $1,031 in the eight countries</w:t>
      </w:r>
      <w:r>
        <w:rPr>
          <w:vertAlign w:val="superscript"/>
        </w:rPr>
        <w:t>9</w:t>
      </w:r>
      <w:r>
        <w:t>. However, there was a significant difference between the two continents. In Asia, the cost of a reported case was $2,005, compared to $759 in the Americas</w:t>
      </w:r>
      <w:r>
        <w:rPr>
          <w:vertAlign w:val="superscript"/>
        </w:rPr>
        <w:t>9</w:t>
      </w:r>
      <w:r>
        <w:t>. This is a 2.7-fold difference in cost</w:t>
      </w:r>
      <w:r>
        <w:rPr>
          <w:vertAlign w:val="superscript"/>
        </w:rPr>
        <w:t>9</w:t>
      </w:r>
      <w:r>
        <w:t>.</w:t>
      </w:r>
    </w:p>
    <w:p w14:paraId="4DD70676" w14:textId="6B65DB1E" w:rsidR="00355BBB" w:rsidRDefault="00355BBB" w:rsidP="00C31843">
      <w:pPr>
        <w:spacing w:line="480" w:lineRule="auto"/>
        <w:ind w:firstLine="720"/>
      </w:pPr>
      <w:r>
        <w:t>Unlike South East Asia, the Americas appeared to have dengue under control following World War II. During the 1940s, the Pan American Health Organization (PAHO) started a yellow fever disease control campaign</w:t>
      </w:r>
      <w:r w:rsidR="00381BBC">
        <w:rPr>
          <w:vertAlign w:val="superscript"/>
        </w:rPr>
        <w:t>6</w:t>
      </w:r>
      <w:r>
        <w:t>. Due to a large mosquito elimination as part of the campaign, dengue was restricted in transmission throughout the continent</w:t>
      </w:r>
      <w:r w:rsidR="00381BBC">
        <w:rPr>
          <w:vertAlign w:val="superscript"/>
        </w:rPr>
        <w:t>6</w:t>
      </w:r>
      <w:r>
        <w:t xml:space="preserve">. The </w:t>
      </w:r>
      <w:r w:rsidR="007D346F">
        <w:t xml:space="preserve">yellow fever </w:t>
      </w:r>
      <w:r>
        <w:t>campaign lasted until the 1970s.</w:t>
      </w:r>
      <w:r w:rsidR="007D346F">
        <w:rPr>
          <w:vertAlign w:val="superscript"/>
        </w:rPr>
        <w:t>6</w:t>
      </w:r>
      <w:r w:rsidR="00316062">
        <w:t xml:space="preserve"> However, subsequentially,</w:t>
      </w:r>
      <w:r w:rsidR="007D346F">
        <w:t xml:space="preserve"> the incidence of dengue increased throughout</w:t>
      </w:r>
      <w:r>
        <w:t xml:space="preserve"> the 1980s, bringing levels</w:t>
      </w:r>
      <w:r w:rsidR="007D346F">
        <w:t xml:space="preserve"> of dengue</w:t>
      </w:r>
      <w:r>
        <w:t xml:space="preserve"> </w:t>
      </w:r>
      <w:r w:rsidR="00381BBC">
        <w:t xml:space="preserve">in the Americas </w:t>
      </w:r>
      <w:r>
        <w:t>back up to pre-campaign numbers in 1995</w:t>
      </w:r>
      <w:r w:rsidR="00381BBC">
        <w:rPr>
          <w:vertAlign w:val="superscript"/>
        </w:rPr>
        <w:t>6</w:t>
      </w:r>
      <w:r>
        <w:t>.</w:t>
      </w:r>
    </w:p>
    <w:p w14:paraId="28E47965" w14:textId="6011D86E" w:rsidR="0083383F" w:rsidRDefault="0083383F" w:rsidP="00C31843">
      <w:pPr>
        <w:spacing w:line="480" w:lineRule="auto"/>
        <w:ind w:firstLine="720"/>
      </w:pPr>
      <w:r>
        <w:lastRenderedPageBreak/>
        <w:t>Even though there was a lull of dengue transmission from the 1940s to 70s, dengue in the Americas today is increasing. Presently, almost all countries in the Americans have all four serotypes circulating with indigenous dengue transmission</w:t>
      </w:r>
      <w:r>
        <w:rPr>
          <w:vertAlign w:val="superscript"/>
        </w:rPr>
        <w:t>6</w:t>
      </w:r>
      <w:r>
        <w:t>. The only two countries without indigenous transmission are Uruguay and Chile</w:t>
      </w:r>
      <w:r>
        <w:rPr>
          <w:vertAlign w:val="superscript"/>
        </w:rPr>
        <w:t>4</w:t>
      </w:r>
      <w:r>
        <w:t>. Along with the hyper endemicity, the number of cases of DHF have increased more than eightfold</w:t>
      </w:r>
      <w:r>
        <w:rPr>
          <w:vertAlign w:val="superscript"/>
        </w:rPr>
        <w:t>4</w:t>
      </w:r>
      <w:r>
        <w:t>. Local transmission in the United States has been found, particularly in Florida and Hawaii</w:t>
      </w:r>
      <w:r>
        <w:rPr>
          <w:vertAlign w:val="superscript"/>
        </w:rPr>
        <w:t>6,10</w:t>
      </w:r>
      <w:r>
        <w:t>. Since September of 2015, Hawaii has been having an outbreak of locally-acquired dengue on the big island of Hawaii</w:t>
      </w:r>
      <w:r>
        <w:rPr>
          <w:vertAlign w:val="superscript"/>
        </w:rPr>
        <w:t>10</w:t>
      </w:r>
      <w:r>
        <w:t>.</w:t>
      </w:r>
    </w:p>
    <w:p w14:paraId="3D1CD344" w14:textId="2B9C8CF0" w:rsidR="0016214C" w:rsidRDefault="0083383F" w:rsidP="00C31843">
      <w:pPr>
        <w:spacing w:line="480" w:lineRule="auto"/>
        <w:ind w:firstLine="720"/>
      </w:pPr>
      <w:r>
        <w:t>Dengue has not been a problem in</w:t>
      </w:r>
      <w:r w:rsidR="0016214C">
        <w:t xml:space="preserve"> Europe for decades, with the last reported outbreak being in Greece between 1926-28</w:t>
      </w:r>
      <w:r w:rsidR="00CF62EE">
        <w:rPr>
          <w:vertAlign w:val="superscript"/>
        </w:rPr>
        <w:t>4,6</w:t>
      </w:r>
      <w:r w:rsidR="0016214C">
        <w:t>. No dengue transmission was reported in the region until the 1990s</w:t>
      </w:r>
      <w:r w:rsidR="00CF62EE">
        <w:rPr>
          <w:vertAlign w:val="superscript"/>
        </w:rPr>
        <w:t>6</w:t>
      </w:r>
      <w:r>
        <w:t xml:space="preserve">. Presently,evidence of </w:t>
      </w:r>
      <w:r w:rsidR="0016214C">
        <w:t xml:space="preserve">local transmission has </w:t>
      </w:r>
      <w:r>
        <w:t xml:space="preserve">been noted </w:t>
      </w:r>
      <w:r w:rsidR="0016214C">
        <w:t>in France and Croatia</w:t>
      </w:r>
      <w:r w:rsidR="00CF62EE">
        <w:rPr>
          <w:vertAlign w:val="superscript"/>
        </w:rPr>
        <w:t>4</w:t>
      </w:r>
      <w:r w:rsidR="0016214C">
        <w:t xml:space="preserve">. </w:t>
      </w:r>
      <w:r>
        <w:t>Further, m</w:t>
      </w:r>
      <w:r w:rsidR="0016214C">
        <w:t>osquito vectors are found in large parts of sou</w:t>
      </w:r>
      <w:r w:rsidR="00CF62EE">
        <w:t xml:space="preserve">thern Europe. </w:t>
      </w:r>
      <w:r>
        <w:t xml:space="preserve">In </w:t>
      </w:r>
      <w:r w:rsidR="00CF62EE">
        <w:t>2012-2013, a major outbreak occurred on the island of Madiera</w:t>
      </w:r>
      <w:r w:rsidR="00CF62EE">
        <w:rPr>
          <w:vertAlign w:val="superscript"/>
        </w:rPr>
        <w:t>4,6</w:t>
      </w:r>
      <w:r w:rsidR="00CF62EE">
        <w:t>. During the summer</w:t>
      </w:r>
      <w:r w:rsidR="0016214C">
        <w:t xml:space="preserve"> of 2014, 370 confirmed cases of both dengue and chikungunya were reported in mainland France</w:t>
      </w:r>
      <w:r w:rsidR="00CF62EE">
        <w:rPr>
          <w:vertAlign w:val="superscript"/>
        </w:rPr>
        <w:t>4</w:t>
      </w:r>
      <w:r w:rsidR="0016214C">
        <w:t>.</w:t>
      </w:r>
    </w:p>
    <w:p w14:paraId="016ED258" w14:textId="0A9771B1" w:rsidR="00CF62EE" w:rsidRDefault="0083383F" w:rsidP="00C31843">
      <w:pPr>
        <w:spacing w:line="480" w:lineRule="auto"/>
        <w:ind w:firstLine="720"/>
      </w:pPr>
      <w:r>
        <w:t>The impact of dengue in the African continent is unclear, largely due to inconsistent reporting by countries</w:t>
      </w:r>
      <w:r w:rsidR="00FA179A">
        <w:rPr>
          <w:vertAlign w:val="superscript"/>
        </w:rPr>
        <w:t>4,6</w:t>
      </w:r>
      <w:r w:rsidR="00CF62EE">
        <w:t>. Despite the lack of reports, there is evidence to suggest that dengue outbreaks are increasing in size and frequency</w:t>
      </w:r>
      <w:r w:rsidR="00FA179A">
        <w:rPr>
          <w:vertAlign w:val="superscript"/>
        </w:rPr>
        <w:t>6</w:t>
      </w:r>
      <w:r w:rsidR="00CF62EE">
        <w:t>.</w:t>
      </w:r>
      <w:r w:rsidR="00CF62EE" w:rsidRPr="00CF62EE">
        <w:t xml:space="preserve"> </w:t>
      </w:r>
      <w:r w:rsidR="00CF62EE">
        <w:t>There was a large dengue outbreak in 2009 in the Cape Verde region</w:t>
      </w:r>
      <w:r w:rsidR="00FA179A">
        <w:rPr>
          <w:vertAlign w:val="superscript"/>
        </w:rPr>
        <w:t>6</w:t>
      </w:r>
      <w:r w:rsidR="00CF62EE">
        <w:t xml:space="preserve">. </w:t>
      </w:r>
      <w:r w:rsidR="00FA179A">
        <w:t>T</w:t>
      </w:r>
      <w:r w:rsidR="00CF62EE">
        <w:t>here is evidence that</w:t>
      </w:r>
      <w:r>
        <w:t xml:space="preserve"> from 1960 to 2010 that</w:t>
      </w:r>
      <w:r w:rsidR="00CF62EE">
        <w:t xml:space="preserve"> 22 African countries had either sporadic cases or outbreaks</w:t>
      </w:r>
      <w:r w:rsidR="00FA179A">
        <w:rPr>
          <w:vertAlign w:val="superscript"/>
        </w:rPr>
        <w:t>6</w:t>
      </w:r>
      <w:r w:rsidR="00CF62EE">
        <w:t>. In a 2011 study, disease transmission was found to be endemic in 34 countries, with all four serotypes being present</w:t>
      </w:r>
      <w:r w:rsidR="00FA179A">
        <w:rPr>
          <w:vertAlign w:val="superscript"/>
        </w:rPr>
        <w:t>4,6</w:t>
      </w:r>
      <w:r w:rsidR="00CF62EE">
        <w:t xml:space="preserve">. </w:t>
      </w:r>
      <w:r w:rsidR="00FA179A">
        <w:t>With malaria being such a significant illness in Africa, over 70% of ‘febrile illnesses’ are likely to be misdiagnosed and treated as malaria</w:t>
      </w:r>
      <w:r w:rsidR="00FA179A">
        <w:rPr>
          <w:vertAlign w:val="superscript"/>
        </w:rPr>
        <w:t>6</w:t>
      </w:r>
      <w:r w:rsidR="00FA179A">
        <w:t xml:space="preserve">. The commonality of </w:t>
      </w:r>
      <w:r w:rsidR="00FA179A">
        <w:lastRenderedPageBreak/>
        <w:t>multiple febrile illnesses along with lack of good diagnostics most likely contribute to infrequent diagnosis of dengue</w:t>
      </w:r>
      <w:r w:rsidR="00FA179A">
        <w:rPr>
          <w:vertAlign w:val="superscript"/>
        </w:rPr>
        <w:t>4</w:t>
      </w:r>
      <w:r w:rsidR="00FA179A">
        <w:t>.</w:t>
      </w:r>
    </w:p>
    <w:p w14:paraId="7C93ED20" w14:textId="1EE095ED" w:rsidR="00ED0B0B" w:rsidRDefault="00ED0B0B" w:rsidP="0083383F">
      <w:pPr>
        <w:spacing w:line="480" w:lineRule="auto"/>
        <w:ind w:firstLine="720"/>
      </w:pPr>
      <w:r>
        <w:t>In the WHO Eastern Mediterranean region</w:t>
      </w:r>
      <w:r w:rsidR="00FA179A">
        <w:t>, large epidemics have been reported since the 1990s</w:t>
      </w:r>
      <w:r w:rsidR="00FA179A">
        <w:rPr>
          <w:vertAlign w:val="superscript"/>
        </w:rPr>
        <w:t>4</w:t>
      </w:r>
      <w:r w:rsidR="00FA179A">
        <w:t>.  Only three of the four serotypes have been reported in the region</w:t>
      </w:r>
      <w:r w:rsidR="00FA179A">
        <w:rPr>
          <w:vertAlign w:val="superscript"/>
        </w:rPr>
        <w:t>4</w:t>
      </w:r>
      <w:r w:rsidR="00FA179A">
        <w:t xml:space="preserve">. </w:t>
      </w:r>
      <w:r>
        <w:t>Smaller outbreaks with multiple serotypes of DENV are being reported more frequently</w:t>
      </w:r>
      <w:r>
        <w:rPr>
          <w:vertAlign w:val="superscript"/>
        </w:rPr>
        <w:t>6</w:t>
      </w:r>
      <w:r>
        <w:t xml:space="preserve">. </w:t>
      </w:r>
      <w:r w:rsidR="00FA179A">
        <w:t xml:space="preserve">A major risk factor </w:t>
      </w:r>
      <w:r w:rsidR="0083383F">
        <w:t>for these epidemics if the</w:t>
      </w:r>
      <w:r w:rsidR="00FA179A">
        <w:t xml:space="preserve"> increased travel and trade in the region, with large immigrant work-forces and pilgrims to holy sites</w:t>
      </w:r>
      <w:r w:rsidR="00FA179A">
        <w:rPr>
          <w:vertAlign w:val="superscript"/>
        </w:rPr>
        <w:t>4</w:t>
      </w:r>
      <w:r w:rsidR="00FA179A">
        <w:t>. As urbanization increases, so do outbreaks. In Saudi Arabia, there were 4,411 dengue cases in 2013</w:t>
      </w:r>
      <w:r w:rsidR="00FA179A">
        <w:rPr>
          <w:vertAlign w:val="superscript"/>
        </w:rPr>
        <w:t>4</w:t>
      </w:r>
      <w:r w:rsidR="00FA179A">
        <w:t>. This was a fourfold increase from 2012</w:t>
      </w:r>
      <w:r w:rsidR="00FA179A">
        <w:rPr>
          <w:vertAlign w:val="superscript"/>
        </w:rPr>
        <w:t>4</w:t>
      </w:r>
      <w:r w:rsidR="00FA179A">
        <w:t xml:space="preserve">. </w:t>
      </w:r>
    </w:p>
    <w:p w14:paraId="046139D9" w14:textId="79213EE7" w:rsidR="009220B2" w:rsidRDefault="00204D08" w:rsidP="00975F2B">
      <w:pPr>
        <w:spacing w:line="480" w:lineRule="auto"/>
        <w:ind w:firstLine="720"/>
      </w:pPr>
      <w:r>
        <w:t xml:space="preserve">The Western Pacific region accounts for a large proportion </w:t>
      </w:r>
      <w:r w:rsidR="009220B2">
        <w:t>of the global dengue burden</w:t>
      </w:r>
      <w:r w:rsidR="00975F2B">
        <w:rPr>
          <w:vertAlign w:val="superscript"/>
        </w:rPr>
        <w:t>6</w:t>
      </w:r>
      <w:r w:rsidR="009220B2">
        <w:t xml:space="preserve">. </w:t>
      </w:r>
      <w:r w:rsidR="00975F2B">
        <w:t>After a 25-year absence, two dengue serotypes were reintroduced to the Pacific Islands from the Americans in 1964 and 1971</w:t>
      </w:r>
      <w:r w:rsidR="00975F2B">
        <w:rPr>
          <w:vertAlign w:val="superscript"/>
        </w:rPr>
        <w:t>6</w:t>
      </w:r>
      <w:r w:rsidR="00975F2B">
        <w:t>. The following decade had all four serotypes from Asia gradually introduce themselves to the population</w:t>
      </w:r>
      <w:r w:rsidR="00975F2B">
        <w:rPr>
          <w:vertAlign w:val="superscript"/>
        </w:rPr>
        <w:t>6</w:t>
      </w:r>
      <w:r w:rsidR="00975F2B">
        <w:t>. Due to the mixing of serotypes from both America and Asia, the island nations in the Pacific show a particular susceptibility to dengue and severe dengue outbreaks</w:t>
      </w:r>
      <w:r w:rsidR="00975F2B">
        <w:rPr>
          <w:vertAlign w:val="superscript"/>
        </w:rPr>
        <w:t>6</w:t>
      </w:r>
      <w:r w:rsidR="00975F2B">
        <w:t xml:space="preserve">. </w:t>
      </w:r>
      <w:r w:rsidR="009220B2">
        <w:t xml:space="preserve">Over the past decade, the number of reported cases has continued to increase in the Western Pacific. In the Asian sub region of the Western Pacific, all four serotypes have been found in these high disease-burden settings. </w:t>
      </w:r>
      <w:r w:rsidR="00975F2B">
        <w:t xml:space="preserve">In </w:t>
      </w:r>
      <w:r w:rsidR="009220B2">
        <w:t>the Pacific sub region</w:t>
      </w:r>
      <w:r w:rsidR="00975F2B">
        <w:t xml:space="preserve">, 91% of cases </w:t>
      </w:r>
      <w:r w:rsidR="009220B2">
        <w:t xml:space="preserve">come from French Polynesia, New Caledonia, Vanuatu, and Australia. </w:t>
      </w:r>
    </w:p>
    <w:p w14:paraId="4BA90F89" w14:textId="53ACAA51" w:rsidR="00975F2B" w:rsidRDefault="00E500FE" w:rsidP="00975F2B">
      <w:pPr>
        <w:spacing w:line="480" w:lineRule="auto"/>
        <w:ind w:firstLine="720"/>
      </w:pPr>
      <w:r>
        <w:t xml:space="preserve">Of the 3.9 billion people exposed to dengue, </w:t>
      </w:r>
      <w:r w:rsidR="00975F2B">
        <w:t xml:space="preserve">75% </w:t>
      </w:r>
      <w:r>
        <w:t>live</w:t>
      </w:r>
      <w:r w:rsidR="00975F2B">
        <w:t xml:space="preserve"> in Asia-Pacific</w:t>
      </w:r>
      <w:r>
        <w:rPr>
          <w:vertAlign w:val="superscript"/>
        </w:rPr>
        <w:t>2,6</w:t>
      </w:r>
      <w:r>
        <w:t>. 1.3 billion or a third of the total dengue exposed population, live in ten dengue endemic countries in Southeast Asia</w:t>
      </w:r>
      <w:r>
        <w:rPr>
          <w:vertAlign w:val="superscript"/>
        </w:rPr>
        <w:t>6</w:t>
      </w:r>
      <w:r>
        <w:t>. In the region, dengue is a leading cause of hospitalization and death in children</w:t>
      </w:r>
      <w:r>
        <w:rPr>
          <w:vertAlign w:val="superscript"/>
        </w:rPr>
        <w:t>6,8</w:t>
      </w:r>
      <w:r>
        <w:t xml:space="preserve">. </w:t>
      </w:r>
      <w:r w:rsidR="00204D08">
        <w:t>In</w:t>
      </w:r>
      <w:r>
        <w:t xml:space="preserve"> 2009, all countries except for the Democratic People’</w:t>
      </w:r>
      <w:r w:rsidR="00204D08">
        <w:t>s</w:t>
      </w:r>
      <w:r>
        <w:t xml:space="preserve"> Republic of Korea had </w:t>
      </w:r>
      <w:r>
        <w:lastRenderedPageBreak/>
        <w:t>indigenous</w:t>
      </w:r>
      <w:r w:rsidR="00204D08">
        <w:t xml:space="preserve"> dengue</w:t>
      </w:r>
      <w:r>
        <w:t xml:space="preserve"> cases</w:t>
      </w:r>
      <w:r>
        <w:rPr>
          <w:vertAlign w:val="superscript"/>
        </w:rPr>
        <w:t>6</w:t>
      </w:r>
      <w:r>
        <w:t>. Epidemics occur regularly on 3-5 year cycles, with the number of cases and their severity increasing</w:t>
      </w:r>
      <w:r>
        <w:rPr>
          <w:vertAlign w:val="superscript"/>
        </w:rPr>
        <w:t>6,8</w:t>
      </w:r>
      <w:r w:rsidR="00204D08">
        <w:t>. Eight countries have</w:t>
      </w:r>
      <w:r>
        <w:t xml:space="preserve"> hyperendemic</w:t>
      </w:r>
      <w:r w:rsidR="00204D08">
        <w:t xml:space="preserve"> levels of dengue,</w:t>
      </w:r>
      <w:r>
        <w:t xml:space="preserve"> and most have severe dengue as endemic as well</w:t>
      </w:r>
      <w:r>
        <w:rPr>
          <w:vertAlign w:val="superscript"/>
        </w:rPr>
        <w:t>6</w:t>
      </w:r>
      <w:r>
        <w:t>. Rates of severe dengue are 18 times higher in the Southeast Asia</w:t>
      </w:r>
      <w:r w:rsidR="00204D08">
        <w:t xml:space="preserve"> region compared to the Americas</w:t>
      </w:r>
      <w:r>
        <w:t xml:space="preserve"> region</w:t>
      </w:r>
      <w:r>
        <w:rPr>
          <w:vertAlign w:val="superscript"/>
        </w:rPr>
        <w:t>6</w:t>
      </w:r>
      <w:r>
        <w:t>.</w:t>
      </w:r>
    </w:p>
    <w:p w14:paraId="1BE2D255" w14:textId="77777777" w:rsidR="00646270" w:rsidRDefault="00646270" w:rsidP="00975F2B">
      <w:pPr>
        <w:spacing w:line="480" w:lineRule="auto"/>
        <w:ind w:firstLine="720"/>
      </w:pPr>
    </w:p>
    <w:p w14:paraId="7AE8CA94" w14:textId="21D777A5" w:rsidR="009C7489" w:rsidRDefault="00357E8D" w:rsidP="009B7498">
      <w:pPr>
        <w:spacing w:line="480" w:lineRule="auto"/>
        <w:outlineLvl w:val="0"/>
        <w:rPr>
          <w:b/>
        </w:rPr>
      </w:pPr>
      <w:r>
        <w:rPr>
          <w:b/>
        </w:rPr>
        <w:t>Vector</w:t>
      </w:r>
    </w:p>
    <w:p w14:paraId="6AB0BA6B" w14:textId="220EB72D" w:rsidR="00BE160C" w:rsidRDefault="00357E8D" w:rsidP="00357E8D">
      <w:pPr>
        <w:spacing w:line="480" w:lineRule="auto"/>
        <w:ind w:firstLine="720"/>
      </w:pPr>
      <w:r>
        <w:t xml:space="preserve">The </w:t>
      </w:r>
      <w:r>
        <w:rPr>
          <w:i/>
        </w:rPr>
        <w:t xml:space="preserve">Aedes </w:t>
      </w:r>
      <w:r>
        <w:t xml:space="preserve">mosquito is the vector for dengue. The virus is spread principally by the </w:t>
      </w:r>
      <w:r>
        <w:rPr>
          <w:i/>
        </w:rPr>
        <w:t xml:space="preserve">Aedes </w:t>
      </w:r>
      <w:r w:rsidRPr="00357E8D">
        <w:rPr>
          <w:i/>
        </w:rPr>
        <w:t>aegypti</w:t>
      </w:r>
      <w:r w:rsidR="00BE160C">
        <w:rPr>
          <w:i/>
          <w:vertAlign w:val="superscript"/>
        </w:rPr>
        <w:t>7</w:t>
      </w:r>
      <w:r>
        <w:rPr>
          <w:i/>
        </w:rPr>
        <w:t xml:space="preserve">. A.aegypti </w:t>
      </w:r>
      <w:r>
        <w:t>is believed to originate from Africa</w:t>
      </w:r>
      <w:r w:rsidR="00BE160C">
        <w:rPr>
          <w:vertAlign w:val="superscript"/>
        </w:rPr>
        <w:t>7</w:t>
      </w:r>
      <w:r>
        <w:t xml:space="preserve">. </w:t>
      </w:r>
      <w:r w:rsidR="00170B51">
        <w:t>I</w:t>
      </w:r>
      <w:r w:rsidR="00354550">
        <w:t>t spread globally through the use of slave and trading ships from the seventeenth to nineteenth centuries</w:t>
      </w:r>
      <w:r w:rsidR="00BE160C">
        <w:rPr>
          <w:vertAlign w:val="superscript"/>
        </w:rPr>
        <w:t>7</w:t>
      </w:r>
      <w:r w:rsidR="00354550">
        <w:t xml:space="preserve">. In Asia and other parts of the world, dengue epidemics were found to correspond with the spread of </w:t>
      </w:r>
      <w:r w:rsidR="00354550">
        <w:rPr>
          <w:i/>
        </w:rPr>
        <w:t>A.aegypti</w:t>
      </w:r>
      <w:r w:rsidR="00BE160C">
        <w:rPr>
          <w:i/>
          <w:vertAlign w:val="superscript"/>
        </w:rPr>
        <w:t>7</w:t>
      </w:r>
      <w:r w:rsidR="00BE160C">
        <w:t>. Epidemics and mosquitos</w:t>
      </w:r>
      <w:r w:rsidR="00354550">
        <w:t xml:space="preserve"> first appeared i</w:t>
      </w:r>
      <w:r w:rsidR="00BE160C">
        <w:t>n port towns and slowly made their</w:t>
      </w:r>
      <w:r w:rsidR="00354550">
        <w:t xml:space="preserve"> way inland via waterways</w:t>
      </w:r>
      <w:r w:rsidR="00BE160C">
        <w:rPr>
          <w:vertAlign w:val="superscript"/>
        </w:rPr>
        <w:t>7</w:t>
      </w:r>
      <w:r w:rsidR="00354550">
        <w:t>.</w:t>
      </w:r>
      <w:r w:rsidR="00BE160C">
        <w:t xml:space="preserve"> It is now a domesticated mosquito. It prefers to lay eggs</w:t>
      </w:r>
      <w:r w:rsidR="00204D08">
        <w:t xml:space="preserve"> in</w:t>
      </w:r>
      <w:r w:rsidR="00BE160C">
        <w:t xml:space="preserve"> artificial containers, stay inside, and bite humans instead of animals</w:t>
      </w:r>
      <w:r w:rsidR="00BE160C">
        <w:rPr>
          <w:vertAlign w:val="superscript"/>
        </w:rPr>
        <w:t>7</w:t>
      </w:r>
      <w:r w:rsidR="00BE160C">
        <w:t xml:space="preserve">. </w:t>
      </w:r>
    </w:p>
    <w:p w14:paraId="2D712163" w14:textId="6EF14EF1" w:rsidR="00210A61" w:rsidRDefault="00357E8D" w:rsidP="00170B51">
      <w:pPr>
        <w:spacing w:line="480" w:lineRule="auto"/>
        <w:ind w:firstLine="720"/>
      </w:pPr>
      <w:r>
        <w:t xml:space="preserve">The secondary vector is </w:t>
      </w:r>
      <w:r>
        <w:rPr>
          <w:i/>
        </w:rPr>
        <w:t>Aedes albopictus</w:t>
      </w:r>
      <w:r w:rsidR="00210A61">
        <w:rPr>
          <w:i/>
        </w:rPr>
        <w:t xml:space="preserve">, </w:t>
      </w:r>
      <w:r w:rsidR="00210A61">
        <w:t>another urban dwelling mosquito</w:t>
      </w:r>
      <w:r>
        <w:rPr>
          <w:i/>
          <w:vertAlign w:val="superscript"/>
        </w:rPr>
        <w:t>7</w:t>
      </w:r>
      <w:r>
        <w:rPr>
          <w:i/>
        </w:rPr>
        <w:t xml:space="preserve">. </w:t>
      </w:r>
      <w:r w:rsidR="00BE160C">
        <w:t xml:space="preserve">Even though </w:t>
      </w:r>
      <w:r w:rsidR="00BE160C">
        <w:rPr>
          <w:i/>
        </w:rPr>
        <w:t xml:space="preserve">A.aegypti </w:t>
      </w:r>
      <w:r w:rsidR="00BE160C">
        <w:t xml:space="preserve">is the driver of dengue, </w:t>
      </w:r>
      <w:r w:rsidR="00BE160C">
        <w:rPr>
          <w:i/>
        </w:rPr>
        <w:t xml:space="preserve">A.albopictus </w:t>
      </w:r>
      <w:r w:rsidR="00BE160C">
        <w:t>is the superior larval competitor</w:t>
      </w:r>
      <w:r w:rsidR="00210A61">
        <w:rPr>
          <w:vertAlign w:val="superscript"/>
        </w:rPr>
        <w:t>11</w:t>
      </w:r>
      <w:r w:rsidR="00BE160C">
        <w:t xml:space="preserve">. </w:t>
      </w:r>
      <w:r w:rsidR="00BE160C">
        <w:rPr>
          <w:i/>
        </w:rPr>
        <w:t xml:space="preserve">A.albopictus, </w:t>
      </w:r>
      <w:r w:rsidR="00BE160C">
        <w:t>or the Asian tiger mosquito, orginates from Southeast Asia</w:t>
      </w:r>
      <w:r w:rsidR="00210A61">
        <w:rPr>
          <w:vertAlign w:val="superscript"/>
        </w:rPr>
        <w:t>12</w:t>
      </w:r>
      <w:r w:rsidR="00BE160C">
        <w:t xml:space="preserve">. </w:t>
      </w:r>
      <w:r w:rsidR="004540E5">
        <w:t>Due to global travel</w:t>
      </w:r>
      <w:r w:rsidR="00170B51">
        <w:t xml:space="preserve"> and trade</w:t>
      </w:r>
      <w:r w:rsidR="004540E5">
        <w:t>, this mosquito has spread to all continents but Antarctica</w:t>
      </w:r>
      <w:r w:rsidR="00210A61">
        <w:rPr>
          <w:vertAlign w:val="superscript"/>
        </w:rPr>
        <w:t>12</w:t>
      </w:r>
      <w:r w:rsidR="004540E5">
        <w:t>. It has a global distribution that is a little more north then</w:t>
      </w:r>
      <w:r w:rsidR="00170B51">
        <w:t xml:space="preserve"> </w:t>
      </w:r>
      <w:r w:rsidR="004540E5">
        <w:rPr>
          <w:i/>
        </w:rPr>
        <w:t>A.aegypti</w:t>
      </w:r>
      <w:r w:rsidR="004540E5">
        <w:t xml:space="preserve"> as seen in Figure 1</w:t>
      </w:r>
      <w:r w:rsidR="00210A61">
        <w:rPr>
          <w:vertAlign w:val="superscript"/>
        </w:rPr>
        <w:t>11</w:t>
      </w:r>
      <w:r w:rsidR="004540E5">
        <w:t>.</w:t>
      </w:r>
      <w:r w:rsidR="00170B51">
        <w:t xml:space="preserve">  </w:t>
      </w:r>
    </w:p>
    <w:p w14:paraId="4E14C14B" w14:textId="5DFF03E4" w:rsidR="00FC6577" w:rsidRDefault="004540E5" w:rsidP="004C0750">
      <w:pPr>
        <w:spacing w:line="480" w:lineRule="auto"/>
      </w:pPr>
      <w:r>
        <w:rPr>
          <w:noProof/>
        </w:rPr>
        <w:lastRenderedPageBreak/>
        <w:drawing>
          <wp:inline distT="0" distB="0" distL="0" distR="0" wp14:anchorId="4BDCD419" wp14:editId="209FB87D">
            <wp:extent cx="5875655" cy="4490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quito distribu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5655" cy="4490710"/>
                    </a:xfrm>
                    <a:prstGeom prst="rect">
                      <a:avLst/>
                    </a:prstGeom>
                  </pic:spPr>
                </pic:pic>
              </a:graphicData>
            </a:graphic>
          </wp:inline>
        </w:drawing>
      </w:r>
    </w:p>
    <w:p w14:paraId="165EA5D5" w14:textId="2843BA1F" w:rsidR="00691B93" w:rsidRDefault="00170B51" w:rsidP="002252DF">
      <w:pPr>
        <w:spacing w:line="480" w:lineRule="auto"/>
        <w:ind w:left="720"/>
        <w:jc w:val="center"/>
        <w:rPr>
          <w:b/>
        </w:rPr>
      </w:pPr>
      <w:r w:rsidRPr="00691B93">
        <w:rPr>
          <w:b/>
        </w:rPr>
        <w:t xml:space="preserve">Figure 1. </w:t>
      </w:r>
      <w:r w:rsidR="00BD33B2" w:rsidRPr="00691B93">
        <w:rPr>
          <w:b/>
        </w:rPr>
        <w:t>Present</w:t>
      </w:r>
      <w:r w:rsidR="002252DF">
        <w:rPr>
          <w:b/>
        </w:rPr>
        <w:t xml:space="preserve"> Mosquito D</w:t>
      </w:r>
      <w:r w:rsidRPr="00691B93">
        <w:rPr>
          <w:b/>
        </w:rPr>
        <w:t>istribution</w:t>
      </w:r>
    </w:p>
    <w:p w14:paraId="490310D5" w14:textId="5E76DC41" w:rsidR="00210A61" w:rsidRPr="00691B93" w:rsidRDefault="001F3A86" w:rsidP="00D7181B">
      <w:pPr>
        <w:spacing w:line="480" w:lineRule="auto"/>
        <w:ind w:left="1440" w:hanging="720"/>
        <w:jc w:val="center"/>
        <w:rPr>
          <w:b/>
          <w:i/>
        </w:rPr>
      </w:pPr>
      <w:r>
        <w:rPr>
          <w:b/>
        </w:rPr>
        <w:t>T</w:t>
      </w:r>
      <w:r w:rsidR="00170B51" w:rsidRPr="00691B93">
        <w:rPr>
          <w:b/>
        </w:rPr>
        <w:t>op:</w:t>
      </w:r>
      <w:r w:rsidR="00170B51" w:rsidRPr="00691B93">
        <w:rPr>
          <w:b/>
          <w:i/>
        </w:rPr>
        <w:t xml:space="preserve"> Aedes aegypti </w:t>
      </w:r>
      <w:r>
        <w:rPr>
          <w:b/>
        </w:rPr>
        <w:t>B</w:t>
      </w:r>
      <w:r w:rsidR="00170B51" w:rsidRPr="00691B93">
        <w:rPr>
          <w:b/>
        </w:rPr>
        <w:t xml:space="preserve">ottom: </w:t>
      </w:r>
      <w:r w:rsidR="00170B51" w:rsidRPr="00691B93">
        <w:rPr>
          <w:b/>
          <w:i/>
        </w:rPr>
        <w:t>Aedes albopictus</w:t>
      </w:r>
    </w:p>
    <w:p w14:paraId="6BB1B9A6" w14:textId="77777777" w:rsidR="00E979B5" w:rsidRPr="00691B93" w:rsidRDefault="00E979B5" w:rsidP="00DF350D">
      <w:pPr>
        <w:spacing w:line="480" w:lineRule="auto"/>
        <w:ind w:firstLine="720"/>
      </w:pPr>
    </w:p>
    <w:p w14:paraId="43059A73" w14:textId="3D93EBC9" w:rsidR="00210A61" w:rsidRDefault="00210A61" w:rsidP="00204D08">
      <w:pPr>
        <w:spacing w:line="480" w:lineRule="auto"/>
        <w:ind w:firstLine="720"/>
      </w:pPr>
      <w:r>
        <w:t>Mosquito dis</w:t>
      </w:r>
      <w:r w:rsidR="00204D08">
        <w:t>tributions are highly dynamic and</w:t>
      </w:r>
      <w:r>
        <w:t xml:space="preserve"> respond quickly to new opportunities. New opportunities can come in the form of overcoming dispersal barriers to colonize new areas, such as hitching rides in shipping vessels</w:t>
      </w:r>
      <w:r w:rsidR="00BD33B2">
        <w:rPr>
          <w:vertAlign w:val="superscript"/>
        </w:rPr>
        <w:t>11</w:t>
      </w:r>
      <w:r>
        <w:t>. Other opportunities are ready expansion into new areas as conditions positively change for mosquito biology, which is happening as climates change</w:t>
      </w:r>
      <w:r w:rsidR="00BD33B2">
        <w:rPr>
          <w:vertAlign w:val="superscript"/>
        </w:rPr>
        <w:t>11</w:t>
      </w:r>
      <w:r>
        <w:t>. Finally, there are dynamic inter</w:t>
      </w:r>
      <w:r w:rsidR="00204D08">
        <w:t>actions and potential competitive</w:t>
      </w:r>
      <w:r>
        <w:t xml:space="preserve"> exclusion between the two species. In cases such as Australia, </w:t>
      </w:r>
      <w:r>
        <w:rPr>
          <w:i/>
        </w:rPr>
        <w:lastRenderedPageBreak/>
        <w:t>A.albopictus</w:t>
      </w:r>
      <w:r>
        <w:t xml:space="preserve"> has been introduced, but not established in four s</w:t>
      </w:r>
      <w:r w:rsidR="00316062">
        <w:t>t</w:t>
      </w:r>
      <w:r>
        <w:t>ates</w:t>
      </w:r>
      <w:r w:rsidR="00BD33B2">
        <w:rPr>
          <w:vertAlign w:val="superscript"/>
        </w:rPr>
        <w:t>11</w:t>
      </w:r>
      <w:r>
        <w:t xml:space="preserve">. Meanwhile </w:t>
      </w:r>
      <w:r w:rsidRPr="00210A61">
        <w:rPr>
          <w:i/>
        </w:rPr>
        <w:t>A.aegytpi</w:t>
      </w:r>
      <w:r>
        <w:t xml:space="preserve"> has been established in Australia</w:t>
      </w:r>
      <w:r w:rsidR="00BD33B2">
        <w:rPr>
          <w:vertAlign w:val="superscript"/>
        </w:rPr>
        <w:t>11</w:t>
      </w:r>
      <w:r>
        <w:t>.</w:t>
      </w:r>
    </w:p>
    <w:p w14:paraId="39DC35B3" w14:textId="12F4D906" w:rsidR="00BD33B2" w:rsidRDefault="00BD33B2" w:rsidP="00210A61">
      <w:pPr>
        <w:spacing w:line="480" w:lineRule="auto"/>
      </w:pPr>
      <w:r>
        <w:tab/>
        <w:t xml:space="preserve">The urban dwelling of the </w:t>
      </w:r>
      <w:r>
        <w:rPr>
          <w:i/>
        </w:rPr>
        <w:t xml:space="preserve">Aedes </w:t>
      </w:r>
      <w:r>
        <w:t>mosquitos is a large part of the DENV transmission. The virus is not transmitted person-to-person, but vector-to-person-to-vector</w:t>
      </w:r>
      <w:r w:rsidR="00BC6982">
        <w:rPr>
          <w:vertAlign w:val="superscript"/>
        </w:rPr>
        <w:t>2</w:t>
      </w:r>
      <w:r>
        <w:t>. There are no important intermediate hosts. Those people who become infected are both primary carriers and viral multipliers</w:t>
      </w:r>
      <w:r w:rsidR="003F2547">
        <w:rPr>
          <w:vertAlign w:val="superscript"/>
        </w:rPr>
        <w:t>2</w:t>
      </w:r>
      <w:r>
        <w:t>. When a person is experiencing viremia, or high virus load, and is bitten by a mosquito, the mosquito may become infected</w:t>
      </w:r>
      <w:r w:rsidR="003F2547">
        <w:t xml:space="preserve"> for life</w:t>
      </w:r>
      <w:r w:rsidR="003F2547">
        <w:rPr>
          <w:vertAlign w:val="superscript"/>
        </w:rPr>
        <w:t>2</w:t>
      </w:r>
      <w:r>
        <w:t>. Viremia typically happens four to five days after infection, but can last up to twelve days</w:t>
      </w:r>
      <w:r w:rsidR="003F2547">
        <w:rPr>
          <w:vertAlign w:val="superscript"/>
        </w:rPr>
        <w:t>2</w:t>
      </w:r>
      <w:r>
        <w:t>. The infected mos</w:t>
      </w:r>
      <w:r w:rsidR="00BC6982">
        <w:t>quito spends 4-10 days in an incubation period with the virus</w:t>
      </w:r>
      <w:r w:rsidR="003F2547">
        <w:rPr>
          <w:vertAlign w:val="superscript"/>
        </w:rPr>
        <w:t>2</w:t>
      </w:r>
      <w:r w:rsidR="00BC6982">
        <w:t xml:space="preserve">. After the period, it will </w:t>
      </w:r>
      <w:r>
        <w:t>bite a new host and</w:t>
      </w:r>
      <w:r w:rsidR="00BC6982">
        <w:t xml:space="preserve"> </w:t>
      </w:r>
      <w:r>
        <w:t xml:space="preserve">will </w:t>
      </w:r>
      <w:r w:rsidR="00BC6982">
        <w:t>continue the transmission cycle (Figure 2)</w:t>
      </w:r>
      <w:r w:rsidR="003F2547">
        <w:rPr>
          <w:vertAlign w:val="superscript"/>
        </w:rPr>
        <w:t>2</w:t>
      </w:r>
      <w:r w:rsidR="00BC6982">
        <w:t>.</w:t>
      </w:r>
    </w:p>
    <w:p w14:paraId="0202FC42" w14:textId="55936D06" w:rsidR="00BC6982" w:rsidRPr="00BD33B2" w:rsidRDefault="00BC6982" w:rsidP="00BC6982">
      <w:pPr>
        <w:spacing w:line="480" w:lineRule="auto"/>
        <w:ind w:left="1440"/>
      </w:pPr>
      <w:r>
        <w:rPr>
          <w:noProof/>
        </w:rPr>
        <w:drawing>
          <wp:inline distT="0" distB="0" distL="0" distR="0" wp14:anchorId="13CA7366" wp14:editId="70686BF5">
            <wp:extent cx="4829175" cy="2595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gue-fever-transmission.jpg"/>
                    <pic:cNvPicPr/>
                  </pic:nvPicPr>
                  <pic:blipFill>
                    <a:blip r:embed="rId12">
                      <a:extLst>
                        <a:ext uri="{28A0092B-C50C-407E-A947-70E740481C1C}">
                          <a14:useLocalDpi xmlns:a14="http://schemas.microsoft.com/office/drawing/2010/main" val="0"/>
                        </a:ext>
                      </a:extLst>
                    </a:blip>
                    <a:stretch>
                      <a:fillRect/>
                    </a:stretch>
                  </pic:blipFill>
                  <pic:spPr>
                    <a:xfrm>
                      <a:off x="0" y="0"/>
                      <a:ext cx="4831836" cy="2596675"/>
                    </a:xfrm>
                    <a:prstGeom prst="rect">
                      <a:avLst/>
                    </a:prstGeom>
                  </pic:spPr>
                </pic:pic>
              </a:graphicData>
            </a:graphic>
          </wp:inline>
        </w:drawing>
      </w:r>
    </w:p>
    <w:p w14:paraId="76BC8CE0" w14:textId="22E6B84F" w:rsidR="00210A61" w:rsidRPr="00BC6982" w:rsidRDefault="00BC6982" w:rsidP="009B7498">
      <w:pPr>
        <w:spacing w:line="480" w:lineRule="auto"/>
        <w:ind w:left="2160" w:firstLine="720"/>
        <w:outlineLvl w:val="0"/>
        <w:rPr>
          <w:b/>
        </w:rPr>
      </w:pPr>
      <w:r w:rsidRPr="00BC6982">
        <w:rPr>
          <w:b/>
        </w:rPr>
        <w:t>Figure 2.</w:t>
      </w:r>
      <w:r w:rsidRPr="00691B93">
        <w:rPr>
          <w:b/>
        </w:rPr>
        <w:t xml:space="preserve"> Dengue Transmission Cycle</w:t>
      </w:r>
    </w:p>
    <w:p w14:paraId="0D484C4A" w14:textId="77777777" w:rsidR="00FC6577" w:rsidRPr="00A33FEB" w:rsidRDefault="00FC6577" w:rsidP="00C31843">
      <w:pPr>
        <w:spacing w:line="480" w:lineRule="auto"/>
        <w:ind w:firstLine="720"/>
      </w:pPr>
    </w:p>
    <w:p w14:paraId="571E4620" w14:textId="77777777" w:rsidR="00F842DE" w:rsidRDefault="00EB090D" w:rsidP="009B7498">
      <w:pPr>
        <w:spacing w:line="480" w:lineRule="auto"/>
        <w:outlineLvl w:val="0"/>
        <w:rPr>
          <w:b/>
        </w:rPr>
      </w:pPr>
      <w:r>
        <w:rPr>
          <w:b/>
        </w:rPr>
        <w:t>Clinical</w:t>
      </w:r>
    </w:p>
    <w:p w14:paraId="280CB985" w14:textId="6EC9486C" w:rsidR="009836CF" w:rsidRDefault="009836CF" w:rsidP="009836CF">
      <w:pPr>
        <w:spacing w:line="480" w:lineRule="auto"/>
        <w:ind w:firstLine="720"/>
      </w:pPr>
      <w:r>
        <w:t xml:space="preserve">In 2008, the WHO </w:t>
      </w:r>
      <w:r w:rsidR="00204D08">
        <w:t xml:space="preserve">stated </w:t>
      </w:r>
      <w:r>
        <w:t xml:space="preserve">that </w:t>
      </w:r>
      <w:r w:rsidRPr="009836CF">
        <w:t xml:space="preserve">“dengue is one disease entity with different clinical presentations and often with unpredictable </w:t>
      </w:r>
      <w:r>
        <w:t>clinical evolution and outcome”</w:t>
      </w:r>
      <w:r>
        <w:rPr>
          <w:vertAlign w:val="superscript"/>
        </w:rPr>
        <w:t>13</w:t>
      </w:r>
      <w:r>
        <w:t>.</w:t>
      </w:r>
      <w:r w:rsidR="00823DA2">
        <w:t xml:space="preserve"> This </w:t>
      </w:r>
      <w:r w:rsidR="00823DA2">
        <w:lastRenderedPageBreak/>
        <w:t>statement highlights that dengue is difficult to identify in clinical-based surveillance systems.</w:t>
      </w:r>
      <w:r>
        <w:t xml:space="preserve"> </w:t>
      </w:r>
      <w:r w:rsidR="00823DA2">
        <w:t>Dengue infections present with a</w:t>
      </w:r>
      <w:r w:rsidR="001563EC">
        <w:t xml:space="preserve"> wide </w:t>
      </w:r>
      <w:r w:rsidR="00F842DE">
        <w:t>spread of symp</w:t>
      </w:r>
      <w:r>
        <w:t>toms and clinical presentations that</w:t>
      </w:r>
      <w:r w:rsidR="00F842DE">
        <w:t xml:space="preserve"> range from asymptomatic to self-limiting febrile illness to severe dengue</w:t>
      </w:r>
      <w:r w:rsidR="00F842DE">
        <w:rPr>
          <w:vertAlign w:val="superscript"/>
        </w:rPr>
        <w:t>12</w:t>
      </w:r>
      <w:r w:rsidR="00F842DE">
        <w:t xml:space="preserve">. </w:t>
      </w:r>
    </w:p>
    <w:p w14:paraId="0B79EE50" w14:textId="2AD02358" w:rsidR="00EB090D" w:rsidRDefault="00F842DE" w:rsidP="009836CF">
      <w:pPr>
        <w:spacing w:line="480" w:lineRule="auto"/>
        <w:ind w:firstLine="720"/>
      </w:pPr>
      <w:r>
        <w:t>Dengue is a self-limiting disease, meaning most of the time it will resolve itself with or without specific treatment, and has no long-term harmful effect on a person’s health</w:t>
      </w:r>
      <w:r>
        <w:rPr>
          <w:vertAlign w:val="superscript"/>
        </w:rPr>
        <w:t>13</w:t>
      </w:r>
      <w:r>
        <w:t>.</w:t>
      </w:r>
      <w:r w:rsidR="009836CF">
        <w:t xml:space="preserve"> Usually, dengue will only last a week, but</w:t>
      </w:r>
      <w:r w:rsidR="00823DA2">
        <w:t>, in</w:t>
      </w:r>
      <w:r w:rsidR="009836CF">
        <w:t xml:space="preserve"> some populations</w:t>
      </w:r>
      <w:r w:rsidR="00823DA2">
        <w:t>,</w:t>
      </w:r>
      <w:r w:rsidR="009836CF">
        <w:t xml:space="preserve"> </w:t>
      </w:r>
      <w:r w:rsidR="00823DA2">
        <w:t xml:space="preserve">the </w:t>
      </w:r>
      <w:r w:rsidR="009836CF">
        <w:t>symptoms</w:t>
      </w:r>
      <w:r w:rsidR="00823DA2">
        <w:t xml:space="preserve"> may</w:t>
      </w:r>
      <w:r w:rsidR="009836CF">
        <w:t xml:space="preserve"> stay longer. After an incubation period of 4-7 days, the illness begins and is followed by three phases: 1) febrile, </w:t>
      </w:r>
      <w:r w:rsidR="00384992">
        <w:t>2) critical</w:t>
      </w:r>
      <w:r w:rsidR="009836CF">
        <w:t xml:space="preserve">, and </w:t>
      </w:r>
      <w:r w:rsidR="00384992">
        <w:t>3) recovery</w:t>
      </w:r>
      <w:r w:rsidR="009836CF">
        <w:rPr>
          <w:vertAlign w:val="superscript"/>
        </w:rPr>
        <w:t>13</w:t>
      </w:r>
      <w:r w:rsidR="00A63A29">
        <w:rPr>
          <w:vertAlign w:val="superscript"/>
        </w:rPr>
        <w:t>,14</w:t>
      </w:r>
      <w:r w:rsidR="009836CF">
        <w:t>.</w:t>
      </w:r>
    </w:p>
    <w:p w14:paraId="17AD0C52" w14:textId="5D8AAAD8" w:rsidR="009836CF" w:rsidRDefault="009836CF" w:rsidP="009836CF">
      <w:pPr>
        <w:spacing w:line="480" w:lineRule="auto"/>
        <w:ind w:firstLine="720"/>
        <w:rPr>
          <w:vertAlign w:val="superscript"/>
        </w:rPr>
      </w:pPr>
      <w:r>
        <w:t xml:space="preserve">The febrile phase is the initial phase, and usually lasts 2-7 days. </w:t>
      </w:r>
      <w:r w:rsidR="00A63A29">
        <w:t>The onset is marked by a sudden high-grade fever, and if often accompanied by flushing, rashes, fatigue, severe joint and muscle pains, and severe headaches</w:t>
      </w:r>
      <w:r w:rsidR="00A63A29">
        <w:rPr>
          <w:vertAlign w:val="superscript"/>
        </w:rPr>
        <w:t>14</w:t>
      </w:r>
      <w:r w:rsidR="00A63A29">
        <w:t>. Some patients have symptoms in the gastrointestinal area with anorexia, nausea and vomiting</w:t>
      </w:r>
      <w:r w:rsidR="00A63A29">
        <w:rPr>
          <w:vertAlign w:val="superscript"/>
        </w:rPr>
        <w:t>13</w:t>
      </w:r>
      <w:r w:rsidR="00A63A29">
        <w:t>.</w:t>
      </w:r>
      <w:r w:rsidR="00384992">
        <w:t xml:space="preserve"> A full blood count should be done at the first visit to check the</w:t>
      </w:r>
      <w:r w:rsidR="003F176F">
        <w:t xml:space="preserve"> hematocrit, or</w:t>
      </w:r>
      <w:r w:rsidR="00384992">
        <w:t xml:space="preserve"> red blood cells</w:t>
      </w:r>
      <w:r w:rsidR="003F176F">
        <w:t>, levels</w:t>
      </w:r>
      <w:r w:rsidR="00384992">
        <w:t xml:space="preserve"> and platelets in the blood</w:t>
      </w:r>
      <w:r w:rsidR="00384992">
        <w:rPr>
          <w:vertAlign w:val="superscript"/>
        </w:rPr>
        <w:t>13</w:t>
      </w:r>
      <w:r w:rsidR="00384992">
        <w:t>.  Low platelets and high viremia are present during the febrile stage.</w:t>
      </w:r>
      <w:r w:rsidR="00384992">
        <w:rPr>
          <w:vertAlign w:val="superscript"/>
        </w:rPr>
        <w:t>1</w:t>
      </w:r>
      <w:r w:rsidR="001C4316">
        <w:rPr>
          <w:vertAlign w:val="superscript"/>
        </w:rPr>
        <w:t>,1</w:t>
      </w:r>
      <w:r w:rsidR="00384992">
        <w:rPr>
          <w:vertAlign w:val="superscript"/>
        </w:rPr>
        <w:t>3</w:t>
      </w:r>
    </w:p>
    <w:p w14:paraId="5FAB4920" w14:textId="77777777" w:rsidR="00316062" w:rsidRDefault="003F176F" w:rsidP="009836CF">
      <w:pPr>
        <w:spacing w:line="480" w:lineRule="auto"/>
        <w:ind w:firstLine="720"/>
      </w:pPr>
      <w:r>
        <w:t>The critical phase starts when the fever breaks, usually on days 3-7 of illness.</w:t>
      </w:r>
      <w:r w:rsidR="00AF428F">
        <w:t xml:space="preserve"> Progressive white blood cell reduction happens followed by platelet reduction</w:t>
      </w:r>
      <w:r w:rsidR="00AF428F">
        <w:rPr>
          <w:vertAlign w:val="superscript"/>
        </w:rPr>
        <w:t>13</w:t>
      </w:r>
      <w:r w:rsidR="00AF428F">
        <w:t>. T</w:t>
      </w:r>
      <w:r>
        <w:t xml:space="preserve">he blood capillary walls </w:t>
      </w:r>
      <w:r w:rsidR="00AF428F">
        <w:t xml:space="preserve">increase in permeability, shown </w:t>
      </w:r>
      <w:r>
        <w:t xml:space="preserve">with </w:t>
      </w:r>
      <w:r w:rsidR="00AF428F">
        <w:t>rising hematocrit and decreasing platelet levels</w:t>
      </w:r>
      <w:r w:rsidR="00AF428F">
        <w:rPr>
          <w:vertAlign w:val="superscript"/>
        </w:rPr>
        <w:t>13</w:t>
      </w:r>
      <w:r w:rsidR="00AF428F">
        <w:t>. For 24-48 hours, a period of clinically significant plasma leakage occurs, and then resolves</w:t>
      </w:r>
      <w:r w:rsidR="00AF428F">
        <w:rPr>
          <w:vertAlign w:val="superscript"/>
        </w:rPr>
        <w:t>13</w:t>
      </w:r>
      <w:r w:rsidR="00AF428F">
        <w:t>.</w:t>
      </w:r>
      <w:r w:rsidR="008F3887">
        <w:t xml:space="preserve"> Depending on the </w:t>
      </w:r>
      <w:r w:rsidR="00316062">
        <w:t>degree</w:t>
      </w:r>
      <w:r w:rsidR="008F3887">
        <w:t xml:space="preserve"> of plasma leakage, fluid buildups between the lungs and chest as well as the abdomen can be detected.</w:t>
      </w:r>
      <w:r w:rsidR="00AF428F">
        <w:t xml:space="preserve"> In a small percentage of cases, symptoms may progress to internal bleeding and shock, which are hallmarks of severe dengue, DHF, and dengue shock syndrome (DSS)</w:t>
      </w:r>
      <w:r w:rsidR="00AF428F">
        <w:rPr>
          <w:vertAlign w:val="superscript"/>
        </w:rPr>
        <w:t>13</w:t>
      </w:r>
      <w:r w:rsidR="00AF428F">
        <w:t xml:space="preserve">. </w:t>
      </w:r>
    </w:p>
    <w:p w14:paraId="46F72B1C" w14:textId="41604AC2" w:rsidR="00194A54" w:rsidRDefault="00316062" w:rsidP="00316062">
      <w:pPr>
        <w:spacing w:line="480" w:lineRule="auto"/>
        <w:ind w:firstLine="720"/>
      </w:pPr>
      <w:r>
        <w:lastRenderedPageBreak/>
        <w:t>Diseases progression depends upon</w:t>
      </w:r>
      <w:r w:rsidR="00AF428F">
        <w:t xml:space="preserve"> how patients do with capillary permeability.</w:t>
      </w:r>
      <w:r>
        <w:t xml:space="preserve"> </w:t>
      </w:r>
      <w:r w:rsidR="00194A54">
        <w:t>If the patient survives the critical phase, they move on to the recovery phase. This phase is marked by the gradual reabsorption of fluid lost during capillary permeability for 48-72 hours</w:t>
      </w:r>
      <w:r w:rsidR="00194A54">
        <w:rPr>
          <w:vertAlign w:val="superscript"/>
        </w:rPr>
        <w:t>13</w:t>
      </w:r>
      <w:r w:rsidR="00194A54">
        <w:t>. General well-being and appetite improve, gastrointestinal symptoms stop, and blood levels return to normal</w:t>
      </w:r>
      <w:r w:rsidR="00194A54">
        <w:rPr>
          <w:vertAlign w:val="superscript"/>
        </w:rPr>
        <w:t>13</w:t>
      </w:r>
      <w:r w:rsidR="00194A54">
        <w:t>. If too many intravenous fluids have been delivered, respiratory distress can happen in either the critical or recovery phase, and is associated with pulmonary edema or congestive heart failure</w:t>
      </w:r>
      <w:r w:rsidR="00194A54">
        <w:rPr>
          <w:vertAlign w:val="superscript"/>
        </w:rPr>
        <w:t>13</w:t>
      </w:r>
      <w:r w:rsidR="00194A54">
        <w:t xml:space="preserve">. </w:t>
      </w:r>
    </w:p>
    <w:p w14:paraId="13368E72" w14:textId="388546C6" w:rsidR="00A76676" w:rsidRDefault="00A76676" w:rsidP="009836CF">
      <w:pPr>
        <w:spacing w:line="480" w:lineRule="auto"/>
        <w:ind w:firstLine="720"/>
      </w:pPr>
      <w:r>
        <w:t>If the patient does not do w</w:t>
      </w:r>
      <w:r w:rsidR="00823DA2">
        <w:t>ell in the critical</w:t>
      </w:r>
      <w:r>
        <w:t xml:space="preserve"> phase, they can progress to severe dengue. Severe dengue is defined by one or more of the following: 1) plasma leakage that may lead to shock and/or fluid accumulation, with or without respiratory distress </w:t>
      </w:r>
      <w:r w:rsidR="00823DA2">
        <w:t>2) severe</w:t>
      </w:r>
      <w:r>
        <w:t xml:space="preserve"> bleeding </w:t>
      </w:r>
      <w:r w:rsidR="00823DA2">
        <w:t>3) severe</w:t>
      </w:r>
      <w:r>
        <w:t xml:space="preserve"> organ impairment</w:t>
      </w:r>
      <w:r>
        <w:rPr>
          <w:vertAlign w:val="superscript"/>
        </w:rPr>
        <w:t>13</w:t>
      </w:r>
      <w:r>
        <w:t>.</w:t>
      </w:r>
    </w:p>
    <w:p w14:paraId="3D36750F" w14:textId="7D4B5520" w:rsidR="00A76676" w:rsidRDefault="00A76676" w:rsidP="009836CF">
      <w:pPr>
        <w:spacing w:line="480" w:lineRule="auto"/>
        <w:ind w:firstLine="720"/>
      </w:pPr>
      <w:r>
        <w:t>Shock happens as dengue vascular permeability increases and the amount of liquid in the blood decreases during the critical phase after the fever breaks. Warning signs usually come before this happens. Initially the patient will have a normal systolic</w:t>
      </w:r>
      <w:r w:rsidR="0038225E">
        <w:t xml:space="preserve"> and rising diastolic </w:t>
      </w:r>
      <w:r>
        <w:t xml:space="preserve">blood pressure, increased heart rate, cold extremities and delayed capillary refill time do to constricted </w:t>
      </w:r>
      <w:r w:rsidR="0038225E">
        <w:t>peripheral</w:t>
      </w:r>
      <w:r>
        <w:t xml:space="preserve"> blood vessels.</w:t>
      </w:r>
      <w:r w:rsidR="0038225E">
        <w:t xml:space="preserve"> The patient is usually conscious and lucid. Later, both pulse and blood pressure sudden</w:t>
      </w:r>
      <w:r w:rsidR="00316062">
        <w:t>ly disappear. The prolonged shoc</w:t>
      </w:r>
      <w:r w:rsidR="0038225E">
        <w:t xml:space="preserve">k and oxygen deficiency can lead to multi-organ failure. </w:t>
      </w:r>
    </w:p>
    <w:p w14:paraId="670F7DD1" w14:textId="7658389B" w:rsidR="0038225E" w:rsidRDefault="0038225E" w:rsidP="009836CF">
      <w:pPr>
        <w:spacing w:line="480" w:lineRule="auto"/>
        <w:ind w:firstLine="720"/>
      </w:pPr>
      <w:r>
        <w:t xml:space="preserve">Major bleeding is usually associated with profound shock. This is because there is a combination of shock, oxygen deficiency, rising blood acidity, </w:t>
      </w:r>
      <w:r w:rsidR="00894A1C">
        <w:t xml:space="preserve">and </w:t>
      </w:r>
      <w:r>
        <w:t>platelets</w:t>
      </w:r>
      <w:r w:rsidR="00894A1C">
        <w:t xml:space="preserve"> decreasing</w:t>
      </w:r>
      <w:r w:rsidR="00894A1C">
        <w:rPr>
          <w:vertAlign w:val="superscript"/>
        </w:rPr>
        <w:t>13</w:t>
      </w:r>
      <w:r>
        <w:t>. This then leads to multiple organ failures and abnormal clumps of blood clots inside blood vessels using up clotting factors so that bleeding can happen elsewhere.</w:t>
      </w:r>
      <w:r w:rsidR="00894A1C">
        <w:t xml:space="preserve"> The only way </w:t>
      </w:r>
      <w:r w:rsidR="00894A1C">
        <w:lastRenderedPageBreak/>
        <w:t xml:space="preserve">major bleeding </w:t>
      </w:r>
      <w:r>
        <w:t>would not be associated with shock is if an infected person took</w:t>
      </w:r>
      <w:r w:rsidR="00894A1C">
        <w:t xml:space="preserve"> aspirin, ibuprofen or anything other then acetaminophen</w:t>
      </w:r>
      <w:r w:rsidR="00894A1C">
        <w:rPr>
          <w:vertAlign w:val="superscript"/>
        </w:rPr>
        <w:t>13</w:t>
      </w:r>
      <w:r w:rsidR="00894A1C">
        <w:t>.</w:t>
      </w:r>
    </w:p>
    <w:p w14:paraId="1BBA3882" w14:textId="7A769865" w:rsidR="00321D5C" w:rsidRDefault="00F67415" w:rsidP="009836CF">
      <w:pPr>
        <w:spacing w:line="480" w:lineRule="auto"/>
        <w:ind w:firstLine="720"/>
      </w:pPr>
      <w:r>
        <w:t>In 2009, the WHO revise</w:t>
      </w:r>
      <w:r w:rsidR="00823DA2">
        <w:t>d its case definitions of dengue</w:t>
      </w:r>
      <w:r>
        <w:t xml:space="preserve">. </w:t>
      </w:r>
      <w:r w:rsidR="00823DA2">
        <w:t>Earlier</w:t>
      </w:r>
      <w:r w:rsidR="00321D5C">
        <w:t xml:space="preserve"> case classifications had dengue fever (DF), DHF (grades 1 and 2) and DSS (DHF grades 3 and 4)</w:t>
      </w:r>
      <w:r w:rsidR="00321D5C">
        <w:rPr>
          <w:vertAlign w:val="superscript"/>
        </w:rPr>
        <w:t xml:space="preserve"> </w:t>
      </w:r>
      <w:r w:rsidR="00321D5C">
        <w:t>(see Figure 3)</w:t>
      </w:r>
      <w:r w:rsidR="00391CA8" w:rsidRPr="00391CA8">
        <w:rPr>
          <w:vertAlign w:val="superscript"/>
        </w:rPr>
        <w:t xml:space="preserve"> </w:t>
      </w:r>
      <w:r w:rsidR="00391CA8">
        <w:rPr>
          <w:vertAlign w:val="superscript"/>
        </w:rPr>
        <w:t>13,15</w:t>
      </w:r>
      <w:r w:rsidR="00321D5C">
        <w:t xml:space="preserve">. </w:t>
      </w:r>
      <w:r w:rsidR="00316062">
        <w:t xml:space="preserve"> The top figure shows the classification system from dengue viral infection to different components of DF, and DHF. The bottom figure </w:t>
      </w:r>
      <w:r w:rsidR="008E2280">
        <w:t xml:space="preserve">highlights the signs and symptoms and laboratory tests for DF and DHF, and the different stages of DHF. </w:t>
      </w:r>
      <w:r w:rsidR="00D712EC">
        <w:t xml:space="preserve">The main difference between DF and DHF were the presence of thrombocytopenia with concurrent haemoconcentration. </w:t>
      </w:r>
      <w:r w:rsidR="00321D5C">
        <w:t>There were numerous limitation</w:t>
      </w:r>
      <w:r w:rsidR="001E58B1">
        <w:t>s</w:t>
      </w:r>
      <w:r w:rsidR="00321D5C">
        <w:t xml:space="preserve"> of this classification system. </w:t>
      </w:r>
      <w:r w:rsidR="00823DA2">
        <w:t>First, i</w:t>
      </w:r>
      <w:r w:rsidR="00321D5C">
        <w:t xml:space="preserve">t was based on Thai children, which was not universally representative of all dengue patients, especially as more adults and adolescents are stricken with dengue. </w:t>
      </w:r>
      <w:r w:rsidR="00823DA2">
        <w:t>Second, t</w:t>
      </w:r>
      <w:r w:rsidR="00321D5C">
        <w:t>he classifications required repetitive clinical tests, which can be difficult for cash-strapped countries to perform</w:t>
      </w:r>
      <w:r w:rsidR="00391CA8">
        <w:rPr>
          <w:vertAlign w:val="superscript"/>
        </w:rPr>
        <w:t>15</w:t>
      </w:r>
      <w:r w:rsidR="00321D5C">
        <w:t>. Finally, the tourniquet test was integral to the case classifications, but didn’t effectively determine between DF, and DHF, as well as dengue and other febrile illnesses</w:t>
      </w:r>
      <w:r w:rsidR="00391CA8">
        <w:rPr>
          <w:vertAlign w:val="superscript"/>
        </w:rPr>
        <w:t>15</w:t>
      </w:r>
      <w:r w:rsidR="00321D5C">
        <w:t>.</w:t>
      </w:r>
    </w:p>
    <w:p w14:paraId="3587ED46" w14:textId="77777777" w:rsidR="00691B93" w:rsidRDefault="00691B93" w:rsidP="009836CF">
      <w:pPr>
        <w:spacing w:line="480" w:lineRule="auto"/>
        <w:ind w:firstLine="720"/>
      </w:pPr>
    </w:p>
    <w:p w14:paraId="3AA67058" w14:textId="77777777" w:rsidR="00691B93" w:rsidRDefault="00691B93" w:rsidP="009836CF">
      <w:pPr>
        <w:spacing w:line="480" w:lineRule="auto"/>
        <w:ind w:firstLine="720"/>
      </w:pPr>
    </w:p>
    <w:p w14:paraId="1E30B89C" w14:textId="77777777" w:rsidR="00691B93" w:rsidRDefault="00691B93" w:rsidP="009836CF">
      <w:pPr>
        <w:spacing w:line="480" w:lineRule="auto"/>
        <w:ind w:firstLine="720"/>
      </w:pPr>
    </w:p>
    <w:p w14:paraId="4E270DF1" w14:textId="77777777" w:rsidR="00691B93" w:rsidRDefault="00691B93" w:rsidP="009836CF">
      <w:pPr>
        <w:spacing w:line="480" w:lineRule="auto"/>
        <w:ind w:firstLine="720"/>
      </w:pPr>
    </w:p>
    <w:p w14:paraId="4B4EA526" w14:textId="77777777" w:rsidR="00691B93" w:rsidRDefault="00691B93" w:rsidP="009836CF">
      <w:pPr>
        <w:spacing w:line="480" w:lineRule="auto"/>
        <w:ind w:firstLine="720"/>
      </w:pPr>
    </w:p>
    <w:p w14:paraId="23229167" w14:textId="77777777" w:rsidR="00691B93" w:rsidRDefault="00691B93" w:rsidP="009836CF">
      <w:pPr>
        <w:spacing w:line="480" w:lineRule="auto"/>
        <w:ind w:firstLine="720"/>
      </w:pPr>
    </w:p>
    <w:p w14:paraId="0030D3CB" w14:textId="77777777" w:rsidR="00691B93" w:rsidRDefault="00691B93" w:rsidP="009836CF">
      <w:pPr>
        <w:spacing w:line="480" w:lineRule="auto"/>
        <w:ind w:firstLine="720"/>
      </w:pPr>
    </w:p>
    <w:p w14:paraId="2265ED7B" w14:textId="77777777" w:rsidR="00691B93" w:rsidRDefault="00691B93" w:rsidP="008E2280">
      <w:pPr>
        <w:spacing w:line="480" w:lineRule="auto"/>
      </w:pPr>
    </w:p>
    <w:p w14:paraId="55EE7663" w14:textId="3CC70E96" w:rsidR="00E979B5" w:rsidRDefault="00E979B5" w:rsidP="00C358CD">
      <w:pPr>
        <w:spacing w:line="480" w:lineRule="auto"/>
      </w:pPr>
      <w:r>
        <w:rPr>
          <w:noProof/>
        </w:rPr>
        <w:lastRenderedPageBreak/>
        <w:drawing>
          <wp:inline distT="0" distB="0" distL="0" distR="0" wp14:anchorId="705E8629" wp14:editId="37A7D5EF">
            <wp:extent cx="5819775" cy="1658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97 classific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91805" cy="1707648"/>
                    </a:xfrm>
                    <a:prstGeom prst="rect">
                      <a:avLst/>
                    </a:prstGeom>
                  </pic:spPr>
                </pic:pic>
              </a:graphicData>
            </a:graphic>
          </wp:inline>
        </w:drawing>
      </w:r>
    </w:p>
    <w:p w14:paraId="20F71937" w14:textId="77777777" w:rsidR="00E979B5" w:rsidRDefault="00E979B5" w:rsidP="009836CF">
      <w:pPr>
        <w:spacing w:line="480" w:lineRule="auto"/>
        <w:ind w:firstLine="720"/>
      </w:pPr>
    </w:p>
    <w:p w14:paraId="3386E6CE" w14:textId="4140F05A" w:rsidR="00992B00" w:rsidRDefault="001E58B1" w:rsidP="00C358CD">
      <w:pPr>
        <w:tabs>
          <w:tab w:val="left" w:pos="1530"/>
        </w:tabs>
        <w:spacing w:line="480" w:lineRule="auto"/>
      </w:pPr>
      <w:r w:rsidRPr="001E58B1">
        <w:rPr>
          <w:noProof/>
        </w:rPr>
        <w:drawing>
          <wp:inline distT="0" distB="0" distL="0" distR="0" wp14:anchorId="7DE3B147" wp14:editId="5E5243DD">
            <wp:extent cx="6035040" cy="4431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0" cy="4431030"/>
                    </a:xfrm>
                    <a:prstGeom prst="rect">
                      <a:avLst/>
                    </a:prstGeom>
                  </pic:spPr>
                </pic:pic>
              </a:graphicData>
            </a:graphic>
          </wp:inline>
        </w:drawing>
      </w:r>
    </w:p>
    <w:p w14:paraId="4523B5EF" w14:textId="6B55EB4D" w:rsidR="00915504" w:rsidRDefault="00391CA8" w:rsidP="00D7181B">
      <w:pPr>
        <w:ind w:left="720"/>
        <w:jc w:val="center"/>
        <w:rPr>
          <w:b/>
        </w:rPr>
      </w:pPr>
      <w:r w:rsidRPr="00391CA8">
        <w:rPr>
          <w:b/>
        </w:rPr>
        <w:t>Figure 3.</w:t>
      </w:r>
      <w:r>
        <w:t xml:space="preserve"> </w:t>
      </w:r>
      <w:r w:rsidR="008F6073">
        <w:rPr>
          <w:b/>
        </w:rPr>
        <w:t>1997</w:t>
      </w:r>
      <w:bookmarkStart w:id="0" w:name="_GoBack"/>
      <w:bookmarkEnd w:id="0"/>
      <w:r w:rsidR="007A0451">
        <w:rPr>
          <w:b/>
        </w:rPr>
        <w:t xml:space="preserve"> </w:t>
      </w:r>
      <w:r w:rsidRPr="00691B93">
        <w:rPr>
          <w:b/>
        </w:rPr>
        <w:t xml:space="preserve">WHO </w:t>
      </w:r>
      <w:r w:rsidR="001F3A86" w:rsidRPr="00691B93">
        <w:rPr>
          <w:b/>
        </w:rPr>
        <w:t>Classific</w:t>
      </w:r>
      <w:r w:rsidR="002252DF">
        <w:rPr>
          <w:b/>
        </w:rPr>
        <w:t>ation o</w:t>
      </w:r>
      <w:r w:rsidR="001F3A86">
        <w:rPr>
          <w:b/>
        </w:rPr>
        <w:t>f Dengue Virus Infection</w:t>
      </w:r>
    </w:p>
    <w:p w14:paraId="62FFA9DB" w14:textId="77777777" w:rsidR="00915504" w:rsidRDefault="00915504" w:rsidP="00691B93">
      <w:pPr>
        <w:ind w:left="720"/>
        <w:rPr>
          <w:b/>
        </w:rPr>
      </w:pPr>
    </w:p>
    <w:p w14:paraId="44DB9D55" w14:textId="1595B8BB" w:rsidR="00321D5C" w:rsidRDefault="00915504" w:rsidP="00D7181B">
      <w:pPr>
        <w:ind w:left="720"/>
        <w:jc w:val="center"/>
      </w:pPr>
      <w:r>
        <w:rPr>
          <w:b/>
        </w:rPr>
        <w:t>T</w:t>
      </w:r>
      <w:r w:rsidR="00E979B5" w:rsidRPr="00691B93">
        <w:rPr>
          <w:b/>
        </w:rPr>
        <w:t>op</w:t>
      </w:r>
      <w:r w:rsidR="001F3A86" w:rsidRPr="00691B93">
        <w:rPr>
          <w:b/>
        </w:rPr>
        <w:t>: General Classification</w:t>
      </w:r>
      <w:r w:rsidR="001F3A86">
        <w:rPr>
          <w:b/>
        </w:rPr>
        <w:t xml:space="preserve">    B</w:t>
      </w:r>
      <w:r w:rsidR="001F3A86" w:rsidRPr="00691B93">
        <w:rPr>
          <w:b/>
        </w:rPr>
        <w:t xml:space="preserve">ottom: Grades Of </w:t>
      </w:r>
      <w:r w:rsidR="001E58B1" w:rsidRPr="00691B93">
        <w:rPr>
          <w:b/>
        </w:rPr>
        <w:t>DF</w:t>
      </w:r>
      <w:r w:rsidR="001F3A86" w:rsidRPr="00691B93">
        <w:rPr>
          <w:b/>
        </w:rPr>
        <w:t>/</w:t>
      </w:r>
      <w:r w:rsidR="001E58B1" w:rsidRPr="00691B93">
        <w:rPr>
          <w:b/>
        </w:rPr>
        <w:t>DHF</w:t>
      </w:r>
      <w:r w:rsidR="001F3A86" w:rsidRPr="00691B93">
        <w:rPr>
          <w:b/>
        </w:rPr>
        <w:t>/</w:t>
      </w:r>
      <w:r w:rsidR="001E58B1" w:rsidRPr="00691B93">
        <w:rPr>
          <w:b/>
        </w:rPr>
        <w:t>DSS</w:t>
      </w:r>
    </w:p>
    <w:p w14:paraId="382F8DD0" w14:textId="77777777" w:rsidR="00321D5C" w:rsidRDefault="00321D5C" w:rsidP="009836CF">
      <w:pPr>
        <w:spacing w:line="480" w:lineRule="auto"/>
        <w:ind w:firstLine="720"/>
      </w:pPr>
    </w:p>
    <w:p w14:paraId="0F9F318A" w14:textId="0E28F510" w:rsidR="00F67415" w:rsidRDefault="00823DA2" w:rsidP="009836CF">
      <w:pPr>
        <w:spacing w:line="480" w:lineRule="auto"/>
        <w:ind w:firstLine="720"/>
      </w:pPr>
      <w:r>
        <w:lastRenderedPageBreak/>
        <w:t>As a result</w:t>
      </w:r>
      <w:r w:rsidR="00391CA8">
        <w:t>, the WHO form</w:t>
      </w:r>
      <w:r w:rsidR="00E979B5">
        <w:t>ed</w:t>
      </w:r>
      <w:r w:rsidR="00391CA8">
        <w:t xml:space="preserve"> a study to evaluate the limitations of the 1997 criteria in all age groups in Southeast Asia and Latin America</w:t>
      </w:r>
      <w:r w:rsidR="00E23B12">
        <w:rPr>
          <w:vertAlign w:val="superscript"/>
        </w:rPr>
        <w:t>15</w:t>
      </w:r>
      <w:r w:rsidR="00391CA8">
        <w:t>. The results</w:t>
      </w:r>
      <w:r>
        <w:t xml:space="preserve"> of this review</w:t>
      </w:r>
      <w:r w:rsidR="00391CA8">
        <w:t xml:space="preserve"> formed the basis of the new 2009 WHO classification system. The new system </w:t>
      </w:r>
      <w:r w:rsidR="00F67415">
        <w:t>classified clinical dengue into three different categories</w:t>
      </w:r>
      <w:r w:rsidR="00321D5C">
        <w:t xml:space="preserve"> </w:t>
      </w:r>
      <w:r w:rsidR="00391CA8">
        <w:t xml:space="preserve">based </w:t>
      </w:r>
      <w:r w:rsidR="00321D5C">
        <w:t>on severity</w:t>
      </w:r>
      <w:r w:rsidR="00F67415">
        <w:t>: dengue without warning signs, dengue with warning signs, and severe dengue</w:t>
      </w:r>
      <w:r w:rsidR="00391CA8">
        <w:t xml:space="preserve"> (see Figure 4)</w:t>
      </w:r>
      <w:r w:rsidR="00E23B12">
        <w:rPr>
          <w:vertAlign w:val="superscript"/>
        </w:rPr>
        <w:t>15</w:t>
      </w:r>
      <w:r w:rsidR="00F67415">
        <w:t>.</w:t>
      </w:r>
      <w:r w:rsidR="00E23B12">
        <w:t xml:space="preserve"> The new classificat</w:t>
      </w:r>
      <w:r w:rsidR="008E2280">
        <w:t>ion is more sensitive to</w:t>
      </w:r>
      <w:r w:rsidR="00E23B12">
        <w:t xml:space="preserve"> capt</w:t>
      </w:r>
      <w:r>
        <w:t>ure severe disease then the earlier</w:t>
      </w:r>
      <w:r w:rsidR="00E23B12">
        <w:t xml:space="preserve"> guidelines. A multi-center study showed that even without stric</w:t>
      </w:r>
      <w:r>
        <w:t>t DHF criteria applied, the earlier</w:t>
      </w:r>
      <w:r w:rsidR="00E23B12">
        <w:t xml:space="preserve"> classification could not classify 14% of cases, compared to 1-6% in the 2009 system</w:t>
      </w:r>
      <w:r w:rsidR="00E23B12">
        <w:rPr>
          <w:vertAlign w:val="superscript"/>
        </w:rPr>
        <w:t>15</w:t>
      </w:r>
      <w:r w:rsidR="00E23B12">
        <w:t>. The new classification is found to be better with triage and clinical management of dengue, reporting during surveillance and endpoint measurements for clinical trials</w:t>
      </w:r>
      <w:r w:rsidR="00E23B12">
        <w:rPr>
          <w:vertAlign w:val="superscript"/>
        </w:rPr>
        <w:t>15</w:t>
      </w:r>
      <w:r w:rsidR="00E23B12">
        <w:t xml:space="preserve">. There has been some confusion over changes to the classification system. This can be remedied by giving healthcare workers more training in the new system, as well as </w:t>
      </w:r>
      <w:r w:rsidR="008E2280">
        <w:t xml:space="preserve">better dissemination of these criteria. </w:t>
      </w:r>
    </w:p>
    <w:p w14:paraId="235C7F6F" w14:textId="77777777" w:rsidR="00915504" w:rsidRDefault="00915504" w:rsidP="009836CF">
      <w:pPr>
        <w:spacing w:line="480" w:lineRule="auto"/>
        <w:ind w:firstLine="720"/>
      </w:pPr>
    </w:p>
    <w:p w14:paraId="59F72B0E" w14:textId="5E733390" w:rsidR="00E23B12" w:rsidRDefault="00E23B12" w:rsidP="009836CF">
      <w:pPr>
        <w:spacing w:line="480" w:lineRule="auto"/>
        <w:ind w:firstLine="720"/>
      </w:pPr>
      <w:r>
        <w:rPr>
          <w:noProof/>
        </w:rPr>
        <w:drawing>
          <wp:inline distT="0" distB="0" distL="0" distR="0" wp14:anchorId="048E1320" wp14:editId="2AB0070C">
            <wp:extent cx="5362575" cy="275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9 classific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3566" cy="2756409"/>
                    </a:xfrm>
                    <a:prstGeom prst="rect">
                      <a:avLst/>
                    </a:prstGeom>
                  </pic:spPr>
                </pic:pic>
              </a:graphicData>
            </a:graphic>
          </wp:inline>
        </w:drawing>
      </w:r>
    </w:p>
    <w:p w14:paraId="575E3AD7" w14:textId="78777442" w:rsidR="00996906" w:rsidRDefault="00E23B12" w:rsidP="002A5A13">
      <w:pPr>
        <w:spacing w:line="480" w:lineRule="auto"/>
        <w:ind w:firstLine="720"/>
        <w:jc w:val="center"/>
        <w:outlineLvl w:val="0"/>
      </w:pPr>
      <w:r w:rsidRPr="00E23B12">
        <w:rPr>
          <w:b/>
        </w:rPr>
        <w:t>Figure 4.</w:t>
      </w:r>
      <w:r>
        <w:t xml:space="preserve"> </w:t>
      </w:r>
      <w:r w:rsidR="00D7181B">
        <w:rPr>
          <w:b/>
        </w:rPr>
        <w:t>2009 WHO Dengue Case C</w:t>
      </w:r>
      <w:r w:rsidRPr="00915504">
        <w:rPr>
          <w:b/>
        </w:rPr>
        <w:t>lassification</w:t>
      </w:r>
    </w:p>
    <w:p w14:paraId="74A52F2C" w14:textId="71C16A2E" w:rsidR="001E58B1" w:rsidRDefault="001E58B1" w:rsidP="009B7498">
      <w:pPr>
        <w:spacing w:line="480" w:lineRule="auto"/>
        <w:outlineLvl w:val="0"/>
        <w:rPr>
          <w:b/>
        </w:rPr>
      </w:pPr>
      <w:r>
        <w:rPr>
          <w:b/>
        </w:rPr>
        <w:lastRenderedPageBreak/>
        <w:t xml:space="preserve">Primary and </w:t>
      </w:r>
      <w:r w:rsidR="001C4316">
        <w:rPr>
          <w:b/>
        </w:rPr>
        <w:t xml:space="preserve">Post-Primary </w:t>
      </w:r>
      <w:r>
        <w:rPr>
          <w:b/>
        </w:rPr>
        <w:t>Infections</w:t>
      </w:r>
    </w:p>
    <w:p w14:paraId="2BC902C7" w14:textId="544E2753" w:rsidR="001C4316" w:rsidRDefault="001C4316" w:rsidP="009836CF">
      <w:pPr>
        <w:spacing w:line="480" w:lineRule="auto"/>
        <w:ind w:firstLine="720"/>
      </w:pPr>
      <w:r>
        <w:t>If DENV infections occur in someone who has not had previous exp</w:t>
      </w:r>
      <w:r w:rsidR="00E41CF0">
        <w:t xml:space="preserve">osure to a </w:t>
      </w:r>
      <w:r w:rsidR="001E4D95">
        <w:t>flavivirus, they will produce a primary infection. For a</w:t>
      </w:r>
      <w:r>
        <w:t xml:space="preserve"> primary infection, anti-dengue virus antibodies, initially the IgM class, </w:t>
      </w:r>
      <w:r w:rsidR="001E4D95">
        <w:t xml:space="preserve">will </w:t>
      </w:r>
      <w:r>
        <w:t>slowly evolve</w:t>
      </w:r>
      <w:r>
        <w:rPr>
          <w:vertAlign w:val="superscript"/>
        </w:rPr>
        <w:t>1</w:t>
      </w:r>
      <w:r>
        <w:t>. The molar ratio of IgM to IgG is high, usually greater than 1.8:1.0, for at least three weeks</w:t>
      </w:r>
      <w:r>
        <w:rPr>
          <w:vertAlign w:val="superscript"/>
        </w:rPr>
        <w:t>1</w:t>
      </w:r>
      <w:r>
        <w:t>. During a primary infection, the antibodies will slowly develop to relatively low titers.</w:t>
      </w:r>
    </w:p>
    <w:p w14:paraId="4D5627BC" w14:textId="7C0F3BF3" w:rsidR="001C4316" w:rsidRDefault="001C4316" w:rsidP="009836CF">
      <w:pPr>
        <w:spacing w:line="480" w:lineRule="auto"/>
        <w:ind w:firstLine="720"/>
      </w:pPr>
      <w:r>
        <w:t xml:space="preserve">There is lifelong immunity from a </w:t>
      </w:r>
      <w:r w:rsidR="001E4D95">
        <w:t xml:space="preserve">specific </w:t>
      </w:r>
      <w:r>
        <w:t>serotype of dengue that has caused previous infection.  However, after a short period of cross-protection</w:t>
      </w:r>
      <w:r w:rsidR="001E4D95">
        <w:t>, infection by</w:t>
      </w:r>
      <w:r w:rsidR="00121A83">
        <w:t xml:space="preserve"> different DENV</w:t>
      </w:r>
      <w:r w:rsidR="001E4D95">
        <w:t xml:space="preserve"> serotypes</w:t>
      </w:r>
      <w:r w:rsidR="00121A83">
        <w:t xml:space="preserve"> are possible. </w:t>
      </w:r>
      <w:r>
        <w:t>A secondary dengue antibody response happens when a person with prior exposure to one more more flaviviruses, is exposed to a DENV infection</w:t>
      </w:r>
      <w:r w:rsidR="009E275A">
        <w:rPr>
          <w:vertAlign w:val="superscript"/>
        </w:rPr>
        <w:t>1</w:t>
      </w:r>
      <w:r>
        <w:t xml:space="preserve">. The exposure to other viruses can be through natural infection or immunization. </w:t>
      </w:r>
      <w:r w:rsidR="001E4D95">
        <w:t xml:space="preserve">Secondary infections produce IgG antibodies </w:t>
      </w:r>
      <w:r w:rsidR="001E4814">
        <w:t>as memory responses</w:t>
      </w:r>
      <w:r w:rsidR="009E275A">
        <w:rPr>
          <w:vertAlign w:val="superscript"/>
        </w:rPr>
        <w:t>1</w:t>
      </w:r>
      <w:r w:rsidR="001E4814">
        <w:t>. The antibodies arrive early and rapid rise, usually during the febrile phase</w:t>
      </w:r>
      <w:r w:rsidR="009E275A">
        <w:rPr>
          <w:vertAlign w:val="superscript"/>
        </w:rPr>
        <w:t>1</w:t>
      </w:r>
      <w:r w:rsidR="001E4814">
        <w:t xml:space="preserve">. There is an IgM </w:t>
      </w:r>
      <w:r w:rsidR="009E275A">
        <w:t>component</w:t>
      </w:r>
      <w:r w:rsidR="001E4814">
        <w:t xml:space="preserve"> as well, and the IgM to IgG ratio is less than or equal to 1.8</w:t>
      </w:r>
      <w:r w:rsidR="009E275A">
        <w:rPr>
          <w:vertAlign w:val="superscript"/>
        </w:rPr>
        <w:t>1</w:t>
      </w:r>
      <w:r w:rsidR="009E275A">
        <w:t>. There is some thought that the IgM response reflects the number of new epitopes found by the new infecting virus</w:t>
      </w:r>
      <w:r w:rsidR="009E275A">
        <w:rPr>
          <w:vertAlign w:val="superscript"/>
        </w:rPr>
        <w:t>1</w:t>
      </w:r>
      <w:r w:rsidR="001E4D95">
        <w:t>.  People with Japanese encephalitis</w:t>
      </w:r>
      <w:r w:rsidR="009E275A">
        <w:t xml:space="preserve"> vaccinations who then are infected with DENV develop more IgM antibodies then someone with a second DENV infection</w:t>
      </w:r>
      <w:r w:rsidR="009E275A">
        <w:rPr>
          <w:vertAlign w:val="superscript"/>
        </w:rPr>
        <w:t>1</w:t>
      </w:r>
      <w:r w:rsidR="009E275A">
        <w:t>.</w:t>
      </w:r>
    </w:p>
    <w:p w14:paraId="7AEA4441" w14:textId="26FC9879" w:rsidR="009E275A" w:rsidRDefault="009E275A" w:rsidP="009836CF">
      <w:pPr>
        <w:spacing w:line="480" w:lineRule="auto"/>
        <w:ind w:firstLine="720"/>
      </w:pPr>
      <w:r>
        <w:t>People with secondary, or post-primary, infections with DENV usually have a much more severe disease progression. This is one of the defining factors of dengue. The majority of asymptomatic or mild cases are usually from primary infections. The more severe forms of DF, DHF, and DSS have a higher probability of occurring if a patient is having a second, third or fourth dengue infection with a different serotype.</w:t>
      </w:r>
      <w:r w:rsidR="00EF0947">
        <w:t xml:space="preserve"> DHF and DSS occur pretty much </w:t>
      </w:r>
      <w:r w:rsidR="00EF0947">
        <w:lastRenderedPageBreak/>
        <w:t>solely in two groups: children and adults with secondary DENV infections and infants born to dengue-immune mothers.</w:t>
      </w:r>
    </w:p>
    <w:p w14:paraId="31BA022D" w14:textId="714500AD" w:rsidR="009E275A" w:rsidRDefault="009E275A" w:rsidP="009836CF">
      <w:pPr>
        <w:spacing w:line="480" w:lineRule="auto"/>
        <w:ind w:firstLine="720"/>
      </w:pPr>
      <w:r>
        <w:t xml:space="preserve">The main accepted hypothesis </w:t>
      </w:r>
      <w:r w:rsidR="008E2280">
        <w:t xml:space="preserve">as to </w:t>
      </w:r>
      <w:r>
        <w:t>why this happens is the theory of antibody-dependent enhancement (ADE) of the disease.</w:t>
      </w:r>
      <w:r w:rsidR="00EF0947">
        <w:t xml:space="preserve"> The ability of virus-specific antibodies to enhance DENV and other flavivirus infections was first recognized </w:t>
      </w:r>
      <w:r w:rsidR="00EF0947">
        <w:rPr>
          <w:i/>
        </w:rPr>
        <w:t>in vitro</w:t>
      </w:r>
      <w:r w:rsidR="00EF0947">
        <w:t xml:space="preserve"> in the 1960s</w:t>
      </w:r>
      <w:r w:rsidR="009A2F61">
        <w:rPr>
          <w:vertAlign w:val="superscript"/>
        </w:rPr>
        <w:t>16</w:t>
      </w:r>
      <w:r w:rsidR="00EF0947">
        <w:t>.</w:t>
      </w:r>
      <w:r w:rsidR="009A2F61">
        <w:t xml:space="preserve"> The model states that anti-DENV IgG-actively acquired from a previous DENV infection or passively acquired from maternal-fetal transfer in mothers- enhances DENV infection of Fc receptor-bearing cells under particular conditions in vivo</w:t>
      </w:r>
      <w:r w:rsidR="009A2F61">
        <w:rPr>
          <w:vertAlign w:val="superscript"/>
        </w:rPr>
        <w:t>16</w:t>
      </w:r>
      <w:r w:rsidR="009A2F61">
        <w:t>. ADE increase viremia and triggers a host immunological cascade that causes more severe disease</w:t>
      </w:r>
      <w:r w:rsidR="009A2F61">
        <w:rPr>
          <w:vertAlign w:val="superscript"/>
        </w:rPr>
        <w:t>16</w:t>
      </w:r>
      <w:r w:rsidR="009A2F61">
        <w:t>. There is also evidence that suggests that the dengue-specific memory T-cells may be reactivated by the new DENV infection</w:t>
      </w:r>
      <w:r w:rsidR="009A2F61">
        <w:rPr>
          <w:vertAlign w:val="superscript"/>
        </w:rPr>
        <w:t>17</w:t>
      </w:r>
      <w:r w:rsidR="009A2F61">
        <w:t>. The T-cell effector mechanisms can expand to high levels, and could result in direct and indirect effects causing increase vascular permeability</w:t>
      </w:r>
      <w:r w:rsidR="009A2F61">
        <w:rPr>
          <w:vertAlign w:val="superscript"/>
        </w:rPr>
        <w:t>17</w:t>
      </w:r>
      <w:r w:rsidR="009A2F61">
        <w:t>.</w:t>
      </w:r>
    </w:p>
    <w:p w14:paraId="0D65AC6E" w14:textId="77777777" w:rsidR="00DF350D" w:rsidRDefault="00DF350D" w:rsidP="009836CF">
      <w:pPr>
        <w:spacing w:line="480" w:lineRule="auto"/>
        <w:ind w:firstLine="720"/>
      </w:pPr>
    </w:p>
    <w:p w14:paraId="6F2604A0" w14:textId="02F11974" w:rsidR="009A2F61" w:rsidRDefault="00615D65" w:rsidP="009B7498">
      <w:pPr>
        <w:spacing w:line="480" w:lineRule="auto"/>
        <w:outlineLvl w:val="0"/>
        <w:rPr>
          <w:b/>
        </w:rPr>
      </w:pPr>
      <w:r>
        <w:rPr>
          <w:b/>
        </w:rPr>
        <w:t>Dengue in Thailand</w:t>
      </w:r>
    </w:p>
    <w:p w14:paraId="7D133CF4" w14:textId="6AA8C1FB" w:rsidR="003059DB" w:rsidRPr="00DF350D" w:rsidRDefault="003059DB" w:rsidP="00DF350D">
      <w:pPr>
        <w:spacing w:line="480" w:lineRule="auto"/>
        <w:ind w:firstLine="720"/>
      </w:pPr>
      <w:r>
        <w:t>As in other developing tropical and subtropical countries, Tha</w:t>
      </w:r>
      <w:r w:rsidR="001E4D95">
        <w:t xml:space="preserve">iland has demographic characteristic </w:t>
      </w:r>
      <w:r>
        <w:t xml:space="preserve">and </w:t>
      </w:r>
      <w:r w:rsidR="001E4D95">
        <w:t xml:space="preserve">geographical </w:t>
      </w:r>
      <w:r>
        <w:t>conditions tha</w:t>
      </w:r>
      <w:r w:rsidR="001E4D95">
        <w:t>t favor dengue transmission. At present, it is experiencing</w:t>
      </w:r>
      <w:r>
        <w:t xml:space="preserve"> rapid population growth and rural-urban migration. It also has densely populated</w:t>
      </w:r>
      <w:r w:rsidR="001E4D95">
        <w:t xml:space="preserve"> urban</w:t>
      </w:r>
      <w:r>
        <w:t xml:space="preserve"> areas that are suitable for </w:t>
      </w:r>
      <w:r>
        <w:rPr>
          <w:i/>
        </w:rPr>
        <w:t>Aedes</w:t>
      </w:r>
      <w:r>
        <w:t xml:space="preserve"> mosquito larval habitats</w:t>
      </w:r>
      <w:r>
        <w:rPr>
          <w:vertAlign w:val="superscript"/>
        </w:rPr>
        <w:t>18</w:t>
      </w:r>
      <w:r>
        <w:t>.</w:t>
      </w:r>
    </w:p>
    <w:p w14:paraId="6CC1BE26" w14:textId="611A1253" w:rsidR="00066D07" w:rsidRDefault="00066D07" w:rsidP="00066D07">
      <w:pPr>
        <w:spacing w:line="480" w:lineRule="auto"/>
      </w:pPr>
      <w:r>
        <w:rPr>
          <w:b/>
        </w:rPr>
        <w:tab/>
      </w:r>
      <w:r>
        <w:t>Thailand had its first official case of dengue in 1949, with its first major outbreak of DHF in 1958, in Bangkok</w:t>
      </w:r>
      <w:r w:rsidR="003059DB">
        <w:rPr>
          <w:vertAlign w:val="superscript"/>
        </w:rPr>
        <w:t>19</w:t>
      </w:r>
      <w:r>
        <w:t xml:space="preserve">. By the early 1960s co-circulation of all </w:t>
      </w:r>
      <w:r w:rsidR="001E4D95">
        <w:t>of the dengue serotypes were occurring</w:t>
      </w:r>
      <w:r>
        <w:t xml:space="preserve"> in Bangkok</w:t>
      </w:r>
      <w:r w:rsidR="003059DB">
        <w:rPr>
          <w:vertAlign w:val="superscript"/>
        </w:rPr>
        <w:t>19</w:t>
      </w:r>
      <w:r w:rsidR="001E4D95">
        <w:t>. In the late 1970s, dengue</w:t>
      </w:r>
      <w:r>
        <w:t xml:space="preserve"> was widespread and DHF became the leading cause of hospitalization and death among Thai children</w:t>
      </w:r>
      <w:r w:rsidR="003059DB">
        <w:rPr>
          <w:vertAlign w:val="superscript"/>
        </w:rPr>
        <w:t>18,19</w:t>
      </w:r>
      <w:r>
        <w:t>.</w:t>
      </w:r>
      <w:r w:rsidR="00E979B5">
        <w:t xml:space="preserve"> </w:t>
      </w:r>
      <w:r>
        <w:t xml:space="preserve"> In 1987, there was a ‘mega-outbreak’ of dengue, with over 174,000 cases reported</w:t>
      </w:r>
      <w:r w:rsidR="003059DB">
        <w:t xml:space="preserve">, and </w:t>
      </w:r>
      <w:r w:rsidR="001E4D95">
        <w:t xml:space="preserve">an </w:t>
      </w:r>
      <w:r w:rsidR="003059DB">
        <w:t xml:space="preserve">incidence of </w:t>
      </w:r>
      <w:r w:rsidR="003059DB">
        <w:lastRenderedPageBreak/>
        <w:t>325/100,00</w:t>
      </w:r>
      <w:r w:rsidR="00F17584">
        <w:t>0 per total population, 819 out of 100,000 in children under 15, and 1007 deaths</w:t>
      </w:r>
      <w:r w:rsidR="003059DB">
        <w:rPr>
          <w:vertAlign w:val="superscript"/>
        </w:rPr>
        <w:t>18</w:t>
      </w:r>
      <w:r w:rsidR="00F17584">
        <w:rPr>
          <w:vertAlign w:val="superscript"/>
        </w:rPr>
        <w:t>,19</w:t>
      </w:r>
      <w:r>
        <w:t>. After the outbreak, cases</w:t>
      </w:r>
      <w:r w:rsidR="001E4D95">
        <w:t xml:space="preserve"> of dengue</w:t>
      </w:r>
      <w:r>
        <w:t xml:space="preserve"> were relatively stable </w:t>
      </w:r>
      <w:r w:rsidR="001E4D95">
        <w:t>until</w:t>
      </w:r>
      <w:r w:rsidR="003059DB">
        <w:t xml:space="preserve"> </w:t>
      </w:r>
      <w:r>
        <w:t>two other large outbreaks, in 1997 and 1998</w:t>
      </w:r>
      <w:r w:rsidR="003059DB">
        <w:rPr>
          <w:vertAlign w:val="superscript"/>
        </w:rPr>
        <w:t>18</w:t>
      </w:r>
      <w:r>
        <w:t>. From 1985-1999, Thailand had an average of 69,000 reported cases per year</w:t>
      </w:r>
      <w:r w:rsidR="003059DB">
        <w:rPr>
          <w:vertAlign w:val="superscript"/>
        </w:rPr>
        <w:t>18</w:t>
      </w:r>
      <w:r>
        <w:t xml:space="preserve">. In Thailand, dengue epidemiology is characterized by cyclical epidemic activity. </w:t>
      </w:r>
    </w:p>
    <w:p w14:paraId="3FFE6CD9" w14:textId="69F01587" w:rsidR="00475E0F" w:rsidRDefault="00475E0F" w:rsidP="00066D07">
      <w:pPr>
        <w:spacing w:line="480" w:lineRule="auto"/>
      </w:pPr>
      <w:r>
        <w:tab/>
        <w:t>The epicenter of dengue in Thailand is Bangkok</w:t>
      </w:r>
      <w:r w:rsidR="001E4D95">
        <w:t>, the largest urban center in the country</w:t>
      </w:r>
      <w:r>
        <w:t xml:space="preserve">. </w:t>
      </w:r>
      <w:r w:rsidR="008E2280">
        <w:t xml:space="preserve">Thereafter, dengue spreads spatially out to the rural areas of Thailand. </w:t>
      </w:r>
      <w:r>
        <w:t>According to a study done by Cummings et al, waves of dengue travel out of Bangkok at a speed of 148km per month</w:t>
      </w:r>
      <w:r w:rsidR="006257E1">
        <w:rPr>
          <w:vertAlign w:val="superscript"/>
        </w:rPr>
        <w:t>20</w:t>
      </w:r>
      <w:r>
        <w:t>.  Of 72 provinces</w:t>
      </w:r>
      <w:r w:rsidR="001E4D95">
        <w:t xml:space="preserve"> in the country</w:t>
      </w:r>
      <w:r>
        <w:t>, 65 provinces are either right with or follow Bangkok, in a repeating, spatial-temporal travelling wave</w:t>
      </w:r>
      <w:r w:rsidR="006257E1">
        <w:rPr>
          <w:vertAlign w:val="superscript"/>
        </w:rPr>
        <w:t>20</w:t>
      </w:r>
      <w:r>
        <w:t xml:space="preserve">.  Depending </w:t>
      </w:r>
      <w:r w:rsidR="001E4D95">
        <w:t>on how far away a place is, this location</w:t>
      </w:r>
      <w:r>
        <w:t xml:space="preserve"> might have </w:t>
      </w:r>
      <w:r w:rsidR="006257E1">
        <w:t xml:space="preserve">as much as </w:t>
      </w:r>
      <w:r>
        <w:t xml:space="preserve">ten </w:t>
      </w:r>
      <w:r w:rsidR="006257E1">
        <w:t>months’</w:t>
      </w:r>
      <w:r>
        <w:t xml:space="preserve"> advance notice of a coming dengue</w:t>
      </w:r>
      <w:r w:rsidR="006257E1">
        <w:t xml:space="preserve"> epidemic. </w:t>
      </w:r>
      <w:r>
        <w:t>The only parts of the country that do not correlate well with Bangkok are border regions</w:t>
      </w:r>
      <w:r w:rsidR="006257E1">
        <w:rPr>
          <w:vertAlign w:val="superscript"/>
        </w:rPr>
        <w:t>20</w:t>
      </w:r>
      <w:r w:rsidR="001E4D95">
        <w:t>. These areas might follow</w:t>
      </w:r>
      <w:r>
        <w:t xml:space="preserve"> a different epicenter</w:t>
      </w:r>
      <w:r w:rsidR="001E4D95">
        <w:t xml:space="preserve"> originating</w:t>
      </w:r>
      <w:r>
        <w:t xml:space="preserve"> from another country. </w:t>
      </w:r>
    </w:p>
    <w:p w14:paraId="2B36CF70" w14:textId="23334722" w:rsidR="00430FE0" w:rsidRDefault="00430FE0" w:rsidP="00066D07">
      <w:pPr>
        <w:spacing w:line="480" w:lineRule="auto"/>
      </w:pPr>
      <w:r>
        <w:tab/>
        <w:t xml:space="preserve">Thailand started a </w:t>
      </w:r>
      <w:r w:rsidR="001E4D95">
        <w:t xml:space="preserve">surveillance </w:t>
      </w:r>
      <w:r>
        <w:t>system to report dengue starting in 1958</w:t>
      </w:r>
      <w:r w:rsidR="003059DB">
        <w:rPr>
          <w:vertAlign w:val="superscript"/>
        </w:rPr>
        <w:t>18</w:t>
      </w:r>
      <w:r>
        <w:t>. The national surveillance system for DHF started in 1972, DF was added in 1994, initiated by the Bureau of Epidemiology in 1972, later the Thai Ministry of Public Health (MoPH) in 1974</w:t>
      </w:r>
      <w:r w:rsidR="003059DB">
        <w:rPr>
          <w:vertAlign w:val="superscript"/>
        </w:rPr>
        <w:t>18</w:t>
      </w:r>
      <w:r>
        <w:t>. Reports are collected from hospital and ambulatory patients at health fac</w:t>
      </w:r>
      <w:r w:rsidR="001E4D95">
        <w:t>ilities across the country. The surveillance system</w:t>
      </w:r>
      <w:r>
        <w:t xml:space="preserve"> collect</w:t>
      </w:r>
      <w:r w:rsidR="001E4D95">
        <w:t xml:space="preserve">s </w:t>
      </w:r>
      <w:r w:rsidR="008E2280">
        <w:t xml:space="preserve">information </w:t>
      </w:r>
      <w:r>
        <w:t>from all government hospitals, and some private hospitals and clinics. All confirmed cases must be reported, but suspected cases are u</w:t>
      </w:r>
      <w:r w:rsidR="008E2280">
        <w:t>p to the physician’s discretion</w:t>
      </w:r>
      <w:r>
        <w:t xml:space="preserve"> to report</w:t>
      </w:r>
      <w:r w:rsidR="003059DB">
        <w:rPr>
          <w:vertAlign w:val="superscript"/>
        </w:rPr>
        <w:t>18</w:t>
      </w:r>
      <w:r>
        <w:t>. The reporting form used</w:t>
      </w:r>
      <w:r w:rsidR="001E4D95">
        <w:t xml:space="preserve"> in this system</w:t>
      </w:r>
      <w:r>
        <w:t xml:space="preserve"> collects demographic data –age, sex, day of onset, and locality where occurred-classified municipalities or ‘other/rural’ areas</w:t>
      </w:r>
      <w:r w:rsidR="003059DB">
        <w:rPr>
          <w:vertAlign w:val="superscript"/>
        </w:rPr>
        <w:t>18</w:t>
      </w:r>
      <w:r>
        <w:t xml:space="preserve">. </w:t>
      </w:r>
    </w:p>
    <w:p w14:paraId="700ADDC4" w14:textId="013C9CD3" w:rsidR="00F17584" w:rsidRDefault="00F17584" w:rsidP="00066D07">
      <w:pPr>
        <w:spacing w:line="480" w:lineRule="auto"/>
      </w:pPr>
      <w:r>
        <w:lastRenderedPageBreak/>
        <w:tab/>
        <w:t xml:space="preserve">Dengue </w:t>
      </w:r>
      <w:r w:rsidR="008E2280">
        <w:t xml:space="preserve">incidence in Thailand </w:t>
      </w:r>
      <w:r>
        <w:t>follows patterns of high and low incidence both monthly and yearly. Incidence in the cold months of December and January is low, and starts to increase between April and June during the dry hot months</w:t>
      </w:r>
      <w:r w:rsidR="00507833">
        <w:rPr>
          <w:vertAlign w:val="superscript"/>
        </w:rPr>
        <w:t>18</w:t>
      </w:r>
      <w:r>
        <w:t>. Epidemic peaks are usually 2-4 weeks before the rains arrive, which varies across the country, but can be anytime between June and September</w:t>
      </w:r>
      <w:r w:rsidR="00507833">
        <w:rPr>
          <w:vertAlign w:val="superscript"/>
        </w:rPr>
        <w:t>18</w:t>
      </w:r>
      <w:r>
        <w:t>. There does not seems to be a relation between the magnitude of epidemics and rainfall, though they do coincide</w:t>
      </w:r>
      <w:r w:rsidR="00507833">
        <w:rPr>
          <w:vertAlign w:val="superscript"/>
        </w:rPr>
        <w:t>18</w:t>
      </w:r>
      <w:r>
        <w:t>. The rainy season usually ends in October, but can last into November.</w:t>
      </w:r>
    </w:p>
    <w:p w14:paraId="26B93319" w14:textId="78661066" w:rsidR="00177F62" w:rsidRDefault="00507833" w:rsidP="00066D07">
      <w:pPr>
        <w:spacing w:line="480" w:lineRule="auto"/>
      </w:pPr>
      <w:r>
        <w:tab/>
        <w:t>Dengue is considered a disease of the young</w:t>
      </w:r>
      <w:r w:rsidR="001E4D95">
        <w:t xml:space="preserve"> in Thailand</w:t>
      </w:r>
      <w:r>
        <w:t>, with most cases occurring in people aged 5-24 years</w:t>
      </w:r>
      <w:r w:rsidR="00F07689">
        <w:rPr>
          <w:vertAlign w:val="superscript"/>
        </w:rPr>
        <w:t>18</w:t>
      </w:r>
      <w:r>
        <w:t xml:space="preserve">. This age group represents a third of Thailand’s population. </w:t>
      </w:r>
      <w:r w:rsidR="00F07689">
        <w:t>In 2002, the age group with the highest incidence went from the 5-9 group to those ages 10-14</w:t>
      </w:r>
      <w:r w:rsidR="00F07689">
        <w:rPr>
          <w:vertAlign w:val="superscript"/>
        </w:rPr>
        <w:t>18</w:t>
      </w:r>
      <w:r w:rsidR="00F07689">
        <w:t>. General shifts have been seen starting in the 1980s of dengue disease that see a switching from young children to people over 15</w:t>
      </w:r>
      <w:r w:rsidR="00F07689">
        <w:rPr>
          <w:vertAlign w:val="superscript"/>
        </w:rPr>
        <w:t>19</w:t>
      </w:r>
      <w:r w:rsidR="00F07689">
        <w:t>. Most of the severe cases are found in individuals 5-14 compared to those 15 or older</w:t>
      </w:r>
      <w:r w:rsidR="00F07689">
        <w:rPr>
          <w:vertAlign w:val="superscript"/>
        </w:rPr>
        <w:t>18,19</w:t>
      </w:r>
      <w:r w:rsidR="00F07689">
        <w:t>.</w:t>
      </w:r>
    </w:p>
    <w:p w14:paraId="7E9001BA" w14:textId="77777777" w:rsidR="001E4D95" w:rsidRDefault="001E4D95" w:rsidP="00066D07">
      <w:pPr>
        <w:spacing w:line="480" w:lineRule="auto"/>
      </w:pPr>
    </w:p>
    <w:p w14:paraId="29EA0386" w14:textId="3948A26C" w:rsidR="00177F62" w:rsidRPr="00177F62" w:rsidRDefault="00AB7432" w:rsidP="00177F62">
      <w:pPr>
        <w:pStyle w:val="ListParagraph"/>
        <w:numPr>
          <w:ilvl w:val="1"/>
          <w:numId w:val="1"/>
        </w:numPr>
        <w:spacing w:line="480" w:lineRule="auto"/>
        <w:jc w:val="center"/>
        <w:rPr>
          <w:b/>
        </w:rPr>
      </w:pPr>
      <w:r>
        <w:rPr>
          <w:b/>
        </w:rPr>
        <w:t xml:space="preserve"> </w:t>
      </w:r>
      <w:r w:rsidR="00177F62" w:rsidRPr="00177F62">
        <w:rPr>
          <w:b/>
        </w:rPr>
        <w:t>Objectives</w:t>
      </w:r>
    </w:p>
    <w:p w14:paraId="387B0BB0" w14:textId="7AC6E976" w:rsidR="001E4D95" w:rsidRDefault="001E4D95" w:rsidP="001E4D95">
      <w:pPr>
        <w:spacing w:line="480" w:lineRule="auto"/>
      </w:pPr>
      <w:r>
        <w:t>The objectives of this analysis are to determine what the trends over time for de</w:t>
      </w:r>
      <w:r w:rsidR="008E2280">
        <w:t>ngue serotypes are for this rural section</w:t>
      </w:r>
      <w:r>
        <w:t xml:space="preserve"> of Thailand over the twenty years</w:t>
      </w:r>
      <w:r w:rsidR="007C6D5C">
        <w:t xml:space="preserve"> of 1994-2013</w:t>
      </w:r>
      <w:r>
        <w:t xml:space="preserve">. There has been no study published about long-term trends in this region before.  </w:t>
      </w:r>
    </w:p>
    <w:p w14:paraId="79A5B62D" w14:textId="526A6C01" w:rsidR="001E4D95" w:rsidRDefault="00177F62" w:rsidP="001E4D95">
      <w:pPr>
        <w:pStyle w:val="ListParagraph"/>
        <w:numPr>
          <w:ilvl w:val="0"/>
          <w:numId w:val="13"/>
        </w:numPr>
        <w:spacing w:line="480" w:lineRule="auto"/>
      </w:pPr>
      <w:r>
        <w:t>The primary objective is to analyze samples from a provincial hospital in Kamphaeng Phet, Thailand</w:t>
      </w:r>
      <w:r w:rsidR="00993F17">
        <w:t>, and determine</w:t>
      </w:r>
      <w:r w:rsidR="007C6D5C">
        <w:t xml:space="preserve"> </w:t>
      </w:r>
      <w:r w:rsidR="008E2280">
        <w:t>serotype frequency</w:t>
      </w:r>
      <w:r w:rsidR="00993F17">
        <w:t xml:space="preserve"> and how many serotype</w:t>
      </w:r>
      <w:r w:rsidR="007C6D5C">
        <w:t xml:space="preserve"> </w:t>
      </w:r>
      <w:r w:rsidR="008E2280">
        <w:t xml:space="preserve">specific </w:t>
      </w:r>
      <w:r w:rsidR="007C6D5C">
        <w:t xml:space="preserve">outbreaks </w:t>
      </w:r>
      <w:r w:rsidR="008E2280">
        <w:t xml:space="preserve">occur </w:t>
      </w:r>
      <w:r w:rsidR="007C6D5C">
        <w:t>over time</w:t>
      </w:r>
      <w:r>
        <w:t xml:space="preserve">. </w:t>
      </w:r>
    </w:p>
    <w:p w14:paraId="758DBEAF" w14:textId="57BE4498" w:rsidR="001E4D95" w:rsidRDefault="00177F62" w:rsidP="001E4D95">
      <w:pPr>
        <w:pStyle w:val="ListParagraph"/>
        <w:numPr>
          <w:ilvl w:val="0"/>
          <w:numId w:val="13"/>
        </w:numPr>
        <w:spacing w:line="480" w:lineRule="auto"/>
      </w:pPr>
      <w:r>
        <w:t xml:space="preserve">The secondary aim is to look at </w:t>
      </w:r>
      <w:r w:rsidR="008E2280">
        <w:t xml:space="preserve">the type of </w:t>
      </w:r>
      <w:r>
        <w:t xml:space="preserve">disease </w:t>
      </w:r>
      <w:r w:rsidR="00D07DF8">
        <w:t xml:space="preserve">infections type </w:t>
      </w:r>
      <w:r>
        <w:t xml:space="preserve">over time, to see if there is an </w:t>
      </w:r>
      <w:r w:rsidR="00D07DF8">
        <w:t xml:space="preserve">increase in primary cases being hospitalized. </w:t>
      </w:r>
    </w:p>
    <w:p w14:paraId="65510CD2" w14:textId="05FAD110" w:rsidR="00177F62" w:rsidRDefault="00D07DF8" w:rsidP="001E4D95">
      <w:pPr>
        <w:pStyle w:val="ListParagraph"/>
        <w:numPr>
          <w:ilvl w:val="0"/>
          <w:numId w:val="13"/>
        </w:numPr>
        <w:spacing w:line="480" w:lineRule="auto"/>
      </w:pPr>
      <w:r>
        <w:lastRenderedPageBreak/>
        <w:t xml:space="preserve">The third aim is to look at average age </w:t>
      </w:r>
      <w:r w:rsidR="008E2280">
        <w:t xml:space="preserve">of individuals affected by dengue </w:t>
      </w:r>
      <w:r>
        <w:t>over ti</w:t>
      </w:r>
      <w:r w:rsidR="008E2280">
        <w:t>me. Previous studies in Bangkok</w:t>
      </w:r>
      <w:r>
        <w:t xml:space="preserve"> have shown an increase in the average age. This analysis looks to see if the results remain consistent</w:t>
      </w:r>
      <w:r w:rsidR="008E2280">
        <w:t xml:space="preserve"> in rural areas</w:t>
      </w:r>
      <w:r>
        <w:t xml:space="preserve">. </w:t>
      </w:r>
    </w:p>
    <w:p w14:paraId="22647052" w14:textId="04559E95" w:rsidR="00D12C42" w:rsidRPr="00177F62" w:rsidRDefault="00D12C42" w:rsidP="001E4D95">
      <w:pPr>
        <w:pStyle w:val="ListParagraph"/>
        <w:numPr>
          <w:ilvl w:val="0"/>
          <w:numId w:val="13"/>
        </w:numPr>
        <w:spacing w:line="480" w:lineRule="auto"/>
      </w:pPr>
      <w:r>
        <w:t xml:space="preserve">The fourth </w:t>
      </w:r>
      <w:r w:rsidR="008E2280">
        <w:t xml:space="preserve">aim was to see if there was </w:t>
      </w:r>
      <w:r>
        <w:t>regression</w:t>
      </w:r>
      <w:r w:rsidR="008E2280">
        <w:t xml:space="preserve"> model</w:t>
      </w:r>
      <w:r>
        <w:t xml:space="preserve"> </w:t>
      </w:r>
      <w:r w:rsidR="008E2280">
        <w:t>that might help explain the increase</w:t>
      </w:r>
      <w:r>
        <w:t xml:space="preserve"> in</w:t>
      </w:r>
      <w:r w:rsidR="008E2280">
        <w:t xml:space="preserve"> average</w:t>
      </w:r>
      <w:r>
        <w:t xml:space="preserve"> age, and the difference in dengue serotypes.</w:t>
      </w:r>
    </w:p>
    <w:p w14:paraId="78BB1E58" w14:textId="1FAB8CF0" w:rsidR="00430FE0" w:rsidRDefault="00430FE0" w:rsidP="00066D07">
      <w:pPr>
        <w:spacing w:line="480" w:lineRule="auto"/>
      </w:pPr>
    </w:p>
    <w:p w14:paraId="2EE3B29D" w14:textId="77777777" w:rsidR="008D3E5A" w:rsidRDefault="008D3E5A" w:rsidP="00066D07">
      <w:pPr>
        <w:spacing w:line="480" w:lineRule="auto"/>
      </w:pPr>
    </w:p>
    <w:p w14:paraId="7047FC1C" w14:textId="77777777" w:rsidR="008D3E5A" w:rsidRDefault="008D3E5A" w:rsidP="00066D07">
      <w:pPr>
        <w:spacing w:line="480" w:lineRule="auto"/>
      </w:pPr>
    </w:p>
    <w:p w14:paraId="149FBE87" w14:textId="77777777" w:rsidR="008D3E5A" w:rsidRDefault="008D3E5A" w:rsidP="00066D07">
      <w:pPr>
        <w:spacing w:line="480" w:lineRule="auto"/>
      </w:pPr>
    </w:p>
    <w:p w14:paraId="4F5CFA5D" w14:textId="77777777" w:rsidR="008D3E5A" w:rsidRDefault="008D3E5A" w:rsidP="00066D07">
      <w:pPr>
        <w:spacing w:line="480" w:lineRule="auto"/>
      </w:pPr>
    </w:p>
    <w:p w14:paraId="3CFD99E7" w14:textId="77777777" w:rsidR="008D3E5A" w:rsidRDefault="008D3E5A" w:rsidP="00066D07">
      <w:pPr>
        <w:spacing w:line="480" w:lineRule="auto"/>
      </w:pPr>
    </w:p>
    <w:p w14:paraId="6805FDC5" w14:textId="77777777" w:rsidR="008D3E5A" w:rsidRDefault="008D3E5A" w:rsidP="00066D07">
      <w:pPr>
        <w:spacing w:line="480" w:lineRule="auto"/>
      </w:pPr>
    </w:p>
    <w:p w14:paraId="48E55A03" w14:textId="77777777" w:rsidR="008D3E5A" w:rsidRDefault="008D3E5A" w:rsidP="00066D07">
      <w:pPr>
        <w:spacing w:line="480" w:lineRule="auto"/>
      </w:pPr>
    </w:p>
    <w:p w14:paraId="21BB1110" w14:textId="77777777" w:rsidR="008D3E5A" w:rsidRDefault="008D3E5A" w:rsidP="00066D07">
      <w:pPr>
        <w:spacing w:line="480" w:lineRule="auto"/>
      </w:pPr>
    </w:p>
    <w:p w14:paraId="208A62D7" w14:textId="77777777" w:rsidR="008D3E5A" w:rsidRDefault="008D3E5A" w:rsidP="00066D07">
      <w:pPr>
        <w:spacing w:line="480" w:lineRule="auto"/>
      </w:pPr>
    </w:p>
    <w:p w14:paraId="77FE8547" w14:textId="77777777" w:rsidR="008D3E5A" w:rsidRDefault="008D3E5A" w:rsidP="00066D07">
      <w:pPr>
        <w:spacing w:line="480" w:lineRule="auto"/>
      </w:pPr>
    </w:p>
    <w:p w14:paraId="7A4BF751" w14:textId="77777777" w:rsidR="008D3E5A" w:rsidRDefault="008D3E5A" w:rsidP="00066D07">
      <w:pPr>
        <w:spacing w:line="480" w:lineRule="auto"/>
      </w:pPr>
    </w:p>
    <w:p w14:paraId="4F5BC873" w14:textId="77777777" w:rsidR="008D3E5A" w:rsidRDefault="008D3E5A" w:rsidP="00066D07">
      <w:pPr>
        <w:spacing w:line="480" w:lineRule="auto"/>
      </w:pPr>
    </w:p>
    <w:p w14:paraId="0F25BE85" w14:textId="77777777" w:rsidR="008D3E5A" w:rsidRDefault="008D3E5A" w:rsidP="00066D07">
      <w:pPr>
        <w:spacing w:line="480" w:lineRule="auto"/>
      </w:pPr>
    </w:p>
    <w:p w14:paraId="360AA685" w14:textId="77777777" w:rsidR="008D3E5A" w:rsidRDefault="008D3E5A" w:rsidP="00066D07">
      <w:pPr>
        <w:spacing w:line="480" w:lineRule="auto"/>
      </w:pPr>
    </w:p>
    <w:p w14:paraId="51A30A9E" w14:textId="77777777" w:rsidR="008D3E5A" w:rsidRDefault="008D3E5A" w:rsidP="00066D07">
      <w:pPr>
        <w:spacing w:line="480" w:lineRule="auto"/>
      </w:pPr>
    </w:p>
    <w:p w14:paraId="76DB221E" w14:textId="77777777" w:rsidR="008D3E5A" w:rsidRDefault="008D3E5A" w:rsidP="00066D07">
      <w:pPr>
        <w:spacing w:line="480" w:lineRule="auto"/>
      </w:pPr>
    </w:p>
    <w:p w14:paraId="401F118D" w14:textId="77777777" w:rsidR="00615D65" w:rsidRDefault="00615D65" w:rsidP="00AB7432">
      <w:pPr>
        <w:spacing w:line="480" w:lineRule="auto"/>
      </w:pPr>
    </w:p>
    <w:p w14:paraId="347F76BC" w14:textId="1D27656A" w:rsidR="00DF350D" w:rsidRDefault="00DF350D" w:rsidP="00E517E0">
      <w:pPr>
        <w:spacing w:line="480" w:lineRule="auto"/>
        <w:ind w:firstLine="720"/>
        <w:jc w:val="center"/>
        <w:rPr>
          <w:b/>
        </w:rPr>
      </w:pPr>
      <w:r w:rsidRPr="00DF350D">
        <w:rPr>
          <w:b/>
        </w:rPr>
        <w:lastRenderedPageBreak/>
        <w:t>2.0 METHODS</w:t>
      </w:r>
    </w:p>
    <w:p w14:paraId="53A34E1D" w14:textId="3AF89E8E" w:rsidR="00437B0D" w:rsidRPr="00E517E0" w:rsidRDefault="00437B0D" w:rsidP="00E517E0">
      <w:pPr>
        <w:spacing w:line="480" w:lineRule="auto"/>
        <w:ind w:firstLine="720"/>
        <w:jc w:val="center"/>
        <w:rPr>
          <w:b/>
        </w:rPr>
      </w:pPr>
      <w:r>
        <w:rPr>
          <w:b/>
        </w:rPr>
        <w:t>2.1 Sample Selection</w:t>
      </w:r>
    </w:p>
    <w:p w14:paraId="28BE668C" w14:textId="5F723AE4" w:rsidR="00E26B32" w:rsidRPr="008E2280" w:rsidRDefault="00D12C42" w:rsidP="002252DF">
      <w:pPr>
        <w:spacing w:line="480" w:lineRule="auto"/>
      </w:pPr>
      <w:r>
        <w:t>The analysis in this study was approved by the Institutional Review Board of the University of Pittsburgh.</w:t>
      </w:r>
      <w:r w:rsidRPr="00D12C42">
        <w:t xml:space="preserve"> </w:t>
      </w:r>
      <w:r>
        <w:t xml:space="preserve"> This evaluation is based upon a surveillance of dengue in Kamphaeng Phet Province.</w:t>
      </w:r>
      <w:r w:rsidR="004C7EC3">
        <w:t xml:space="preserve"> </w:t>
      </w:r>
      <w:r w:rsidR="008E2280">
        <w:t xml:space="preserve">The 12,200 observations </w:t>
      </w:r>
      <w:r w:rsidR="00AB7432">
        <w:t xml:space="preserve">of </w:t>
      </w:r>
      <w:r w:rsidR="008E2280">
        <w:t xml:space="preserve">suspected dengue </w:t>
      </w:r>
      <w:r w:rsidR="00AB7432">
        <w:t>cases</w:t>
      </w:r>
      <w:r w:rsidR="00DF350D">
        <w:t xml:space="preserve"> were reported on site in Kamphaeng Phet, Thailand. </w:t>
      </w:r>
    </w:p>
    <w:p w14:paraId="25C496C2" w14:textId="03C153DD" w:rsidR="00BD29BF" w:rsidRDefault="00E96881" w:rsidP="00F8637E">
      <w:pPr>
        <w:spacing w:line="480" w:lineRule="auto"/>
        <w:ind w:firstLine="720"/>
      </w:pPr>
      <w:r>
        <w:t xml:space="preserve">Kamphaeng Phet is the main city in Kamphaeng Phet province, in the Northern Region of Thailand. </w:t>
      </w:r>
      <w:r w:rsidR="00C87C48">
        <w:t xml:space="preserve"> The province is 8,607.49 </w:t>
      </w:r>
      <w:r w:rsidR="00B862BF">
        <w:t>sq.</w:t>
      </w:r>
      <w:r w:rsidR="00C87C48">
        <w:t xml:space="preserve"> km large. </w:t>
      </w:r>
      <w:r w:rsidR="00D329C9">
        <w:t xml:space="preserve">In the province </w:t>
      </w:r>
      <w:r w:rsidR="00C87C48">
        <w:t xml:space="preserve">5,537 </w:t>
      </w:r>
      <w:r w:rsidR="00B862BF">
        <w:t>sq.</w:t>
      </w:r>
      <w:r w:rsidR="00C87C48">
        <w:t xml:space="preserve"> km are </w:t>
      </w:r>
      <w:r w:rsidR="00D329C9">
        <w:t xml:space="preserve">used for </w:t>
      </w:r>
      <w:r w:rsidR="00C87C48">
        <w:t xml:space="preserve">farmland, </w:t>
      </w:r>
      <w:r w:rsidR="00B862BF">
        <w:t>2,027 sq. km are forested</w:t>
      </w:r>
      <w:r w:rsidR="00D329C9">
        <w:t xml:space="preserve"> area</w:t>
      </w:r>
      <w:r w:rsidR="00B862BF">
        <w:t>, and 1,043 sq. km are</w:t>
      </w:r>
      <w:r w:rsidR="00D329C9">
        <w:t xml:space="preserve"> classified as</w:t>
      </w:r>
      <w:r w:rsidR="00B862BF">
        <w:t xml:space="preserve"> non-agricultural areas</w:t>
      </w:r>
      <w:r w:rsidR="00D329C9">
        <w:rPr>
          <w:vertAlign w:val="superscript"/>
        </w:rPr>
        <w:t>2</w:t>
      </w:r>
      <w:r w:rsidR="006257E1">
        <w:rPr>
          <w:vertAlign w:val="superscript"/>
        </w:rPr>
        <w:t>1</w:t>
      </w:r>
      <w:r w:rsidR="00B862BF">
        <w:t xml:space="preserve">. It </w:t>
      </w:r>
      <w:r>
        <w:t>has</w:t>
      </w:r>
      <w:r w:rsidR="00F8637E">
        <w:t xml:space="preserve"> 730,000 </w:t>
      </w:r>
      <w:r>
        <w:t xml:space="preserve">people, with a city population of </w:t>
      </w:r>
      <w:r w:rsidR="00F8637E">
        <w:t>35,000 in 2014</w:t>
      </w:r>
      <w:r w:rsidR="00D329C9">
        <w:rPr>
          <w:vertAlign w:val="superscript"/>
        </w:rPr>
        <w:t>2</w:t>
      </w:r>
      <w:r w:rsidR="006257E1">
        <w:rPr>
          <w:vertAlign w:val="superscript"/>
        </w:rPr>
        <w:t>1</w:t>
      </w:r>
      <w:r>
        <w:t>.</w:t>
      </w:r>
      <w:r w:rsidR="00BD29BF">
        <w:t xml:space="preserve"> Almost 600,000 people, or 82% of the population, in the province are over</w:t>
      </w:r>
      <w:r w:rsidR="008E2280">
        <w:t xml:space="preserve"> age</w:t>
      </w:r>
      <w:r w:rsidR="00BD29BF">
        <w:t xml:space="preserve"> 15</w:t>
      </w:r>
      <w:r w:rsidR="00D329C9">
        <w:rPr>
          <w:vertAlign w:val="superscript"/>
        </w:rPr>
        <w:t>2</w:t>
      </w:r>
      <w:r w:rsidR="006257E1">
        <w:rPr>
          <w:vertAlign w:val="superscript"/>
        </w:rPr>
        <w:t>1</w:t>
      </w:r>
      <w:r w:rsidR="00BD29BF">
        <w:t>.</w:t>
      </w:r>
      <w:r w:rsidR="00F8637E">
        <w:t xml:space="preserve"> </w:t>
      </w:r>
      <w:r w:rsidR="00B862BF">
        <w:t>Males mad</w:t>
      </w:r>
      <w:r w:rsidR="00BD29BF">
        <w:t xml:space="preserve">e up 49% of the provincial </w:t>
      </w:r>
      <w:r w:rsidR="00B862BF">
        <w:t>population, and female</w:t>
      </w:r>
      <w:r w:rsidR="008E2280">
        <w:t>s</w:t>
      </w:r>
      <w:r w:rsidR="00B862BF">
        <w:t xml:space="preserve"> mad</w:t>
      </w:r>
      <w:r w:rsidR="00BD29BF">
        <w:t>e up 51</w:t>
      </w:r>
      <w:r w:rsidR="00B862BF">
        <w:t>%</w:t>
      </w:r>
      <w:r w:rsidR="00BD29BF">
        <w:t xml:space="preserve"> in 2013</w:t>
      </w:r>
      <w:r w:rsidR="00D329C9">
        <w:rPr>
          <w:vertAlign w:val="superscript"/>
        </w:rPr>
        <w:t>2</w:t>
      </w:r>
      <w:r w:rsidR="006257E1">
        <w:rPr>
          <w:vertAlign w:val="superscript"/>
        </w:rPr>
        <w:t>1</w:t>
      </w:r>
      <w:r w:rsidR="00BD29BF">
        <w:t xml:space="preserve">. </w:t>
      </w:r>
      <w:r w:rsidR="00C87C48">
        <w:t>There are 221,300 households in the provinces, with an average monthly income of 18672 baht ($593)</w:t>
      </w:r>
      <w:r w:rsidR="00D329C9">
        <w:rPr>
          <w:vertAlign w:val="superscript"/>
        </w:rPr>
        <w:t>2</w:t>
      </w:r>
      <w:r w:rsidR="006257E1">
        <w:rPr>
          <w:vertAlign w:val="superscript"/>
        </w:rPr>
        <w:t>1</w:t>
      </w:r>
      <w:r w:rsidR="00C87C48">
        <w:t>.</w:t>
      </w:r>
    </w:p>
    <w:p w14:paraId="2B70E1CD" w14:textId="2ABAF085" w:rsidR="00E26B32" w:rsidRDefault="007C6D5C" w:rsidP="00F8637E">
      <w:pPr>
        <w:spacing w:line="480" w:lineRule="auto"/>
        <w:ind w:firstLine="720"/>
      </w:pPr>
      <w:r>
        <w:t xml:space="preserve">For this study, </w:t>
      </w:r>
      <w:r w:rsidR="00E26B32">
        <w:t xml:space="preserve">data were obtained from </w:t>
      </w:r>
      <w:r w:rsidR="008E2280">
        <w:t xml:space="preserve">the </w:t>
      </w:r>
      <w:r w:rsidR="00E26B32">
        <w:t>public health</w:t>
      </w:r>
      <w:r>
        <w:t xml:space="preserve"> surveillance</w:t>
      </w:r>
      <w:r w:rsidR="00E26B32">
        <w:t xml:space="preserve"> </w:t>
      </w:r>
      <w:r w:rsidR="00E96881">
        <w:t>samples</w:t>
      </w:r>
      <w:r>
        <w:t xml:space="preserve"> of hospitalized dengue cases</w:t>
      </w:r>
      <w:r w:rsidR="00E26B32">
        <w:t xml:space="preserve"> collected from 1994-2013 at Kamphaeng Phet</w:t>
      </w:r>
      <w:r w:rsidR="0030592C">
        <w:t xml:space="preserve"> </w:t>
      </w:r>
      <w:r>
        <w:t>Provincial</w:t>
      </w:r>
      <w:r w:rsidR="00E26B32">
        <w:t xml:space="preserve"> Hospital (KP</w:t>
      </w:r>
      <w:r w:rsidR="0030592C">
        <w:t>P</w:t>
      </w:r>
      <w:r w:rsidR="00E26B32">
        <w:t>H). KP</w:t>
      </w:r>
      <w:r w:rsidR="0030592C">
        <w:t>P</w:t>
      </w:r>
      <w:r w:rsidR="00E26B32">
        <w:t>H is a 410-bed MoPH secondary level general hospital in Kamphaeng Phet, Thailand</w:t>
      </w:r>
      <w:r>
        <w:t>, making it the primary hospital for the province</w:t>
      </w:r>
      <w:r w:rsidR="00E26B32">
        <w:t>. It has twelve different wards, including men, women, and children.</w:t>
      </w:r>
      <w:r w:rsidR="00E96881">
        <w:t xml:space="preserve"> In 2013, it served over 380,000 outpatients and over 40,000 inpatients. </w:t>
      </w:r>
    </w:p>
    <w:p w14:paraId="579ADBAD" w14:textId="60A9F0BC" w:rsidR="00E517E0" w:rsidRDefault="004C0C90" w:rsidP="00E96881">
      <w:pPr>
        <w:spacing w:line="480" w:lineRule="auto"/>
      </w:pPr>
      <w:r>
        <w:tab/>
      </w:r>
      <w:r w:rsidR="00F8637E">
        <w:t>Acute and convalescent blood samples</w:t>
      </w:r>
      <w:r w:rsidR="007C6D5C">
        <w:t xml:space="preserve"> were drawn</w:t>
      </w:r>
      <w:r w:rsidR="00F8637E">
        <w:t xml:space="preserve"> from clinically suspected dengue inpatients at KP</w:t>
      </w:r>
      <w:r w:rsidR="0030592C">
        <w:t>P</w:t>
      </w:r>
      <w:r w:rsidR="00F8637E">
        <w:t>H</w:t>
      </w:r>
      <w:r w:rsidR="007C6D5C">
        <w:t>. These samples</w:t>
      </w:r>
      <w:r w:rsidR="00F8637E">
        <w:t xml:space="preserve"> were tested for evidence of DENV infection at the </w:t>
      </w:r>
      <w:r w:rsidR="00F8637E">
        <w:lastRenderedPageBreak/>
        <w:t xml:space="preserve">Armed Forces Research Institute of Medical Sciences (AFRIMS) laboratories in Kamphaeng Phet and Bangkok. </w:t>
      </w:r>
    </w:p>
    <w:p w14:paraId="66E4B066" w14:textId="5D251477" w:rsidR="00973423" w:rsidRDefault="007C6D5C" w:rsidP="00E517E0">
      <w:pPr>
        <w:spacing w:line="480" w:lineRule="auto"/>
        <w:ind w:firstLine="720"/>
      </w:pPr>
      <w:r>
        <w:t>From 1994-2009</w:t>
      </w:r>
      <w:r w:rsidR="00973423">
        <w:t>, KP</w:t>
      </w:r>
      <w:r w:rsidR="0030592C">
        <w:t>P</w:t>
      </w:r>
      <w:r w:rsidR="00973423">
        <w:t xml:space="preserve">H used the 1997 WHO dengue classification guidelines. The guidelines placed dengue into undifferentiated fever, dengue fever (DF), dengue hemorrhagic fever (DHF), </w:t>
      </w:r>
      <w:r w:rsidR="008E2280">
        <w:t xml:space="preserve">and fever </w:t>
      </w:r>
      <w:r w:rsidR="00973423">
        <w:t xml:space="preserve">that may lead to dengue shock syndrome (DSS). Due to the variability of symptoms, </w:t>
      </w:r>
      <w:r>
        <w:t xml:space="preserve">the </w:t>
      </w:r>
      <w:r w:rsidR="00973423">
        <w:t xml:space="preserve">clinical definition </w:t>
      </w:r>
      <w:r>
        <w:t xml:space="preserve">of dengue </w:t>
      </w:r>
      <w:r w:rsidR="00973423">
        <w:t>was not appropriate without laboratory con</w:t>
      </w:r>
      <w:r>
        <w:t>firmation. Probable DF cases were defined as</w:t>
      </w:r>
      <w:r w:rsidR="00973423">
        <w:t xml:space="preserve"> acute febrile illness with two or more symptoms such as headache, retro-orbital pain, myalgia, arthralgia, rash, hemorrhagic manifestations or leukopenia</w:t>
      </w:r>
      <w:r w:rsidR="008E3905">
        <w:rPr>
          <w:vertAlign w:val="superscript"/>
        </w:rPr>
        <w:t>2</w:t>
      </w:r>
      <w:r w:rsidR="006257E1">
        <w:rPr>
          <w:vertAlign w:val="superscript"/>
        </w:rPr>
        <w:t>2</w:t>
      </w:r>
      <w:r w:rsidR="008E2280">
        <w:t>. Probable</w:t>
      </w:r>
      <w:r>
        <w:t xml:space="preserve"> DF cases</w:t>
      </w:r>
      <w:r w:rsidR="00973423">
        <w:t xml:space="preserve"> also had supportive serology or occurrence at same location and time as other confirmed dengue cases</w:t>
      </w:r>
      <w:r w:rsidR="008E3905">
        <w:rPr>
          <w:vertAlign w:val="superscript"/>
        </w:rPr>
        <w:t>2</w:t>
      </w:r>
      <w:r w:rsidR="006257E1">
        <w:rPr>
          <w:vertAlign w:val="superscript"/>
        </w:rPr>
        <w:t>2</w:t>
      </w:r>
      <w:r w:rsidR="00973423">
        <w:t>.</w:t>
      </w:r>
    </w:p>
    <w:p w14:paraId="2BB66BA6" w14:textId="5C44DD89" w:rsidR="00973423" w:rsidRDefault="00973423" w:rsidP="00E96881">
      <w:pPr>
        <w:spacing w:line="480" w:lineRule="auto"/>
      </w:pPr>
      <w:r>
        <w:tab/>
        <w:t>For DHF,</w:t>
      </w:r>
      <w:r w:rsidR="007C6D5C">
        <w:t xml:space="preserve"> by definition, </w:t>
      </w:r>
      <w:r>
        <w:t>four symptoms mus</w:t>
      </w:r>
      <w:r w:rsidR="007C6D5C">
        <w:t xml:space="preserve">t be present; </w:t>
      </w:r>
      <w:r w:rsidR="00BE132C">
        <w:t>a fever lasting 2-7 days, hemorrhagic tendencies, thrombocytopenia, and evidence of plasma leakage</w:t>
      </w:r>
      <w:r w:rsidR="008E3905">
        <w:rPr>
          <w:vertAlign w:val="superscript"/>
        </w:rPr>
        <w:t>2</w:t>
      </w:r>
      <w:r w:rsidR="006257E1">
        <w:rPr>
          <w:vertAlign w:val="superscript"/>
        </w:rPr>
        <w:t>2</w:t>
      </w:r>
      <w:r w:rsidR="00BE132C">
        <w:t>. DSS</w:t>
      </w:r>
      <w:r w:rsidR="007C6D5C">
        <w:t>, by definition,</w:t>
      </w:r>
      <w:r w:rsidR="00BE132C">
        <w:t xml:space="preserve"> must have all four criteria for DHF, plus evidence of circulatory failure</w:t>
      </w:r>
      <w:r w:rsidR="008E3905">
        <w:rPr>
          <w:vertAlign w:val="superscript"/>
        </w:rPr>
        <w:t>2</w:t>
      </w:r>
      <w:r w:rsidR="006257E1">
        <w:rPr>
          <w:vertAlign w:val="superscript"/>
        </w:rPr>
        <w:t>2</w:t>
      </w:r>
      <w:r w:rsidR="00BE132C">
        <w:t xml:space="preserve">. Provisional diagnosis of DHF/DSS </w:t>
      </w:r>
      <w:r w:rsidR="007C6D5C">
        <w:t xml:space="preserve">could also </w:t>
      </w:r>
      <w:r w:rsidR="00BE132C">
        <w:t>come from indicators of high fever of acute onset, hemorrhagic manifestations, hepatomegaly and shock</w:t>
      </w:r>
      <w:r w:rsidR="008E3905">
        <w:rPr>
          <w:vertAlign w:val="superscript"/>
        </w:rPr>
        <w:t>2</w:t>
      </w:r>
      <w:r w:rsidR="006257E1">
        <w:rPr>
          <w:vertAlign w:val="superscript"/>
        </w:rPr>
        <w:t>2</w:t>
      </w:r>
      <w:r w:rsidR="00BE132C">
        <w:t>. While there are four grades of DHF, with grades III and IV being DSS, there was no grading in the analyzed data.</w:t>
      </w:r>
    </w:p>
    <w:p w14:paraId="4F53A60F" w14:textId="77777777" w:rsidR="0013660B" w:rsidRDefault="007C6D5C" w:rsidP="00E96881">
      <w:pPr>
        <w:spacing w:line="480" w:lineRule="auto"/>
      </w:pPr>
      <w:r>
        <w:tab/>
        <w:t>Primary infection is defined as a</w:t>
      </w:r>
      <w:r w:rsidR="002B6EF9">
        <w:t xml:space="preserve"> first DENV infection in an individual. It was determined serologically by nested PCR or ELISA</w:t>
      </w:r>
      <w:r w:rsidR="0013660B">
        <w:t xml:space="preserve"> and defined as having an IgM/IgG ratio of greater than 1.8</w:t>
      </w:r>
      <w:r w:rsidR="002B6EF9">
        <w:t>. Post-primary infection refers to any DENV infection after a primary infection. This was also determined serologically</w:t>
      </w:r>
      <w:r w:rsidR="0013660B">
        <w:t xml:space="preserve"> and defined by a IgM/IgG ratio of less than or equal to 1.8</w:t>
      </w:r>
      <w:r w:rsidR="002B6EF9">
        <w:t>.</w:t>
      </w:r>
    </w:p>
    <w:p w14:paraId="1162D51C" w14:textId="77777777" w:rsidR="0013660B" w:rsidRDefault="0013660B" w:rsidP="00E96881">
      <w:pPr>
        <w:spacing w:line="480" w:lineRule="auto"/>
      </w:pPr>
    </w:p>
    <w:p w14:paraId="1020073E" w14:textId="57166663" w:rsidR="00D329C9" w:rsidRDefault="002B6EF9" w:rsidP="00E96881">
      <w:pPr>
        <w:spacing w:line="480" w:lineRule="auto"/>
      </w:pPr>
      <w:r>
        <w:t xml:space="preserve"> </w:t>
      </w:r>
    </w:p>
    <w:p w14:paraId="08F1322E" w14:textId="01F87CF9" w:rsidR="008E3905" w:rsidRDefault="007C6D5C" w:rsidP="008E3905">
      <w:pPr>
        <w:spacing w:line="480" w:lineRule="auto"/>
        <w:ind w:firstLine="720"/>
        <w:jc w:val="center"/>
        <w:rPr>
          <w:b/>
        </w:rPr>
      </w:pPr>
      <w:r>
        <w:rPr>
          <w:b/>
        </w:rPr>
        <w:lastRenderedPageBreak/>
        <w:t>2.2</w:t>
      </w:r>
      <w:r w:rsidR="008E3905">
        <w:rPr>
          <w:b/>
        </w:rPr>
        <w:t xml:space="preserve"> </w:t>
      </w:r>
      <w:r w:rsidR="00B14590">
        <w:rPr>
          <w:b/>
        </w:rPr>
        <w:t xml:space="preserve">Statistical </w:t>
      </w:r>
      <w:r w:rsidR="00D12C42">
        <w:rPr>
          <w:b/>
        </w:rPr>
        <w:t>Analysis</w:t>
      </w:r>
    </w:p>
    <w:p w14:paraId="63B43E63" w14:textId="3EB045AD" w:rsidR="002B6EF9" w:rsidRPr="0013660B" w:rsidRDefault="008E2280" w:rsidP="002252DF">
      <w:pPr>
        <w:spacing w:line="480" w:lineRule="auto"/>
      </w:pPr>
      <w:r>
        <w:t>Analysis was completed using SAS as a data organizer and test generator. Chi-square, regression, and ANOVA analysis was used to determine significance for mean age, serotypes, and interactions.</w:t>
      </w:r>
      <w:r w:rsidR="0013660B">
        <w:t xml:space="preserve"> </w:t>
      </w:r>
      <w:r w:rsidR="002B6EF9">
        <w:t>For the analys</w:t>
      </w:r>
      <w:r w:rsidR="007C6D5C">
        <w:t xml:space="preserve">is, cases were </w:t>
      </w:r>
      <w:r w:rsidR="0013660B">
        <w:t xml:space="preserve">assessed overall as </w:t>
      </w:r>
      <w:r w:rsidR="002B6EF9">
        <w:t>all cases collected by surveillanc</w:t>
      </w:r>
      <w:r w:rsidR="007C6D5C">
        <w:t>e and</w:t>
      </w:r>
      <w:r w:rsidR="0013660B">
        <w:t xml:space="preserve"> by </w:t>
      </w:r>
      <w:r w:rsidR="007C6D5C">
        <w:t xml:space="preserve"> two subgroups of </w:t>
      </w:r>
      <w:r w:rsidR="00AB7432">
        <w:t>cases wit</w:t>
      </w:r>
      <w:r w:rsidR="007C6D5C">
        <w:t>h nested PCR confirmed dengue and c</w:t>
      </w:r>
      <w:r w:rsidR="00AB7432">
        <w:t>ases with ELISA confirmed dengue.</w:t>
      </w:r>
    </w:p>
    <w:p w14:paraId="76CCEABE" w14:textId="77777777" w:rsidR="007875D8" w:rsidRDefault="002B6EF9" w:rsidP="008E3905">
      <w:pPr>
        <w:spacing w:line="480" w:lineRule="auto"/>
        <w:ind w:firstLine="720"/>
      </w:pPr>
      <w:r>
        <w:t>All cases were analyzed for demographic characteristics using SAS. Samples were categorized by gender, age, serotype, and disease status to determine the characteristics of each of the four groups.</w:t>
      </w:r>
      <w:r w:rsidR="00AB7432">
        <w:t xml:space="preserve"> </w:t>
      </w:r>
    </w:p>
    <w:p w14:paraId="74CA0469" w14:textId="0B6DD465" w:rsidR="002B6EF9" w:rsidRDefault="007875D8" w:rsidP="007875D8">
      <w:pPr>
        <w:spacing w:line="480" w:lineRule="auto"/>
        <w:ind w:firstLine="720"/>
      </w:pPr>
      <w:r>
        <w:t>For the first and second objectives of analyzing</w:t>
      </w:r>
      <w:r w:rsidR="0013660B">
        <w:t xml:space="preserve"> dengue by</w:t>
      </w:r>
      <w:r>
        <w:t xml:space="preserve"> serotype, outbreaks and disease infections, frequency tables and chi-square tests were done. </w:t>
      </w:r>
      <w:r w:rsidR="00AB7432">
        <w:t xml:space="preserve">Tests were done to test the average mean age increase over five year intervals, for both primary and secondary infections. </w:t>
      </w:r>
      <w:r>
        <w:t>ANOVA and regression was then used to see if there is a difference in mean age between the serotypes to prove the fourth aim.</w:t>
      </w:r>
    </w:p>
    <w:p w14:paraId="34DF1328" w14:textId="1CFA5ADD" w:rsidR="00D12C42" w:rsidRDefault="00475F10" w:rsidP="00D12C42">
      <w:pPr>
        <w:spacing w:line="480" w:lineRule="auto"/>
        <w:ind w:firstLine="720"/>
      </w:pPr>
      <w:r>
        <w:t xml:space="preserve">Relationships between mean age, disease severity and serotype, and outbreaks of serotypes were found. </w:t>
      </w:r>
      <w:r w:rsidR="00D12C42">
        <w:t xml:space="preserve"> Regression and ANOVA were also performed to test the interaction of year and serotype on age.</w:t>
      </w:r>
    </w:p>
    <w:p w14:paraId="44C35036" w14:textId="77777777" w:rsidR="008D3E5A" w:rsidRDefault="008D3E5A" w:rsidP="00D07DF8">
      <w:pPr>
        <w:spacing w:line="480" w:lineRule="auto"/>
        <w:ind w:firstLine="720"/>
      </w:pPr>
    </w:p>
    <w:p w14:paraId="315BA79F" w14:textId="77777777" w:rsidR="008D3E5A" w:rsidRDefault="008D3E5A" w:rsidP="00D07DF8">
      <w:pPr>
        <w:spacing w:line="480" w:lineRule="auto"/>
        <w:ind w:firstLine="720"/>
      </w:pPr>
    </w:p>
    <w:p w14:paraId="243A5D40" w14:textId="77777777" w:rsidR="008D3E5A" w:rsidRDefault="008D3E5A" w:rsidP="00D07DF8">
      <w:pPr>
        <w:spacing w:line="480" w:lineRule="auto"/>
        <w:ind w:firstLine="720"/>
      </w:pPr>
    </w:p>
    <w:p w14:paraId="6E181599" w14:textId="77777777" w:rsidR="008D3E5A" w:rsidRDefault="008D3E5A" w:rsidP="00D07DF8">
      <w:pPr>
        <w:spacing w:line="480" w:lineRule="auto"/>
        <w:ind w:firstLine="720"/>
      </w:pPr>
    </w:p>
    <w:p w14:paraId="2D017503" w14:textId="77777777" w:rsidR="008D3E5A" w:rsidRDefault="008D3E5A" w:rsidP="00D07DF8">
      <w:pPr>
        <w:spacing w:line="480" w:lineRule="auto"/>
        <w:ind w:firstLine="720"/>
      </w:pPr>
    </w:p>
    <w:p w14:paraId="43168F90" w14:textId="77777777" w:rsidR="004C7EC3" w:rsidRPr="007E6825" w:rsidRDefault="004C7EC3" w:rsidP="004C7EC3">
      <w:pPr>
        <w:spacing w:line="480" w:lineRule="auto"/>
      </w:pPr>
    </w:p>
    <w:p w14:paraId="090BFA45" w14:textId="0FF73012" w:rsidR="002D70C1" w:rsidRDefault="00E517E0" w:rsidP="000A16AD">
      <w:pPr>
        <w:spacing w:line="480" w:lineRule="auto"/>
        <w:jc w:val="center"/>
        <w:rPr>
          <w:b/>
        </w:rPr>
      </w:pPr>
      <w:r>
        <w:rPr>
          <w:b/>
        </w:rPr>
        <w:lastRenderedPageBreak/>
        <w:t>3.0 RESULTS</w:t>
      </w:r>
    </w:p>
    <w:p w14:paraId="204FBB4D" w14:textId="2F30CE7D" w:rsidR="00616A54" w:rsidRDefault="00616A54" w:rsidP="000A16AD">
      <w:pPr>
        <w:spacing w:line="480" w:lineRule="auto"/>
        <w:jc w:val="center"/>
        <w:rPr>
          <w:b/>
        </w:rPr>
      </w:pPr>
      <w:r>
        <w:rPr>
          <w:b/>
        </w:rPr>
        <w:t>3.1 Descriptive Epidemiology</w:t>
      </w:r>
    </w:p>
    <w:p w14:paraId="61EC1C0F" w14:textId="3C9DAF84" w:rsidR="00E517E0" w:rsidRDefault="00E517E0" w:rsidP="00FF6FDC">
      <w:pPr>
        <w:spacing w:line="480" w:lineRule="auto"/>
        <w:outlineLvl w:val="0"/>
        <w:rPr>
          <w:b/>
        </w:rPr>
      </w:pPr>
      <w:r>
        <w:rPr>
          <w:b/>
        </w:rPr>
        <w:t>3.1.1 Demographics</w:t>
      </w:r>
    </w:p>
    <w:p w14:paraId="4AE5323B" w14:textId="4F85A2DF" w:rsidR="00147495" w:rsidRDefault="002B2F6A" w:rsidP="00147495">
      <w:pPr>
        <w:spacing w:line="480" w:lineRule="auto"/>
        <w:ind w:firstLine="720"/>
      </w:pPr>
      <w:r>
        <w:t>The demographic char</w:t>
      </w:r>
      <w:r w:rsidR="0013660B">
        <w:t>acteristics of the study sample</w:t>
      </w:r>
      <w:r>
        <w:t xml:space="preserve"> were assessed as the first step in the analytic process. </w:t>
      </w:r>
      <w:r w:rsidR="00DD6D24">
        <w:t xml:space="preserve">Of 12,200 </w:t>
      </w:r>
      <w:r>
        <w:t xml:space="preserve">suspected </w:t>
      </w:r>
      <w:r w:rsidR="00DD6D24">
        <w:t xml:space="preserve">dengue cases, </w:t>
      </w:r>
      <w:r w:rsidR="00C73F3E">
        <w:t>5398</w:t>
      </w:r>
      <w:r w:rsidR="00CF4F46">
        <w:t xml:space="preserve"> (44.25%)</w:t>
      </w:r>
      <w:r w:rsidR="00C73F3E">
        <w:t xml:space="preserve"> were tested with nested PCR</w:t>
      </w:r>
      <w:r w:rsidR="00CF4F46">
        <w:t xml:space="preserve"> </w:t>
      </w:r>
      <w:r w:rsidR="00C73F3E">
        <w:t>and 8268</w:t>
      </w:r>
      <w:r w:rsidR="00CF4F46">
        <w:t xml:space="preserve"> (67.77%)</w:t>
      </w:r>
      <w:r w:rsidR="00C73F3E">
        <w:t xml:space="preserve"> were tested with </w:t>
      </w:r>
      <w:r w:rsidR="00A22257">
        <w:t>ELISA.</w:t>
      </w:r>
      <w:r w:rsidR="006615A2">
        <w:t xml:space="preserve"> 5193 (42.56%) cases were tested with both</w:t>
      </w:r>
      <w:r w:rsidR="00147495">
        <w:t xml:space="preserve">, with the number of cases tested for each test being nearly equal most years. </w:t>
      </w:r>
      <w:r w:rsidR="00A22257">
        <w:t xml:space="preserve"> Over the twenty years</w:t>
      </w:r>
      <w:r>
        <w:t xml:space="preserve"> of study (1994-2013)</w:t>
      </w:r>
      <w:r w:rsidR="0057793B">
        <w:t xml:space="preserve">, </w:t>
      </w:r>
      <w:r>
        <w:t>dengue frequency did not differ by gender</w:t>
      </w:r>
      <w:r w:rsidR="00A22257">
        <w:t>, with 50.9% of males compared to 49.1% of female cases. There were sli</w:t>
      </w:r>
      <w:r>
        <w:t>ghtly more slightly more males tested using PCR versus more women using</w:t>
      </w:r>
      <w:r w:rsidR="00A22257">
        <w:t xml:space="preserve"> ELISA</w:t>
      </w:r>
      <w:r w:rsidR="00CF4F46">
        <w:t xml:space="preserve">. </w:t>
      </w:r>
      <w:r w:rsidR="00A22257">
        <w:t xml:space="preserve">The average age of </w:t>
      </w:r>
      <w:r>
        <w:t xml:space="preserve">dengue </w:t>
      </w:r>
      <w:r w:rsidR="00A22257">
        <w:t>cases for all data was 14.53 years, with a standard deviation of 11.43 years.</w:t>
      </w:r>
      <w:r>
        <w:t xml:space="preserve"> (</w:t>
      </w:r>
      <w:r w:rsidR="000A16AD">
        <w:t>T</w:t>
      </w:r>
      <w:r w:rsidR="00A22257">
        <w:t>able 1</w:t>
      </w:r>
      <w:r>
        <w:t>)</w:t>
      </w:r>
    </w:p>
    <w:p w14:paraId="5EEFA191" w14:textId="4329C5E3" w:rsidR="00437B0D" w:rsidRDefault="002B2F6A" w:rsidP="00437B0D">
      <w:pPr>
        <w:spacing w:line="480" w:lineRule="auto"/>
        <w:ind w:firstLine="720"/>
      </w:pPr>
      <w:r>
        <w:t xml:space="preserve">Next, the reported cases were examined to identify the specific serotype of dengue involved. </w:t>
      </w:r>
      <w:r w:rsidR="008C6DAA">
        <w:t>Of the cases with serotype information, 35% were</w:t>
      </w:r>
      <w:r>
        <w:t xml:space="preserve"> classified DENV-1 or DENV-2., </w:t>
      </w:r>
      <w:r w:rsidR="008C6DAA">
        <w:t>21% were</w:t>
      </w:r>
      <w:r>
        <w:t xml:space="preserve"> classified as</w:t>
      </w:r>
      <w:r w:rsidR="008C6DAA">
        <w:t xml:space="preserve"> DENV-3 and 8.66% were</w:t>
      </w:r>
      <w:r>
        <w:t xml:space="preserve"> classified as</w:t>
      </w:r>
      <w:r w:rsidR="008C6DAA">
        <w:t xml:space="preserve"> DENV4. </w:t>
      </w:r>
    </w:p>
    <w:p w14:paraId="1E65C676" w14:textId="747E630E" w:rsidR="0057793B" w:rsidRPr="0057793B" w:rsidRDefault="0057793B" w:rsidP="00FF6FDC">
      <w:pPr>
        <w:spacing w:line="480" w:lineRule="auto"/>
        <w:outlineLvl w:val="0"/>
        <w:rPr>
          <w:b/>
        </w:rPr>
      </w:pPr>
      <w:r w:rsidRPr="009363D0">
        <w:rPr>
          <w:b/>
        </w:rPr>
        <w:t xml:space="preserve">3.1.2 </w:t>
      </w:r>
      <w:r w:rsidR="0013660B">
        <w:rPr>
          <w:b/>
        </w:rPr>
        <w:t>Trends Over Time</w:t>
      </w:r>
    </w:p>
    <w:p w14:paraId="0D091298" w14:textId="1CFFEE53" w:rsidR="0073181F" w:rsidRDefault="007875D8" w:rsidP="002B2F6A">
      <w:pPr>
        <w:spacing w:line="480" w:lineRule="auto"/>
        <w:ind w:firstLine="720"/>
      </w:pPr>
      <w:r>
        <w:t xml:space="preserve">Figure 5 </w:t>
      </w:r>
      <w:r w:rsidR="002B2F6A">
        <w:t xml:space="preserve">shows the breakdown of </w:t>
      </w:r>
      <w:r w:rsidR="0013660B">
        <w:t xml:space="preserve">incidence of dengue by </w:t>
      </w:r>
      <w:r w:rsidR="002B2F6A">
        <w:t>serotype by year.</w:t>
      </w:r>
      <w:r w:rsidR="00805F7C">
        <w:t xml:space="preserve"> An outbreak was determined by AFRIMS to </w:t>
      </w:r>
      <w:r w:rsidR="0013660B">
        <w:t>be a year with over 100 cases or</w:t>
      </w:r>
      <w:r w:rsidR="00805F7C">
        <w:t xml:space="preserve"> more related to one serotype.</w:t>
      </w:r>
      <w:r w:rsidR="002B2F6A">
        <w:t xml:space="preserve"> </w:t>
      </w:r>
      <w:r w:rsidR="0073181F">
        <w:t>Over the 20 years</w:t>
      </w:r>
      <w:r w:rsidR="0013660B">
        <w:t xml:space="preserve"> of examination</w:t>
      </w:r>
      <w:r w:rsidR="0073181F">
        <w:t>, there were 1</w:t>
      </w:r>
      <w:r w:rsidR="002B2F6A">
        <w:t>3 years with an outbreak</w:t>
      </w:r>
      <w:r w:rsidR="0073181F">
        <w:t>. DENV</w:t>
      </w:r>
      <w:r w:rsidR="002B2F6A">
        <w:t>-</w:t>
      </w:r>
      <w:r w:rsidR="0073181F">
        <w:t>1 and DENV</w:t>
      </w:r>
      <w:r w:rsidR="002B2F6A">
        <w:t>-</w:t>
      </w:r>
      <w:r w:rsidR="0073181F">
        <w:t xml:space="preserve">2 </w:t>
      </w:r>
      <w:r w:rsidR="002B2F6A">
        <w:t xml:space="preserve">serotypes were identified in seven </w:t>
      </w:r>
      <w:r w:rsidR="0073181F">
        <w:t xml:space="preserve">years of outbreaks, with four </w:t>
      </w:r>
      <w:r w:rsidR="002B2F6A">
        <w:t xml:space="preserve">related to </w:t>
      </w:r>
      <w:r w:rsidR="0073181F">
        <w:t xml:space="preserve">the two serotypes </w:t>
      </w:r>
      <w:r w:rsidR="002D70C1">
        <w:t>simultaneously.</w:t>
      </w:r>
      <w:r w:rsidR="00A07523">
        <w:t xml:space="preserve"> </w:t>
      </w:r>
    </w:p>
    <w:p w14:paraId="6CC36A43" w14:textId="6F1C174C" w:rsidR="00A07523" w:rsidRDefault="00A07523" w:rsidP="00A07523">
      <w:pPr>
        <w:spacing w:line="480" w:lineRule="auto"/>
        <w:ind w:firstLine="720"/>
      </w:pPr>
      <w:r>
        <w:t>DENV-1 was the predominant serotype from 1997-2009. DENV-2 was seen as a co-dominant strain from 2001-2004 and again in 2008-2013. In 2001, a large DENV-1, DENV-</w:t>
      </w:r>
      <w:r>
        <w:lastRenderedPageBreak/>
        <w:t xml:space="preserve">2 and DENV-3 epidemic occurred, having over 2000 cases total. In 2013, another large DENV-3 epidemic occurred, with over 1200 cases. </w:t>
      </w:r>
      <w:r w:rsidR="009363D0">
        <w:t xml:space="preserve"> The only DENV-4 outbreak was in 2004.</w:t>
      </w:r>
    </w:p>
    <w:p w14:paraId="629ADA1C" w14:textId="3562B593" w:rsidR="00147495" w:rsidRDefault="00147495" w:rsidP="00616A54">
      <w:pPr>
        <w:spacing w:line="480" w:lineRule="auto"/>
      </w:pPr>
      <w:r>
        <w:t xml:space="preserve">In the seven years without outbreaks, the number of dengue cases ranged from 150-430 per year. This gives a rough idea of what the endemicity of dengue is in Kamphaeng Phet. </w:t>
      </w:r>
    </w:p>
    <w:p w14:paraId="01256389" w14:textId="6962DA36" w:rsidR="00147495" w:rsidRPr="008C6DAA" w:rsidRDefault="00147495" w:rsidP="002A5A13">
      <w:pPr>
        <w:spacing w:line="480" w:lineRule="auto"/>
        <w:ind w:left="-90"/>
        <w:jc w:val="center"/>
      </w:pPr>
      <w:r w:rsidRPr="00CF4F46">
        <w:rPr>
          <w:b/>
        </w:rPr>
        <w:t xml:space="preserve">Table 1. </w:t>
      </w:r>
      <w:r w:rsidRPr="00915504">
        <w:rPr>
          <w:b/>
        </w:rPr>
        <w:t xml:space="preserve">Baseline Characteristics </w:t>
      </w:r>
      <w:r>
        <w:rPr>
          <w:b/>
        </w:rPr>
        <w:t>of KPPH Dengue Cases, 1994-2013</w:t>
      </w:r>
    </w:p>
    <w:tbl>
      <w:tblPr>
        <w:tblStyle w:val="TableGridLight"/>
        <w:tblW w:w="9858" w:type="dxa"/>
        <w:tblLayout w:type="fixed"/>
        <w:tblLook w:val="0000" w:firstRow="0" w:lastRow="0" w:firstColumn="0" w:lastColumn="0" w:noHBand="0" w:noVBand="0"/>
      </w:tblPr>
      <w:tblGrid>
        <w:gridCol w:w="1980"/>
        <w:gridCol w:w="2610"/>
        <w:gridCol w:w="2778"/>
        <w:gridCol w:w="2490"/>
      </w:tblGrid>
      <w:tr w:rsidR="00147495" w:rsidRPr="004525DC" w14:paraId="49CA9A44" w14:textId="77777777" w:rsidTr="00325CA2">
        <w:trPr>
          <w:trHeight w:val="258"/>
        </w:trPr>
        <w:tc>
          <w:tcPr>
            <w:tcW w:w="1980" w:type="dxa"/>
            <w:noWrap/>
          </w:tcPr>
          <w:p w14:paraId="12682609" w14:textId="77777777" w:rsidR="00147495" w:rsidRPr="004525DC" w:rsidRDefault="00147495" w:rsidP="00325CA2">
            <w:pPr>
              <w:jc w:val="right"/>
              <w:rPr>
                <w:rFonts w:ascii="Calibri" w:hAnsi="Calibri"/>
                <w:color w:val="000000"/>
                <w:sz w:val="22"/>
                <w:szCs w:val="22"/>
              </w:rPr>
            </w:pPr>
          </w:p>
        </w:tc>
        <w:tc>
          <w:tcPr>
            <w:tcW w:w="2610" w:type="dxa"/>
            <w:noWrap/>
          </w:tcPr>
          <w:p w14:paraId="4087E1A4"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All Data (N=12,200)</w:t>
            </w:r>
          </w:p>
        </w:tc>
        <w:tc>
          <w:tcPr>
            <w:tcW w:w="2778" w:type="dxa"/>
            <w:noWrap/>
          </w:tcPr>
          <w:p w14:paraId="37E822AA"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Nest</w:t>
            </w:r>
            <w:r>
              <w:rPr>
                <w:rFonts w:ascii="Calibri" w:hAnsi="Calibri"/>
                <w:color w:val="000000"/>
                <w:sz w:val="22"/>
                <w:szCs w:val="22"/>
              </w:rPr>
              <w:t>ed PCR</w:t>
            </w:r>
            <w:r w:rsidRPr="004525DC">
              <w:rPr>
                <w:rFonts w:ascii="Calibri" w:hAnsi="Calibri"/>
                <w:color w:val="000000"/>
                <w:sz w:val="22"/>
                <w:szCs w:val="22"/>
              </w:rPr>
              <w:t xml:space="preserve"> Data (N=5398)</w:t>
            </w:r>
          </w:p>
        </w:tc>
        <w:tc>
          <w:tcPr>
            <w:tcW w:w="2490" w:type="dxa"/>
            <w:noWrap/>
          </w:tcPr>
          <w:p w14:paraId="5F8699E4" w14:textId="77777777" w:rsidR="00147495" w:rsidRPr="004525DC" w:rsidRDefault="00147495" w:rsidP="00325CA2">
            <w:pPr>
              <w:jc w:val="center"/>
              <w:rPr>
                <w:rFonts w:ascii="Calibri" w:hAnsi="Calibri"/>
                <w:color w:val="000000"/>
                <w:sz w:val="22"/>
                <w:szCs w:val="22"/>
              </w:rPr>
            </w:pPr>
            <w:r>
              <w:rPr>
                <w:rFonts w:ascii="Calibri" w:hAnsi="Calibri"/>
                <w:color w:val="000000"/>
                <w:sz w:val="22"/>
                <w:szCs w:val="22"/>
              </w:rPr>
              <w:t>ELISA</w:t>
            </w:r>
            <w:r w:rsidRPr="004525DC">
              <w:rPr>
                <w:rFonts w:ascii="Calibri" w:hAnsi="Calibri"/>
                <w:color w:val="000000"/>
                <w:sz w:val="22"/>
                <w:szCs w:val="22"/>
              </w:rPr>
              <w:t xml:space="preserve"> data (N=8268)</w:t>
            </w:r>
          </w:p>
        </w:tc>
      </w:tr>
      <w:tr w:rsidR="00147495" w:rsidRPr="004525DC" w14:paraId="05784D76" w14:textId="77777777" w:rsidTr="00325CA2">
        <w:trPr>
          <w:trHeight w:val="258"/>
        </w:trPr>
        <w:tc>
          <w:tcPr>
            <w:tcW w:w="1980" w:type="dxa"/>
            <w:noWrap/>
          </w:tcPr>
          <w:p w14:paraId="7C8D05C1" w14:textId="77777777" w:rsidR="00147495" w:rsidRPr="004525DC" w:rsidRDefault="00147495" w:rsidP="00325CA2">
            <w:pPr>
              <w:jc w:val="center"/>
              <w:rPr>
                <w:rFonts w:ascii="Calibri" w:hAnsi="Calibri"/>
                <w:b/>
                <w:bCs/>
                <w:color w:val="000000"/>
                <w:sz w:val="22"/>
                <w:szCs w:val="22"/>
              </w:rPr>
            </w:pPr>
            <w:r w:rsidRPr="004525DC">
              <w:rPr>
                <w:rFonts w:ascii="Calibri" w:hAnsi="Calibri"/>
                <w:b/>
                <w:bCs/>
                <w:color w:val="000000"/>
                <w:sz w:val="22"/>
                <w:szCs w:val="22"/>
              </w:rPr>
              <w:t>Gender</w:t>
            </w:r>
          </w:p>
        </w:tc>
        <w:tc>
          <w:tcPr>
            <w:tcW w:w="2610" w:type="dxa"/>
            <w:noWrap/>
          </w:tcPr>
          <w:p w14:paraId="4922C243" w14:textId="77777777" w:rsidR="00147495" w:rsidRPr="004525DC" w:rsidRDefault="00147495" w:rsidP="00325CA2">
            <w:pPr>
              <w:jc w:val="center"/>
              <w:rPr>
                <w:rFonts w:ascii="Calibri" w:hAnsi="Calibri"/>
                <w:color w:val="000000"/>
                <w:sz w:val="22"/>
                <w:szCs w:val="22"/>
              </w:rPr>
            </w:pPr>
          </w:p>
        </w:tc>
        <w:tc>
          <w:tcPr>
            <w:tcW w:w="2778" w:type="dxa"/>
            <w:noWrap/>
          </w:tcPr>
          <w:p w14:paraId="558355A3" w14:textId="77777777" w:rsidR="00147495" w:rsidRPr="004525DC" w:rsidRDefault="00147495" w:rsidP="00325CA2">
            <w:pPr>
              <w:jc w:val="center"/>
              <w:rPr>
                <w:rFonts w:ascii="Calibri" w:hAnsi="Calibri"/>
                <w:color w:val="000000"/>
                <w:sz w:val="22"/>
                <w:szCs w:val="22"/>
              </w:rPr>
            </w:pPr>
          </w:p>
        </w:tc>
        <w:tc>
          <w:tcPr>
            <w:tcW w:w="2490" w:type="dxa"/>
            <w:noWrap/>
          </w:tcPr>
          <w:p w14:paraId="2A792B21" w14:textId="77777777" w:rsidR="00147495" w:rsidRPr="004525DC" w:rsidRDefault="00147495" w:rsidP="00325CA2">
            <w:pPr>
              <w:jc w:val="center"/>
              <w:rPr>
                <w:rFonts w:ascii="Calibri" w:hAnsi="Calibri"/>
                <w:color w:val="000000"/>
                <w:sz w:val="22"/>
                <w:szCs w:val="22"/>
              </w:rPr>
            </w:pPr>
          </w:p>
        </w:tc>
      </w:tr>
      <w:tr w:rsidR="00147495" w:rsidRPr="004525DC" w14:paraId="5E1281D6" w14:textId="77777777" w:rsidTr="00325CA2">
        <w:trPr>
          <w:trHeight w:val="258"/>
        </w:trPr>
        <w:tc>
          <w:tcPr>
            <w:tcW w:w="1980" w:type="dxa"/>
            <w:noWrap/>
          </w:tcPr>
          <w:p w14:paraId="73404B61"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Female</w:t>
            </w:r>
          </w:p>
        </w:tc>
        <w:tc>
          <w:tcPr>
            <w:tcW w:w="2610" w:type="dxa"/>
            <w:noWrap/>
          </w:tcPr>
          <w:p w14:paraId="0498CC31"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5933</w:t>
            </w:r>
            <w:r>
              <w:rPr>
                <w:rFonts w:ascii="Calibri" w:hAnsi="Calibri"/>
                <w:color w:val="000000"/>
                <w:sz w:val="22"/>
                <w:szCs w:val="22"/>
              </w:rPr>
              <w:t xml:space="preserve"> (49.1%)</w:t>
            </w:r>
          </w:p>
        </w:tc>
        <w:tc>
          <w:tcPr>
            <w:tcW w:w="2778" w:type="dxa"/>
            <w:noWrap/>
          </w:tcPr>
          <w:p w14:paraId="74DE2254"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2673</w:t>
            </w:r>
            <w:r>
              <w:rPr>
                <w:rFonts w:ascii="Calibri" w:hAnsi="Calibri"/>
                <w:color w:val="000000"/>
                <w:sz w:val="22"/>
                <w:szCs w:val="22"/>
              </w:rPr>
              <w:t xml:space="preserve"> (49.6%)</w:t>
            </w:r>
          </w:p>
        </w:tc>
        <w:tc>
          <w:tcPr>
            <w:tcW w:w="2490" w:type="dxa"/>
            <w:noWrap/>
          </w:tcPr>
          <w:p w14:paraId="08D7E901"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4091</w:t>
            </w:r>
            <w:r>
              <w:rPr>
                <w:rFonts w:ascii="Calibri" w:hAnsi="Calibri"/>
                <w:color w:val="000000"/>
                <w:sz w:val="22"/>
                <w:szCs w:val="22"/>
              </w:rPr>
              <w:t xml:space="preserve"> (51.3%)</w:t>
            </w:r>
          </w:p>
        </w:tc>
      </w:tr>
      <w:tr w:rsidR="00147495" w:rsidRPr="004525DC" w14:paraId="26BDBA4F" w14:textId="77777777" w:rsidTr="00325CA2">
        <w:trPr>
          <w:trHeight w:val="258"/>
        </w:trPr>
        <w:tc>
          <w:tcPr>
            <w:tcW w:w="1980" w:type="dxa"/>
            <w:noWrap/>
          </w:tcPr>
          <w:p w14:paraId="070BCA9C"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Male</w:t>
            </w:r>
          </w:p>
        </w:tc>
        <w:tc>
          <w:tcPr>
            <w:tcW w:w="2610" w:type="dxa"/>
            <w:noWrap/>
          </w:tcPr>
          <w:p w14:paraId="6A686A4F"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6214</w:t>
            </w:r>
            <w:r>
              <w:rPr>
                <w:rFonts w:ascii="Calibri" w:hAnsi="Calibri"/>
                <w:color w:val="000000"/>
                <w:sz w:val="22"/>
                <w:szCs w:val="22"/>
              </w:rPr>
              <w:t xml:space="preserve"> (50.9%)</w:t>
            </w:r>
          </w:p>
        </w:tc>
        <w:tc>
          <w:tcPr>
            <w:tcW w:w="2778" w:type="dxa"/>
            <w:noWrap/>
          </w:tcPr>
          <w:p w14:paraId="42C335E9"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2722</w:t>
            </w:r>
            <w:r>
              <w:rPr>
                <w:rFonts w:ascii="Calibri" w:hAnsi="Calibri"/>
                <w:color w:val="000000"/>
                <w:sz w:val="22"/>
                <w:szCs w:val="22"/>
              </w:rPr>
              <w:t xml:space="preserve"> (50.4%)</w:t>
            </w:r>
          </w:p>
        </w:tc>
        <w:tc>
          <w:tcPr>
            <w:tcW w:w="2490" w:type="dxa"/>
            <w:noWrap/>
          </w:tcPr>
          <w:p w14:paraId="55F803FC"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4029</w:t>
            </w:r>
            <w:r>
              <w:rPr>
                <w:rFonts w:ascii="Calibri" w:hAnsi="Calibri"/>
                <w:color w:val="000000"/>
                <w:sz w:val="22"/>
                <w:szCs w:val="22"/>
              </w:rPr>
              <w:t xml:space="preserve"> (48.7%)</w:t>
            </w:r>
          </w:p>
        </w:tc>
      </w:tr>
      <w:tr w:rsidR="00147495" w:rsidRPr="004525DC" w14:paraId="214D4E45" w14:textId="77777777" w:rsidTr="00325CA2">
        <w:trPr>
          <w:trHeight w:val="258"/>
        </w:trPr>
        <w:tc>
          <w:tcPr>
            <w:tcW w:w="1980" w:type="dxa"/>
            <w:noWrap/>
          </w:tcPr>
          <w:p w14:paraId="57A1216B"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Missing</w:t>
            </w:r>
          </w:p>
        </w:tc>
        <w:tc>
          <w:tcPr>
            <w:tcW w:w="2610" w:type="dxa"/>
            <w:noWrap/>
          </w:tcPr>
          <w:p w14:paraId="5B8BF2F7"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53</w:t>
            </w:r>
          </w:p>
        </w:tc>
        <w:tc>
          <w:tcPr>
            <w:tcW w:w="2778" w:type="dxa"/>
            <w:noWrap/>
          </w:tcPr>
          <w:p w14:paraId="22F4D98E"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23</w:t>
            </w:r>
          </w:p>
        </w:tc>
        <w:tc>
          <w:tcPr>
            <w:tcW w:w="2490" w:type="dxa"/>
            <w:noWrap/>
          </w:tcPr>
          <w:p w14:paraId="264ADEAD"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43</w:t>
            </w:r>
          </w:p>
        </w:tc>
      </w:tr>
      <w:tr w:rsidR="00147495" w:rsidRPr="004525DC" w14:paraId="4B4CB7ED" w14:textId="77777777" w:rsidTr="00325CA2">
        <w:trPr>
          <w:trHeight w:val="258"/>
        </w:trPr>
        <w:tc>
          <w:tcPr>
            <w:tcW w:w="1980" w:type="dxa"/>
            <w:noWrap/>
          </w:tcPr>
          <w:p w14:paraId="2DC0621E" w14:textId="77777777" w:rsidR="00147495" w:rsidRPr="004525DC" w:rsidRDefault="00147495" w:rsidP="00325CA2">
            <w:pPr>
              <w:jc w:val="center"/>
              <w:rPr>
                <w:rFonts w:ascii="Calibri" w:hAnsi="Calibri"/>
                <w:b/>
                <w:bCs/>
                <w:color w:val="000000"/>
                <w:sz w:val="22"/>
                <w:szCs w:val="22"/>
              </w:rPr>
            </w:pPr>
            <w:r w:rsidRPr="004525DC">
              <w:rPr>
                <w:rFonts w:ascii="Calibri" w:hAnsi="Calibri"/>
                <w:b/>
                <w:bCs/>
                <w:color w:val="000000"/>
                <w:sz w:val="22"/>
                <w:szCs w:val="22"/>
              </w:rPr>
              <w:t>Age (Years +/- SD)</w:t>
            </w:r>
          </w:p>
        </w:tc>
        <w:tc>
          <w:tcPr>
            <w:tcW w:w="2610" w:type="dxa"/>
            <w:noWrap/>
          </w:tcPr>
          <w:p w14:paraId="4880E374"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14.53 +/- 11.43</w:t>
            </w:r>
          </w:p>
        </w:tc>
        <w:tc>
          <w:tcPr>
            <w:tcW w:w="2778" w:type="dxa"/>
            <w:noWrap/>
          </w:tcPr>
          <w:p w14:paraId="13A2A8B8"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13.59 +/- 8.29</w:t>
            </w:r>
          </w:p>
        </w:tc>
        <w:tc>
          <w:tcPr>
            <w:tcW w:w="2490" w:type="dxa"/>
            <w:noWrap/>
          </w:tcPr>
          <w:p w14:paraId="622F4A92"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13.39 +/- 8.64</w:t>
            </w:r>
          </w:p>
        </w:tc>
      </w:tr>
      <w:tr w:rsidR="00147495" w:rsidRPr="004525DC" w14:paraId="30A3A667" w14:textId="77777777" w:rsidTr="00325CA2">
        <w:trPr>
          <w:trHeight w:val="258"/>
        </w:trPr>
        <w:tc>
          <w:tcPr>
            <w:tcW w:w="1980" w:type="dxa"/>
            <w:noWrap/>
          </w:tcPr>
          <w:p w14:paraId="5938E6B9" w14:textId="77777777" w:rsidR="00147495" w:rsidRPr="004525DC" w:rsidRDefault="00147495" w:rsidP="00325CA2">
            <w:pPr>
              <w:jc w:val="center"/>
              <w:rPr>
                <w:rFonts w:ascii="Calibri" w:hAnsi="Calibri"/>
                <w:b/>
                <w:bCs/>
                <w:color w:val="000000"/>
                <w:sz w:val="22"/>
                <w:szCs w:val="22"/>
              </w:rPr>
            </w:pPr>
            <w:r w:rsidRPr="004525DC">
              <w:rPr>
                <w:rFonts w:ascii="Calibri" w:hAnsi="Calibri"/>
                <w:b/>
                <w:bCs/>
                <w:color w:val="000000"/>
                <w:sz w:val="22"/>
                <w:szCs w:val="22"/>
              </w:rPr>
              <w:t>IgRatio</w:t>
            </w:r>
          </w:p>
        </w:tc>
        <w:tc>
          <w:tcPr>
            <w:tcW w:w="2610" w:type="dxa"/>
            <w:noWrap/>
          </w:tcPr>
          <w:p w14:paraId="76F8290F"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1.21 +/- 3.66</w:t>
            </w:r>
          </w:p>
        </w:tc>
        <w:tc>
          <w:tcPr>
            <w:tcW w:w="2778" w:type="dxa"/>
            <w:noWrap/>
          </w:tcPr>
          <w:p w14:paraId="294C2D32"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1.40 +/- 4.13</w:t>
            </w:r>
          </w:p>
        </w:tc>
        <w:tc>
          <w:tcPr>
            <w:tcW w:w="2490" w:type="dxa"/>
            <w:noWrap/>
          </w:tcPr>
          <w:p w14:paraId="6A6E9DAB"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1.32 +/-4.14</w:t>
            </w:r>
          </w:p>
        </w:tc>
      </w:tr>
      <w:tr w:rsidR="00147495" w:rsidRPr="004525DC" w14:paraId="370E84FF" w14:textId="77777777" w:rsidTr="00325CA2">
        <w:trPr>
          <w:trHeight w:val="258"/>
        </w:trPr>
        <w:tc>
          <w:tcPr>
            <w:tcW w:w="1980" w:type="dxa"/>
            <w:noWrap/>
          </w:tcPr>
          <w:p w14:paraId="11338BDF" w14:textId="77777777" w:rsidR="00147495" w:rsidRPr="004525DC" w:rsidRDefault="00147495" w:rsidP="00325CA2">
            <w:pPr>
              <w:jc w:val="center"/>
              <w:rPr>
                <w:rFonts w:ascii="Calibri" w:hAnsi="Calibri"/>
                <w:b/>
                <w:bCs/>
                <w:color w:val="000000"/>
                <w:sz w:val="22"/>
                <w:szCs w:val="22"/>
              </w:rPr>
            </w:pPr>
            <w:r w:rsidRPr="004525DC">
              <w:rPr>
                <w:rFonts w:ascii="Calibri" w:hAnsi="Calibri"/>
                <w:b/>
                <w:bCs/>
                <w:color w:val="000000"/>
                <w:sz w:val="22"/>
                <w:szCs w:val="22"/>
              </w:rPr>
              <w:t>Serologic Response</w:t>
            </w:r>
          </w:p>
        </w:tc>
        <w:tc>
          <w:tcPr>
            <w:tcW w:w="2610" w:type="dxa"/>
            <w:noWrap/>
          </w:tcPr>
          <w:p w14:paraId="0189A44F" w14:textId="77777777" w:rsidR="00147495" w:rsidRPr="004525DC" w:rsidRDefault="00147495" w:rsidP="00325CA2">
            <w:pPr>
              <w:jc w:val="center"/>
              <w:rPr>
                <w:rFonts w:ascii="Calibri" w:hAnsi="Calibri"/>
                <w:color w:val="000000"/>
                <w:sz w:val="22"/>
                <w:szCs w:val="22"/>
              </w:rPr>
            </w:pPr>
          </w:p>
        </w:tc>
        <w:tc>
          <w:tcPr>
            <w:tcW w:w="2778" w:type="dxa"/>
            <w:noWrap/>
          </w:tcPr>
          <w:p w14:paraId="18712A51" w14:textId="77777777" w:rsidR="00147495" w:rsidRPr="004525DC" w:rsidRDefault="00147495" w:rsidP="00325CA2">
            <w:pPr>
              <w:jc w:val="center"/>
              <w:rPr>
                <w:rFonts w:ascii="Calibri" w:hAnsi="Calibri"/>
                <w:color w:val="000000"/>
                <w:sz w:val="22"/>
                <w:szCs w:val="22"/>
              </w:rPr>
            </w:pPr>
          </w:p>
        </w:tc>
        <w:tc>
          <w:tcPr>
            <w:tcW w:w="2490" w:type="dxa"/>
            <w:noWrap/>
          </w:tcPr>
          <w:p w14:paraId="48712112" w14:textId="77777777" w:rsidR="00147495" w:rsidRPr="004525DC" w:rsidRDefault="00147495" w:rsidP="00325CA2">
            <w:pPr>
              <w:jc w:val="center"/>
              <w:rPr>
                <w:rFonts w:ascii="Calibri" w:hAnsi="Calibri"/>
                <w:color w:val="000000"/>
                <w:sz w:val="22"/>
                <w:szCs w:val="22"/>
              </w:rPr>
            </w:pPr>
          </w:p>
        </w:tc>
      </w:tr>
      <w:tr w:rsidR="00147495" w:rsidRPr="004525DC" w14:paraId="7B948176" w14:textId="77777777" w:rsidTr="00325CA2">
        <w:trPr>
          <w:trHeight w:val="258"/>
        </w:trPr>
        <w:tc>
          <w:tcPr>
            <w:tcW w:w="1980" w:type="dxa"/>
            <w:noWrap/>
          </w:tcPr>
          <w:p w14:paraId="4310F783"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Primary</w:t>
            </w:r>
          </w:p>
        </w:tc>
        <w:tc>
          <w:tcPr>
            <w:tcW w:w="2610" w:type="dxa"/>
            <w:noWrap/>
          </w:tcPr>
          <w:p w14:paraId="7CF4445D"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417 (3.42%)</w:t>
            </w:r>
          </w:p>
        </w:tc>
        <w:tc>
          <w:tcPr>
            <w:tcW w:w="2778" w:type="dxa"/>
            <w:noWrap/>
          </w:tcPr>
          <w:p w14:paraId="41EF9394"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258 (4.78%)</w:t>
            </w:r>
          </w:p>
        </w:tc>
        <w:tc>
          <w:tcPr>
            <w:tcW w:w="2490" w:type="dxa"/>
            <w:noWrap/>
          </w:tcPr>
          <w:p w14:paraId="1EFD6EE8"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417 (5.06%)</w:t>
            </w:r>
          </w:p>
        </w:tc>
      </w:tr>
      <w:tr w:rsidR="00147495" w:rsidRPr="004525DC" w14:paraId="06971635" w14:textId="77777777" w:rsidTr="00325CA2">
        <w:trPr>
          <w:trHeight w:val="258"/>
        </w:trPr>
        <w:tc>
          <w:tcPr>
            <w:tcW w:w="1980" w:type="dxa"/>
            <w:noWrap/>
          </w:tcPr>
          <w:p w14:paraId="0B377B24"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Secondary</w:t>
            </w:r>
          </w:p>
        </w:tc>
        <w:tc>
          <w:tcPr>
            <w:tcW w:w="2610" w:type="dxa"/>
            <w:noWrap/>
          </w:tcPr>
          <w:p w14:paraId="6A7BBD83"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7215 (59.14%)</w:t>
            </w:r>
          </w:p>
        </w:tc>
        <w:tc>
          <w:tcPr>
            <w:tcW w:w="2778" w:type="dxa"/>
            <w:noWrap/>
          </w:tcPr>
          <w:p w14:paraId="28223597"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4339 (80.38%)</w:t>
            </w:r>
          </w:p>
        </w:tc>
        <w:tc>
          <w:tcPr>
            <w:tcW w:w="2490" w:type="dxa"/>
            <w:noWrap/>
          </w:tcPr>
          <w:p w14:paraId="436EA404"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7194 (87.23%)</w:t>
            </w:r>
          </w:p>
        </w:tc>
      </w:tr>
      <w:tr w:rsidR="00147495" w:rsidRPr="004525DC" w14:paraId="2800CBD2" w14:textId="77777777" w:rsidTr="00325CA2">
        <w:trPr>
          <w:trHeight w:val="258"/>
        </w:trPr>
        <w:tc>
          <w:tcPr>
            <w:tcW w:w="1980" w:type="dxa"/>
            <w:noWrap/>
          </w:tcPr>
          <w:p w14:paraId="6D3BA02E"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Unknown</w:t>
            </w:r>
          </w:p>
        </w:tc>
        <w:tc>
          <w:tcPr>
            <w:tcW w:w="2610" w:type="dxa"/>
            <w:noWrap/>
          </w:tcPr>
          <w:p w14:paraId="237CF601"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4568 (37.44%)</w:t>
            </w:r>
          </w:p>
        </w:tc>
        <w:tc>
          <w:tcPr>
            <w:tcW w:w="2778" w:type="dxa"/>
            <w:noWrap/>
          </w:tcPr>
          <w:p w14:paraId="0BF6506B"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801 (14.84%)</w:t>
            </w:r>
          </w:p>
        </w:tc>
        <w:tc>
          <w:tcPr>
            <w:tcW w:w="2490" w:type="dxa"/>
            <w:noWrap/>
          </w:tcPr>
          <w:p w14:paraId="0377DA5D"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636 (7.71%)</w:t>
            </w:r>
          </w:p>
        </w:tc>
      </w:tr>
      <w:tr w:rsidR="00147495" w:rsidRPr="004525DC" w14:paraId="56F3B552" w14:textId="77777777" w:rsidTr="00325CA2">
        <w:trPr>
          <w:trHeight w:val="258"/>
        </w:trPr>
        <w:tc>
          <w:tcPr>
            <w:tcW w:w="1980" w:type="dxa"/>
            <w:noWrap/>
          </w:tcPr>
          <w:p w14:paraId="41980D4F" w14:textId="77777777" w:rsidR="00147495" w:rsidRPr="004525DC" w:rsidRDefault="00147495" w:rsidP="00325CA2">
            <w:pPr>
              <w:jc w:val="center"/>
              <w:rPr>
                <w:rFonts w:ascii="Calibri" w:hAnsi="Calibri"/>
                <w:b/>
                <w:bCs/>
                <w:color w:val="000000"/>
                <w:sz w:val="22"/>
                <w:szCs w:val="22"/>
              </w:rPr>
            </w:pPr>
            <w:r w:rsidRPr="004525DC">
              <w:rPr>
                <w:rFonts w:ascii="Calibri" w:hAnsi="Calibri"/>
                <w:b/>
                <w:bCs/>
                <w:color w:val="000000"/>
                <w:sz w:val="22"/>
                <w:szCs w:val="22"/>
              </w:rPr>
              <w:t>PCR Result</w:t>
            </w:r>
          </w:p>
        </w:tc>
        <w:tc>
          <w:tcPr>
            <w:tcW w:w="2610" w:type="dxa"/>
            <w:noWrap/>
          </w:tcPr>
          <w:p w14:paraId="01435743" w14:textId="77777777" w:rsidR="00147495" w:rsidRPr="004525DC" w:rsidRDefault="00147495" w:rsidP="00325CA2">
            <w:pPr>
              <w:jc w:val="center"/>
              <w:rPr>
                <w:rFonts w:ascii="Calibri" w:hAnsi="Calibri"/>
                <w:color w:val="000000"/>
                <w:sz w:val="22"/>
                <w:szCs w:val="22"/>
              </w:rPr>
            </w:pPr>
          </w:p>
        </w:tc>
        <w:tc>
          <w:tcPr>
            <w:tcW w:w="2778" w:type="dxa"/>
            <w:noWrap/>
          </w:tcPr>
          <w:p w14:paraId="0F77445D" w14:textId="77777777" w:rsidR="00147495" w:rsidRPr="004525DC" w:rsidRDefault="00147495" w:rsidP="00325CA2">
            <w:pPr>
              <w:jc w:val="center"/>
              <w:rPr>
                <w:rFonts w:ascii="Calibri" w:hAnsi="Calibri"/>
                <w:color w:val="000000"/>
                <w:sz w:val="22"/>
                <w:szCs w:val="22"/>
              </w:rPr>
            </w:pPr>
          </w:p>
        </w:tc>
        <w:tc>
          <w:tcPr>
            <w:tcW w:w="2490" w:type="dxa"/>
            <w:noWrap/>
          </w:tcPr>
          <w:p w14:paraId="6D865EE7" w14:textId="77777777" w:rsidR="00147495" w:rsidRPr="004525DC" w:rsidRDefault="00147495" w:rsidP="00325CA2">
            <w:pPr>
              <w:jc w:val="center"/>
              <w:rPr>
                <w:rFonts w:ascii="Calibri" w:hAnsi="Calibri"/>
                <w:color w:val="000000"/>
                <w:sz w:val="22"/>
                <w:szCs w:val="22"/>
              </w:rPr>
            </w:pPr>
          </w:p>
        </w:tc>
      </w:tr>
      <w:tr w:rsidR="00147495" w:rsidRPr="004525DC" w14:paraId="358FF750" w14:textId="77777777" w:rsidTr="00325CA2">
        <w:trPr>
          <w:trHeight w:val="258"/>
        </w:trPr>
        <w:tc>
          <w:tcPr>
            <w:tcW w:w="1980" w:type="dxa"/>
            <w:noWrap/>
          </w:tcPr>
          <w:p w14:paraId="5E7FF483"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DEN</w:t>
            </w:r>
            <w:r>
              <w:rPr>
                <w:rFonts w:ascii="Calibri" w:hAnsi="Calibri"/>
                <w:color w:val="000000"/>
                <w:sz w:val="22"/>
                <w:szCs w:val="22"/>
              </w:rPr>
              <w:t>V</w:t>
            </w:r>
            <w:r w:rsidRPr="004525DC">
              <w:rPr>
                <w:rFonts w:ascii="Calibri" w:hAnsi="Calibri"/>
                <w:color w:val="000000"/>
                <w:sz w:val="22"/>
                <w:szCs w:val="22"/>
              </w:rPr>
              <w:t>1</w:t>
            </w:r>
          </w:p>
        </w:tc>
        <w:tc>
          <w:tcPr>
            <w:tcW w:w="2610" w:type="dxa"/>
            <w:noWrap/>
          </w:tcPr>
          <w:p w14:paraId="6DD42ABE"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1909 (15.65%)</w:t>
            </w:r>
          </w:p>
        </w:tc>
        <w:tc>
          <w:tcPr>
            <w:tcW w:w="2778" w:type="dxa"/>
            <w:noWrap/>
          </w:tcPr>
          <w:p w14:paraId="7F789D1A"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1909 (35.34%)</w:t>
            </w:r>
          </w:p>
        </w:tc>
        <w:tc>
          <w:tcPr>
            <w:tcW w:w="2490" w:type="dxa"/>
            <w:noWrap/>
          </w:tcPr>
          <w:p w14:paraId="512FE5CE"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1841 (22.27%)</w:t>
            </w:r>
          </w:p>
        </w:tc>
      </w:tr>
      <w:tr w:rsidR="00147495" w:rsidRPr="004525DC" w14:paraId="4AC25107" w14:textId="77777777" w:rsidTr="00325CA2">
        <w:trPr>
          <w:trHeight w:val="258"/>
        </w:trPr>
        <w:tc>
          <w:tcPr>
            <w:tcW w:w="1980" w:type="dxa"/>
            <w:noWrap/>
          </w:tcPr>
          <w:p w14:paraId="6F0F8BFB"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DEN</w:t>
            </w:r>
            <w:r>
              <w:rPr>
                <w:rFonts w:ascii="Calibri" w:hAnsi="Calibri"/>
                <w:color w:val="000000"/>
                <w:sz w:val="22"/>
                <w:szCs w:val="22"/>
              </w:rPr>
              <w:t>V</w:t>
            </w:r>
            <w:r w:rsidRPr="004525DC">
              <w:rPr>
                <w:rFonts w:ascii="Calibri" w:hAnsi="Calibri"/>
                <w:color w:val="000000"/>
                <w:sz w:val="22"/>
                <w:szCs w:val="22"/>
              </w:rPr>
              <w:t>2</w:t>
            </w:r>
          </w:p>
        </w:tc>
        <w:tc>
          <w:tcPr>
            <w:tcW w:w="2610" w:type="dxa"/>
            <w:noWrap/>
          </w:tcPr>
          <w:p w14:paraId="427A06CF"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1885 (15.45%)</w:t>
            </w:r>
          </w:p>
        </w:tc>
        <w:tc>
          <w:tcPr>
            <w:tcW w:w="2778" w:type="dxa"/>
            <w:noWrap/>
          </w:tcPr>
          <w:p w14:paraId="5E63F8F5"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1885 (34.89%)</w:t>
            </w:r>
          </w:p>
        </w:tc>
        <w:tc>
          <w:tcPr>
            <w:tcW w:w="2490" w:type="dxa"/>
            <w:noWrap/>
          </w:tcPr>
          <w:p w14:paraId="3C52ACF7"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1800 (21.77%)</w:t>
            </w:r>
          </w:p>
        </w:tc>
      </w:tr>
      <w:tr w:rsidR="00147495" w:rsidRPr="004525DC" w14:paraId="02C24DD7" w14:textId="77777777" w:rsidTr="00325CA2">
        <w:trPr>
          <w:trHeight w:val="258"/>
        </w:trPr>
        <w:tc>
          <w:tcPr>
            <w:tcW w:w="1980" w:type="dxa"/>
            <w:noWrap/>
          </w:tcPr>
          <w:p w14:paraId="1BAB5675"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DEN</w:t>
            </w:r>
            <w:r>
              <w:rPr>
                <w:rFonts w:ascii="Calibri" w:hAnsi="Calibri"/>
                <w:color w:val="000000"/>
                <w:sz w:val="22"/>
                <w:szCs w:val="22"/>
              </w:rPr>
              <w:t>V</w:t>
            </w:r>
            <w:r w:rsidRPr="004525DC">
              <w:rPr>
                <w:rFonts w:ascii="Calibri" w:hAnsi="Calibri"/>
                <w:color w:val="000000"/>
                <w:sz w:val="22"/>
                <w:szCs w:val="22"/>
              </w:rPr>
              <w:t>3</w:t>
            </w:r>
          </w:p>
        </w:tc>
        <w:tc>
          <w:tcPr>
            <w:tcW w:w="2610" w:type="dxa"/>
            <w:noWrap/>
          </w:tcPr>
          <w:p w14:paraId="172082F9"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1136 (9.31%)</w:t>
            </w:r>
          </w:p>
        </w:tc>
        <w:tc>
          <w:tcPr>
            <w:tcW w:w="2778" w:type="dxa"/>
            <w:noWrap/>
          </w:tcPr>
          <w:p w14:paraId="554D5456"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1136 (21.03%)</w:t>
            </w:r>
          </w:p>
        </w:tc>
        <w:tc>
          <w:tcPr>
            <w:tcW w:w="2490" w:type="dxa"/>
            <w:noWrap/>
          </w:tcPr>
          <w:p w14:paraId="12A944D5"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1103 (13.34%)</w:t>
            </w:r>
          </w:p>
        </w:tc>
      </w:tr>
      <w:tr w:rsidR="00147495" w:rsidRPr="004525DC" w14:paraId="45E96158" w14:textId="77777777" w:rsidTr="00325CA2">
        <w:trPr>
          <w:trHeight w:val="258"/>
        </w:trPr>
        <w:tc>
          <w:tcPr>
            <w:tcW w:w="1980" w:type="dxa"/>
            <w:noWrap/>
          </w:tcPr>
          <w:p w14:paraId="7330D5E4"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DEN</w:t>
            </w:r>
            <w:r>
              <w:rPr>
                <w:rFonts w:ascii="Calibri" w:hAnsi="Calibri"/>
                <w:color w:val="000000"/>
                <w:sz w:val="22"/>
                <w:szCs w:val="22"/>
              </w:rPr>
              <w:t>V</w:t>
            </w:r>
            <w:r w:rsidRPr="004525DC">
              <w:rPr>
                <w:rFonts w:ascii="Calibri" w:hAnsi="Calibri"/>
                <w:color w:val="000000"/>
                <w:sz w:val="22"/>
                <w:szCs w:val="22"/>
              </w:rPr>
              <w:t>4</w:t>
            </w:r>
          </w:p>
        </w:tc>
        <w:tc>
          <w:tcPr>
            <w:tcW w:w="2610" w:type="dxa"/>
            <w:noWrap/>
          </w:tcPr>
          <w:p w14:paraId="338A9327"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468 (3.84%)</w:t>
            </w:r>
          </w:p>
        </w:tc>
        <w:tc>
          <w:tcPr>
            <w:tcW w:w="2778" w:type="dxa"/>
            <w:noWrap/>
          </w:tcPr>
          <w:p w14:paraId="663C0B5E"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468 (8.66%)</w:t>
            </w:r>
          </w:p>
        </w:tc>
        <w:tc>
          <w:tcPr>
            <w:tcW w:w="2490" w:type="dxa"/>
            <w:noWrap/>
          </w:tcPr>
          <w:p w14:paraId="288D0AF0"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456 (5.52%)</w:t>
            </w:r>
          </w:p>
        </w:tc>
      </w:tr>
      <w:tr w:rsidR="00147495" w:rsidRPr="004525DC" w14:paraId="3E70E891" w14:textId="77777777" w:rsidTr="00325CA2">
        <w:trPr>
          <w:trHeight w:val="216"/>
        </w:trPr>
        <w:tc>
          <w:tcPr>
            <w:tcW w:w="1980" w:type="dxa"/>
            <w:noWrap/>
          </w:tcPr>
          <w:p w14:paraId="254843BD"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DEN</w:t>
            </w:r>
            <w:r>
              <w:rPr>
                <w:rFonts w:ascii="Calibri" w:hAnsi="Calibri"/>
                <w:color w:val="000000"/>
                <w:sz w:val="22"/>
                <w:szCs w:val="22"/>
              </w:rPr>
              <w:t>V</w:t>
            </w:r>
            <w:r w:rsidRPr="004525DC">
              <w:rPr>
                <w:rFonts w:ascii="Calibri" w:hAnsi="Calibri"/>
                <w:color w:val="000000"/>
                <w:sz w:val="22"/>
                <w:szCs w:val="22"/>
              </w:rPr>
              <w:t>x2</w:t>
            </w:r>
          </w:p>
        </w:tc>
        <w:tc>
          <w:tcPr>
            <w:tcW w:w="2610" w:type="dxa"/>
            <w:noWrap/>
          </w:tcPr>
          <w:p w14:paraId="605B6A2C"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 (0.03%)</w:t>
            </w:r>
          </w:p>
        </w:tc>
        <w:tc>
          <w:tcPr>
            <w:tcW w:w="2778" w:type="dxa"/>
            <w:noWrap/>
          </w:tcPr>
          <w:p w14:paraId="2E0502E3"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4(0.07%)</w:t>
            </w:r>
          </w:p>
        </w:tc>
        <w:tc>
          <w:tcPr>
            <w:tcW w:w="2490" w:type="dxa"/>
            <w:noWrap/>
          </w:tcPr>
          <w:p w14:paraId="114C7D55"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3 (0.04%)</w:t>
            </w:r>
          </w:p>
        </w:tc>
      </w:tr>
      <w:tr w:rsidR="00147495" w:rsidRPr="004525DC" w14:paraId="4B651042" w14:textId="77777777" w:rsidTr="00325CA2">
        <w:trPr>
          <w:trHeight w:val="84"/>
        </w:trPr>
        <w:tc>
          <w:tcPr>
            <w:tcW w:w="1980" w:type="dxa"/>
            <w:noWrap/>
          </w:tcPr>
          <w:p w14:paraId="0C96CF7B"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NEG</w:t>
            </w:r>
          </w:p>
        </w:tc>
        <w:tc>
          <w:tcPr>
            <w:tcW w:w="2610" w:type="dxa"/>
            <w:noWrap/>
          </w:tcPr>
          <w:p w14:paraId="10A25C22"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6172 (50.59%)</w:t>
            </w:r>
          </w:p>
        </w:tc>
        <w:tc>
          <w:tcPr>
            <w:tcW w:w="2778" w:type="dxa"/>
            <w:noWrap/>
          </w:tcPr>
          <w:p w14:paraId="3FB52B8A"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0</w:t>
            </w:r>
          </w:p>
        </w:tc>
        <w:tc>
          <w:tcPr>
            <w:tcW w:w="2490" w:type="dxa"/>
            <w:noWrap/>
          </w:tcPr>
          <w:p w14:paraId="245426E6" w14:textId="77777777" w:rsidR="00147495" w:rsidRPr="004525DC" w:rsidRDefault="00147495" w:rsidP="00325CA2">
            <w:pPr>
              <w:jc w:val="center"/>
              <w:rPr>
                <w:rFonts w:ascii="Calibri" w:hAnsi="Calibri"/>
                <w:color w:val="000000"/>
                <w:sz w:val="22"/>
                <w:szCs w:val="22"/>
              </w:rPr>
            </w:pPr>
            <w:r w:rsidRPr="004525DC">
              <w:rPr>
                <w:rFonts w:ascii="Calibri" w:hAnsi="Calibri"/>
                <w:color w:val="000000"/>
                <w:sz w:val="22"/>
                <w:szCs w:val="22"/>
              </w:rPr>
              <w:t>2787 (33.71%)</w:t>
            </w:r>
          </w:p>
        </w:tc>
      </w:tr>
    </w:tbl>
    <w:p w14:paraId="7F2D917C" w14:textId="185876F0" w:rsidR="00147495" w:rsidRPr="008C6DAA" w:rsidRDefault="007C56DE" w:rsidP="00147495">
      <w:pPr>
        <w:spacing w:line="480" w:lineRule="auto"/>
      </w:pPr>
      <w:r w:rsidRPr="004525DC">
        <w:rPr>
          <w:noProof/>
        </w:rPr>
        <w:drawing>
          <wp:inline distT="0" distB="0" distL="0" distR="0" wp14:anchorId="14D7970D" wp14:editId="526AE1BC">
            <wp:extent cx="5880735" cy="2823210"/>
            <wp:effectExtent l="0" t="0" r="0" b="0"/>
            <wp:docPr id="3"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285B09" w14:textId="2B5CD671" w:rsidR="007C56DE" w:rsidRPr="007C56DE" w:rsidRDefault="007C56DE" w:rsidP="002A5A13">
      <w:pPr>
        <w:jc w:val="center"/>
        <w:rPr>
          <w:b/>
        </w:rPr>
      </w:pPr>
      <w:r>
        <w:rPr>
          <w:b/>
        </w:rPr>
        <w:t>Figure 5. S</w:t>
      </w:r>
      <w:r w:rsidRPr="00CB1ABD">
        <w:rPr>
          <w:b/>
        </w:rPr>
        <w:t>erotype Ov</w:t>
      </w:r>
      <w:r w:rsidR="00D7181B">
        <w:rPr>
          <w:b/>
        </w:rPr>
        <w:t>er Time w</w:t>
      </w:r>
      <w:r w:rsidRPr="00CB1ABD">
        <w:rPr>
          <w:b/>
        </w:rPr>
        <w:t>ith Confirmed Nested PCR Cases</w:t>
      </w:r>
    </w:p>
    <w:p w14:paraId="4B3482E0" w14:textId="79BE7489" w:rsidR="0057793B" w:rsidRDefault="0057793B" w:rsidP="009B7498">
      <w:pPr>
        <w:spacing w:line="480" w:lineRule="auto"/>
        <w:ind w:firstLine="720"/>
        <w:jc w:val="center"/>
        <w:outlineLvl w:val="0"/>
        <w:rPr>
          <w:b/>
        </w:rPr>
      </w:pPr>
      <w:r>
        <w:rPr>
          <w:b/>
        </w:rPr>
        <w:lastRenderedPageBreak/>
        <w:t xml:space="preserve">3.2 </w:t>
      </w:r>
      <w:r w:rsidR="0013660B">
        <w:rPr>
          <w:b/>
        </w:rPr>
        <w:t>Classification of Infection</w:t>
      </w:r>
    </w:p>
    <w:p w14:paraId="2E77DC0E" w14:textId="6302665A" w:rsidR="007F548C" w:rsidRDefault="0013660B" w:rsidP="00A07523">
      <w:pPr>
        <w:spacing w:line="480" w:lineRule="auto"/>
        <w:ind w:firstLine="720"/>
      </w:pPr>
      <w:r>
        <w:t>I</w:t>
      </w:r>
      <w:r w:rsidR="002B2F6A">
        <w:t xml:space="preserve">dentified dengue cases were </w:t>
      </w:r>
      <w:r w:rsidR="007C56DE">
        <w:t xml:space="preserve">next </w:t>
      </w:r>
      <w:r w:rsidR="002B2F6A">
        <w:t>examined to distinguish primary from secondary cases</w:t>
      </w:r>
      <w:r w:rsidR="004C7EC3">
        <w:t xml:space="preserve"> using the ELISA dataset</w:t>
      </w:r>
      <w:r w:rsidR="002B2F6A">
        <w:t>. Overall, o</w:t>
      </w:r>
      <w:r w:rsidR="0057793B">
        <w:t>nly 5.06% of dengue cases were</w:t>
      </w:r>
      <w:r w:rsidR="007C56DE">
        <w:t xml:space="preserve"> identified as</w:t>
      </w:r>
      <w:r w:rsidR="0057793B">
        <w:t xml:space="preserve"> primary</w:t>
      </w:r>
      <w:r w:rsidR="007C56DE">
        <w:t xml:space="preserve"> infection</w:t>
      </w:r>
      <w:r w:rsidR="0057793B">
        <w:t>, while 87.23% were</w:t>
      </w:r>
      <w:r w:rsidR="007C56DE">
        <w:t xml:space="preserve"> identified</w:t>
      </w:r>
      <w:r w:rsidR="0057793B">
        <w:t xml:space="preserve"> </w:t>
      </w:r>
      <w:r w:rsidR="007C56DE">
        <w:t xml:space="preserve">as </w:t>
      </w:r>
      <w:r w:rsidR="00FF6FDC">
        <w:t>secondary</w:t>
      </w:r>
      <w:r w:rsidR="007C56DE">
        <w:t xml:space="preserve"> infection.</w:t>
      </w:r>
      <w:r w:rsidR="00FF6FDC">
        <w:t xml:space="preserve"> </w:t>
      </w:r>
      <w:r w:rsidR="0057793B">
        <w:t xml:space="preserve">The distribution of primary and </w:t>
      </w:r>
      <w:r w:rsidR="00FF6FDC">
        <w:t xml:space="preserve">secondary </w:t>
      </w:r>
      <w:r w:rsidR="0057793B">
        <w:t xml:space="preserve">infections differed by serotype. </w:t>
      </w:r>
      <w:r w:rsidR="00C21499">
        <w:t xml:space="preserve">While there was a statically significant </w:t>
      </w:r>
      <w:r w:rsidR="007C56DE">
        <w:t xml:space="preserve">relationship </w:t>
      </w:r>
      <w:r w:rsidR="00C21499">
        <w:t>between infection an</w:t>
      </w:r>
      <w:r w:rsidR="007C56DE">
        <w:t>d serotype, there was no statistical significance</w:t>
      </w:r>
      <w:r w:rsidR="00C21499">
        <w:t xml:space="preserve"> found between primary and secondary for each serotype.</w:t>
      </w:r>
    </w:p>
    <w:p w14:paraId="7298BD0C" w14:textId="4D5310E2" w:rsidR="002D70C1" w:rsidRDefault="007F548C" w:rsidP="007F548C">
      <w:pPr>
        <w:spacing w:line="480" w:lineRule="auto"/>
      </w:pPr>
      <w:r>
        <w:tab/>
        <w:t>Over the twenty years, DENV-4 had the largest proportion of secondary to primary infections, with a ratio of 14:1, followed by DENV-2. DENV-1 had the smallest proportion</w:t>
      </w:r>
      <w:r w:rsidR="000A16AD">
        <w:t xml:space="preserve"> (Table 2</w:t>
      </w:r>
      <w:r>
        <w:t xml:space="preserve">). </w:t>
      </w:r>
    </w:p>
    <w:p w14:paraId="43B93EC5" w14:textId="7C6C81FC" w:rsidR="006257E1" w:rsidRPr="00A137F3" w:rsidRDefault="007C56DE" w:rsidP="00915504">
      <w:pPr>
        <w:tabs>
          <w:tab w:val="left" w:pos="630"/>
        </w:tabs>
        <w:spacing w:line="480" w:lineRule="auto"/>
        <w:outlineLvl w:val="0"/>
        <w:rPr>
          <w:b/>
        </w:rPr>
      </w:pPr>
      <w:r>
        <w:rPr>
          <w:b/>
        </w:rPr>
        <w:t>3.2.1 Primary Infection</w:t>
      </w:r>
    </w:p>
    <w:p w14:paraId="00E73057" w14:textId="45E006FD" w:rsidR="00EC6EC9" w:rsidRDefault="007C56DE" w:rsidP="00D7181B">
      <w:pPr>
        <w:spacing w:line="480" w:lineRule="auto"/>
      </w:pPr>
      <w:r>
        <w:t>Figure 6</w:t>
      </w:r>
      <w:r w:rsidR="00FF6FDC">
        <w:t xml:space="preserve"> has the breakdown of primary infection by year and </w:t>
      </w:r>
      <w:r>
        <w:t xml:space="preserve">dengue </w:t>
      </w:r>
      <w:r w:rsidR="00FF6FDC">
        <w:t xml:space="preserve">serotype. </w:t>
      </w:r>
      <w:r w:rsidR="006257E1">
        <w:t>There were 1085 cases of acute primary infection</w:t>
      </w:r>
      <w:r w:rsidR="00FF6FDC">
        <w:t xml:space="preserve"> in this analysis</w:t>
      </w:r>
      <w:r w:rsidR="006257E1">
        <w:t>. The majority of the cases were DENV-1, followed by cases that were negative for nested PCR</w:t>
      </w:r>
      <w:r w:rsidR="00FF6FDC">
        <w:t xml:space="preserve"> making the serotype of the case undetermined</w:t>
      </w:r>
      <w:r w:rsidR="00A137F3">
        <w:t>, then DENV-3</w:t>
      </w:r>
      <w:r w:rsidR="006257E1">
        <w:t xml:space="preserve">. </w:t>
      </w:r>
      <w:r w:rsidR="00A137F3">
        <w:t xml:space="preserve"> There were only 29 cases of DENV-4 for the entire period. </w:t>
      </w:r>
      <w:r w:rsidR="00FF6FDC">
        <w:t>O</w:t>
      </w:r>
      <w:r w:rsidR="00A137F3">
        <w:t>utbreaks</w:t>
      </w:r>
      <w:r w:rsidR="00FF6FDC">
        <w:t xml:space="preserve"> of primary infections were identified in</w:t>
      </w:r>
      <w:r w:rsidR="00A137F3">
        <w:t xml:space="preserve"> 2001 (236 cases), 2011 (136 cases), and 2013 (107 cases).  </w:t>
      </w:r>
      <w:r w:rsidR="004B60ED">
        <w:t xml:space="preserve">The lowest number of </w:t>
      </w:r>
      <w:r w:rsidR="00FF6FDC">
        <w:t xml:space="preserve">primary </w:t>
      </w:r>
      <w:r w:rsidR="004B60ED">
        <w:t xml:space="preserve">cases in a year was 1996, with 8. </w:t>
      </w:r>
    </w:p>
    <w:p w14:paraId="22D69E6E" w14:textId="51585C76" w:rsidR="00A137F3" w:rsidRDefault="007C56DE" w:rsidP="00915504">
      <w:pPr>
        <w:spacing w:line="480" w:lineRule="auto"/>
        <w:outlineLvl w:val="0"/>
        <w:rPr>
          <w:b/>
        </w:rPr>
      </w:pPr>
      <w:r>
        <w:rPr>
          <w:b/>
        </w:rPr>
        <w:t>3.2.2. Secondary Infection</w:t>
      </w:r>
    </w:p>
    <w:p w14:paraId="69AE5097" w14:textId="5FE2F8E0" w:rsidR="00147495" w:rsidRDefault="00A137F3" w:rsidP="00A137F3">
      <w:pPr>
        <w:spacing w:line="480" w:lineRule="auto"/>
      </w:pPr>
      <w:r>
        <w:t>There were 6766</w:t>
      </w:r>
      <w:r w:rsidR="00FF6FDC">
        <w:t xml:space="preserve"> identified cases of secondary infection</w:t>
      </w:r>
      <w:r>
        <w:t xml:space="preserve">. The predominant serotype was DENV-2, followed by DENV-1. Over a third of the cases tested negative for PCR, but were identified with ELISA as having acute secondary infection.  The three years with the largest </w:t>
      </w:r>
      <w:r>
        <w:lastRenderedPageBreak/>
        <w:t xml:space="preserve">number of secondary infections were </w:t>
      </w:r>
      <w:r w:rsidR="004C7EC3">
        <w:t>2001, (</w:t>
      </w:r>
      <w:r w:rsidR="004B60ED">
        <w:t xml:space="preserve">1315 cases), 2013, (651 cases) and 2008 (546 cases). The lowest number of cases in a year was in 1996, with 103 cases. </w:t>
      </w:r>
      <w:r>
        <w:t xml:space="preserve"> </w:t>
      </w:r>
      <w:r w:rsidR="007C56DE">
        <w:t>(Figure 7</w:t>
      </w:r>
      <w:r w:rsidR="004B60ED">
        <w:t>)</w:t>
      </w:r>
    </w:p>
    <w:p w14:paraId="15BD2F20" w14:textId="77777777" w:rsidR="007C56DE" w:rsidRDefault="007C56DE" w:rsidP="00A137F3">
      <w:pPr>
        <w:spacing w:line="480" w:lineRule="auto"/>
      </w:pPr>
    </w:p>
    <w:p w14:paraId="15C59AF2" w14:textId="77777777" w:rsidR="007C56DE" w:rsidRDefault="007C56DE" w:rsidP="00A137F3">
      <w:pPr>
        <w:spacing w:line="480" w:lineRule="auto"/>
      </w:pPr>
    </w:p>
    <w:p w14:paraId="47574CE3" w14:textId="2EBCD940" w:rsidR="00CB1ABD" w:rsidRPr="00FF6FDC" w:rsidRDefault="00CB1ABD" w:rsidP="00D7181B">
      <w:pPr>
        <w:spacing w:line="480" w:lineRule="auto"/>
        <w:jc w:val="center"/>
        <w:rPr>
          <w:b/>
        </w:rPr>
      </w:pPr>
      <w:r w:rsidRPr="00FF6FDC">
        <w:rPr>
          <w:b/>
        </w:rPr>
        <w:t xml:space="preserve">Table </w:t>
      </w:r>
      <w:r w:rsidR="001F3A86">
        <w:rPr>
          <w:b/>
        </w:rPr>
        <w:t>2. Number of Dengue Cases</w:t>
      </w:r>
      <w:r w:rsidR="00FF6FDC" w:rsidRPr="00FF6FDC">
        <w:rPr>
          <w:b/>
        </w:rPr>
        <w:t xml:space="preserve"> </w:t>
      </w:r>
      <w:r w:rsidR="001F3A86" w:rsidRPr="00FF6FDC">
        <w:rPr>
          <w:b/>
        </w:rPr>
        <w:t>by</w:t>
      </w:r>
      <w:r w:rsidR="00FF6FDC" w:rsidRPr="00FF6FDC">
        <w:rPr>
          <w:b/>
        </w:rPr>
        <w:t xml:space="preserve"> Year</w:t>
      </w:r>
    </w:p>
    <w:tbl>
      <w:tblPr>
        <w:tblStyle w:val="TableGridLight"/>
        <w:tblW w:w="9820" w:type="dxa"/>
        <w:tblLook w:val="0000" w:firstRow="0" w:lastRow="0" w:firstColumn="0" w:lastColumn="0" w:noHBand="0" w:noVBand="0"/>
      </w:tblPr>
      <w:tblGrid>
        <w:gridCol w:w="1060"/>
        <w:gridCol w:w="1140"/>
        <w:gridCol w:w="1060"/>
        <w:gridCol w:w="1060"/>
        <w:gridCol w:w="1060"/>
        <w:gridCol w:w="1260"/>
        <w:gridCol w:w="1060"/>
        <w:gridCol w:w="1300"/>
        <w:gridCol w:w="820"/>
      </w:tblGrid>
      <w:tr w:rsidR="00A07523" w:rsidRPr="004525DC" w14:paraId="0A12CA2B" w14:textId="77777777" w:rsidTr="00C21499">
        <w:trPr>
          <w:trHeight w:val="323"/>
        </w:trPr>
        <w:tc>
          <w:tcPr>
            <w:tcW w:w="1060" w:type="dxa"/>
            <w:noWrap/>
          </w:tcPr>
          <w:p w14:paraId="262031A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Year</w:t>
            </w:r>
          </w:p>
        </w:tc>
        <w:tc>
          <w:tcPr>
            <w:tcW w:w="1140" w:type="dxa"/>
            <w:noWrap/>
          </w:tcPr>
          <w:p w14:paraId="3C1E6F59" w14:textId="31DE3E3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DENV1</w:t>
            </w:r>
          </w:p>
        </w:tc>
        <w:tc>
          <w:tcPr>
            <w:tcW w:w="1060" w:type="dxa"/>
            <w:noWrap/>
          </w:tcPr>
          <w:p w14:paraId="76A2775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DENV2</w:t>
            </w:r>
          </w:p>
        </w:tc>
        <w:tc>
          <w:tcPr>
            <w:tcW w:w="1060" w:type="dxa"/>
            <w:noWrap/>
          </w:tcPr>
          <w:p w14:paraId="51C8D51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DENV3</w:t>
            </w:r>
          </w:p>
        </w:tc>
        <w:tc>
          <w:tcPr>
            <w:tcW w:w="1060" w:type="dxa"/>
            <w:noWrap/>
          </w:tcPr>
          <w:p w14:paraId="20A3ABB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DENV4</w:t>
            </w:r>
          </w:p>
        </w:tc>
        <w:tc>
          <w:tcPr>
            <w:tcW w:w="1260" w:type="dxa"/>
            <w:noWrap/>
          </w:tcPr>
          <w:p w14:paraId="41FEAB6C" w14:textId="3605984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DENV</w:t>
            </w:r>
            <w:r w:rsidR="009363D0" w:rsidRPr="00AB00F6">
              <w:rPr>
                <w:rFonts w:ascii="Calibri" w:hAnsi="Calibri"/>
                <w:color w:val="000000"/>
                <w:sz w:val="20"/>
                <w:szCs w:val="20"/>
              </w:rPr>
              <w:t>x2</w:t>
            </w:r>
          </w:p>
        </w:tc>
        <w:tc>
          <w:tcPr>
            <w:tcW w:w="1060" w:type="dxa"/>
            <w:noWrap/>
          </w:tcPr>
          <w:p w14:paraId="62032D51" w14:textId="797CFF9B"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NEG</w:t>
            </w:r>
            <w:r w:rsidR="009363D0" w:rsidRPr="00AB00F6">
              <w:rPr>
                <w:rFonts w:ascii="Calibri" w:hAnsi="Calibri"/>
                <w:color w:val="000000"/>
                <w:sz w:val="20"/>
                <w:szCs w:val="20"/>
              </w:rPr>
              <w:t xml:space="preserve"> PCR</w:t>
            </w:r>
          </w:p>
        </w:tc>
        <w:tc>
          <w:tcPr>
            <w:tcW w:w="1300" w:type="dxa"/>
            <w:noWrap/>
          </w:tcPr>
          <w:p w14:paraId="2EEE6986" w14:textId="4127E08C"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N</w:t>
            </w:r>
            <w:r w:rsidR="009363D0" w:rsidRPr="00AB00F6">
              <w:rPr>
                <w:rFonts w:ascii="Calibri" w:hAnsi="Calibri"/>
                <w:color w:val="000000"/>
                <w:sz w:val="20"/>
                <w:szCs w:val="20"/>
              </w:rPr>
              <w:t>OT DONE</w:t>
            </w:r>
          </w:p>
        </w:tc>
        <w:tc>
          <w:tcPr>
            <w:tcW w:w="820" w:type="dxa"/>
            <w:noWrap/>
          </w:tcPr>
          <w:p w14:paraId="0B52FF2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Total</w:t>
            </w:r>
          </w:p>
        </w:tc>
      </w:tr>
      <w:tr w:rsidR="00A07523" w:rsidRPr="004525DC" w14:paraId="18342B76" w14:textId="77777777" w:rsidTr="00612554">
        <w:trPr>
          <w:trHeight w:val="280"/>
        </w:trPr>
        <w:tc>
          <w:tcPr>
            <w:tcW w:w="1060" w:type="dxa"/>
            <w:noWrap/>
          </w:tcPr>
          <w:p w14:paraId="0DE28F0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1994</w:t>
            </w:r>
          </w:p>
        </w:tc>
        <w:tc>
          <w:tcPr>
            <w:tcW w:w="1140" w:type="dxa"/>
            <w:noWrap/>
          </w:tcPr>
          <w:p w14:paraId="47964E0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w:t>
            </w:r>
          </w:p>
        </w:tc>
        <w:tc>
          <w:tcPr>
            <w:tcW w:w="1060" w:type="dxa"/>
            <w:noWrap/>
          </w:tcPr>
          <w:p w14:paraId="6C3CECE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w:t>
            </w:r>
          </w:p>
        </w:tc>
        <w:tc>
          <w:tcPr>
            <w:tcW w:w="1060" w:type="dxa"/>
            <w:noWrap/>
          </w:tcPr>
          <w:p w14:paraId="78599C9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w:t>
            </w:r>
          </w:p>
        </w:tc>
        <w:tc>
          <w:tcPr>
            <w:tcW w:w="1060" w:type="dxa"/>
            <w:noWrap/>
          </w:tcPr>
          <w:p w14:paraId="20D8D66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10</w:t>
            </w:r>
          </w:p>
        </w:tc>
        <w:tc>
          <w:tcPr>
            <w:tcW w:w="1260" w:type="dxa"/>
            <w:noWrap/>
          </w:tcPr>
          <w:p w14:paraId="39A4D70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03DACDB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42</w:t>
            </w:r>
          </w:p>
        </w:tc>
        <w:tc>
          <w:tcPr>
            <w:tcW w:w="1300" w:type="dxa"/>
            <w:noWrap/>
          </w:tcPr>
          <w:p w14:paraId="7C129D9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265</w:t>
            </w:r>
          </w:p>
        </w:tc>
        <w:tc>
          <w:tcPr>
            <w:tcW w:w="820" w:type="dxa"/>
            <w:noWrap/>
          </w:tcPr>
          <w:p w14:paraId="7134F8A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337</w:t>
            </w:r>
          </w:p>
        </w:tc>
      </w:tr>
      <w:tr w:rsidR="00A07523" w:rsidRPr="004525DC" w14:paraId="64E8AE2D" w14:textId="77777777" w:rsidTr="00612554">
        <w:trPr>
          <w:trHeight w:val="280"/>
        </w:trPr>
        <w:tc>
          <w:tcPr>
            <w:tcW w:w="1060" w:type="dxa"/>
            <w:noWrap/>
          </w:tcPr>
          <w:p w14:paraId="24740D0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1995</w:t>
            </w:r>
          </w:p>
        </w:tc>
        <w:tc>
          <w:tcPr>
            <w:tcW w:w="1140" w:type="dxa"/>
            <w:noWrap/>
          </w:tcPr>
          <w:p w14:paraId="1324CA7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w:t>
            </w:r>
          </w:p>
        </w:tc>
        <w:tc>
          <w:tcPr>
            <w:tcW w:w="1060" w:type="dxa"/>
            <w:noWrap/>
          </w:tcPr>
          <w:p w14:paraId="057819E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24</w:t>
            </w:r>
          </w:p>
        </w:tc>
        <w:tc>
          <w:tcPr>
            <w:tcW w:w="1060" w:type="dxa"/>
            <w:noWrap/>
          </w:tcPr>
          <w:p w14:paraId="6B86E1F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23</w:t>
            </w:r>
          </w:p>
        </w:tc>
        <w:tc>
          <w:tcPr>
            <w:tcW w:w="1060" w:type="dxa"/>
            <w:noWrap/>
          </w:tcPr>
          <w:p w14:paraId="30970D1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w:t>
            </w:r>
          </w:p>
        </w:tc>
        <w:tc>
          <w:tcPr>
            <w:tcW w:w="1260" w:type="dxa"/>
            <w:noWrap/>
          </w:tcPr>
          <w:p w14:paraId="2DDE98F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4F9EA1C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74</w:t>
            </w:r>
          </w:p>
        </w:tc>
        <w:tc>
          <w:tcPr>
            <w:tcW w:w="1300" w:type="dxa"/>
            <w:noWrap/>
          </w:tcPr>
          <w:p w14:paraId="13B23B8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58</w:t>
            </w:r>
          </w:p>
        </w:tc>
        <w:tc>
          <w:tcPr>
            <w:tcW w:w="820" w:type="dxa"/>
            <w:noWrap/>
          </w:tcPr>
          <w:p w14:paraId="37A2356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189</w:t>
            </w:r>
          </w:p>
        </w:tc>
      </w:tr>
      <w:tr w:rsidR="00A07523" w:rsidRPr="004525DC" w14:paraId="2AE078BE" w14:textId="77777777" w:rsidTr="00612554">
        <w:trPr>
          <w:trHeight w:val="280"/>
        </w:trPr>
        <w:tc>
          <w:tcPr>
            <w:tcW w:w="1060" w:type="dxa"/>
            <w:noWrap/>
          </w:tcPr>
          <w:p w14:paraId="4D6EDFC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1996</w:t>
            </w:r>
          </w:p>
        </w:tc>
        <w:tc>
          <w:tcPr>
            <w:tcW w:w="1140" w:type="dxa"/>
            <w:noWrap/>
          </w:tcPr>
          <w:p w14:paraId="318C5AB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w:t>
            </w:r>
          </w:p>
        </w:tc>
        <w:tc>
          <w:tcPr>
            <w:tcW w:w="1060" w:type="dxa"/>
            <w:noWrap/>
          </w:tcPr>
          <w:p w14:paraId="708114D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w:t>
            </w:r>
          </w:p>
        </w:tc>
        <w:tc>
          <w:tcPr>
            <w:tcW w:w="1060" w:type="dxa"/>
            <w:noWrap/>
          </w:tcPr>
          <w:p w14:paraId="230A623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13</w:t>
            </w:r>
          </w:p>
        </w:tc>
        <w:tc>
          <w:tcPr>
            <w:tcW w:w="1060" w:type="dxa"/>
            <w:noWrap/>
          </w:tcPr>
          <w:p w14:paraId="6065A7A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260" w:type="dxa"/>
            <w:noWrap/>
          </w:tcPr>
          <w:p w14:paraId="36DE625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0C6EF92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52</w:t>
            </w:r>
          </w:p>
        </w:tc>
        <w:tc>
          <w:tcPr>
            <w:tcW w:w="1300" w:type="dxa"/>
            <w:noWrap/>
          </w:tcPr>
          <w:p w14:paraId="1857F47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60</w:t>
            </w:r>
          </w:p>
        </w:tc>
        <w:tc>
          <w:tcPr>
            <w:tcW w:w="820" w:type="dxa"/>
            <w:noWrap/>
          </w:tcPr>
          <w:p w14:paraId="014ABA7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152</w:t>
            </w:r>
          </w:p>
        </w:tc>
      </w:tr>
      <w:tr w:rsidR="00A07523" w:rsidRPr="004525DC" w14:paraId="2655890E" w14:textId="77777777" w:rsidTr="00612554">
        <w:trPr>
          <w:trHeight w:val="280"/>
        </w:trPr>
        <w:tc>
          <w:tcPr>
            <w:tcW w:w="1060" w:type="dxa"/>
            <w:noWrap/>
          </w:tcPr>
          <w:p w14:paraId="0084E12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1997</w:t>
            </w:r>
          </w:p>
        </w:tc>
        <w:tc>
          <w:tcPr>
            <w:tcW w:w="1140" w:type="dxa"/>
            <w:noWrap/>
          </w:tcPr>
          <w:p w14:paraId="04BD4E4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151</w:t>
            </w:r>
          </w:p>
        </w:tc>
        <w:tc>
          <w:tcPr>
            <w:tcW w:w="1060" w:type="dxa"/>
            <w:noWrap/>
          </w:tcPr>
          <w:p w14:paraId="6D7093C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27</w:t>
            </w:r>
          </w:p>
        </w:tc>
        <w:tc>
          <w:tcPr>
            <w:tcW w:w="1060" w:type="dxa"/>
            <w:noWrap/>
          </w:tcPr>
          <w:p w14:paraId="12E1494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42</w:t>
            </w:r>
          </w:p>
        </w:tc>
        <w:tc>
          <w:tcPr>
            <w:tcW w:w="1060" w:type="dxa"/>
            <w:noWrap/>
          </w:tcPr>
          <w:p w14:paraId="67C4BF7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7</w:t>
            </w:r>
          </w:p>
        </w:tc>
        <w:tc>
          <w:tcPr>
            <w:tcW w:w="1260" w:type="dxa"/>
            <w:noWrap/>
          </w:tcPr>
          <w:p w14:paraId="01F3466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w:t>
            </w:r>
          </w:p>
        </w:tc>
        <w:tc>
          <w:tcPr>
            <w:tcW w:w="1060" w:type="dxa"/>
            <w:noWrap/>
          </w:tcPr>
          <w:p w14:paraId="6CE09A0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185</w:t>
            </w:r>
          </w:p>
        </w:tc>
        <w:tc>
          <w:tcPr>
            <w:tcW w:w="1300" w:type="dxa"/>
            <w:noWrap/>
          </w:tcPr>
          <w:p w14:paraId="7F82231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94</w:t>
            </w:r>
          </w:p>
        </w:tc>
        <w:tc>
          <w:tcPr>
            <w:tcW w:w="820" w:type="dxa"/>
            <w:noWrap/>
          </w:tcPr>
          <w:p w14:paraId="3E88EF6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508</w:t>
            </w:r>
          </w:p>
        </w:tc>
      </w:tr>
      <w:tr w:rsidR="00A07523" w:rsidRPr="004525DC" w14:paraId="1D5E16EC" w14:textId="77777777" w:rsidTr="00612554">
        <w:trPr>
          <w:trHeight w:val="280"/>
        </w:trPr>
        <w:tc>
          <w:tcPr>
            <w:tcW w:w="1060" w:type="dxa"/>
            <w:noWrap/>
          </w:tcPr>
          <w:p w14:paraId="3A77A5D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1998</w:t>
            </w:r>
          </w:p>
        </w:tc>
        <w:tc>
          <w:tcPr>
            <w:tcW w:w="1140" w:type="dxa"/>
            <w:noWrap/>
          </w:tcPr>
          <w:p w14:paraId="1B230FF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36</w:t>
            </w:r>
          </w:p>
        </w:tc>
        <w:tc>
          <w:tcPr>
            <w:tcW w:w="1060" w:type="dxa"/>
            <w:noWrap/>
          </w:tcPr>
          <w:p w14:paraId="2B273F4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48</w:t>
            </w:r>
          </w:p>
        </w:tc>
        <w:tc>
          <w:tcPr>
            <w:tcW w:w="1060" w:type="dxa"/>
            <w:noWrap/>
          </w:tcPr>
          <w:p w14:paraId="1BB47A5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100</w:t>
            </w:r>
          </w:p>
        </w:tc>
        <w:tc>
          <w:tcPr>
            <w:tcW w:w="1060" w:type="dxa"/>
            <w:noWrap/>
          </w:tcPr>
          <w:p w14:paraId="75C7124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260" w:type="dxa"/>
            <w:noWrap/>
          </w:tcPr>
          <w:p w14:paraId="71144AF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328CA93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223</w:t>
            </w:r>
          </w:p>
        </w:tc>
        <w:tc>
          <w:tcPr>
            <w:tcW w:w="1300" w:type="dxa"/>
            <w:noWrap/>
          </w:tcPr>
          <w:p w14:paraId="59457C5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7</w:t>
            </w:r>
          </w:p>
        </w:tc>
        <w:tc>
          <w:tcPr>
            <w:tcW w:w="820" w:type="dxa"/>
            <w:noWrap/>
          </w:tcPr>
          <w:p w14:paraId="59BF5CF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414</w:t>
            </w:r>
          </w:p>
        </w:tc>
      </w:tr>
      <w:tr w:rsidR="00A07523" w:rsidRPr="004525DC" w14:paraId="713E0591" w14:textId="77777777" w:rsidTr="00612554">
        <w:trPr>
          <w:trHeight w:val="280"/>
        </w:trPr>
        <w:tc>
          <w:tcPr>
            <w:tcW w:w="1060" w:type="dxa"/>
            <w:noWrap/>
          </w:tcPr>
          <w:p w14:paraId="3DA20F2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1999</w:t>
            </w:r>
          </w:p>
        </w:tc>
        <w:tc>
          <w:tcPr>
            <w:tcW w:w="1140" w:type="dxa"/>
            <w:noWrap/>
          </w:tcPr>
          <w:p w14:paraId="0D2B7C6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43</w:t>
            </w:r>
          </w:p>
        </w:tc>
        <w:tc>
          <w:tcPr>
            <w:tcW w:w="1060" w:type="dxa"/>
            <w:noWrap/>
          </w:tcPr>
          <w:p w14:paraId="5850F26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101</w:t>
            </w:r>
          </w:p>
        </w:tc>
        <w:tc>
          <w:tcPr>
            <w:tcW w:w="1060" w:type="dxa"/>
            <w:noWrap/>
          </w:tcPr>
          <w:p w14:paraId="346F677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57</w:t>
            </w:r>
          </w:p>
        </w:tc>
        <w:tc>
          <w:tcPr>
            <w:tcW w:w="1060" w:type="dxa"/>
            <w:noWrap/>
          </w:tcPr>
          <w:p w14:paraId="30E09C6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13</w:t>
            </w:r>
          </w:p>
        </w:tc>
        <w:tc>
          <w:tcPr>
            <w:tcW w:w="1260" w:type="dxa"/>
            <w:noWrap/>
          </w:tcPr>
          <w:p w14:paraId="33DD6F1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50FBA45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232</w:t>
            </w:r>
          </w:p>
        </w:tc>
        <w:tc>
          <w:tcPr>
            <w:tcW w:w="1300" w:type="dxa"/>
            <w:noWrap/>
          </w:tcPr>
          <w:p w14:paraId="60DD69E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34</w:t>
            </w:r>
          </w:p>
        </w:tc>
        <w:tc>
          <w:tcPr>
            <w:tcW w:w="820" w:type="dxa"/>
            <w:noWrap/>
          </w:tcPr>
          <w:p w14:paraId="2934FF9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480</w:t>
            </w:r>
          </w:p>
        </w:tc>
      </w:tr>
      <w:tr w:rsidR="00A07523" w:rsidRPr="004525DC" w14:paraId="2817FF2A" w14:textId="77777777" w:rsidTr="00612554">
        <w:trPr>
          <w:trHeight w:val="280"/>
        </w:trPr>
        <w:tc>
          <w:tcPr>
            <w:tcW w:w="1060" w:type="dxa"/>
            <w:noWrap/>
          </w:tcPr>
          <w:p w14:paraId="736870F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2000</w:t>
            </w:r>
          </w:p>
        </w:tc>
        <w:tc>
          <w:tcPr>
            <w:tcW w:w="1140" w:type="dxa"/>
            <w:noWrap/>
          </w:tcPr>
          <w:p w14:paraId="08C316D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w:t>
            </w:r>
          </w:p>
        </w:tc>
        <w:tc>
          <w:tcPr>
            <w:tcW w:w="1060" w:type="dxa"/>
            <w:noWrap/>
          </w:tcPr>
          <w:p w14:paraId="3F4FFED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81</w:t>
            </w:r>
          </w:p>
        </w:tc>
        <w:tc>
          <w:tcPr>
            <w:tcW w:w="1060" w:type="dxa"/>
            <w:noWrap/>
          </w:tcPr>
          <w:p w14:paraId="7AF1261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w:t>
            </w:r>
          </w:p>
        </w:tc>
        <w:tc>
          <w:tcPr>
            <w:tcW w:w="1060" w:type="dxa"/>
            <w:noWrap/>
          </w:tcPr>
          <w:p w14:paraId="104E6CD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260" w:type="dxa"/>
            <w:noWrap/>
          </w:tcPr>
          <w:p w14:paraId="2BB12D2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471EC10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136</w:t>
            </w:r>
          </w:p>
        </w:tc>
        <w:tc>
          <w:tcPr>
            <w:tcW w:w="1300" w:type="dxa"/>
            <w:noWrap/>
          </w:tcPr>
          <w:p w14:paraId="01DF434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w:t>
            </w:r>
          </w:p>
        </w:tc>
        <w:tc>
          <w:tcPr>
            <w:tcW w:w="820" w:type="dxa"/>
            <w:noWrap/>
          </w:tcPr>
          <w:p w14:paraId="6D2463D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243</w:t>
            </w:r>
          </w:p>
        </w:tc>
      </w:tr>
      <w:tr w:rsidR="00A07523" w:rsidRPr="004525DC" w14:paraId="0A200761" w14:textId="77777777" w:rsidTr="00612554">
        <w:trPr>
          <w:trHeight w:val="280"/>
        </w:trPr>
        <w:tc>
          <w:tcPr>
            <w:tcW w:w="1060" w:type="dxa"/>
            <w:noWrap/>
          </w:tcPr>
          <w:p w14:paraId="3BA4ABA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2001</w:t>
            </w:r>
          </w:p>
        </w:tc>
        <w:tc>
          <w:tcPr>
            <w:tcW w:w="1140" w:type="dxa"/>
            <w:noWrap/>
          </w:tcPr>
          <w:p w14:paraId="3758E9E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334</w:t>
            </w:r>
          </w:p>
        </w:tc>
        <w:tc>
          <w:tcPr>
            <w:tcW w:w="1060" w:type="dxa"/>
            <w:noWrap/>
          </w:tcPr>
          <w:p w14:paraId="6911EF0C" w14:textId="77777777" w:rsidR="00A07523" w:rsidRPr="00AB00F6" w:rsidRDefault="00A07523" w:rsidP="009363D0">
            <w:pPr>
              <w:jc w:val="center"/>
              <w:rPr>
                <w:rFonts w:ascii="Calibri" w:hAnsi="Calibri"/>
                <w:sz w:val="20"/>
                <w:szCs w:val="20"/>
                <w:highlight w:val="yellow"/>
              </w:rPr>
            </w:pPr>
            <w:r w:rsidRPr="009F2CBB">
              <w:rPr>
                <w:rFonts w:ascii="Calibri" w:hAnsi="Calibri"/>
                <w:sz w:val="20"/>
                <w:szCs w:val="20"/>
              </w:rPr>
              <w:t>366</w:t>
            </w:r>
          </w:p>
        </w:tc>
        <w:tc>
          <w:tcPr>
            <w:tcW w:w="1060" w:type="dxa"/>
            <w:noWrap/>
          </w:tcPr>
          <w:p w14:paraId="700C9F09" w14:textId="77777777" w:rsidR="00A07523" w:rsidRPr="00AB00F6" w:rsidRDefault="00A07523" w:rsidP="009363D0">
            <w:pPr>
              <w:jc w:val="center"/>
              <w:rPr>
                <w:rFonts w:ascii="Calibri" w:hAnsi="Calibri"/>
                <w:sz w:val="20"/>
                <w:szCs w:val="20"/>
                <w:highlight w:val="yellow"/>
              </w:rPr>
            </w:pPr>
            <w:r w:rsidRPr="009F2CBB">
              <w:rPr>
                <w:rFonts w:ascii="Calibri" w:hAnsi="Calibri"/>
                <w:sz w:val="20"/>
                <w:szCs w:val="20"/>
              </w:rPr>
              <w:t>141</w:t>
            </w:r>
          </w:p>
        </w:tc>
        <w:tc>
          <w:tcPr>
            <w:tcW w:w="1060" w:type="dxa"/>
            <w:noWrap/>
          </w:tcPr>
          <w:p w14:paraId="2F3E09E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11</w:t>
            </w:r>
          </w:p>
        </w:tc>
        <w:tc>
          <w:tcPr>
            <w:tcW w:w="1260" w:type="dxa"/>
            <w:noWrap/>
          </w:tcPr>
          <w:p w14:paraId="7A0E3FC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0FB187D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1156</w:t>
            </w:r>
          </w:p>
        </w:tc>
        <w:tc>
          <w:tcPr>
            <w:tcW w:w="1300" w:type="dxa"/>
            <w:noWrap/>
          </w:tcPr>
          <w:p w14:paraId="28B609B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18</w:t>
            </w:r>
          </w:p>
        </w:tc>
        <w:tc>
          <w:tcPr>
            <w:tcW w:w="820" w:type="dxa"/>
            <w:noWrap/>
          </w:tcPr>
          <w:p w14:paraId="6A9FA8E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2026</w:t>
            </w:r>
          </w:p>
        </w:tc>
      </w:tr>
      <w:tr w:rsidR="00A07523" w:rsidRPr="004525DC" w14:paraId="789BF84D" w14:textId="77777777" w:rsidTr="00612554">
        <w:trPr>
          <w:trHeight w:val="280"/>
        </w:trPr>
        <w:tc>
          <w:tcPr>
            <w:tcW w:w="1060" w:type="dxa"/>
            <w:noWrap/>
          </w:tcPr>
          <w:p w14:paraId="09C7DD1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2002</w:t>
            </w:r>
          </w:p>
        </w:tc>
        <w:tc>
          <w:tcPr>
            <w:tcW w:w="1140" w:type="dxa"/>
            <w:noWrap/>
          </w:tcPr>
          <w:p w14:paraId="5378C44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111</w:t>
            </w:r>
          </w:p>
        </w:tc>
        <w:tc>
          <w:tcPr>
            <w:tcW w:w="1060" w:type="dxa"/>
            <w:noWrap/>
          </w:tcPr>
          <w:p w14:paraId="5B0F596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102</w:t>
            </w:r>
          </w:p>
        </w:tc>
        <w:tc>
          <w:tcPr>
            <w:tcW w:w="1060" w:type="dxa"/>
            <w:noWrap/>
          </w:tcPr>
          <w:p w14:paraId="76E563F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34</w:t>
            </w:r>
          </w:p>
        </w:tc>
        <w:tc>
          <w:tcPr>
            <w:tcW w:w="1060" w:type="dxa"/>
            <w:noWrap/>
          </w:tcPr>
          <w:p w14:paraId="5938C04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7</w:t>
            </w:r>
          </w:p>
        </w:tc>
        <w:tc>
          <w:tcPr>
            <w:tcW w:w="1260" w:type="dxa"/>
            <w:noWrap/>
          </w:tcPr>
          <w:p w14:paraId="7134B9C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0EC7252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534</w:t>
            </w:r>
          </w:p>
        </w:tc>
        <w:tc>
          <w:tcPr>
            <w:tcW w:w="1300" w:type="dxa"/>
            <w:noWrap/>
          </w:tcPr>
          <w:p w14:paraId="08E88BA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85</w:t>
            </w:r>
          </w:p>
        </w:tc>
        <w:tc>
          <w:tcPr>
            <w:tcW w:w="820" w:type="dxa"/>
            <w:noWrap/>
          </w:tcPr>
          <w:p w14:paraId="5C425AA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873</w:t>
            </w:r>
          </w:p>
        </w:tc>
      </w:tr>
      <w:tr w:rsidR="00A07523" w:rsidRPr="004525DC" w14:paraId="327CC1D4" w14:textId="77777777" w:rsidTr="00612554">
        <w:trPr>
          <w:trHeight w:val="280"/>
        </w:trPr>
        <w:tc>
          <w:tcPr>
            <w:tcW w:w="1060" w:type="dxa"/>
            <w:noWrap/>
          </w:tcPr>
          <w:p w14:paraId="1291A10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2003</w:t>
            </w:r>
          </w:p>
        </w:tc>
        <w:tc>
          <w:tcPr>
            <w:tcW w:w="1140" w:type="dxa"/>
            <w:noWrap/>
          </w:tcPr>
          <w:p w14:paraId="77DC4BF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48</w:t>
            </w:r>
          </w:p>
        </w:tc>
        <w:tc>
          <w:tcPr>
            <w:tcW w:w="1060" w:type="dxa"/>
            <w:noWrap/>
          </w:tcPr>
          <w:p w14:paraId="595AE6D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85</w:t>
            </w:r>
          </w:p>
        </w:tc>
        <w:tc>
          <w:tcPr>
            <w:tcW w:w="1060" w:type="dxa"/>
            <w:noWrap/>
          </w:tcPr>
          <w:p w14:paraId="0F56DB9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w:t>
            </w:r>
          </w:p>
        </w:tc>
        <w:tc>
          <w:tcPr>
            <w:tcW w:w="1060" w:type="dxa"/>
            <w:noWrap/>
          </w:tcPr>
          <w:p w14:paraId="1232F1A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31</w:t>
            </w:r>
          </w:p>
        </w:tc>
        <w:tc>
          <w:tcPr>
            <w:tcW w:w="1260" w:type="dxa"/>
            <w:noWrap/>
          </w:tcPr>
          <w:p w14:paraId="476D0CD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3D92CCB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197</w:t>
            </w:r>
          </w:p>
        </w:tc>
        <w:tc>
          <w:tcPr>
            <w:tcW w:w="1300" w:type="dxa"/>
            <w:noWrap/>
          </w:tcPr>
          <w:p w14:paraId="43C4EAF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w:t>
            </w:r>
          </w:p>
        </w:tc>
        <w:tc>
          <w:tcPr>
            <w:tcW w:w="820" w:type="dxa"/>
            <w:noWrap/>
          </w:tcPr>
          <w:p w14:paraId="7477C99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365</w:t>
            </w:r>
          </w:p>
        </w:tc>
      </w:tr>
      <w:tr w:rsidR="00A07523" w:rsidRPr="004525DC" w14:paraId="5F9B67C1" w14:textId="77777777" w:rsidTr="00612554">
        <w:trPr>
          <w:trHeight w:val="280"/>
        </w:trPr>
        <w:tc>
          <w:tcPr>
            <w:tcW w:w="1060" w:type="dxa"/>
            <w:noWrap/>
          </w:tcPr>
          <w:p w14:paraId="7724A91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2004</w:t>
            </w:r>
          </w:p>
        </w:tc>
        <w:tc>
          <w:tcPr>
            <w:tcW w:w="1140" w:type="dxa"/>
            <w:noWrap/>
          </w:tcPr>
          <w:p w14:paraId="5478F29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21</w:t>
            </w:r>
          </w:p>
        </w:tc>
        <w:tc>
          <w:tcPr>
            <w:tcW w:w="1060" w:type="dxa"/>
            <w:noWrap/>
          </w:tcPr>
          <w:p w14:paraId="3EFE522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61</w:t>
            </w:r>
          </w:p>
        </w:tc>
        <w:tc>
          <w:tcPr>
            <w:tcW w:w="1060" w:type="dxa"/>
            <w:noWrap/>
          </w:tcPr>
          <w:p w14:paraId="3DA2AC3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w:t>
            </w:r>
          </w:p>
        </w:tc>
        <w:tc>
          <w:tcPr>
            <w:tcW w:w="1060" w:type="dxa"/>
            <w:noWrap/>
          </w:tcPr>
          <w:p w14:paraId="24B4773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105</w:t>
            </w:r>
          </w:p>
        </w:tc>
        <w:tc>
          <w:tcPr>
            <w:tcW w:w="1260" w:type="dxa"/>
            <w:noWrap/>
          </w:tcPr>
          <w:p w14:paraId="3A4F5C2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118EAA0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145</w:t>
            </w:r>
          </w:p>
        </w:tc>
        <w:tc>
          <w:tcPr>
            <w:tcW w:w="1300" w:type="dxa"/>
            <w:noWrap/>
          </w:tcPr>
          <w:p w14:paraId="291D4C9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641047B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336</w:t>
            </w:r>
          </w:p>
        </w:tc>
      </w:tr>
      <w:tr w:rsidR="00A07523" w:rsidRPr="004525DC" w14:paraId="17DF6E93" w14:textId="77777777" w:rsidTr="00612554">
        <w:trPr>
          <w:trHeight w:val="280"/>
        </w:trPr>
        <w:tc>
          <w:tcPr>
            <w:tcW w:w="1060" w:type="dxa"/>
            <w:noWrap/>
          </w:tcPr>
          <w:p w14:paraId="67E84D2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2005</w:t>
            </w:r>
          </w:p>
        </w:tc>
        <w:tc>
          <w:tcPr>
            <w:tcW w:w="1140" w:type="dxa"/>
            <w:noWrap/>
          </w:tcPr>
          <w:p w14:paraId="55E3A1A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46</w:t>
            </w:r>
          </w:p>
        </w:tc>
        <w:tc>
          <w:tcPr>
            <w:tcW w:w="1060" w:type="dxa"/>
            <w:noWrap/>
          </w:tcPr>
          <w:p w14:paraId="18BEA75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82</w:t>
            </w:r>
          </w:p>
        </w:tc>
        <w:tc>
          <w:tcPr>
            <w:tcW w:w="1060" w:type="dxa"/>
            <w:noWrap/>
          </w:tcPr>
          <w:p w14:paraId="65269C9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w:t>
            </w:r>
          </w:p>
        </w:tc>
        <w:tc>
          <w:tcPr>
            <w:tcW w:w="1060" w:type="dxa"/>
            <w:noWrap/>
          </w:tcPr>
          <w:p w14:paraId="1552C4A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43</w:t>
            </w:r>
          </w:p>
        </w:tc>
        <w:tc>
          <w:tcPr>
            <w:tcW w:w="1260" w:type="dxa"/>
            <w:noWrap/>
          </w:tcPr>
          <w:p w14:paraId="234EBBB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1E844A2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150</w:t>
            </w:r>
          </w:p>
        </w:tc>
        <w:tc>
          <w:tcPr>
            <w:tcW w:w="1300" w:type="dxa"/>
            <w:noWrap/>
          </w:tcPr>
          <w:p w14:paraId="541D788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09A4F1D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324</w:t>
            </w:r>
          </w:p>
        </w:tc>
      </w:tr>
      <w:tr w:rsidR="00A07523" w:rsidRPr="004525DC" w14:paraId="2CEF75A2" w14:textId="77777777" w:rsidTr="00612554">
        <w:trPr>
          <w:trHeight w:val="280"/>
        </w:trPr>
        <w:tc>
          <w:tcPr>
            <w:tcW w:w="1060" w:type="dxa"/>
            <w:noWrap/>
          </w:tcPr>
          <w:p w14:paraId="71A1B53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2006</w:t>
            </w:r>
          </w:p>
        </w:tc>
        <w:tc>
          <w:tcPr>
            <w:tcW w:w="1140" w:type="dxa"/>
            <w:noWrap/>
          </w:tcPr>
          <w:p w14:paraId="63B231E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173</w:t>
            </w:r>
          </w:p>
        </w:tc>
        <w:tc>
          <w:tcPr>
            <w:tcW w:w="1060" w:type="dxa"/>
            <w:noWrap/>
          </w:tcPr>
          <w:p w14:paraId="4631883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w:t>
            </w:r>
          </w:p>
        </w:tc>
        <w:tc>
          <w:tcPr>
            <w:tcW w:w="1060" w:type="dxa"/>
            <w:noWrap/>
          </w:tcPr>
          <w:p w14:paraId="7542A3C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34</w:t>
            </w:r>
          </w:p>
        </w:tc>
        <w:tc>
          <w:tcPr>
            <w:tcW w:w="1060" w:type="dxa"/>
            <w:noWrap/>
          </w:tcPr>
          <w:p w14:paraId="189108C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55</w:t>
            </w:r>
          </w:p>
        </w:tc>
        <w:tc>
          <w:tcPr>
            <w:tcW w:w="1260" w:type="dxa"/>
            <w:noWrap/>
          </w:tcPr>
          <w:p w14:paraId="0F0B19F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37EF870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157</w:t>
            </w:r>
          </w:p>
        </w:tc>
        <w:tc>
          <w:tcPr>
            <w:tcW w:w="1300" w:type="dxa"/>
            <w:noWrap/>
          </w:tcPr>
          <w:p w14:paraId="7B1CB64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178A3A68"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461</w:t>
            </w:r>
          </w:p>
        </w:tc>
      </w:tr>
      <w:tr w:rsidR="00A07523" w:rsidRPr="004525DC" w14:paraId="525B41CB" w14:textId="77777777" w:rsidTr="00612554">
        <w:trPr>
          <w:trHeight w:val="280"/>
        </w:trPr>
        <w:tc>
          <w:tcPr>
            <w:tcW w:w="1060" w:type="dxa"/>
            <w:noWrap/>
          </w:tcPr>
          <w:p w14:paraId="7980971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2007</w:t>
            </w:r>
          </w:p>
        </w:tc>
        <w:tc>
          <w:tcPr>
            <w:tcW w:w="1140" w:type="dxa"/>
            <w:noWrap/>
          </w:tcPr>
          <w:p w14:paraId="5532873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248</w:t>
            </w:r>
          </w:p>
        </w:tc>
        <w:tc>
          <w:tcPr>
            <w:tcW w:w="1060" w:type="dxa"/>
            <w:noWrap/>
          </w:tcPr>
          <w:p w14:paraId="0E79DB5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21</w:t>
            </w:r>
          </w:p>
        </w:tc>
        <w:tc>
          <w:tcPr>
            <w:tcW w:w="1060" w:type="dxa"/>
            <w:noWrap/>
          </w:tcPr>
          <w:p w14:paraId="73E05F5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31</w:t>
            </w:r>
          </w:p>
        </w:tc>
        <w:tc>
          <w:tcPr>
            <w:tcW w:w="1060" w:type="dxa"/>
            <w:noWrap/>
          </w:tcPr>
          <w:p w14:paraId="01B6521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30</w:t>
            </w:r>
          </w:p>
        </w:tc>
        <w:tc>
          <w:tcPr>
            <w:tcW w:w="1260" w:type="dxa"/>
            <w:noWrap/>
          </w:tcPr>
          <w:p w14:paraId="4A77185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w:t>
            </w:r>
          </w:p>
        </w:tc>
        <w:tc>
          <w:tcPr>
            <w:tcW w:w="1060" w:type="dxa"/>
            <w:noWrap/>
          </w:tcPr>
          <w:p w14:paraId="55ED83F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117</w:t>
            </w:r>
          </w:p>
        </w:tc>
        <w:tc>
          <w:tcPr>
            <w:tcW w:w="1300" w:type="dxa"/>
            <w:noWrap/>
          </w:tcPr>
          <w:p w14:paraId="13ED959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1C8FC3E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448</w:t>
            </w:r>
          </w:p>
        </w:tc>
      </w:tr>
      <w:tr w:rsidR="00A07523" w:rsidRPr="004525DC" w14:paraId="3E6A5880" w14:textId="77777777" w:rsidTr="00612554">
        <w:trPr>
          <w:trHeight w:val="280"/>
        </w:trPr>
        <w:tc>
          <w:tcPr>
            <w:tcW w:w="1060" w:type="dxa"/>
            <w:noWrap/>
          </w:tcPr>
          <w:p w14:paraId="11F7F08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2008</w:t>
            </w:r>
          </w:p>
        </w:tc>
        <w:tc>
          <w:tcPr>
            <w:tcW w:w="1140" w:type="dxa"/>
            <w:noWrap/>
          </w:tcPr>
          <w:p w14:paraId="6FD30E1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279</w:t>
            </w:r>
          </w:p>
        </w:tc>
        <w:tc>
          <w:tcPr>
            <w:tcW w:w="1060" w:type="dxa"/>
            <w:noWrap/>
          </w:tcPr>
          <w:p w14:paraId="0ED12250" w14:textId="77777777" w:rsidR="00A07523" w:rsidRPr="00AB00F6" w:rsidRDefault="00A07523" w:rsidP="009363D0">
            <w:pPr>
              <w:jc w:val="center"/>
              <w:rPr>
                <w:rFonts w:ascii="Calibri" w:hAnsi="Calibri"/>
                <w:color w:val="000000"/>
                <w:sz w:val="20"/>
                <w:szCs w:val="20"/>
              </w:rPr>
            </w:pPr>
            <w:r w:rsidRPr="009F2CBB">
              <w:rPr>
                <w:rFonts w:ascii="Calibri" w:hAnsi="Calibri"/>
                <w:color w:val="000000"/>
                <w:sz w:val="20"/>
                <w:szCs w:val="20"/>
              </w:rPr>
              <w:t>117</w:t>
            </w:r>
          </w:p>
        </w:tc>
        <w:tc>
          <w:tcPr>
            <w:tcW w:w="1060" w:type="dxa"/>
            <w:noWrap/>
          </w:tcPr>
          <w:p w14:paraId="081E1E5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80</w:t>
            </w:r>
          </w:p>
        </w:tc>
        <w:tc>
          <w:tcPr>
            <w:tcW w:w="1060" w:type="dxa"/>
            <w:noWrap/>
          </w:tcPr>
          <w:p w14:paraId="067DFFA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78</w:t>
            </w:r>
          </w:p>
        </w:tc>
        <w:tc>
          <w:tcPr>
            <w:tcW w:w="1260" w:type="dxa"/>
            <w:noWrap/>
          </w:tcPr>
          <w:p w14:paraId="2AC5E85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w:t>
            </w:r>
          </w:p>
        </w:tc>
        <w:tc>
          <w:tcPr>
            <w:tcW w:w="1060" w:type="dxa"/>
            <w:noWrap/>
          </w:tcPr>
          <w:p w14:paraId="056FF5D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317</w:t>
            </w:r>
          </w:p>
        </w:tc>
        <w:tc>
          <w:tcPr>
            <w:tcW w:w="1300" w:type="dxa"/>
            <w:noWrap/>
          </w:tcPr>
          <w:p w14:paraId="333688C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4E2A0E1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872</w:t>
            </w:r>
          </w:p>
        </w:tc>
      </w:tr>
      <w:tr w:rsidR="00A07523" w:rsidRPr="004525DC" w14:paraId="76C79FDC" w14:textId="77777777" w:rsidTr="00612554">
        <w:trPr>
          <w:trHeight w:val="280"/>
        </w:trPr>
        <w:tc>
          <w:tcPr>
            <w:tcW w:w="1060" w:type="dxa"/>
            <w:noWrap/>
          </w:tcPr>
          <w:p w14:paraId="10D1F46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2009</w:t>
            </w:r>
          </w:p>
        </w:tc>
        <w:tc>
          <w:tcPr>
            <w:tcW w:w="1140" w:type="dxa"/>
            <w:noWrap/>
          </w:tcPr>
          <w:p w14:paraId="619ACFD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39</w:t>
            </w:r>
          </w:p>
        </w:tc>
        <w:tc>
          <w:tcPr>
            <w:tcW w:w="1060" w:type="dxa"/>
            <w:noWrap/>
          </w:tcPr>
          <w:p w14:paraId="0B24479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97</w:t>
            </w:r>
          </w:p>
        </w:tc>
        <w:tc>
          <w:tcPr>
            <w:tcW w:w="1060" w:type="dxa"/>
            <w:noWrap/>
          </w:tcPr>
          <w:p w14:paraId="09DA651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28</w:t>
            </w:r>
          </w:p>
        </w:tc>
        <w:tc>
          <w:tcPr>
            <w:tcW w:w="1060" w:type="dxa"/>
            <w:noWrap/>
          </w:tcPr>
          <w:p w14:paraId="1A63D30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w:t>
            </w:r>
          </w:p>
        </w:tc>
        <w:tc>
          <w:tcPr>
            <w:tcW w:w="1260" w:type="dxa"/>
            <w:noWrap/>
          </w:tcPr>
          <w:p w14:paraId="02A49B6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7FEB682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266</w:t>
            </w:r>
          </w:p>
        </w:tc>
        <w:tc>
          <w:tcPr>
            <w:tcW w:w="1300" w:type="dxa"/>
            <w:noWrap/>
          </w:tcPr>
          <w:p w14:paraId="0508A6C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37F2C04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436</w:t>
            </w:r>
          </w:p>
        </w:tc>
      </w:tr>
      <w:tr w:rsidR="00A07523" w:rsidRPr="004525DC" w14:paraId="75AA5D55" w14:textId="77777777" w:rsidTr="00612554">
        <w:trPr>
          <w:trHeight w:val="280"/>
        </w:trPr>
        <w:tc>
          <w:tcPr>
            <w:tcW w:w="1060" w:type="dxa"/>
            <w:noWrap/>
          </w:tcPr>
          <w:p w14:paraId="634CB7F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2010</w:t>
            </w:r>
          </w:p>
        </w:tc>
        <w:tc>
          <w:tcPr>
            <w:tcW w:w="1140" w:type="dxa"/>
            <w:noWrap/>
          </w:tcPr>
          <w:p w14:paraId="113AD1C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33</w:t>
            </w:r>
          </w:p>
        </w:tc>
        <w:tc>
          <w:tcPr>
            <w:tcW w:w="1060" w:type="dxa"/>
            <w:noWrap/>
          </w:tcPr>
          <w:p w14:paraId="188F997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152</w:t>
            </w:r>
          </w:p>
        </w:tc>
        <w:tc>
          <w:tcPr>
            <w:tcW w:w="1060" w:type="dxa"/>
            <w:noWrap/>
          </w:tcPr>
          <w:p w14:paraId="57FF249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63</w:t>
            </w:r>
          </w:p>
        </w:tc>
        <w:tc>
          <w:tcPr>
            <w:tcW w:w="1060" w:type="dxa"/>
            <w:noWrap/>
          </w:tcPr>
          <w:p w14:paraId="722BEE8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w:t>
            </w:r>
          </w:p>
        </w:tc>
        <w:tc>
          <w:tcPr>
            <w:tcW w:w="1260" w:type="dxa"/>
            <w:noWrap/>
          </w:tcPr>
          <w:p w14:paraId="1A6A8EE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04FA0AD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319</w:t>
            </w:r>
          </w:p>
        </w:tc>
        <w:tc>
          <w:tcPr>
            <w:tcW w:w="1300" w:type="dxa"/>
            <w:noWrap/>
          </w:tcPr>
          <w:p w14:paraId="077FA84A"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4767D6DB"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573</w:t>
            </w:r>
          </w:p>
        </w:tc>
      </w:tr>
      <w:tr w:rsidR="00A07523" w:rsidRPr="004525DC" w14:paraId="61C4426C" w14:textId="77777777" w:rsidTr="00612554">
        <w:trPr>
          <w:trHeight w:val="280"/>
        </w:trPr>
        <w:tc>
          <w:tcPr>
            <w:tcW w:w="1060" w:type="dxa"/>
            <w:noWrap/>
          </w:tcPr>
          <w:p w14:paraId="23CB748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2011</w:t>
            </w:r>
          </w:p>
        </w:tc>
        <w:tc>
          <w:tcPr>
            <w:tcW w:w="1140" w:type="dxa"/>
            <w:noWrap/>
          </w:tcPr>
          <w:p w14:paraId="4F4303A3" w14:textId="77777777" w:rsidR="00A07523" w:rsidRPr="00AB00F6" w:rsidRDefault="00A07523" w:rsidP="009363D0">
            <w:pPr>
              <w:jc w:val="center"/>
              <w:rPr>
                <w:rFonts w:ascii="Calibri" w:hAnsi="Calibri"/>
                <w:color w:val="000000"/>
                <w:sz w:val="20"/>
                <w:szCs w:val="20"/>
              </w:rPr>
            </w:pPr>
            <w:r w:rsidRPr="009F2CBB">
              <w:rPr>
                <w:rFonts w:ascii="Calibri" w:hAnsi="Calibri"/>
                <w:color w:val="000000"/>
                <w:sz w:val="20"/>
                <w:szCs w:val="20"/>
              </w:rPr>
              <w:t>195</w:t>
            </w:r>
          </w:p>
        </w:tc>
        <w:tc>
          <w:tcPr>
            <w:tcW w:w="1060" w:type="dxa"/>
            <w:noWrap/>
          </w:tcPr>
          <w:p w14:paraId="58EF69D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262</w:t>
            </w:r>
          </w:p>
        </w:tc>
        <w:tc>
          <w:tcPr>
            <w:tcW w:w="1060" w:type="dxa"/>
            <w:noWrap/>
          </w:tcPr>
          <w:p w14:paraId="73BB5C7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61</w:t>
            </w:r>
          </w:p>
        </w:tc>
        <w:tc>
          <w:tcPr>
            <w:tcW w:w="1060" w:type="dxa"/>
            <w:noWrap/>
          </w:tcPr>
          <w:p w14:paraId="75D6ACB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33</w:t>
            </w:r>
          </w:p>
        </w:tc>
        <w:tc>
          <w:tcPr>
            <w:tcW w:w="1260" w:type="dxa"/>
            <w:noWrap/>
          </w:tcPr>
          <w:p w14:paraId="47AC31D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34018EE1"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559</w:t>
            </w:r>
          </w:p>
        </w:tc>
        <w:tc>
          <w:tcPr>
            <w:tcW w:w="1300" w:type="dxa"/>
            <w:noWrap/>
          </w:tcPr>
          <w:p w14:paraId="3AD30BE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4D7D7A29"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1110</w:t>
            </w:r>
          </w:p>
        </w:tc>
      </w:tr>
      <w:tr w:rsidR="00A07523" w:rsidRPr="004525DC" w14:paraId="56009A00" w14:textId="77777777" w:rsidTr="00612554">
        <w:trPr>
          <w:trHeight w:val="280"/>
        </w:trPr>
        <w:tc>
          <w:tcPr>
            <w:tcW w:w="1060" w:type="dxa"/>
            <w:noWrap/>
          </w:tcPr>
          <w:p w14:paraId="413506A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2012</w:t>
            </w:r>
          </w:p>
        </w:tc>
        <w:tc>
          <w:tcPr>
            <w:tcW w:w="1140" w:type="dxa"/>
            <w:noWrap/>
          </w:tcPr>
          <w:p w14:paraId="2A4DBB5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45</w:t>
            </w:r>
          </w:p>
        </w:tc>
        <w:tc>
          <w:tcPr>
            <w:tcW w:w="1060" w:type="dxa"/>
            <w:noWrap/>
          </w:tcPr>
          <w:p w14:paraId="0319D88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144</w:t>
            </w:r>
          </w:p>
        </w:tc>
        <w:tc>
          <w:tcPr>
            <w:tcW w:w="1060" w:type="dxa"/>
            <w:noWrap/>
          </w:tcPr>
          <w:p w14:paraId="11952CB5"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26</w:t>
            </w:r>
          </w:p>
        </w:tc>
        <w:tc>
          <w:tcPr>
            <w:tcW w:w="1060" w:type="dxa"/>
            <w:noWrap/>
          </w:tcPr>
          <w:p w14:paraId="22E0D7E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11</w:t>
            </w:r>
          </w:p>
        </w:tc>
        <w:tc>
          <w:tcPr>
            <w:tcW w:w="1260" w:type="dxa"/>
            <w:noWrap/>
          </w:tcPr>
          <w:p w14:paraId="26C8641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70B544C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549</w:t>
            </w:r>
          </w:p>
        </w:tc>
        <w:tc>
          <w:tcPr>
            <w:tcW w:w="1300" w:type="dxa"/>
            <w:noWrap/>
          </w:tcPr>
          <w:p w14:paraId="751DB3B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w:t>
            </w:r>
          </w:p>
        </w:tc>
        <w:tc>
          <w:tcPr>
            <w:tcW w:w="820" w:type="dxa"/>
            <w:noWrap/>
          </w:tcPr>
          <w:p w14:paraId="0F83FFF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776</w:t>
            </w:r>
          </w:p>
        </w:tc>
      </w:tr>
      <w:tr w:rsidR="00A07523" w:rsidRPr="004525DC" w14:paraId="55380414" w14:textId="77777777" w:rsidTr="00612554">
        <w:trPr>
          <w:trHeight w:val="280"/>
        </w:trPr>
        <w:tc>
          <w:tcPr>
            <w:tcW w:w="1060" w:type="dxa"/>
            <w:noWrap/>
          </w:tcPr>
          <w:p w14:paraId="7020CCF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2013</w:t>
            </w:r>
          </w:p>
        </w:tc>
        <w:tc>
          <w:tcPr>
            <w:tcW w:w="1140" w:type="dxa"/>
            <w:noWrap/>
          </w:tcPr>
          <w:p w14:paraId="3563E6D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55</w:t>
            </w:r>
          </w:p>
        </w:tc>
        <w:tc>
          <w:tcPr>
            <w:tcW w:w="1060" w:type="dxa"/>
            <w:noWrap/>
          </w:tcPr>
          <w:p w14:paraId="549B881E"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61</w:t>
            </w:r>
          </w:p>
        </w:tc>
        <w:tc>
          <w:tcPr>
            <w:tcW w:w="1060" w:type="dxa"/>
            <w:noWrap/>
          </w:tcPr>
          <w:p w14:paraId="6DC1C1B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382</w:t>
            </w:r>
          </w:p>
        </w:tc>
        <w:tc>
          <w:tcPr>
            <w:tcW w:w="1060" w:type="dxa"/>
            <w:noWrap/>
          </w:tcPr>
          <w:p w14:paraId="3D3142A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w:t>
            </w:r>
          </w:p>
        </w:tc>
        <w:tc>
          <w:tcPr>
            <w:tcW w:w="1260" w:type="dxa"/>
            <w:noWrap/>
          </w:tcPr>
          <w:p w14:paraId="25D6CAED"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1060" w:type="dxa"/>
            <w:noWrap/>
          </w:tcPr>
          <w:p w14:paraId="3C3399C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761</w:t>
            </w:r>
          </w:p>
        </w:tc>
        <w:tc>
          <w:tcPr>
            <w:tcW w:w="1300" w:type="dxa"/>
            <w:noWrap/>
          </w:tcPr>
          <w:p w14:paraId="22A00DB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0</w:t>
            </w:r>
          </w:p>
        </w:tc>
        <w:tc>
          <w:tcPr>
            <w:tcW w:w="820" w:type="dxa"/>
            <w:noWrap/>
          </w:tcPr>
          <w:p w14:paraId="7139E5F6"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1278</w:t>
            </w:r>
          </w:p>
        </w:tc>
      </w:tr>
      <w:tr w:rsidR="00A07523" w:rsidRPr="004525DC" w14:paraId="221AA5A3" w14:textId="77777777" w:rsidTr="00CB1ABD">
        <w:trPr>
          <w:trHeight w:val="350"/>
        </w:trPr>
        <w:tc>
          <w:tcPr>
            <w:tcW w:w="1060" w:type="dxa"/>
            <w:noWrap/>
          </w:tcPr>
          <w:p w14:paraId="61015AE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Total</w:t>
            </w:r>
          </w:p>
        </w:tc>
        <w:tc>
          <w:tcPr>
            <w:tcW w:w="1140" w:type="dxa"/>
            <w:noWrap/>
          </w:tcPr>
          <w:p w14:paraId="0C08BEB0"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1909</w:t>
            </w:r>
          </w:p>
        </w:tc>
        <w:tc>
          <w:tcPr>
            <w:tcW w:w="1060" w:type="dxa"/>
            <w:noWrap/>
          </w:tcPr>
          <w:p w14:paraId="468821F4"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1885</w:t>
            </w:r>
          </w:p>
        </w:tc>
        <w:tc>
          <w:tcPr>
            <w:tcW w:w="1060" w:type="dxa"/>
            <w:noWrap/>
          </w:tcPr>
          <w:p w14:paraId="6F8B7A6F"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1137</w:t>
            </w:r>
          </w:p>
        </w:tc>
        <w:tc>
          <w:tcPr>
            <w:tcW w:w="1060" w:type="dxa"/>
            <w:noWrap/>
          </w:tcPr>
          <w:p w14:paraId="54E4EAA3"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468</w:t>
            </w:r>
          </w:p>
        </w:tc>
        <w:tc>
          <w:tcPr>
            <w:tcW w:w="1260" w:type="dxa"/>
            <w:noWrap/>
          </w:tcPr>
          <w:p w14:paraId="6D0A41D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4</w:t>
            </w:r>
          </w:p>
        </w:tc>
        <w:tc>
          <w:tcPr>
            <w:tcW w:w="1060" w:type="dxa"/>
            <w:noWrap/>
          </w:tcPr>
          <w:p w14:paraId="3D8D7C2C"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6171</w:t>
            </w:r>
          </w:p>
        </w:tc>
        <w:tc>
          <w:tcPr>
            <w:tcW w:w="1300" w:type="dxa"/>
            <w:noWrap/>
          </w:tcPr>
          <w:p w14:paraId="77E18982"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626</w:t>
            </w:r>
          </w:p>
        </w:tc>
        <w:tc>
          <w:tcPr>
            <w:tcW w:w="820" w:type="dxa"/>
            <w:noWrap/>
          </w:tcPr>
          <w:p w14:paraId="22654527" w14:textId="77777777" w:rsidR="00A07523" w:rsidRPr="00AB00F6" w:rsidRDefault="00A07523" w:rsidP="009363D0">
            <w:pPr>
              <w:jc w:val="center"/>
              <w:rPr>
                <w:rFonts w:ascii="Calibri" w:hAnsi="Calibri"/>
                <w:color w:val="000000"/>
                <w:sz w:val="20"/>
                <w:szCs w:val="20"/>
              </w:rPr>
            </w:pPr>
            <w:r w:rsidRPr="00AB00F6">
              <w:rPr>
                <w:rFonts w:ascii="Calibri" w:hAnsi="Calibri"/>
                <w:color w:val="000000"/>
                <w:sz w:val="20"/>
                <w:szCs w:val="20"/>
              </w:rPr>
              <w:t>12200</w:t>
            </w:r>
          </w:p>
        </w:tc>
      </w:tr>
    </w:tbl>
    <w:p w14:paraId="7B2D7DE6" w14:textId="5510A321" w:rsidR="00CB1ABD" w:rsidRDefault="00CB1ABD" w:rsidP="008C6DAA"/>
    <w:p w14:paraId="2A26E484" w14:textId="77777777" w:rsidR="004C7EC3" w:rsidRDefault="004C7EC3" w:rsidP="008C6DAA">
      <w:pPr>
        <w:rPr>
          <w:vanish/>
        </w:rPr>
      </w:pPr>
    </w:p>
    <w:p w14:paraId="7BC287CD" w14:textId="77777777" w:rsidR="00CB1ABD" w:rsidRDefault="00CB1ABD" w:rsidP="008C6DAA">
      <w:pPr>
        <w:rPr>
          <w:vanish/>
        </w:rPr>
      </w:pPr>
    </w:p>
    <w:p w14:paraId="3BD2EECE" w14:textId="028A6D63" w:rsidR="00A07523" w:rsidRDefault="00A07523" w:rsidP="008C6DAA"/>
    <w:p w14:paraId="1E9AD1AE" w14:textId="77777777" w:rsidR="00FF6FDC" w:rsidRDefault="00FF6FDC" w:rsidP="008C6DAA">
      <w:pPr>
        <w:rPr>
          <w:vanish/>
        </w:rPr>
      </w:pPr>
    </w:p>
    <w:p w14:paraId="79934539" w14:textId="77777777" w:rsidR="00804B28" w:rsidRDefault="00804B28" w:rsidP="00CB1ABD"/>
    <w:p w14:paraId="21D3A368" w14:textId="77777777" w:rsidR="00804B28" w:rsidRDefault="00804B28" w:rsidP="00CB1ABD"/>
    <w:p w14:paraId="58D5F1DB" w14:textId="77777777" w:rsidR="007C56DE" w:rsidRDefault="007C56DE" w:rsidP="00CB1ABD"/>
    <w:p w14:paraId="22AC4463" w14:textId="77777777" w:rsidR="007C56DE" w:rsidRDefault="007C56DE" w:rsidP="00CB1ABD"/>
    <w:p w14:paraId="45C85E09" w14:textId="77777777" w:rsidR="007C56DE" w:rsidRDefault="007C56DE" w:rsidP="00CB1ABD"/>
    <w:p w14:paraId="32CC5178" w14:textId="77777777" w:rsidR="007C56DE" w:rsidRDefault="007C56DE" w:rsidP="00CB1ABD"/>
    <w:p w14:paraId="635E2608" w14:textId="77777777" w:rsidR="007C56DE" w:rsidRDefault="007C56DE" w:rsidP="00CB1ABD"/>
    <w:p w14:paraId="2DE5FF03" w14:textId="77777777" w:rsidR="007C56DE" w:rsidRPr="00E517E0" w:rsidRDefault="007C56DE" w:rsidP="00CB1ABD"/>
    <w:p w14:paraId="5CBA2B79" w14:textId="0ED1B595" w:rsidR="00CB1ABD" w:rsidRDefault="00AF4E5E" w:rsidP="002A5A13">
      <w:pPr>
        <w:spacing w:line="480" w:lineRule="auto"/>
        <w:jc w:val="center"/>
        <w:outlineLvl w:val="0"/>
      </w:pPr>
      <w:r>
        <w:rPr>
          <w:b/>
        </w:rPr>
        <w:t>Table 3</w:t>
      </w:r>
      <w:r w:rsidR="00CB1ABD">
        <w:rPr>
          <w:b/>
        </w:rPr>
        <w:t xml:space="preserve">. </w:t>
      </w:r>
      <w:r w:rsidR="00CB1ABD" w:rsidRPr="00CB1ABD">
        <w:rPr>
          <w:b/>
        </w:rPr>
        <w:t xml:space="preserve">Proportion </w:t>
      </w:r>
      <w:r w:rsidR="004C7EC3" w:rsidRPr="00CB1ABD">
        <w:rPr>
          <w:b/>
        </w:rPr>
        <w:t>of</w:t>
      </w:r>
      <w:r w:rsidR="001F3A86" w:rsidRPr="00CB1ABD">
        <w:rPr>
          <w:b/>
        </w:rPr>
        <w:t xml:space="preserve"> Primary </w:t>
      </w:r>
      <w:r w:rsidR="004C7EC3" w:rsidRPr="00CB1ABD">
        <w:rPr>
          <w:b/>
        </w:rPr>
        <w:t>to</w:t>
      </w:r>
      <w:r w:rsidR="001F3A86" w:rsidRPr="00CB1ABD">
        <w:rPr>
          <w:b/>
        </w:rPr>
        <w:t xml:space="preserve"> Secondary Cases</w:t>
      </w:r>
    </w:p>
    <w:tbl>
      <w:tblPr>
        <w:tblStyle w:val="TableGridLight"/>
        <w:tblW w:w="9968" w:type="dxa"/>
        <w:tblLook w:val="0000" w:firstRow="0" w:lastRow="0" w:firstColumn="0" w:lastColumn="0" w:noHBand="0" w:noVBand="0"/>
      </w:tblPr>
      <w:tblGrid>
        <w:gridCol w:w="2458"/>
        <w:gridCol w:w="3150"/>
        <w:gridCol w:w="2526"/>
        <w:gridCol w:w="1834"/>
      </w:tblGrid>
      <w:tr w:rsidR="00612554" w:rsidRPr="004525DC" w14:paraId="39E669DC" w14:textId="77777777" w:rsidTr="00804B28">
        <w:trPr>
          <w:trHeight w:val="325"/>
        </w:trPr>
        <w:tc>
          <w:tcPr>
            <w:tcW w:w="2458" w:type="dxa"/>
            <w:noWrap/>
          </w:tcPr>
          <w:p w14:paraId="4F1470A3"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lastRenderedPageBreak/>
              <w:t>Nested PCR</w:t>
            </w:r>
          </w:p>
        </w:tc>
        <w:tc>
          <w:tcPr>
            <w:tcW w:w="3150" w:type="dxa"/>
            <w:noWrap/>
          </w:tcPr>
          <w:p w14:paraId="5E3206F0"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Acute Primary Inf</w:t>
            </w:r>
          </w:p>
        </w:tc>
        <w:tc>
          <w:tcPr>
            <w:tcW w:w="2526" w:type="dxa"/>
            <w:noWrap/>
          </w:tcPr>
          <w:p w14:paraId="40410A57"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Acute 2nd Inf</w:t>
            </w:r>
          </w:p>
        </w:tc>
        <w:tc>
          <w:tcPr>
            <w:tcW w:w="1834" w:type="dxa"/>
            <w:noWrap/>
          </w:tcPr>
          <w:p w14:paraId="1A368DB0"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Total</w:t>
            </w:r>
          </w:p>
        </w:tc>
      </w:tr>
      <w:tr w:rsidR="00612554" w:rsidRPr="004525DC" w14:paraId="16B7415F" w14:textId="77777777" w:rsidTr="00804B28">
        <w:trPr>
          <w:trHeight w:val="325"/>
        </w:trPr>
        <w:tc>
          <w:tcPr>
            <w:tcW w:w="2458" w:type="dxa"/>
            <w:noWrap/>
          </w:tcPr>
          <w:p w14:paraId="5777FD5A"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DEN1</w:t>
            </w:r>
          </w:p>
        </w:tc>
        <w:tc>
          <w:tcPr>
            <w:tcW w:w="3150" w:type="dxa"/>
            <w:noWrap/>
          </w:tcPr>
          <w:p w14:paraId="313F5D22"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383</w:t>
            </w:r>
            <w:r>
              <w:rPr>
                <w:rFonts w:ascii="Calibri" w:hAnsi="Calibri"/>
                <w:color w:val="000000"/>
                <w:sz w:val="22"/>
                <w:szCs w:val="22"/>
              </w:rPr>
              <w:t xml:space="preserve"> (22.2%)</w:t>
            </w:r>
          </w:p>
        </w:tc>
        <w:tc>
          <w:tcPr>
            <w:tcW w:w="2526" w:type="dxa"/>
            <w:noWrap/>
          </w:tcPr>
          <w:p w14:paraId="66E4A95B"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1344</w:t>
            </w:r>
            <w:r>
              <w:rPr>
                <w:rFonts w:ascii="Calibri" w:hAnsi="Calibri"/>
                <w:color w:val="000000"/>
                <w:sz w:val="22"/>
                <w:szCs w:val="22"/>
              </w:rPr>
              <w:t xml:space="preserve"> (77.8%)</w:t>
            </w:r>
          </w:p>
        </w:tc>
        <w:tc>
          <w:tcPr>
            <w:tcW w:w="1834" w:type="dxa"/>
            <w:noWrap/>
          </w:tcPr>
          <w:p w14:paraId="6D41F740" w14:textId="0171B12F" w:rsidR="000A16AD" w:rsidRPr="004525DC" w:rsidRDefault="000A16AD" w:rsidP="00612554">
            <w:pPr>
              <w:jc w:val="center"/>
              <w:rPr>
                <w:rFonts w:ascii="Calibri" w:hAnsi="Calibri"/>
                <w:color w:val="000000"/>
                <w:sz w:val="22"/>
                <w:szCs w:val="22"/>
              </w:rPr>
            </w:pPr>
            <w:r>
              <w:rPr>
                <w:rFonts w:ascii="Calibri" w:hAnsi="Calibri"/>
                <w:color w:val="000000"/>
                <w:sz w:val="22"/>
                <w:szCs w:val="22"/>
              </w:rPr>
              <w:t>1727</w:t>
            </w:r>
          </w:p>
        </w:tc>
      </w:tr>
      <w:tr w:rsidR="00612554" w:rsidRPr="004525DC" w14:paraId="1005BB19" w14:textId="77777777" w:rsidTr="00804B28">
        <w:trPr>
          <w:trHeight w:val="325"/>
        </w:trPr>
        <w:tc>
          <w:tcPr>
            <w:tcW w:w="2458" w:type="dxa"/>
            <w:noWrap/>
          </w:tcPr>
          <w:p w14:paraId="0F539B61"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DEN2</w:t>
            </w:r>
          </w:p>
        </w:tc>
        <w:tc>
          <w:tcPr>
            <w:tcW w:w="3150" w:type="dxa"/>
            <w:noWrap/>
          </w:tcPr>
          <w:p w14:paraId="157C7EC1"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159</w:t>
            </w:r>
            <w:r>
              <w:rPr>
                <w:rFonts w:ascii="Calibri" w:hAnsi="Calibri"/>
                <w:color w:val="000000"/>
                <w:sz w:val="22"/>
                <w:szCs w:val="22"/>
              </w:rPr>
              <w:t xml:space="preserve"> (9.67%)</w:t>
            </w:r>
          </w:p>
        </w:tc>
        <w:tc>
          <w:tcPr>
            <w:tcW w:w="2526" w:type="dxa"/>
            <w:noWrap/>
          </w:tcPr>
          <w:p w14:paraId="64177386"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1485</w:t>
            </w:r>
            <w:r>
              <w:rPr>
                <w:rFonts w:ascii="Calibri" w:hAnsi="Calibri"/>
                <w:color w:val="000000"/>
                <w:sz w:val="22"/>
                <w:szCs w:val="22"/>
              </w:rPr>
              <w:t xml:space="preserve"> (90.33%)</w:t>
            </w:r>
          </w:p>
        </w:tc>
        <w:tc>
          <w:tcPr>
            <w:tcW w:w="1834" w:type="dxa"/>
            <w:noWrap/>
          </w:tcPr>
          <w:p w14:paraId="72B7CB78" w14:textId="77777777" w:rsidR="000A16AD" w:rsidRPr="004525DC" w:rsidRDefault="000A16AD" w:rsidP="00612554">
            <w:pPr>
              <w:jc w:val="center"/>
              <w:rPr>
                <w:rFonts w:ascii="Calibri" w:hAnsi="Calibri"/>
                <w:color w:val="000000"/>
                <w:sz w:val="22"/>
                <w:szCs w:val="22"/>
              </w:rPr>
            </w:pPr>
            <w:r>
              <w:rPr>
                <w:rFonts w:ascii="Calibri" w:hAnsi="Calibri"/>
                <w:color w:val="000000"/>
                <w:sz w:val="22"/>
                <w:szCs w:val="22"/>
              </w:rPr>
              <w:t>1644</w:t>
            </w:r>
          </w:p>
        </w:tc>
      </w:tr>
      <w:tr w:rsidR="00612554" w:rsidRPr="004525DC" w14:paraId="52B996DC" w14:textId="77777777" w:rsidTr="00804B28">
        <w:trPr>
          <w:trHeight w:val="325"/>
        </w:trPr>
        <w:tc>
          <w:tcPr>
            <w:tcW w:w="2458" w:type="dxa"/>
            <w:noWrap/>
          </w:tcPr>
          <w:p w14:paraId="46E77557"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DEN3</w:t>
            </w:r>
          </w:p>
        </w:tc>
        <w:tc>
          <w:tcPr>
            <w:tcW w:w="3150" w:type="dxa"/>
            <w:noWrap/>
          </w:tcPr>
          <w:p w14:paraId="388D5A7B"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192</w:t>
            </w:r>
            <w:r>
              <w:rPr>
                <w:rFonts w:ascii="Calibri" w:hAnsi="Calibri"/>
                <w:color w:val="000000"/>
                <w:sz w:val="22"/>
                <w:szCs w:val="22"/>
              </w:rPr>
              <w:t>(18.6%)</w:t>
            </w:r>
          </w:p>
        </w:tc>
        <w:tc>
          <w:tcPr>
            <w:tcW w:w="2526" w:type="dxa"/>
            <w:noWrap/>
          </w:tcPr>
          <w:p w14:paraId="21D4EC4A"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840</w:t>
            </w:r>
            <w:r>
              <w:rPr>
                <w:rFonts w:ascii="Calibri" w:hAnsi="Calibri"/>
                <w:color w:val="000000"/>
                <w:sz w:val="22"/>
                <w:szCs w:val="22"/>
              </w:rPr>
              <w:t xml:space="preserve"> (81.4%)</w:t>
            </w:r>
          </w:p>
        </w:tc>
        <w:tc>
          <w:tcPr>
            <w:tcW w:w="1834" w:type="dxa"/>
            <w:noWrap/>
          </w:tcPr>
          <w:p w14:paraId="007990ED" w14:textId="77777777" w:rsidR="000A16AD" w:rsidRPr="004525DC" w:rsidRDefault="000A16AD" w:rsidP="00612554">
            <w:pPr>
              <w:jc w:val="center"/>
              <w:rPr>
                <w:rFonts w:ascii="Calibri" w:hAnsi="Calibri"/>
                <w:color w:val="000000"/>
                <w:sz w:val="22"/>
                <w:szCs w:val="22"/>
              </w:rPr>
            </w:pPr>
            <w:r>
              <w:rPr>
                <w:rFonts w:ascii="Calibri" w:hAnsi="Calibri"/>
                <w:color w:val="000000"/>
                <w:sz w:val="22"/>
                <w:szCs w:val="22"/>
              </w:rPr>
              <w:t>1032</w:t>
            </w:r>
          </w:p>
        </w:tc>
      </w:tr>
      <w:tr w:rsidR="00612554" w:rsidRPr="004525DC" w14:paraId="55B1AC08" w14:textId="77777777" w:rsidTr="00804B28">
        <w:trPr>
          <w:trHeight w:val="325"/>
        </w:trPr>
        <w:tc>
          <w:tcPr>
            <w:tcW w:w="2458" w:type="dxa"/>
            <w:noWrap/>
          </w:tcPr>
          <w:p w14:paraId="34DD49B2"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DEN4</w:t>
            </w:r>
          </w:p>
        </w:tc>
        <w:tc>
          <w:tcPr>
            <w:tcW w:w="3150" w:type="dxa"/>
            <w:noWrap/>
          </w:tcPr>
          <w:p w14:paraId="2860F374"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29</w:t>
            </w:r>
            <w:r>
              <w:rPr>
                <w:rFonts w:ascii="Calibri" w:hAnsi="Calibri"/>
                <w:color w:val="000000"/>
                <w:sz w:val="22"/>
                <w:szCs w:val="22"/>
              </w:rPr>
              <w:t xml:space="preserve"> (6.67%)</w:t>
            </w:r>
          </w:p>
        </w:tc>
        <w:tc>
          <w:tcPr>
            <w:tcW w:w="2526" w:type="dxa"/>
            <w:noWrap/>
          </w:tcPr>
          <w:p w14:paraId="2A686F0D"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406</w:t>
            </w:r>
            <w:r>
              <w:rPr>
                <w:rFonts w:ascii="Calibri" w:hAnsi="Calibri"/>
                <w:color w:val="000000"/>
                <w:sz w:val="22"/>
                <w:szCs w:val="22"/>
              </w:rPr>
              <w:t xml:space="preserve"> (93.33%)</w:t>
            </w:r>
          </w:p>
        </w:tc>
        <w:tc>
          <w:tcPr>
            <w:tcW w:w="1834" w:type="dxa"/>
            <w:noWrap/>
          </w:tcPr>
          <w:p w14:paraId="03790B43" w14:textId="77777777" w:rsidR="000A16AD" w:rsidRPr="004525DC" w:rsidRDefault="000A16AD" w:rsidP="00612554">
            <w:pPr>
              <w:jc w:val="center"/>
              <w:rPr>
                <w:rFonts w:ascii="Calibri" w:hAnsi="Calibri"/>
                <w:color w:val="000000"/>
                <w:sz w:val="22"/>
                <w:szCs w:val="22"/>
              </w:rPr>
            </w:pPr>
            <w:r>
              <w:rPr>
                <w:rFonts w:ascii="Calibri" w:hAnsi="Calibri"/>
                <w:color w:val="000000"/>
                <w:sz w:val="22"/>
                <w:szCs w:val="22"/>
              </w:rPr>
              <w:t>435</w:t>
            </w:r>
          </w:p>
        </w:tc>
      </w:tr>
      <w:tr w:rsidR="00612554" w:rsidRPr="004525DC" w14:paraId="4724B373" w14:textId="77777777" w:rsidTr="00804B28">
        <w:trPr>
          <w:trHeight w:val="325"/>
        </w:trPr>
        <w:tc>
          <w:tcPr>
            <w:tcW w:w="2458" w:type="dxa"/>
            <w:noWrap/>
          </w:tcPr>
          <w:p w14:paraId="1C218C92"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DENx2</w:t>
            </w:r>
          </w:p>
        </w:tc>
        <w:tc>
          <w:tcPr>
            <w:tcW w:w="3150" w:type="dxa"/>
            <w:noWrap/>
          </w:tcPr>
          <w:p w14:paraId="4E1A7276"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0</w:t>
            </w:r>
          </w:p>
        </w:tc>
        <w:tc>
          <w:tcPr>
            <w:tcW w:w="2526" w:type="dxa"/>
            <w:noWrap/>
          </w:tcPr>
          <w:p w14:paraId="67A60643"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4</w:t>
            </w:r>
          </w:p>
        </w:tc>
        <w:tc>
          <w:tcPr>
            <w:tcW w:w="1834" w:type="dxa"/>
            <w:noWrap/>
          </w:tcPr>
          <w:p w14:paraId="674B19AB"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4</w:t>
            </w:r>
          </w:p>
        </w:tc>
      </w:tr>
      <w:tr w:rsidR="00612554" w:rsidRPr="004525DC" w14:paraId="6EF11E20" w14:textId="77777777" w:rsidTr="00804B28">
        <w:trPr>
          <w:trHeight w:val="325"/>
        </w:trPr>
        <w:tc>
          <w:tcPr>
            <w:tcW w:w="2458" w:type="dxa"/>
            <w:noWrap/>
          </w:tcPr>
          <w:p w14:paraId="6605260E"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ND</w:t>
            </w:r>
          </w:p>
        </w:tc>
        <w:tc>
          <w:tcPr>
            <w:tcW w:w="3150" w:type="dxa"/>
            <w:noWrap/>
          </w:tcPr>
          <w:p w14:paraId="6E91DAC6"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29</w:t>
            </w:r>
            <w:r>
              <w:rPr>
                <w:rFonts w:ascii="Calibri" w:hAnsi="Calibri"/>
                <w:color w:val="000000"/>
                <w:sz w:val="22"/>
                <w:szCs w:val="22"/>
              </w:rPr>
              <w:t xml:space="preserve"> (11.15%)</w:t>
            </w:r>
          </w:p>
        </w:tc>
        <w:tc>
          <w:tcPr>
            <w:tcW w:w="2526" w:type="dxa"/>
            <w:noWrap/>
          </w:tcPr>
          <w:p w14:paraId="6C82C926"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231</w:t>
            </w:r>
            <w:r>
              <w:rPr>
                <w:rFonts w:ascii="Calibri" w:hAnsi="Calibri"/>
                <w:color w:val="000000"/>
                <w:sz w:val="22"/>
                <w:szCs w:val="22"/>
              </w:rPr>
              <w:t xml:space="preserve"> (88.85%)</w:t>
            </w:r>
          </w:p>
        </w:tc>
        <w:tc>
          <w:tcPr>
            <w:tcW w:w="1834" w:type="dxa"/>
            <w:noWrap/>
          </w:tcPr>
          <w:p w14:paraId="706BB44F" w14:textId="77777777" w:rsidR="000A16AD" w:rsidRPr="004525DC" w:rsidRDefault="000A16AD" w:rsidP="00612554">
            <w:pPr>
              <w:jc w:val="center"/>
              <w:rPr>
                <w:rFonts w:ascii="Calibri" w:hAnsi="Calibri"/>
                <w:color w:val="000000"/>
                <w:sz w:val="22"/>
                <w:szCs w:val="22"/>
              </w:rPr>
            </w:pPr>
            <w:r>
              <w:rPr>
                <w:rFonts w:ascii="Calibri" w:hAnsi="Calibri"/>
                <w:color w:val="000000"/>
                <w:sz w:val="22"/>
                <w:szCs w:val="22"/>
              </w:rPr>
              <w:t>260</w:t>
            </w:r>
          </w:p>
        </w:tc>
      </w:tr>
      <w:tr w:rsidR="00612554" w:rsidRPr="004525DC" w14:paraId="5A7BEC5B" w14:textId="77777777" w:rsidTr="00804B28">
        <w:trPr>
          <w:trHeight w:val="325"/>
        </w:trPr>
        <w:tc>
          <w:tcPr>
            <w:tcW w:w="2458" w:type="dxa"/>
            <w:noWrap/>
          </w:tcPr>
          <w:p w14:paraId="331DB354"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NEG</w:t>
            </w:r>
          </w:p>
        </w:tc>
        <w:tc>
          <w:tcPr>
            <w:tcW w:w="3150" w:type="dxa"/>
            <w:noWrap/>
          </w:tcPr>
          <w:p w14:paraId="1575612E"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292</w:t>
            </w:r>
            <w:r>
              <w:rPr>
                <w:rFonts w:ascii="Calibri" w:hAnsi="Calibri"/>
                <w:color w:val="000000"/>
                <w:sz w:val="22"/>
                <w:szCs w:val="22"/>
              </w:rPr>
              <w:t xml:space="preserve"> (10.68%)</w:t>
            </w:r>
          </w:p>
        </w:tc>
        <w:tc>
          <w:tcPr>
            <w:tcW w:w="2526" w:type="dxa"/>
            <w:noWrap/>
          </w:tcPr>
          <w:p w14:paraId="531DD603"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2443</w:t>
            </w:r>
            <w:r>
              <w:rPr>
                <w:rFonts w:ascii="Calibri" w:hAnsi="Calibri"/>
                <w:color w:val="000000"/>
                <w:sz w:val="22"/>
                <w:szCs w:val="22"/>
              </w:rPr>
              <w:t xml:space="preserve"> (89.32%)</w:t>
            </w:r>
          </w:p>
        </w:tc>
        <w:tc>
          <w:tcPr>
            <w:tcW w:w="1834" w:type="dxa"/>
            <w:noWrap/>
          </w:tcPr>
          <w:p w14:paraId="3AA802B0" w14:textId="77777777" w:rsidR="000A16AD" w:rsidRPr="004525DC" w:rsidRDefault="000A16AD" w:rsidP="00612554">
            <w:pPr>
              <w:jc w:val="center"/>
              <w:rPr>
                <w:rFonts w:ascii="Calibri" w:hAnsi="Calibri"/>
                <w:color w:val="000000"/>
                <w:sz w:val="22"/>
                <w:szCs w:val="22"/>
              </w:rPr>
            </w:pPr>
            <w:r>
              <w:rPr>
                <w:rFonts w:ascii="Calibri" w:hAnsi="Calibri"/>
                <w:color w:val="000000"/>
                <w:sz w:val="22"/>
                <w:szCs w:val="22"/>
              </w:rPr>
              <w:t>2735</w:t>
            </w:r>
          </w:p>
        </w:tc>
      </w:tr>
      <w:tr w:rsidR="00612554" w:rsidRPr="004525DC" w14:paraId="61D8E87F" w14:textId="77777777" w:rsidTr="00804B28">
        <w:trPr>
          <w:trHeight w:val="325"/>
        </w:trPr>
        <w:tc>
          <w:tcPr>
            <w:tcW w:w="2458" w:type="dxa"/>
            <w:noWrap/>
          </w:tcPr>
          <w:p w14:paraId="5F2757C4"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Total</w:t>
            </w:r>
          </w:p>
        </w:tc>
        <w:tc>
          <w:tcPr>
            <w:tcW w:w="3150" w:type="dxa"/>
            <w:noWrap/>
          </w:tcPr>
          <w:p w14:paraId="035EEBF3"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1084</w:t>
            </w:r>
          </w:p>
        </w:tc>
        <w:tc>
          <w:tcPr>
            <w:tcW w:w="2526" w:type="dxa"/>
            <w:noWrap/>
          </w:tcPr>
          <w:p w14:paraId="6B8E7269" w14:textId="77777777" w:rsidR="000A16AD" w:rsidRPr="004525DC" w:rsidRDefault="000A16AD" w:rsidP="00612554">
            <w:pPr>
              <w:jc w:val="center"/>
              <w:rPr>
                <w:rFonts w:ascii="Calibri" w:hAnsi="Calibri"/>
                <w:color w:val="000000"/>
                <w:sz w:val="22"/>
                <w:szCs w:val="22"/>
              </w:rPr>
            </w:pPr>
            <w:r w:rsidRPr="004525DC">
              <w:rPr>
                <w:rFonts w:ascii="Calibri" w:hAnsi="Calibri"/>
                <w:color w:val="000000"/>
                <w:sz w:val="22"/>
                <w:szCs w:val="22"/>
              </w:rPr>
              <w:t>6753</w:t>
            </w:r>
          </w:p>
        </w:tc>
        <w:tc>
          <w:tcPr>
            <w:tcW w:w="1834" w:type="dxa"/>
            <w:noWrap/>
          </w:tcPr>
          <w:p w14:paraId="52C81BA2" w14:textId="77777777" w:rsidR="000A16AD" w:rsidRPr="004525DC" w:rsidRDefault="000A16AD" w:rsidP="00612554">
            <w:pPr>
              <w:jc w:val="center"/>
              <w:rPr>
                <w:rFonts w:ascii="Calibri" w:hAnsi="Calibri"/>
                <w:color w:val="000000"/>
                <w:sz w:val="22"/>
                <w:szCs w:val="22"/>
              </w:rPr>
            </w:pPr>
            <w:r>
              <w:rPr>
                <w:rFonts w:ascii="Calibri" w:hAnsi="Calibri"/>
                <w:color w:val="000000"/>
                <w:sz w:val="22"/>
                <w:szCs w:val="22"/>
              </w:rPr>
              <w:t>7837</w:t>
            </w:r>
          </w:p>
        </w:tc>
      </w:tr>
    </w:tbl>
    <w:p w14:paraId="595C3763" w14:textId="2E710C16" w:rsidR="000A16AD" w:rsidRDefault="000A16AD" w:rsidP="000A16AD">
      <w:pPr>
        <w:jc w:val="center"/>
        <w:rPr>
          <w:rFonts w:ascii="Calibri" w:hAnsi="Calibri"/>
          <w:color w:val="000000"/>
          <w:sz w:val="22"/>
          <w:szCs w:val="22"/>
        </w:rPr>
      </w:pPr>
      <w:r>
        <w:rPr>
          <w:rFonts w:ascii="Calibri" w:hAnsi="Calibri"/>
          <w:color w:val="000000"/>
          <w:sz w:val="22"/>
          <w:szCs w:val="22"/>
        </w:rPr>
        <w:t>DEN1 1:3.5 DEN2 1:9.34 DEN3 1:4.375 DEN4 1:</w:t>
      </w:r>
      <w:r w:rsidR="004C7EC3">
        <w:rPr>
          <w:rFonts w:ascii="Calibri" w:hAnsi="Calibri"/>
          <w:color w:val="000000"/>
          <w:sz w:val="22"/>
          <w:szCs w:val="22"/>
        </w:rPr>
        <w:t>14 ND</w:t>
      </w:r>
      <w:r>
        <w:rPr>
          <w:rFonts w:ascii="Calibri" w:hAnsi="Calibri"/>
          <w:color w:val="000000"/>
          <w:sz w:val="22"/>
          <w:szCs w:val="22"/>
        </w:rPr>
        <w:t xml:space="preserve"> 1:7.</w:t>
      </w:r>
      <w:r w:rsidR="004C7EC3">
        <w:rPr>
          <w:rFonts w:ascii="Calibri" w:hAnsi="Calibri"/>
          <w:color w:val="000000"/>
          <w:sz w:val="22"/>
          <w:szCs w:val="22"/>
        </w:rPr>
        <w:t>96 NEG</w:t>
      </w:r>
      <w:r>
        <w:rPr>
          <w:rFonts w:ascii="Calibri" w:hAnsi="Calibri"/>
          <w:color w:val="000000"/>
          <w:sz w:val="22"/>
          <w:szCs w:val="22"/>
        </w:rPr>
        <w:t xml:space="preserve"> 1:8.34</w:t>
      </w:r>
    </w:p>
    <w:p w14:paraId="5E326644" w14:textId="604545CA" w:rsidR="00A137F3" w:rsidRDefault="00A137F3" w:rsidP="00D428A0">
      <w:pPr>
        <w:jc w:val="center"/>
        <w:outlineLvl w:val="0"/>
      </w:pPr>
    </w:p>
    <w:p w14:paraId="1CDC7A78" w14:textId="77777777" w:rsidR="00804B28" w:rsidRDefault="00804B28" w:rsidP="00804B28">
      <w:pPr>
        <w:outlineLvl w:val="0"/>
      </w:pPr>
    </w:p>
    <w:p w14:paraId="515313A7" w14:textId="77777777" w:rsidR="00804B28" w:rsidRDefault="00804B28" w:rsidP="00D428A0">
      <w:pPr>
        <w:jc w:val="center"/>
        <w:outlineLvl w:val="0"/>
      </w:pPr>
    </w:p>
    <w:p w14:paraId="42870EE2" w14:textId="520352B2" w:rsidR="00A137F3" w:rsidRDefault="00A137F3" w:rsidP="000A16AD">
      <w:pPr>
        <w:spacing w:line="480" w:lineRule="auto"/>
        <w:jc w:val="center"/>
      </w:pPr>
      <w:r>
        <w:rPr>
          <w:noProof/>
        </w:rPr>
        <w:drawing>
          <wp:inline distT="0" distB="0" distL="0" distR="0" wp14:anchorId="64885CA4" wp14:editId="1B54D2F1">
            <wp:extent cx="6185535" cy="282448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54A8CD" w14:textId="7BE5485B" w:rsidR="00A137F3" w:rsidRDefault="00A137F3" w:rsidP="002A5A13">
      <w:pPr>
        <w:spacing w:line="480" w:lineRule="auto"/>
        <w:jc w:val="center"/>
        <w:outlineLvl w:val="0"/>
        <w:rPr>
          <w:b/>
        </w:rPr>
      </w:pPr>
      <w:r w:rsidRPr="00A137F3">
        <w:rPr>
          <w:b/>
        </w:rPr>
        <w:t xml:space="preserve">Figure </w:t>
      </w:r>
      <w:r w:rsidR="000E48AB">
        <w:rPr>
          <w:b/>
        </w:rPr>
        <w:t>6</w:t>
      </w:r>
      <w:r>
        <w:t>.</w:t>
      </w:r>
      <w:r w:rsidRPr="00D428A0">
        <w:rPr>
          <w:b/>
        </w:rPr>
        <w:t xml:space="preserve"> Acute </w:t>
      </w:r>
      <w:r w:rsidR="001F3A86" w:rsidRPr="00D428A0">
        <w:rPr>
          <w:b/>
        </w:rPr>
        <w:t xml:space="preserve">Primary </w:t>
      </w:r>
      <w:r w:rsidRPr="00D428A0">
        <w:rPr>
          <w:b/>
        </w:rPr>
        <w:t xml:space="preserve">Infection </w:t>
      </w:r>
      <w:r w:rsidR="004C7EC3" w:rsidRPr="00D428A0">
        <w:rPr>
          <w:b/>
        </w:rPr>
        <w:t>by</w:t>
      </w:r>
      <w:r w:rsidR="001F3A86" w:rsidRPr="00D428A0">
        <w:rPr>
          <w:b/>
        </w:rPr>
        <w:t xml:space="preserve"> </w:t>
      </w:r>
      <w:r w:rsidRPr="00D428A0">
        <w:rPr>
          <w:b/>
        </w:rPr>
        <w:t>Year</w:t>
      </w:r>
    </w:p>
    <w:p w14:paraId="6E54FF3F" w14:textId="77777777" w:rsidR="001F3A86" w:rsidRDefault="001F3A86" w:rsidP="00D428A0">
      <w:pPr>
        <w:spacing w:line="480" w:lineRule="auto"/>
        <w:outlineLvl w:val="0"/>
      </w:pPr>
    </w:p>
    <w:p w14:paraId="6BA4FF37" w14:textId="7A8CE7C0" w:rsidR="004B60ED" w:rsidRDefault="004B60ED" w:rsidP="00E37107">
      <w:pPr>
        <w:spacing w:line="480" w:lineRule="auto"/>
        <w:ind w:hanging="450"/>
        <w:jc w:val="center"/>
      </w:pPr>
      <w:r>
        <w:rPr>
          <w:noProof/>
        </w:rPr>
        <w:lastRenderedPageBreak/>
        <w:drawing>
          <wp:inline distT="0" distB="0" distL="0" distR="0" wp14:anchorId="0AA399E1" wp14:editId="3F91207F">
            <wp:extent cx="6566535" cy="2622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47BEAE" w14:textId="77B0F908" w:rsidR="00C72154" w:rsidRDefault="000E48AB" w:rsidP="00E37107">
      <w:pPr>
        <w:spacing w:line="480" w:lineRule="auto"/>
        <w:ind w:left="-360"/>
        <w:jc w:val="center"/>
        <w:outlineLvl w:val="0"/>
        <w:rPr>
          <w:b/>
        </w:rPr>
      </w:pPr>
      <w:r w:rsidRPr="000E48AB">
        <w:rPr>
          <w:b/>
        </w:rPr>
        <w:t>Figure 7</w:t>
      </w:r>
      <w:r w:rsidR="004B60ED" w:rsidRPr="00D428A0">
        <w:rPr>
          <w:b/>
        </w:rPr>
        <w:t>. Acute Secondary Infection</w:t>
      </w:r>
      <w:r w:rsidR="00393B34">
        <w:rPr>
          <w:b/>
        </w:rPr>
        <w:t>s</w:t>
      </w:r>
      <w:r w:rsidR="004B60ED" w:rsidRPr="00D428A0">
        <w:rPr>
          <w:b/>
        </w:rPr>
        <w:t xml:space="preserve"> </w:t>
      </w:r>
      <w:r w:rsidR="004C7EC3" w:rsidRPr="00D428A0">
        <w:rPr>
          <w:b/>
        </w:rPr>
        <w:t>by</w:t>
      </w:r>
      <w:r w:rsidR="001F3A86" w:rsidRPr="00D428A0">
        <w:rPr>
          <w:b/>
        </w:rPr>
        <w:t xml:space="preserve"> </w:t>
      </w:r>
      <w:r w:rsidR="004B60ED" w:rsidRPr="00D428A0">
        <w:rPr>
          <w:b/>
        </w:rPr>
        <w:t>Year</w:t>
      </w:r>
    </w:p>
    <w:p w14:paraId="6B74E476" w14:textId="77777777" w:rsidR="007C56DE" w:rsidRPr="00C72154" w:rsidRDefault="007C56DE" w:rsidP="00D428A0">
      <w:pPr>
        <w:spacing w:line="480" w:lineRule="auto"/>
        <w:outlineLvl w:val="0"/>
        <w:rPr>
          <w:b/>
        </w:rPr>
      </w:pPr>
    </w:p>
    <w:p w14:paraId="25954FA1" w14:textId="56F50185" w:rsidR="00914292" w:rsidRDefault="000A16AD" w:rsidP="009B7498">
      <w:pPr>
        <w:spacing w:line="480" w:lineRule="auto"/>
        <w:jc w:val="center"/>
        <w:outlineLvl w:val="0"/>
        <w:rPr>
          <w:b/>
        </w:rPr>
      </w:pPr>
      <w:r>
        <w:rPr>
          <w:b/>
        </w:rPr>
        <w:t xml:space="preserve">3.3 </w:t>
      </w:r>
      <w:r w:rsidR="006B7974">
        <w:rPr>
          <w:b/>
        </w:rPr>
        <w:t>AGE</w:t>
      </w:r>
    </w:p>
    <w:p w14:paraId="001820E9" w14:textId="49212D10" w:rsidR="00F542A1" w:rsidRDefault="007C56DE" w:rsidP="00020FB5">
      <w:pPr>
        <w:spacing w:line="480" w:lineRule="auto"/>
      </w:pPr>
      <w:r>
        <w:t xml:space="preserve">Next, </w:t>
      </w:r>
      <w:r w:rsidR="00FF6FDC">
        <w:t>dengue</w:t>
      </w:r>
      <w:r>
        <w:t xml:space="preserve"> incidence was examined</w:t>
      </w:r>
      <w:r w:rsidR="00FF6FDC">
        <w:t xml:space="preserve"> </w:t>
      </w:r>
      <w:r>
        <w:t>in</w:t>
      </w:r>
      <w:r w:rsidR="000A16AD">
        <w:t xml:space="preserve"> eight different</w:t>
      </w:r>
      <w:r w:rsidR="001F3A86">
        <w:t xml:space="preserve"> age </w:t>
      </w:r>
      <w:r>
        <w:t>groups, &gt;</w:t>
      </w:r>
      <w:r w:rsidR="002A06B0">
        <w:t xml:space="preserve">1, 1-4, 5-9, 10-14, 15-19, 20-39, 40-59, and 60 and older. </w:t>
      </w:r>
      <w:r w:rsidR="00AF4E5E">
        <w:t xml:space="preserve"> The two subsets of data were analyzed to see if there was any significant difference for age groups</w:t>
      </w:r>
      <w:r>
        <w:t xml:space="preserve"> in dengue incidence by age.</w:t>
      </w:r>
      <w:r w:rsidR="00AF4E5E">
        <w:t xml:space="preserve"> </w:t>
      </w:r>
      <w:r w:rsidR="000A16AD">
        <w:t>The group with the largest percentage of cases</w:t>
      </w:r>
      <w:r w:rsidR="00AF4E5E">
        <w:t xml:space="preserve"> was the 10-14 age group</w:t>
      </w:r>
      <w:r w:rsidR="002A06B0">
        <w:t>, with 33% of cases</w:t>
      </w:r>
      <w:r w:rsidR="000A16AD">
        <w:t xml:space="preserve">. </w:t>
      </w:r>
      <w:r>
        <w:t xml:space="preserve"> I</w:t>
      </w:r>
      <w:r w:rsidR="000A16AD">
        <w:t>nfants (&lt;1) had the smallest percenta</w:t>
      </w:r>
      <w:r w:rsidR="00FF6FDC">
        <w:t>ge of cases</w:t>
      </w:r>
      <w:r w:rsidR="002A06B0">
        <w:t xml:space="preserve"> (0.7%)</w:t>
      </w:r>
      <w:r>
        <w:t>, followed by persons</w:t>
      </w:r>
      <w:r w:rsidR="00FF6FDC">
        <w:t xml:space="preserve"> 60</w:t>
      </w:r>
      <w:r>
        <w:t xml:space="preserve"> years and older </w:t>
      </w:r>
      <w:r w:rsidR="002A06B0">
        <w:t>(0.11%)</w:t>
      </w:r>
      <w:r w:rsidR="000A16AD">
        <w:t xml:space="preserve">. </w:t>
      </w:r>
      <w:r w:rsidR="007F548C">
        <w:t xml:space="preserve"> An incr</w:t>
      </w:r>
      <w:r>
        <w:t>ease in the mean age was seen across</w:t>
      </w:r>
      <w:r w:rsidR="007F548C">
        <w:t xml:space="preserve"> four five-year intervals for both primary and secondary infections</w:t>
      </w:r>
      <w:r>
        <w:t xml:space="preserve"> (Table 4)</w:t>
      </w:r>
      <w:r w:rsidR="007F548C">
        <w:t xml:space="preserve">. </w:t>
      </w:r>
    </w:p>
    <w:p w14:paraId="124CDC3E" w14:textId="77777777" w:rsidR="00020FB5" w:rsidRDefault="00020FB5" w:rsidP="007F548C">
      <w:pPr>
        <w:spacing w:line="480" w:lineRule="auto"/>
        <w:rPr>
          <w:b/>
        </w:rPr>
      </w:pPr>
    </w:p>
    <w:p w14:paraId="32463D14" w14:textId="77777777" w:rsidR="00EC6EC9" w:rsidRDefault="00EC6EC9" w:rsidP="007F548C">
      <w:pPr>
        <w:spacing w:line="480" w:lineRule="auto"/>
        <w:rPr>
          <w:b/>
        </w:rPr>
      </w:pPr>
    </w:p>
    <w:p w14:paraId="4BA1F55E" w14:textId="77777777" w:rsidR="00EC6EC9" w:rsidRDefault="00EC6EC9" w:rsidP="007F548C">
      <w:pPr>
        <w:spacing w:line="480" w:lineRule="auto"/>
        <w:rPr>
          <w:b/>
        </w:rPr>
      </w:pPr>
    </w:p>
    <w:p w14:paraId="1F4EED78" w14:textId="77777777" w:rsidR="00EC6EC9" w:rsidRDefault="00EC6EC9" w:rsidP="007F548C">
      <w:pPr>
        <w:spacing w:line="480" w:lineRule="auto"/>
        <w:rPr>
          <w:b/>
        </w:rPr>
      </w:pPr>
    </w:p>
    <w:p w14:paraId="31F8D1A9" w14:textId="77777777" w:rsidR="00EC6EC9" w:rsidRDefault="00EC6EC9" w:rsidP="007F548C">
      <w:pPr>
        <w:spacing w:line="480" w:lineRule="auto"/>
        <w:rPr>
          <w:b/>
        </w:rPr>
      </w:pPr>
    </w:p>
    <w:p w14:paraId="79EAD065" w14:textId="6336396F" w:rsidR="004711A0" w:rsidRDefault="00020FB5" w:rsidP="00C01FB4">
      <w:pPr>
        <w:spacing w:line="480" w:lineRule="auto"/>
        <w:ind w:left="-900" w:firstLine="630"/>
        <w:jc w:val="center"/>
      </w:pPr>
      <w:r w:rsidRPr="004711A0">
        <w:rPr>
          <w:b/>
        </w:rPr>
        <w:lastRenderedPageBreak/>
        <w:t xml:space="preserve">Table </w:t>
      </w:r>
      <w:r w:rsidR="00EC6EC9">
        <w:rPr>
          <w:b/>
        </w:rPr>
        <w:t>4</w:t>
      </w:r>
      <w:r w:rsidRPr="00020FB5">
        <w:t>.</w:t>
      </w:r>
      <w:r w:rsidRPr="00020FB5">
        <w:rPr>
          <w:b/>
        </w:rPr>
        <w:t xml:space="preserve"> Average Age Over Time</w:t>
      </w:r>
    </w:p>
    <w:tbl>
      <w:tblPr>
        <w:tblStyle w:val="TableGridLight"/>
        <w:tblW w:w="11298" w:type="dxa"/>
        <w:tblInd w:w="-589" w:type="dxa"/>
        <w:tblCellMar>
          <w:left w:w="115" w:type="dxa"/>
          <w:right w:w="115" w:type="dxa"/>
        </w:tblCellMar>
        <w:tblLook w:val="04A0" w:firstRow="1" w:lastRow="0" w:firstColumn="1" w:lastColumn="0" w:noHBand="0" w:noVBand="1"/>
      </w:tblPr>
      <w:tblGrid>
        <w:gridCol w:w="1987"/>
        <w:gridCol w:w="1037"/>
        <w:gridCol w:w="1271"/>
        <w:gridCol w:w="2035"/>
        <w:gridCol w:w="1951"/>
        <w:gridCol w:w="1355"/>
        <w:gridCol w:w="1662"/>
      </w:tblGrid>
      <w:tr w:rsidR="003D0354" w:rsidRPr="00537168" w14:paraId="3D02F3BE" w14:textId="05E5654E" w:rsidTr="003D0354">
        <w:trPr>
          <w:trHeight w:val="701"/>
        </w:trPr>
        <w:tc>
          <w:tcPr>
            <w:tcW w:w="1987" w:type="dxa"/>
            <w:hideMark/>
          </w:tcPr>
          <w:p w14:paraId="24CB6AEB" w14:textId="28D238BF" w:rsidR="00C21499" w:rsidRPr="00537168" w:rsidRDefault="00C21499" w:rsidP="00C01FB4">
            <w:pPr>
              <w:ind w:left="-131" w:firstLine="90"/>
              <w:jc w:val="center"/>
              <w:rPr>
                <w:rFonts w:ascii="Times New Roman" w:eastAsia="Times New Roman" w:hAnsi="Times New Roman" w:cs="Times New Roman"/>
                <w:b/>
                <w:bCs/>
              </w:rPr>
            </w:pPr>
            <w:r>
              <w:rPr>
                <w:rFonts w:ascii="Times New Roman" w:eastAsia="Times New Roman" w:hAnsi="Times New Roman" w:cs="Times New Roman"/>
                <w:b/>
                <w:bCs/>
              </w:rPr>
              <w:t>Year Interval</w:t>
            </w:r>
          </w:p>
        </w:tc>
        <w:tc>
          <w:tcPr>
            <w:tcW w:w="1037" w:type="dxa"/>
            <w:hideMark/>
          </w:tcPr>
          <w:p w14:paraId="2AD18919"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N Obs</w:t>
            </w:r>
          </w:p>
        </w:tc>
        <w:tc>
          <w:tcPr>
            <w:tcW w:w="1271" w:type="dxa"/>
            <w:hideMark/>
          </w:tcPr>
          <w:p w14:paraId="438541C0"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Mean</w:t>
            </w:r>
          </w:p>
        </w:tc>
        <w:tc>
          <w:tcPr>
            <w:tcW w:w="2035" w:type="dxa"/>
          </w:tcPr>
          <w:p w14:paraId="727213AB" w14:textId="0BD2E7EA" w:rsidR="00C21499" w:rsidRPr="00537168" w:rsidRDefault="00C21499" w:rsidP="004711A0">
            <w:pPr>
              <w:jc w:val="center"/>
              <w:rPr>
                <w:rFonts w:ascii="Times New Roman" w:eastAsia="Times New Roman" w:hAnsi="Times New Roman" w:cs="Times New Roman"/>
                <w:b/>
                <w:bCs/>
              </w:rPr>
            </w:pPr>
            <w:r>
              <w:rPr>
                <w:rFonts w:ascii="Times New Roman" w:eastAsia="Times New Roman" w:hAnsi="Times New Roman" w:cs="Times New Roman"/>
                <w:b/>
                <w:bCs/>
              </w:rPr>
              <w:t>Lower 95% CL for Mean</w:t>
            </w:r>
          </w:p>
        </w:tc>
        <w:tc>
          <w:tcPr>
            <w:tcW w:w="1951" w:type="dxa"/>
            <w:hideMark/>
          </w:tcPr>
          <w:p w14:paraId="6A382908" w14:textId="21065AB7" w:rsidR="00C21499" w:rsidRPr="00537168" w:rsidRDefault="00C21499" w:rsidP="004711A0">
            <w:pPr>
              <w:jc w:val="center"/>
              <w:rPr>
                <w:rFonts w:ascii="Times New Roman" w:eastAsia="Times New Roman" w:hAnsi="Times New Roman" w:cs="Times New Roman"/>
                <w:b/>
                <w:bCs/>
              </w:rPr>
            </w:pPr>
            <w:r>
              <w:rPr>
                <w:rFonts w:ascii="Times New Roman" w:eastAsia="Times New Roman" w:hAnsi="Times New Roman" w:cs="Times New Roman"/>
                <w:b/>
                <w:bCs/>
              </w:rPr>
              <w:t>Upper 95% CL for Mean</w:t>
            </w:r>
          </w:p>
        </w:tc>
        <w:tc>
          <w:tcPr>
            <w:tcW w:w="1355" w:type="dxa"/>
            <w:hideMark/>
          </w:tcPr>
          <w:p w14:paraId="078B0049"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Median</w:t>
            </w:r>
          </w:p>
        </w:tc>
        <w:tc>
          <w:tcPr>
            <w:tcW w:w="1662" w:type="dxa"/>
            <w:tcBorders>
              <w:bottom w:val="single" w:sz="4" w:space="0" w:color="BFBFBF" w:themeColor="background1" w:themeShade="BF"/>
            </w:tcBorders>
            <w:vAlign w:val="center"/>
          </w:tcPr>
          <w:p w14:paraId="519C70BF" w14:textId="77777777" w:rsidR="00C21499" w:rsidRDefault="00C21499" w:rsidP="00C21499">
            <w:pPr>
              <w:jc w:val="center"/>
              <w:rPr>
                <w:rFonts w:ascii="Times New Roman" w:eastAsia="Times New Roman" w:hAnsi="Times New Roman" w:cs="Times New Roman"/>
                <w:b/>
                <w:bCs/>
              </w:rPr>
            </w:pPr>
            <w:r>
              <w:rPr>
                <w:rFonts w:ascii="Times New Roman" w:eastAsia="Times New Roman" w:hAnsi="Times New Roman" w:cs="Times New Roman"/>
                <w:b/>
                <w:bCs/>
              </w:rPr>
              <w:t>P-value</w:t>
            </w:r>
          </w:p>
          <w:p w14:paraId="4C6C1C4E" w14:textId="77777777" w:rsidR="00C21499" w:rsidRPr="00537168" w:rsidRDefault="00C21499" w:rsidP="00C21499">
            <w:pPr>
              <w:rPr>
                <w:rFonts w:ascii="Times New Roman" w:eastAsia="Times New Roman" w:hAnsi="Times New Roman" w:cs="Times New Roman"/>
                <w:b/>
                <w:bCs/>
              </w:rPr>
            </w:pPr>
          </w:p>
        </w:tc>
      </w:tr>
      <w:tr w:rsidR="003D0354" w:rsidRPr="00537168" w14:paraId="0C94F7BF" w14:textId="6A86B44D" w:rsidTr="003D0354">
        <w:trPr>
          <w:trHeight w:val="701"/>
        </w:trPr>
        <w:tc>
          <w:tcPr>
            <w:tcW w:w="1987" w:type="dxa"/>
            <w:hideMark/>
          </w:tcPr>
          <w:p w14:paraId="354D9A17" w14:textId="799E3403"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1994-1998</w:t>
            </w:r>
          </w:p>
        </w:tc>
        <w:tc>
          <w:tcPr>
            <w:tcW w:w="1037" w:type="dxa"/>
            <w:hideMark/>
          </w:tcPr>
          <w:p w14:paraId="7D1D32F4"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540</w:t>
            </w:r>
          </w:p>
        </w:tc>
        <w:tc>
          <w:tcPr>
            <w:tcW w:w="1271" w:type="dxa"/>
            <w:hideMark/>
          </w:tcPr>
          <w:p w14:paraId="6438A93C" w14:textId="63F1CDFF" w:rsidR="00C21499" w:rsidRPr="00537168" w:rsidRDefault="00C21499" w:rsidP="00FC618F">
            <w:pPr>
              <w:jc w:val="center"/>
              <w:rPr>
                <w:rFonts w:ascii="Times New Roman" w:eastAsia="Times New Roman" w:hAnsi="Times New Roman" w:cs="Times New Roman"/>
              </w:rPr>
            </w:pPr>
            <w:r w:rsidRPr="00537168">
              <w:rPr>
                <w:rFonts w:ascii="Times New Roman" w:eastAsia="Times New Roman" w:hAnsi="Times New Roman" w:cs="Times New Roman"/>
              </w:rPr>
              <w:t>8.34</w:t>
            </w:r>
          </w:p>
        </w:tc>
        <w:tc>
          <w:tcPr>
            <w:tcW w:w="2035" w:type="dxa"/>
          </w:tcPr>
          <w:p w14:paraId="71BEE353" w14:textId="3517AFC9" w:rsidR="00C21499" w:rsidRPr="00537168" w:rsidRDefault="00C21499" w:rsidP="004711A0">
            <w:pPr>
              <w:jc w:val="center"/>
              <w:rPr>
                <w:rFonts w:ascii="Times New Roman" w:eastAsia="Times New Roman" w:hAnsi="Times New Roman" w:cs="Times New Roman"/>
              </w:rPr>
            </w:pPr>
            <w:r>
              <w:rPr>
                <w:rFonts w:ascii="Times New Roman" w:eastAsia="Times New Roman" w:hAnsi="Times New Roman" w:cs="Times New Roman"/>
              </w:rPr>
              <w:t>8.03</w:t>
            </w:r>
          </w:p>
        </w:tc>
        <w:tc>
          <w:tcPr>
            <w:tcW w:w="1951" w:type="dxa"/>
            <w:hideMark/>
          </w:tcPr>
          <w:p w14:paraId="6CC14088" w14:textId="149988CD" w:rsidR="00C21499" w:rsidRPr="00537168" w:rsidRDefault="00C21499" w:rsidP="004711A0">
            <w:pPr>
              <w:jc w:val="center"/>
              <w:rPr>
                <w:rFonts w:ascii="Times New Roman" w:eastAsia="Times New Roman" w:hAnsi="Times New Roman" w:cs="Times New Roman"/>
              </w:rPr>
            </w:pPr>
            <w:r>
              <w:rPr>
                <w:rFonts w:ascii="Times New Roman" w:eastAsia="Times New Roman" w:hAnsi="Times New Roman" w:cs="Times New Roman"/>
              </w:rPr>
              <w:t>8.64</w:t>
            </w:r>
          </w:p>
        </w:tc>
        <w:tc>
          <w:tcPr>
            <w:tcW w:w="1355" w:type="dxa"/>
            <w:hideMark/>
          </w:tcPr>
          <w:p w14:paraId="4CD58429" w14:textId="4FEC58E1" w:rsidR="00C21499" w:rsidRPr="00537168" w:rsidRDefault="00C21499" w:rsidP="00C72154">
            <w:pPr>
              <w:jc w:val="center"/>
              <w:rPr>
                <w:rFonts w:ascii="Times New Roman" w:eastAsia="Times New Roman" w:hAnsi="Times New Roman" w:cs="Times New Roman"/>
              </w:rPr>
            </w:pPr>
            <w:r w:rsidRPr="00537168">
              <w:rPr>
                <w:rFonts w:ascii="Times New Roman" w:eastAsia="Times New Roman" w:hAnsi="Times New Roman" w:cs="Times New Roman"/>
              </w:rPr>
              <w:t>8.30</w:t>
            </w:r>
          </w:p>
        </w:tc>
        <w:tc>
          <w:tcPr>
            <w:tcW w:w="1662" w:type="dxa"/>
            <w:tcBorders>
              <w:right w:val="single" w:sz="4" w:space="0" w:color="auto"/>
            </w:tcBorders>
            <w:vAlign w:val="center"/>
          </w:tcPr>
          <w:p w14:paraId="4CBFD141" w14:textId="543A36AC" w:rsidR="00C21499" w:rsidRPr="00537168" w:rsidRDefault="003D0354" w:rsidP="00C21499">
            <w:pPr>
              <w:jc w:val="center"/>
              <w:rPr>
                <w:rFonts w:ascii="Times New Roman" w:eastAsia="Times New Roman" w:hAnsi="Times New Roman" w:cs="Times New Roman"/>
              </w:rPr>
            </w:pPr>
            <w:r>
              <w:rPr>
                <w:rFonts w:ascii="Times New Roman" w:eastAsia="Times New Roman" w:hAnsi="Times New Roman" w:cs="Times New Roman"/>
              </w:rPr>
              <w:t>&lt;.001</w:t>
            </w:r>
          </w:p>
        </w:tc>
      </w:tr>
      <w:tr w:rsidR="003D0354" w:rsidRPr="00537168" w14:paraId="5FFA9F39" w14:textId="75CB77F0" w:rsidTr="003D0354">
        <w:trPr>
          <w:trHeight w:val="659"/>
        </w:trPr>
        <w:tc>
          <w:tcPr>
            <w:tcW w:w="1987" w:type="dxa"/>
            <w:hideMark/>
          </w:tcPr>
          <w:p w14:paraId="49F10372"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1999-2003</w:t>
            </w:r>
          </w:p>
        </w:tc>
        <w:tc>
          <w:tcPr>
            <w:tcW w:w="1037" w:type="dxa"/>
            <w:hideMark/>
          </w:tcPr>
          <w:p w14:paraId="3E1E1AEF"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1591</w:t>
            </w:r>
          </w:p>
        </w:tc>
        <w:tc>
          <w:tcPr>
            <w:tcW w:w="1271" w:type="dxa"/>
            <w:hideMark/>
          </w:tcPr>
          <w:p w14:paraId="23FC1998" w14:textId="4E788BB9" w:rsidR="00C21499" w:rsidRPr="00537168" w:rsidRDefault="00C21499" w:rsidP="00FC618F">
            <w:pPr>
              <w:jc w:val="center"/>
              <w:rPr>
                <w:rFonts w:ascii="Times New Roman" w:eastAsia="Times New Roman" w:hAnsi="Times New Roman" w:cs="Times New Roman"/>
              </w:rPr>
            </w:pPr>
            <w:r w:rsidRPr="00537168">
              <w:rPr>
                <w:rFonts w:ascii="Times New Roman" w:eastAsia="Times New Roman" w:hAnsi="Times New Roman" w:cs="Times New Roman"/>
              </w:rPr>
              <w:t>10.95</w:t>
            </w:r>
          </w:p>
        </w:tc>
        <w:tc>
          <w:tcPr>
            <w:tcW w:w="2035" w:type="dxa"/>
          </w:tcPr>
          <w:p w14:paraId="53A5FD6C" w14:textId="6121C9D5" w:rsidR="00C21499" w:rsidRPr="00537168" w:rsidRDefault="00C21499" w:rsidP="004711A0">
            <w:pPr>
              <w:jc w:val="center"/>
              <w:rPr>
                <w:rFonts w:ascii="Times New Roman" w:eastAsia="Times New Roman" w:hAnsi="Times New Roman" w:cs="Times New Roman"/>
              </w:rPr>
            </w:pPr>
            <w:r>
              <w:rPr>
                <w:rFonts w:ascii="Times New Roman" w:eastAsia="Times New Roman" w:hAnsi="Times New Roman" w:cs="Times New Roman"/>
              </w:rPr>
              <w:t>10.65</w:t>
            </w:r>
          </w:p>
        </w:tc>
        <w:tc>
          <w:tcPr>
            <w:tcW w:w="1951" w:type="dxa"/>
            <w:hideMark/>
          </w:tcPr>
          <w:p w14:paraId="196E9CBC" w14:textId="0176EBFA" w:rsidR="00C21499" w:rsidRPr="00537168" w:rsidRDefault="00C21499" w:rsidP="004711A0">
            <w:pPr>
              <w:jc w:val="center"/>
              <w:rPr>
                <w:rFonts w:ascii="Times New Roman" w:eastAsia="Times New Roman" w:hAnsi="Times New Roman" w:cs="Times New Roman"/>
              </w:rPr>
            </w:pPr>
            <w:r>
              <w:rPr>
                <w:rFonts w:ascii="Times New Roman" w:eastAsia="Times New Roman" w:hAnsi="Times New Roman" w:cs="Times New Roman"/>
              </w:rPr>
              <w:t>11.26</w:t>
            </w:r>
          </w:p>
        </w:tc>
        <w:tc>
          <w:tcPr>
            <w:tcW w:w="1355" w:type="dxa"/>
            <w:hideMark/>
          </w:tcPr>
          <w:p w14:paraId="437F9AD5" w14:textId="391A92B8" w:rsidR="00C21499" w:rsidRPr="00537168" w:rsidRDefault="00C21499" w:rsidP="00C72154">
            <w:pPr>
              <w:jc w:val="center"/>
              <w:rPr>
                <w:rFonts w:ascii="Times New Roman" w:eastAsia="Times New Roman" w:hAnsi="Times New Roman" w:cs="Times New Roman"/>
              </w:rPr>
            </w:pPr>
            <w:r w:rsidRPr="00537168">
              <w:rPr>
                <w:rFonts w:ascii="Times New Roman" w:eastAsia="Times New Roman" w:hAnsi="Times New Roman" w:cs="Times New Roman"/>
              </w:rPr>
              <w:t>10.10</w:t>
            </w:r>
          </w:p>
        </w:tc>
        <w:tc>
          <w:tcPr>
            <w:tcW w:w="1662" w:type="dxa"/>
            <w:vAlign w:val="center"/>
          </w:tcPr>
          <w:p w14:paraId="19C51D6A" w14:textId="585045F8" w:rsidR="00C21499" w:rsidRPr="00537168" w:rsidRDefault="003D0354" w:rsidP="00C21499">
            <w:pPr>
              <w:jc w:val="center"/>
              <w:rPr>
                <w:rFonts w:ascii="Times New Roman" w:eastAsia="Times New Roman" w:hAnsi="Times New Roman" w:cs="Times New Roman"/>
              </w:rPr>
            </w:pPr>
            <w:r>
              <w:rPr>
                <w:rFonts w:ascii="Times New Roman" w:eastAsia="Times New Roman" w:hAnsi="Times New Roman" w:cs="Times New Roman"/>
              </w:rPr>
              <w:t>&lt;.0001</w:t>
            </w:r>
          </w:p>
        </w:tc>
      </w:tr>
      <w:tr w:rsidR="003D0354" w:rsidRPr="00537168" w14:paraId="407CC204" w14:textId="3A061C49" w:rsidTr="003D0354">
        <w:trPr>
          <w:trHeight w:val="701"/>
        </w:trPr>
        <w:tc>
          <w:tcPr>
            <w:tcW w:w="1987" w:type="dxa"/>
            <w:hideMark/>
          </w:tcPr>
          <w:p w14:paraId="2CBB2E84"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2004-2008</w:t>
            </w:r>
          </w:p>
        </w:tc>
        <w:tc>
          <w:tcPr>
            <w:tcW w:w="1037" w:type="dxa"/>
            <w:hideMark/>
          </w:tcPr>
          <w:p w14:paraId="23F44B82"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1555</w:t>
            </w:r>
          </w:p>
        </w:tc>
        <w:tc>
          <w:tcPr>
            <w:tcW w:w="1271" w:type="dxa"/>
            <w:hideMark/>
          </w:tcPr>
          <w:p w14:paraId="6E016DA0" w14:textId="5325E9D5" w:rsidR="00C21499" w:rsidRPr="00537168" w:rsidRDefault="00C21499" w:rsidP="00FC618F">
            <w:pPr>
              <w:jc w:val="center"/>
              <w:rPr>
                <w:rFonts w:ascii="Times New Roman" w:eastAsia="Times New Roman" w:hAnsi="Times New Roman" w:cs="Times New Roman"/>
              </w:rPr>
            </w:pPr>
            <w:r>
              <w:rPr>
                <w:rFonts w:ascii="Times New Roman" w:eastAsia="Times New Roman" w:hAnsi="Times New Roman" w:cs="Times New Roman"/>
              </w:rPr>
              <w:t>14.16</w:t>
            </w:r>
          </w:p>
        </w:tc>
        <w:tc>
          <w:tcPr>
            <w:tcW w:w="2035" w:type="dxa"/>
          </w:tcPr>
          <w:p w14:paraId="41D7A003" w14:textId="4A478A45" w:rsidR="00C21499" w:rsidRPr="00537168" w:rsidRDefault="00C21499" w:rsidP="004711A0">
            <w:pPr>
              <w:jc w:val="center"/>
              <w:rPr>
                <w:rFonts w:ascii="Times New Roman" w:eastAsia="Times New Roman" w:hAnsi="Times New Roman" w:cs="Times New Roman"/>
              </w:rPr>
            </w:pPr>
            <w:r>
              <w:rPr>
                <w:rFonts w:ascii="Times New Roman" w:eastAsia="Times New Roman" w:hAnsi="Times New Roman" w:cs="Times New Roman"/>
              </w:rPr>
              <w:t>13.77</w:t>
            </w:r>
          </w:p>
        </w:tc>
        <w:tc>
          <w:tcPr>
            <w:tcW w:w="1951" w:type="dxa"/>
            <w:hideMark/>
          </w:tcPr>
          <w:p w14:paraId="47D78431" w14:textId="131228F0" w:rsidR="00C21499" w:rsidRPr="00537168" w:rsidRDefault="00C21499" w:rsidP="004711A0">
            <w:pPr>
              <w:jc w:val="center"/>
              <w:rPr>
                <w:rFonts w:ascii="Times New Roman" w:eastAsia="Times New Roman" w:hAnsi="Times New Roman" w:cs="Times New Roman"/>
              </w:rPr>
            </w:pPr>
            <w:r>
              <w:rPr>
                <w:rFonts w:ascii="Times New Roman" w:eastAsia="Times New Roman" w:hAnsi="Times New Roman" w:cs="Times New Roman"/>
              </w:rPr>
              <w:t>14.56</w:t>
            </w:r>
          </w:p>
        </w:tc>
        <w:tc>
          <w:tcPr>
            <w:tcW w:w="1355" w:type="dxa"/>
            <w:hideMark/>
          </w:tcPr>
          <w:p w14:paraId="31F72963" w14:textId="4B7B74A9" w:rsidR="00C21499" w:rsidRPr="00537168" w:rsidRDefault="00C21499" w:rsidP="00C72154">
            <w:pPr>
              <w:jc w:val="center"/>
              <w:rPr>
                <w:rFonts w:ascii="Times New Roman" w:eastAsia="Times New Roman" w:hAnsi="Times New Roman" w:cs="Times New Roman"/>
              </w:rPr>
            </w:pPr>
            <w:r w:rsidRPr="00537168">
              <w:rPr>
                <w:rFonts w:ascii="Times New Roman" w:eastAsia="Times New Roman" w:hAnsi="Times New Roman" w:cs="Times New Roman"/>
              </w:rPr>
              <w:t>12.80</w:t>
            </w:r>
          </w:p>
        </w:tc>
        <w:tc>
          <w:tcPr>
            <w:tcW w:w="1662" w:type="dxa"/>
            <w:vAlign w:val="center"/>
          </w:tcPr>
          <w:p w14:paraId="1A9911A3" w14:textId="11B13C57" w:rsidR="00C21499" w:rsidRDefault="003D0354" w:rsidP="00C21499">
            <w:pPr>
              <w:jc w:val="center"/>
              <w:rPr>
                <w:rFonts w:ascii="Times New Roman" w:eastAsia="Times New Roman" w:hAnsi="Times New Roman" w:cs="Times New Roman"/>
              </w:rPr>
            </w:pPr>
            <w:r>
              <w:rPr>
                <w:rFonts w:ascii="Times New Roman" w:eastAsia="Times New Roman" w:hAnsi="Times New Roman" w:cs="Times New Roman"/>
              </w:rPr>
              <w:t>&lt;.0001</w:t>
            </w:r>
          </w:p>
          <w:p w14:paraId="1777FFE1" w14:textId="77777777" w:rsidR="003D0354" w:rsidRPr="00537168" w:rsidRDefault="003D0354" w:rsidP="003D0354">
            <w:pPr>
              <w:rPr>
                <w:rFonts w:ascii="Times New Roman" w:eastAsia="Times New Roman" w:hAnsi="Times New Roman" w:cs="Times New Roman"/>
              </w:rPr>
            </w:pPr>
          </w:p>
        </w:tc>
      </w:tr>
      <w:tr w:rsidR="003D0354" w:rsidRPr="00537168" w14:paraId="39DC4B7F" w14:textId="71A008AB" w:rsidTr="003D0354">
        <w:trPr>
          <w:trHeight w:val="686"/>
        </w:trPr>
        <w:tc>
          <w:tcPr>
            <w:tcW w:w="1987" w:type="dxa"/>
            <w:hideMark/>
          </w:tcPr>
          <w:p w14:paraId="0D2BF5EA" w14:textId="7D466C2F"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2009-2013</w:t>
            </w:r>
          </w:p>
        </w:tc>
        <w:tc>
          <w:tcPr>
            <w:tcW w:w="1037" w:type="dxa"/>
            <w:hideMark/>
          </w:tcPr>
          <w:p w14:paraId="6A85B90B" w14:textId="77777777" w:rsidR="00C21499" w:rsidRPr="00537168" w:rsidRDefault="00C21499" w:rsidP="004711A0">
            <w:pPr>
              <w:jc w:val="center"/>
              <w:rPr>
                <w:rFonts w:ascii="Times New Roman" w:eastAsia="Times New Roman" w:hAnsi="Times New Roman" w:cs="Times New Roman"/>
                <w:b/>
                <w:bCs/>
              </w:rPr>
            </w:pPr>
            <w:r w:rsidRPr="00537168">
              <w:rPr>
                <w:rFonts w:ascii="Times New Roman" w:eastAsia="Times New Roman" w:hAnsi="Times New Roman" w:cs="Times New Roman"/>
                <w:b/>
                <w:bCs/>
              </w:rPr>
              <w:t>1716</w:t>
            </w:r>
          </w:p>
        </w:tc>
        <w:tc>
          <w:tcPr>
            <w:tcW w:w="1271" w:type="dxa"/>
            <w:hideMark/>
          </w:tcPr>
          <w:p w14:paraId="2718CD30" w14:textId="70887681" w:rsidR="00C21499" w:rsidRPr="00537168" w:rsidRDefault="00C21499" w:rsidP="00FC618F">
            <w:pPr>
              <w:jc w:val="center"/>
              <w:rPr>
                <w:rFonts w:ascii="Times New Roman" w:eastAsia="Times New Roman" w:hAnsi="Times New Roman" w:cs="Times New Roman"/>
              </w:rPr>
            </w:pPr>
            <w:r w:rsidRPr="00537168">
              <w:rPr>
                <w:rFonts w:ascii="Times New Roman" w:eastAsia="Times New Roman" w:hAnsi="Times New Roman" w:cs="Times New Roman"/>
              </w:rPr>
              <w:t>17.18</w:t>
            </w:r>
          </w:p>
        </w:tc>
        <w:tc>
          <w:tcPr>
            <w:tcW w:w="2035" w:type="dxa"/>
          </w:tcPr>
          <w:p w14:paraId="2B329E36" w14:textId="3AB932F7" w:rsidR="00C21499" w:rsidRPr="00537168" w:rsidRDefault="00C21499" w:rsidP="004711A0">
            <w:pPr>
              <w:jc w:val="center"/>
              <w:rPr>
                <w:rFonts w:ascii="Times New Roman" w:eastAsia="Times New Roman" w:hAnsi="Times New Roman" w:cs="Times New Roman"/>
              </w:rPr>
            </w:pPr>
            <w:r>
              <w:rPr>
                <w:rFonts w:ascii="Times New Roman" w:eastAsia="Times New Roman" w:hAnsi="Times New Roman" w:cs="Times New Roman"/>
              </w:rPr>
              <w:t>16.72</w:t>
            </w:r>
          </w:p>
        </w:tc>
        <w:tc>
          <w:tcPr>
            <w:tcW w:w="1951" w:type="dxa"/>
            <w:hideMark/>
          </w:tcPr>
          <w:p w14:paraId="7D847D61" w14:textId="72AF49CE" w:rsidR="00C21499" w:rsidRPr="00537168" w:rsidRDefault="00C21499" w:rsidP="004711A0">
            <w:pPr>
              <w:jc w:val="center"/>
              <w:rPr>
                <w:rFonts w:ascii="Times New Roman" w:eastAsia="Times New Roman" w:hAnsi="Times New Roman" w:cs="Times New Roman"/>
              </w:rPr>
            </w:pPr>
            <w:r>
              <w:rPr>
                <w:rFonts w:ascii="Times New Roman" w:eastAsia="Times New Roman" w:hAnsi="Times New Roman" w:cs="Times New Roman"/>
              </w:rPr>
              <w:t>17.64</w:t>
            </w:r>
          </w:p>
        </w:tc>
        <w:tc>
          <w:tcPr>
            <w:tcW w:w="1355" w:type="dxa"/>
            <w:hideMark/>
          </w:tcPr>
          <w:p w14:paraId="5ECAF55C" w14:textId="6DA8131A" w:rsidR="00C21499" w:rsidRPr="00537168" w:rsidRDefault="00C21499" w:rsidP="00FC618F">
            <w:pPr>
              <w:jc w:val="center"/>
              <w:rPr>
                <w:rFonts w:ascii="Times New Roman" w:eastAsia="Times New Roman" w:hAnsi="Times New Roman" w:cs="Times New Roman"/>
              </w:rPr>
            </w:pPr>
            <w:r w:rsidRPr="00537168">
              <w:rPr>
                <w:rFonts w:ascii="Times New Roman" w:eastAsia="Times New Roman" w:hAnsi="Times New Roman" w:cs="Times New Roman"/>
              </w:rPr>
              <w:t>15.20</w:t>
            </w:r>
          </w:p>
        </w:tc>
        <w:tc>
          <w:tcPr>
            <w:tcW w:w="1662" w:type="dxa"/>
            <w:vAlign w:val="center"/>
          </w:tcPr>
          <w:p w14:paraId="23796F39" w14:textId="5764936C" w:rsidR="00C21499" w:rsidRPr="00537168" w:rsidRDefault="003D0354" w:rsidP="00C21499">
            <w:pPr>
              <w:jc w:val="center"/>
              <w:rPr>
                <w:rFonts w:ascii="Times New Roman" w:eastAsia="Times New Roman" w:hAnsi="Times New Roman" w:cs="Times New Roman"/>
              </w:rPr>
            </w:pPr>
            <w:r>
              <w:rPr>
                <w:rFonts w:ascii="Times New Roman" w:eastAsia="Times New Roman" w:hAnsi="Times New Roman" w:cs="Times New Roman"/>
              </w:rPr>
              <w:t>&lt;.0001</w:t>
            </w:r>
          </w:p>
        </w:tc>
      </w:tr>
    </w:tbl>
    <w:p w14:paraId="5C2557B9" w14:textId="77777777" w:rsidR="00020FB5" w:rsidRDefault="00020FB5" w:rsidP="005423B2">
      <w:pPr>
        <w:spacing w:line="480" w:lineRule="auto"/>
        <w:outlineLvl w:val="0"/>
        <w:rPr>
          <w:b/>
        </w:rPr>
      </w:pPr>
    </w:p>
    <w:p w14:paraId="26560AAB" w14:textId="27F5A1C8" w:rsidR="00020FB5" w:rsidRDefault="009F2CBB" w:rsidP="00F542A1">
      <w:pPr>
        <w:spacing w:line="480" w:lineRule="auto"/>
        <w:ind w:firstLine="720"/>
      </w:pPr>
      <w:r>
        <w:t>When</w:t>
      </w:r>
      <w:r w:rsidR="000A16AD">
        <w:t xml:space="preserve"> the 20-</w:t>
      </w:r>
      <w:r>
        <w:t>year study was</w:t>
      </w:r>
      <w:r w:rsidR="007F548C">
        <w:t xml:space="preserve"> </w:t>
      </w:r>
      <w:r w:rsidR="000A16AD">
        <w:t>separated</w:t>
      </w:r>
      <w:r w:rsidR="007F548C">
        <w:t xml:space="preserve"> into</w:t>
      </w:r>
      <w:r w:rsidR="000A16AD">
        <w:t xml:space="preserve"> 5 year intervals</w:t>
      </w:r>
      <w:r w:rsidR="005423B2">
        <w:t xml:space="preserve"> of time (1994-1998, 1999-2003, 2004-2008, 2009-2013),</w:t>
      </w:r>
      <w:r w:rsidR="000A16AD">
        <w:t xml:space="preserve"> the mean age </w:t>
      </w:r>
      <w:r w:rsidR="007C56DE">
        <w:t>for primary infection</w:t>
      </w:r>
      <w:r>
        <w:t xml:space="preserve"> was found </w:t>
      </w:r>
      <w:r w:rsidR="003D0354">
        <w:t>to increase</w:t>
      </w:r>
      <w:r w:rsidR="005423B2">
        <w:t xml:space="preserve"> for each successive interval,</w:t>
      </w:r>
      <w:r w:rsidR="007F548C">
        <w:t xml:space="preserve"> 5.105</w:t>
      </w:r>
      <w:r w:rsidR="000A16AD">
        <w:t>, 5.84, 9.22 and 9.58. A slow rise is seen in the first</w:t>
      </w:r>
      <w:r w:rsidR="007C56DE">
        <w:t xml:space="preserve"> ten years, followed by a larger</w:t>
      </w:r>
      <w:r w:rsidR="000A16AD">
        <w:t xml:space="preserve"> jump</w:t>
      </w:r>
      <w:r w:rsidR="007C56DE">
        <w:t xml:space="preserve"> in subsequent years</w:t>
      </w:r>
      <w:r w:rsidR="00443AD5">
        <w:t xml:space="preserve">. </w:t>
      </w:r>
      <w:r w:rsidR="002A06B0">
        <w:t>(Table 5</w:t>
      </w:r>
      <w:r w:rsidR="00360FD5">
        <w:t>)</w:t>
      </w:r>
      <w:r w:rsidR="003D0354">
        <w:t xml:space="preserve">. </w:t>
      </w:r>
      <w:r w:rsidR="00EC6EC9">
        <w:t>Using GLM to look at mean age and the five-year time intervals, there was no difference in mean age between the 1994-1998 and 1999-2003 intervals, as well as the 2004-2008 and 2009-2013 intervals. However, mean age</w:t>
      </w:r>
      <w:r w:rsidR="007C56DE">
        <w:t xml:space="preserve"> for primary dengue infection was</w:t>
      </w:r>
      <w:r w:rsidR="00EC6EC9">
        <w:t xml:space="preserve"> statistically different for all other intervals.</w:t>
      </w:r>
    </w:p>
    <w:p w14:paraId="7A25DC29" w14:textId="0FE41C9F" w:rsidR="006B7974" w:rsidRDefault="005423B2" w:rsidP="00F542A1">
      <w:pPr>
        <w:spacing w:line="480" w:lineRule="auto"/>
        <w:ind w:firstLine="720"/>
      </w:pPr>
      <w:r>
        <w:t>T</w:t>
      </w:r>
      <w:r w:rsidR="007C56DE">
        <w:t>here was</w:t>
      </w:r>
      <w:r w:rsidR="006B7974">
        <w:t xml:space="preserve"> </w:t>
      </w:r>
      <w:r w:rsidR="00443AD5">
        <w:t xml:space="preserve">a </w:t>
      </w:r>
      <w:r w:rsidR="006B7974">
        <w:t>different pattern</w:t>
      </w:r>
      <w:r w:rsidRPr="005423B2">
        <w:t xml:space="preserve"> </w:t>
      </w:r>
      <w:r>
        <w:t>regarding secondary infections</w:t>
      </w:r>
      <w:r w:rsidR="006B7974">
        <w:t xml:space="preserve"> for the five-year intervals. The mean age for each successive interval was</w:t>
      </w:r>
      <w:r w:rsidR="00360FD5">
        <w:t xml:space="preserve"> 8.67, 11.31, 14.51, and 17.27</w:t>
      </w:r>
      <w:r w:rsidR="002A06B0">
        <w:t xml:space="preserve"> </w:t>
      </w:r>
      <w:r w:rsidR="00360FD5">
        <w:t>(T</w:t>
      </w:r>
      <w:r w:rsidR="006B7974">
        <w:t xml:space="preserve">able </w:t>
      </w:r>
      <w:r w:rsidR="002A06B0">
        <w:t>5</w:t>
      </w:r>
      <w:r w:rsidR="006B7974">
        <w:t xml:space="preserve">). There is a consistent three-year jump in mean age every interval.  The last interval from 2009-2013 was skewed right. This makes sense because that interval had 5 of </w:t>
      </w:r>
      <w:r>
        <w:t>the 6 cases of dengue in the 60 and older</w:t>
      </w:r>
      <w:r w:rsidR="006B7974">
        <w:t xml:space="preserve"> age group. </w:t>
      </w:r>
      <w:r w:rsidR="00D47B3F">
        <w:t xml:space="preserve">Using </w:t>
      </w:r>
      <w:r w:rsidR="00EC6EC9">
        <w:t>GLM</w:t>
      </w:r>
      <w:r w:rsidR="00D47B3F">
        <w:t xml:space="preserve"> in SAS</w:t>
      </w:r>
      <w:r w:rsidR="00EC6EC9">
        <w:t xml:space="preserve"> it was </w:t>
      </w:r>
      <w:r w:rsidR="007C56DE">
        <w:t xml:space="preserve">determined that the mean age was </w:t>
      </w:r>
      <w:r w:rsidR="00EC6EC9">
        <w:t xml:space="preserve">statically significant between all of the the five-year time intervals. </w:t>
      </w:r>
    </w:p>
    <w:p w14:paraId="356D12FF" w14:textId="77777777" w:rsidR="003D0354" w:rsidRDefault="003D0354" w:rsidP="00F542A1">
      <w:pPr>
        <w:spacing w:line="480" w:lineRule="auto"/>
        <w:ind w:firstLine="720"/>
      </w:pPr>
    </w:p>
    <w:p w14:paraId="748D64FA" w14:textId="48E20784" w:rsidR="00D47B3F" w:rsidRDefault="00D47B3F" w:rsidP="00D47B3F">
      <w:pPr>
        <w:spacing w:line="480" w:lineRule="auto"/>
        <w:ind w:firstLine="720"/>
      </w:pPr>
      <w:r>
        <w:lastRenderedPageBreak/>
        <w:t>After the mean age for the intervals</w:t>
      </w:r>
      <w:r w:rsidR="007C56DE">
        <w:t xml:space="preserve"> was determined to be statistically </w:t>
      </w:r>
      <w:r>
        <w:t xml:space="preserve">significant, ANCOVA using GLM in SAS was used to determine if there was a difference between the four different dengue serotypes in mean age as well. </w:t>
      </w:r>
      <w:r w:rsidR="00EE5791">
        <w:t xml:space="preserve">Adjusting for year and classification of dengue, there was a statistical difference in mean age between all four dengue serotypes. The average age of a person with DENV-1 was 10.88, </w:t>
      </w:r>
      <w:r w:rsidR="00C72154">
        <w:t xml:space="preserve">13.00 years </w:t>
      </w:r>
      <w:r w:rsidR="00EE5791">
        <w:t xml:space="preserve">with DENV-2, 11.89 with DENV-3 and 12.6 years with DENV-4.  There was no statistical </w:t>
      </w:r>
      <w:r w:rsidR="00C72154">
        <w:t xml:space="preserve">difference found for years that had more than one serotype co-circulating. </w:t>
      </w:r>
    </w:p>
    <w:p w14:paraId="015B139E" w14:textId="77777777" w:rsidR="00EC6EC9" w:rsidRDefault="00EC6EC9" w:rsidP="00C72154">
      <w:pPr>
        <w:spacing w:line="480" w:lineRule="auto"/>
      </w:pPr>
    </w:p>
    <w:p w14:paraId="7698A578" w14:textId="0081DF04" w:rsidR="00020FB5" w:rsidRPr="00DC4379" w:rsidRDefault="00020FB5" w:rsidP="003B1983">
      <w:pPr>
        <w:spacing w:line="480" w:lineRule="auto"/>
        <w:jc w:val="center"/>
        <w:rPr>
          <w:b/>
        </w:rPr>
      </w:pPr>
      <w:r w:rsidRPr="00020FB5">
        <w:rPr>
          <w:b/>
        </w:rPr>
        <w:t>Tab</w:t>
      </w:r>
      <w:r w:rsidR="00EC6EC9">
        <w:rPr>
          <w:b/>
        </w:rPr>
        <w:t>le 5</w:t>
      </w:r>
      <w:r w:rsidR="00DC4379">
        <w:rPr>
          <w:b/>
        </w:rPr>
        <w:t xml:space="preserve">. Average Age </w:t>
      </w:r>
      <w:r w:rsidRPr="00020FB5">
        <w:rPr>
          <w:b/>
        </w:rPr>
        <w:t>Over Time</w:t>
      </w:r>
      <w:r w:rsidR="00DC4379">
        <w:rPr>
          <w:b/>
        </w:rPr>
        <w:t xml:space="preserve"> </w:t>
      </w:r>
      <w:r w:rsidR="004C7EC3">
        <w:rPr>
          <w:b/>
        </w:rPr>
        <w:t>by</w:t>
      </w:r>
      <w:r w:rsidR="00DC4379">
        <w:rPr>
          <w:b/>
        </w:rPr>
        <w:t xml:space="preserve"> Infection Type</w:t>
      </w:r>
    </w:p>
    <w:tbl>
      <w:tblPr>
        <w:tblStyle w:val="TableGridLight"/>
        <w:tblW w:w="9128" w:type="dxa"/>
        <w:tblLook w:val="04A0" w:firstRow="1" w:lastRow="0" w:firstColumn="1" w:lastColumn="0" w:noHBand="0" w:noVBand="1"/>
      </w:tblPr>
      <w:tblGrid>
        <w:gridCol w:w="1755"/>
        <w:gridCol w:w="1462"/>
        <w:gridCol w:w="1525"/>
        <w:gridCol w:w="1462"/>
        <w:gridCol w:w="1462"/>
        <w:gridCol w:w="1462"/>
      </w:tblGrid>
      <w:tr w:rsidR="00C72154" w:rsidRPr="00DC4379" w14:paraId="23D42795" w14:textId="77777777" w:rsidTr="00C72154">
        <w:trPr>
          <w:trHeight w:val="883"/>
        </w:trPr>
        <w:tc>
          <w:tcPr>
            <w:tcW w:w="1755" w:type="dxa"/>
            <w:noWrap/>
            <w:hideMark/>
          </w:tcPr>
          <w:p w14:paraId="445C18EE" w14:textId="77777777" w:rsidR="00C72154" w:rsidRPr="00DC4379" w:rsidRDefault="00C72154" w:rsidP="00DC4379">
            <w:pPr>
              <w:jc w:val="center"/>
              <w:rPr>
                <w:rFonts w:ascii="Calibri" w:eastAsia="Times New Roman" w:hAnsi="Calibri" w:cs="Times New Roman"/>
                <w:b/>
                <w:bCs/>
                <w:color w:val="000000"/>
              </w:rPr>
            </w:pPr>
            <w:r w:rsidRPr="00DC4379">
              <w:rPr>
                <w:rFonts w:ascii="Calibri" w:eastAsia="Times New Roman" w:hAnsi="Calibri" w:cs="Times New Roman"/>
                <w:b/>
                <w:bCs/>
                <w:color w:val="000000"/>
              </w:rPr>
              <w:t>Year Interval</w:t>
            </w:r>
          </w:p>
        </w:tc>
        <w:tc>
          <w:tcPr>
            <w:tcW w:w="1462" w:type="dxa"/>
            <w:noWrap/>
            <w:hideMark/>
          </w:tcPr>
          <w:p w14:paraId="1C354572" w14:textId="77777777" w:rsidR="00C72154" w:rsidRPr="00DC4379" w:rsidRDefault="00C72154" w:rsidP="00DC4379">
            <w:pPr>
              <w:jc w:val="center"/>
              <w:rPr>
                <w:rFonts w:ascii="Calibri" w:eastAsia="Times New Roman" w:hAnsi="Calibri" w:cs="Times New Roman"/>
                <w:b/>
                <w:bCs/>
                <w:color w:val="000000"/>
              </w:rPr>
            </w:pPr>
            <w:r w:rsidRPr="00DC4379">
              <w:rPr>
                <w:rFonts w:ascii="Calibri" w:eastAsia="Times New Roman" w:hAnsi="Calibri" w:cs="Times New Roman"/>
                <w:b/>
                <w:bCs/>
                <w:color w:val="000000"/>
              </w:rPr>
              <w:t>N Obs</w:t>
            </w:r>
          </w:p>
        </w:tc>
        <w:tc>
          <w:tcPr>
            <w:tcW w:w="1525" w:type="dxa"/>
            <w:noWrap/>
            <w:hideMark/>
          </w:tcPr>
          <w:p w14:paraId="42B5D7DE" w14:textId="77777777" w:rsidR="00C72154" w:rsidRPr="00DC4379" w:rsidRDefault="00C72154" w:rsidP="00DC4379">
            <w:pPr>
              <w:jc w:val="center"/>
              <w:rPr>
                <w:rFonts w:ascii="Calibri" w:eastAsia="Times New Roman" w:hAnsi="Calibri" w:cs="Times New Roman"/>
                <w:b/>
                <w:bCs/>
                <w:color w:val="000000"/>
              </w:rPr>
            </w:pPr>
            <w:r w:rsidRPr="00DC4379">
              <w:rPr>
                <w:rFonts w:ascii="Calibri" w:eastAsia="Times New Roman" w:hAnsi="Calibri" w:cs="Times New Roman"/>
                <w:b/>
                <w:bCs/>
                <w:color w:val="000000"/>
              </w:rPr>
              <w:t>Mean</w:t>
            </w:r>
          </w:p>
        </w:tc>
        <w:tc>
          <w:tcPr>
            <w:tcW w:w="1462" w:type="dxa"/>
          </w:tcPr>
          <w:p w14:paraId="332546AA" w14:textId="4EA642A7" w:rsidR="00C72154" w:rsidRPr="00DC4379" w:rsidRDefault="00C72154" w:rsidP="00DC4379">
            <w:pPr>
              <w:jc w:val="center"/>
              <w:rPr>
                <w:rFonts w:ascii="Calibri" w:eastAsia="Times New Roman" w:hAnsi="Calibri" w:cs="Times New Roman"/>
                <w:b/>
                <w:bCs/>
                <w:color w:val="000000"/>
              </w:rPr>
            </w:pPr>
            <w:r>
              <w:rPr>
                <w:rFonts w:ascii="Calibri" w:eastAsia="Times New Roman" w:hAnsi="Calibri" w:cs="Times New Roman"/>
                <w:b/>
                <w:bCs/>
                <w:color w:val="000000"/>
              </w:rPr>
              <w:t>Lower 95% CL for Mean</w:t>
            </w:r>
          </w:p>
        </w:tc>
        <w:tc>
          <w:tcPr>
            <w:tcW w:w="1462" w:type="dxa"/>
            <w:noWrap/>
            <w:hideMark/>
          </w:tcPr>
          <w:p w14:paraId="552734FE" w14:textId="3D7D14B4" w:rsidR="00C72154" w:rsidRPr="00DC4379" w:rsidRDefault="00C72154" w:rsidP="00DC4379">
            <w:pPr>
              <w:jc w:val="center"/>
              <w:rPr>
                <w:rFonts w:ascii="Calibri" w:eastAsia="Times New Roman" w:hAnsi="Calibri" w:cs="Times New Roman"/>
                <w:b/>
                <w:bCs/>
                <w:color w:val="000000"/>
              </w:rPr>
            </w:pPr>
            <w:r>
              <w:rPr>
                <w:rFonts w:ascii="Calibri" w:eastAsia="Times New Roman" w:hAnsi="Calibri" w:cs="Times New Roman"/>
                <w:b/>
                <w:bCs/>
                <w:color w:val="000000"/>
              </w:rPr>
              <w:t>Upper 95% CL for Mean</w:t>
            </w:r>
          </w:p>
        </w:tc>
        <w:tc>
          <w:tcPr>
            <w:tcW w:w="1462" w:type="dxa"/>
            <w:noWrap/>
            <w:hideMark/>
          </w:tcPr>
          <w:p w14:paraId="5C28C9D7" w14:textId="77777777" w:rsidR="00C72154" w:rsidRPr="00DC4379" w:rsidRDefault="00C72154" w:rsidP="00DC4379">
            <w:pPr>
              <w:jc w:val="center"/>
              <w:rPr>
                <w:rFonts w:ascii="Calibri" w:eastAsia="Times New Roman" w:hAnsi="Calibri" w:cs="Times New Roman"/>
                <w:b/>
                <w:bCs/>
                <w:color w:val="000000"/>
              </w:rPr>
            </w:pPr>
            <w:r w:rsidRPr="00DC4379">
              <w:rPr>
                <w:rFonts w:ascii="Calibri" w:eastAsia="Times New Roman" w:hAnsi="Calibri" w:cs="Times New Roman"/>
                <w:b/>
                <w:bCs/>
                <w:color w:val="000000"/>
              </w:rPr>
              <w:t>Median</w:t>
            </w:r>
          </w:p>
        </w:tc>
      </w:tr>
      <w:tr w:rsidR="00C72154" w:rsidRPr="00DC4379" w14:paraId="7DE6882A" w14:textId="77777777" w:rsidTr="00C72154">
        <w:trPr>
          <w:trHeight w:val="447"/>
        </w:trPr>
        <w:tc>
          <w:tcPr>
            <w:tcW w:w="1755" w:type="dxa"/>
            <w:noWrap/>
            <w:hideMark/>
          </w:tcPr>
          <w:p w14:paraId="1CFF36E1" w14:textId="77777777" w:rsidR="00C72154" w:rsidRPr="00DC4379" w:rsidRDefault="00C72154" w:rsidP="00DC4379">
            <w:pPr>
              <w:rPr>
                <w:rFonts w:ascii="Calibri" w:eastAsia="Times New Roman" w:hAnsi="Calibri" w:cs="Times New Roman"/>
                <w:b/>
                <w:bCs/>
                <w:color w:val="000000"/>
              </w:rPr>
            </w:pPr>
            <w:r w:rsidRPr="00DC4379">
              <w:rPr>
                <w:rFonts w:ascii="Calibri" w:eastAsia="Times New Roman" w:hAnsi="Calibri" w:cs="Times New Roman"/>
                <w:b/>
                <w:bCs/>
                <w:color w:val="000000"/>
              </w:rPr>
              <w:t>1994-1998</w:t>
            </w:r>
          </w:p>
        </w:tc>
        <w:tc>
          <w:tcPr>
            <w:tcW w:w="1462" w:type="dxa"/>
            <w:noWrap/>
            <w:hideMark/>
          </w:tcPr>
          <w:p w14:paraId="05E90E9D" w14:textId="77777777" w:rsidR="00C72154" w:rsidRPr="00DC4379" w:rsidRDefault="00C72154" w:rsidP="00DC4379">
            <w:pPr>
              <w:rPr>
                <w:rFonts w:ascii="Calibri" w:eastAsia="Times New Roman" w:hAnsi="Calibri" w:cs="Times New Roman"/>
                <w:b/>
                <w:bCs/>
                <w:color w:val="000000"/>
              </w:rPr>
            </w:pPr>
          </w:p>
        </w:tc>
        <w:tc>
          <w:tcPr>
            <w:tcW w:w="1525" w:type="dxa"/>
            <w:noWrap/>
            <w:hideMark/>
          </w:tcPr>
          <w:p w14:paraId="58E24B57" w14:textId="77777777" w:rsidR="00C72154" w:rsidRPr="00DC4379" w:rsidRDefault="00C72154" w:rsidP="00DC4379">
            <w:pPr>
              <w:rPr>
                <w:rFonts w:ascii="Times New Roman" w:eastAsia="Times New Roman" w:hAnsi="Times New Roman" w:cs="Times New Roman"/>
                <w:sz w:val="20"/>
                <w:szCs w:val="20"/>
              </w:rPr>
            </w:pPr>
          </w:p>
        </w:tc>
        <w:tc>
          <w:tcPr>
            <w:tcW w:w="1462" w:type="dxa"/>
          </w:tcPr>
          <w:p w14:paraId="0CA1FB4C" w14:textId="77777777" w:rsidR="00C72154" w:rsidRPr="00DC4379" w:rsidRDefault="00C72154" w:rsidP="00DC4379">
            <w:pPr>
              <w:rPr>
                <w:rFonts w:ascii="Times New Roman" w:eastAsia="Times New Roman" w:hAnsi="Times New Roman" w:cs="Times New Roman"/>
                <w:sz w:val="20"/>
                <w:szCs w:val="20"/>
              </w:rPr>
            </w:pPr>
          </w:p>
        </w:tc>
        <w:tc>
          <w:tcPr>
            <w:tcW w:w="1462" w:type="dxa"/>
            <w:noWrap/>
            <w:hideMark/>
          </w:tcPr>
          <w:p w14:paraId="7C712C2F" w14:textId="3814AF9D" w:rsidR="00C72154" w:rsidRPr="00DC4379" w:rsidRDefault="00C72154" w:rsidP="00DC4379">
            <w:pPr>
              <w:rPr>
                <w:rFonts w:ascii="Times New Roman" w:eastAsia="Times New Roman" w:hAnsi="Times New Roman" w:cs="Times New Roman"/>
                <w:sz w:val="20"/>
                <w:szCs w:val="20"/>
              </w:rPr>
            </w:pPr>
          </w:p>
        </w:tc>
        <w:tc>
          <w:tcPr>
            <w:tcW w:w="1462" w:type="dxa"/>
            <w:noWrap/>
            <w:hideMark/>
          </w:tcPr>
          <w:p w14:paraId="1CB8F047" w14:textId="77777777" w:rsidR="00C72154" w:rsidRPr="00DC4379" w:rsidRDefault="00C72154" w:rsidP="00DC4379">
            <w:pPr>
              <w:rPr>
                <w:rFonts w:ascii="Times New Roman" w:eastAsia="Times New Roman" w:hAnsi="Times New Roman" w:cs="Times New Roman"/>
                <w:sz w:val="20"/>
                <w:szCs w:val="20"/>
              </w:rPr>
            </w:pPr>
          </w:p>
        </w:tc>
      </w:tr>
      <w:tr w:rsidR="00C72154" w:rsidRPr="00DC4379" w14:paraId="5A51FE93" w14:textId="77777777" w:rsidTr="00C72154">
        <w:trPr>
          <w:trHeight w:val="447"/>
        </w:trPr>
        <w:tc>
          <w:tcPr>
            <w:tcW w:w="1755" w:type="dxa"/>
            <w:noWrap/>
            <w:hideMark/>
          </w:tcPr>
          <w:p w14:paraId="1002B231" w14:textId="77777777" w:rsidR="00C72154" w:rsidRPr="00DC4379" w:rsidRDefault="00C72154" w:rsidP="00DC4379">
            <w:pPr>
              <w:jc w:val="right"/>
              <w:rPr>
                <w:rFonts w:ascii="Calibri" w:eastAsia="Times New Roman" w:hAnsi="Calibri" w:cs="Times New Roman"/>
                <w:color w:val="000000"/>
              </w:rPr>
            </w:pPr>
            <w:r w:rsidRPr="00DC4379">
              <w:rPr>
                <w:rFonts w:ascii="Calibri" w:eastAsia="Times New Roman" w:hAnsi="Calibri" w:cs="Times New Roman"/>
                <w:color w:val="000000"/>
              </w:rPr>
              <w:t>Primary</w:t>
            </w:r>
          </w:p>
        </w:tc>
        <w:tc>
          <w:tcPr>
            <w:tcW w:w="1462" w:type="dxa"/>
            <w:noWrap/>
            <w:hideMark/>
          </w:tcPr>
          <w:p w14:paraId="527AA9E3" w14:textId="77777777" w:rsidR="00C72154" w:rsidRPr="00DC4379" w:rsidRDefault="00C72154" w:rsidP="00DC4379">
            <w:pPr>
              <w:jc w:val="right"/>
              <w:rPr>
                <w:rFonts w:ascii="Calibri" w:eastAsia="Times New Roman" w:hAnsi="Calibri" w:cs="Times New Roman"/>
                <w:b/>
                <w:bCs/>
                <w:color w:val="000000"/>
              </w:rPr>
            </w:pPr>
            <w:r w:rsidRPr="00DC4379">
              <w:rPr>
                <w:rFonts w:ascii="Calibri" w:eastAsia="Times New Roman" w:hAnsi="Calibri" w:cs="Times New Roman"/>
                <w:b/>
                <w:bCs/>
                <w:color w:val="000000"/>
              </w:rPr>
              <w:t>48</w:t>
            </w:r>
          </w:p>
        </w:tc>
        <w:tc>
          <w:tcPr>
            <w:tcW w:w="1525" w:type="dxa"/>
            <w:hideMark/>
          </w:tcPr>
          <w:p w14:paraId="46D44A1F" w14:textId="78321C1A" w:rsidR="00C72154" w:rsidRPr="00DC4379" w:rsidRDefault="00C72154" w:rsidP="00C72154">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5.10</w:t>
            </w:r>
          </w:p>
        </w:tc>
        <w:tc>
          <w:tcPr>
            <w:tcW w:w="1462" w:type="dxa"/>
          </w:tcPr>
          <w:p w14:paraId="4B645AED" w14:textId="27F3FB33"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4.17</w:t>
            </w:r>
          </w:p>
        </w:tc>
        <w:tc>
          <w:tcPr>
            <w:tcW w:w="1462" w:type="dxa"/>
            <w:hideMark/>
          </w:tcPr>
          <w:p w14:paraId="592C6D3D" w14:textId="4E74EEC5"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6.04</w:t>
            </w:r>
          </w:p>
        </w:tc>
        <w:tc>
          <w:tcPr>
            <w:tcW w:w="1462" w:type="dxa"/>
            <w:hideMark/>
          </w:tcPr>
          <w:p w14:paraId="18679F2B" w14:textId="6D875C37" w:rsidR="00C72154" w:rsidRPr="00DC4379" w:rsidRDefault="00C72154" w:rsidP="00C72154">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5.1</w:t>
            </w:r>
            <w:r>
              <w:rPr>
                <w:rFonts w:ascii="Times New Roman" w:eastAsia="Times New Roman" w:hAnsi="Times New Roman" w:cs="Times New Roman"/>
                <w:color w:val="000000"/>
              </w:rPr>
              <w:t>0</w:t>
            </w:r>
          </w:p>
        </w:tc>
      </w:tr>
      <w:tr w:rsidR="00C72154" w:rsidRPr="00DC4379" w14:paraId="47B810F8" w14:textId="77777777" w:rsidTr="00C72154">
        <w:trPr>
          <w:trHeight w:val="447"/>
        </w:trPr>
        <w:tc>
          <w:tcPr>
            <w:tcW w:w="1755" w:type="dxa"/>
            <w:noWrap/>
            <w:hideMark/>
          </w:tcPr>
          <w:p w14:paraId="16A031F5" w14:textId="77777777" w:rsidR="00C72154" w:rsidRPr="00DC4379" w:rsidRDefault="00C72154" w:rsidP="00DC4379">
            <w:pPr>
              <w:jc w:val="right"/>
              <w:rPr>
                <w:rFonts w:ascii="Calibri" w:eastAsia="Times New Roman" w:hAnsi="Calibri" w:cs="Times New Roman"/>
                <w:color w:val="000000"/>
              </w:rPr>
            </w:pPr>
            <w:r w:rsidRPr="00DC4379">
              <w:rPr>
                <w:rFonts w:ascii="Calibri" w:eastAsia="Times New Roman" w:hAnsi="Calibri" w:cs="Times New Roman"/>
                <w:color w:val="000000"/>
              </w:rPr>
              <w:t>Secondary</w:t>
            </w:r>
          </w:p>
        </w:tc>
        <w:tc>
          <w:tcPr>
            <w:tcW w:w="1462" w:type="dxa"/>
            <w:noWrap/>
            <w:hideMark/>
          </w:tcPr>
          <w:p w14:paraId="1AA954B4" w14:textId="77777777" w:rsidR="00C72154" w:rsidRPr="00DC4379" w:rsidRDefault="00C72154" w:rsidP="00DC4379">
            <w:pPr>
              <w:jc w:val="right"/>
              <w:rPr>
                <w:rFonts w:ascii="Calibri" w:eastAsia="Times New Roman" w:hAnsi="Calibri" w:cs="Times New Roman"/>
                <w:b/>
                <w:bCs/>
                <w:color w:val="000000"/>
              </w:rPr>
            </w:pPr>
            <w:r w:rsidRPr="00DC4379">
              <w:rPr>
                <w:rFonts w:ascii="Calibri" w:eastAsia="Times New Roman" w:hAnsi="Calibri" w:cs="Times New Roman"/>
                <w:b/>
                <w:bCs/>
                <w:color w:val="000000"/>
              </w:rPr>
              <w:t>481</w:t>
            </w:r>
          </w:p>
        </w:tc>
        <w:tc>
          <w:tcPr>
            <w:tcW w:w="1525" w:type="dxa"/>
            <w:hideMark/>
          </w:tcPr>
          <w:p w14:paraId="6D2348EA" w14:textId="77777777" w:rsidR="00C72154" w:rsidRPr="00DC4379" w:rsidRDefault="00C72154" w:rsidP="00DC4379">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8.67</w:t>
            </w:r>
          </w:p>
        </w:tc>
        <w:tc>
          <w:tcPr>
            <w:tcW w:w="1462" w:type="dxa"/>
          </w:tcPr>
          <w:p w14:paraId="15DED21B" w14:textId="76F8EC68"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8.35</w:t>
            </w:r>
          </w:p>
        </w:tc>
        <w:tc>
          <w:tcPr>
            <w:tcW w:w="1462" w:type="dxa"/>
            <w:hideMark/>
          </w:tcPr>
          <w:p w14:paraId="7DB13CCE" w14:textId="4901B4C0"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8.98</w:t>
            </w:r>
          </w:p>
        </w:tc>
        <w:tc>
          <w:tcPr>
            <w:tcW w:w="1462" w:type="dxa"/>
            <w:hideMark/>
          </w:tcPr>
          <w:p w14:paraId="13769829" w14:textId="7CE99487" w:rsidR="00C72154" w:rsidRPr="00DC4379" w:rsidRDefault="00C72154" w:rsidP="00C72154">
            <w:pPr>
              <w:jc w:val="center"/>
              <w:rPr>
                <w:rFonts w:ascii="Times New Roman" w:eastAsia="Times New Roman" w:hAnsi="Times New Roman" w:cs="Times New Roman"/>
                <w:color w:val="000000"/>
              </w:rPr>
            </w:pPr>
            <w:r w:rsidRPr="001B7999">
              <w:rPr>
                <w:rFonts w:ascii="Times New Roman" w:eastAsia="Times New Roman" w:hAnsi="Times New Roman" w:cs="Times New Roman"/>
              </w:rPr>
              <w:t>8.60</w:t>
            </w:r>
          </w:p>
        </w:tc>
      </w:tr>
      <w:tr w:rsidR="00C72154" w:rsidRPr="00DC4379" w14:paraId="4B6722F6" w14:textId="77777777" w:rsidTr="00C72154">
        <w:trPr>
          <w:trHeight w:val="447"/>
        </w:trPr>
        <w:tc>
          <w:tcPr>
            <w:tcW w:w="1755" w:type="dxa"/>
            <w:noWrap/>
            <w:hideMark/>
          </w:tcPr>
          <w:p w14:paraId="7B6FDD25" w14:textId="77777777" w:rsidR="00C72154" w:rsidRPr="00DC4379" w:rsidRDefault="00C72154" w:rsidP="00DC4379">
            <w:pPr>
              <w:rPr>
                <w:rFonts w:ascii="Calibri" w:eastAsia="Times New Roman" w:hAnsi="Calibri" w:cs="Times New Roman"/>
                <w:b/>
                <w:bCs/>
                <w:color w:val="000000"/>
              </w:rPr>
            </w:pPr>
            <w:r w:rsidRPr="00DC4379">
              <w:rPr>
                <w:rFonts w:ascii="Calibri" w:eastAsia="Times New Roman" w:hAnsi="Calibri" w:cs="Times New Roman"/>
                <w:b/>
                <w:bCs/>
                <w:color w:val="000000"/>
              </w:rPr>
              <w:t>1999-2003</w:t>
            </w:r>
          </w:p>
        </w:tc>
        <w:tc>
          <w:tcPr>
            <w:tcW w:w="1462" w:type="dxa"/>
            <w:noWrap/>
            <w:hideMark/>
          </w:tcPr>
          <w:p w14:paraId="0D83D998" w14:textId="77777777" w:rsidR="00C72154" w:rsidRPr="00DC4379" w:rsidRDefault="00C72154" w:rsidP="00DC4379">
            <w:pPr>
              <w:rPr>
                <w:rFonts w:ascii="Calibri" w:eastAsia="Times New Roman" w:hAnsi="Calibri" w:cs="Times New Roman"/>
                <w:b/>
                <w:bCs/>
                <w:color w:val="000000"/>
              </w:rPr>
            </w:pPr>
          </w:p>
        </w:tc>
        <w:tc>
          <w:tcPr>
            <w:tcW w:w="1525" w:type="dxa"/>
            <w:noWrap/>
            <w:hideMark/>
          </w:tcPr>
          <w:p w14:paraId="163F4728" w14:textId="77777777" w:rsidR="00C72154" w:rsidRPr="00DC4379" w:rsidRDefault="00C72154" w:rsidP="00DC4379">
            <w:pPr>
              <w:rPr>
                <w:rFonts w:ascii="Times New Roman" w:eastAsia="Times New Roman" w:hAnsi="Times New Roman" w:cs="Times New Roman"/>
                <w:sz w:val="20"/>
                <w:szCs w:val="20"/>
              </w:rPr>
            </w:pPr>
          </w:p>
        </w:tc>
        <w:tc>
          <w:tcPr>
            <w:tcW w:w="1462" w:type="dxa"/>
          </w:tcPr>
          <w:p w14:paraId="4A302869" w14:textId="77777777" w:rsidR="00C72154" w:rsidRPr="00DC4379" w:rsidRDefault="00C72154" w:rsidP="00DC4379">
            <w:pPr>
              <w:rPr>
                <w:rFonts w:ascii="Times New Roman" w:eastAsia="Times New Roman" w:hAnsi="Times New Roman" w:cs="Times New Roman"/>
                <w:sz w:val="20"/>
                <w:szCs w:val="20"/>
              </w:rPr>
            </w:pPr>
          </w:p>
        </w:tc>
        <w:tc>
          <w:tcPr>
            <w:tcW w:w="1462" w:type="dxa"/>
            <w:noWrap/>
            <w:hideMark/>
          </w:tcPr>
          <w:p w14:paraId="14998015" w14:textId="202F1B1F" w:rsidR="00C72154" w:rsidRPr="00DC4379" w:rsidRDefault="00C72154" w:rsidP="00DC4379">
            <w:pPr>
              <w:rPr>
                <w:rFonts w:ascii="Times New Roman" w:eastAsia="Times New Roman" w:hAnsi="Times New Roman" w:cs="Times New Roman"/>
                <w:sz w:val="20"/>
                <w:szCs w:val="20"/>
              </w:rPr>
            </w:pPr>
          </w:p>
        </w:tc>
        <w:tc>
          <w:tcPr>
            <w:tcW w:w="1462" w:type="dxa"/>
            <w:noWrap/>
            <w:hideMark/>
          </w:tcPr>
          <w:p w14:paraId="5FD36218" w14:textId="77777777" w:rsidR="00C72154" w:rsidRPr="00DC4379" w:rsidRDefault="00C72154" w:rsidP="00DC4379">
            <w:pPr>
              <w:rPr>
                <w:rFonts w:ascii="Times New Roman" w:eastAsia="Times New Roman" w:hAnsi="Times New Roman" w:cs="Times New Roman"/>
                <w:sz w:val="20"/>
                <w:szCs w:val="20"/>
              </w:rPr>
            </w:pPr>
          </w:p>
        </w:tc>
      </w:tr>
      <w:tr w:rsidR="00C72154" w:rsidRPr="00DC4379" w14:paraId="7E9EE064" w14:textId="77777777" w:rsidTr="00C72154">
        <w:trPr>
          <w:trHeight w:val="447"/>
        </w:trPr>
        <w:tc>
          <w:tcPr>
            <w:tcW w:w="1755" w:type="dxa"/>
            <w:noWrap/>
            <w:hideMark/>
          </w:tcPr>
          <w:p w14:paraId="4EB514F4" w14:textId="77777777" w:rsidR="00C72154" w:rsidRPr="00DC4379" w:rsidRDefault="00C72154" w:rsidP="00DC4379">
            <w:pPr>
              <w:jc w:val="right"/>
              <w:rPr>
                <w:rFonts w:ascii="Calibri" w:eastAsia="Times New Roman" w:hAnsi="Calibri" w:cs="Times New Roman"/>
                <w:color w:val="000000"/>
              </w:rPr>
            </w:pPr>
            <w:r w:rsidRPr="00DC4379">
              <w:rPr>
                <w:rFonts w:ascii="Calibri" w:eastAsia="Times New Roman" w:hAnsi="Calibri" w:cs="Times New Roman"/>
                <w:color w:val="000000"/>
              </w:rPr>
              <w:t>Primary</w:t>
            </w:r>
          </w:p>
        </w:tc>
        <w:tc>
          <w:tcPr>
            <w:tcW w:w="1462" w:type="dxa"/>
            <w:noWrap/>
            <w:hideMark/>
          </w:tcPr>
          <w:p w14:paraId="13F1A976" w14:textId="77777777" w:rsidR="00C72154" w:rsidRPr="00DC4379" w:rsidRDefault="00C72154" w:rsidP="00DC4379">
            <w:pPr>
              <w:jc w:val="right"/>
              <w:rPr>
                <w:rFonts w:ascii="Calibri" w:eastAsia="Times New Roman" w:hAnsi="Calibri" w:cs="Times New Roman"/>
                <w:b/>
                <w:bCs/>
                <w:color w:val="000000"/>
              </w:rPr>
            </w:pPr>
            <w:r w:rsidRPr="00DC4379">
              <w:rPr>
                <w:rFonts w:ascii="Calibri" w:eastAsia="Times New Roman" w:hAnsi="Calibri" w:cs="Times New Roman"/>
                <w:b/>
                <w:bCs/>
                <w:color w:val="000000"/>
              </w:rPr>
              <w:t>92</w:t>
            </w:r>
          </w:p>
        </w:tc>
        <w:tc>
          <w:tcPr>
            <w:tcW w:w="1525" w:type="dxa"/>
            <w:hideMark/>
          </w:tcPr>
          <w:p w14:paraId="38FEDF05" w14:textId="0AF16AD0" w:rsidR="00C72154" w:rsidRPr="00DC4379" w:rsidRDefault="00C72154" w:rsidP="00C72154">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5.83</w:t>
            </w:r>
          </w:p>
        </w:tc>
        <w:tc>
          <w:tcPr>
            <w:tcW w:w="1462" w:type="dxa"/>
          </w:tcPr>
          <w:p w14:paraId="5A770248" w14:textId="618010C6"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4.99</w:t>
            </w:r>
          </w:p>
        </w:tc>
        <w:tc>
          <w:tcPr>
            <w:tcW w:w="1462" w:type="dxa"/>
            <w:hideMark/>
          </w:tcPr>
          <w:p w14:paraId="24BEA3C7" w14:textId="0E67693D"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6.67</w:t>
            </w:r>
          </w:p>
        </w:tc>
        <w:tc>
          <w:tcPr>
            <w:tcW w:w="1462" w:type="dxa"/>
            <w:hideMark/>
          </w:tcPr>
          <w:p w14:paraId="409DBE6B" w14:textId="6FD2F442"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5.95</w:t>
            </w:r>
          </w:p>
        </w:tc>
      </w:tr>
      <w:tr w:rsidR="00C72154" w:rsidRPr="00DC4379" w14:paraId="1A27FC2D" w14:textId="77777777" w:rsidTr="00C72154">
        <w:trPr>
          <w:trHeight w:val="447"/>
        </w:trPr>
        <w:tc>
          <w:tcPr>
            <w:tcW w:w="1755" w:type="dxa"/>
            <w:noWrap/>
            <w:hideMark/>
          </w:tcPr>
          <w:p w14:paraId="30134E25" w14:textId="77777777" w:rsidR="00C72154" w:rsidRPr="00DC4379" w:rsidRDefault="00C72154" w:rsidP="00DC4379">
            <w:pPr>
              <w:jc w:val="right"/>
              <w:rPr>
                <w:rFonts w:ascii="Calibri" w:eastAsia="Times New Roman" w:hAnsi="Calibri" w:cs="Times New Roman"/>
                <w:color w:val="000000"/>
              </w:rPr>
            </w:pPr>
            <w:r w:rsidRPr="00DC4379">
              <w:rPr>
                <w:rFonts w:ascii="Calibri" w:eastAsia="Times New Roman" w:hAnsi="Calibri" w:cs="Times New Roman"/>
                <w:color w:val="000000"/>
              </w:rPr>
              <w:t>Secondary</w:t>
            </w:r>
          </w:p>
        </w:tc>
        <w:tc>
          <w:tcPr>
            <w:tcW w:w="1462" w:type="dxa"/>
            <w:noWrap/>
            <w:hideMark/>
          </w:tcPr>
          <w:p w14:paraId="6FA9B7FB" w14:textId="77777777" w:rsidR="00C72154" w:rsidRPr="00DC4379" w:rsidRDefault="00C72154" w:rsidP="00DC4379">
            <w:pPr>
              <w:jc w:val="right"/>
              <w:rPr>
                <w:rFonts w:ascii="Calibri" w:eastAsia="Times New Roman" w:hAnsi="Calibri" w:cs="Times New Roman"/>
                <w:b/>
                <w:bCs/>
                <w:color w:val="000000"/>
              </w:rPr>
            </w:pPr>
            <w:r w:rsidRPr="00DC4379">
              <w:rPr>
                <w:rFonts w:ascii="Calibri" w:eastAsia="Times New Roman" w:hAnsi="Calibri" w:cs="Times New Roman"/>
                <w:b/>
                <w:bCs/>
                <w:color w:val="000000"/>
              </w:rPr>
              <w:t>1453</w:t>
            </w:r>
          </w:p>
        </w:tc>
        <w:tc>
          <w:tcPr>
            <w:tcW w:w="1525" w:type="dxa"/>
            <w:hideMark/>
          </w:tcPr>
          <w:p w14:paraId="5D041084" w14:textId="6A9B5127" w:rsidR="00C72154" w:rsidRPr="00DC4379" w:rsidRDefault="00C72154" w:rsidP="00C72154">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11.31</w:t>
            </w:r>
          </w:p>
        </w:tc>
        <w:tc>
          <w:tcPr>
            <w:tcW w:w="1462" w:type="dxa"/>
          </w:tcPr>
          <w:p w14:paraId="5B695D51" w14:textId="03EDB1E7"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10.99</w:t>
            </w:r>
          </w:p>
        </w:tc>
        <w:tc>
          <w:tcPr>
            <w:tcW w:w="1462" w:type="dxa"/>
            <w:hideMark/>
          </w:tcPr>
          <w:p w14:paraId="7FFA8D5D" w14:textId="50CE9ACC"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11.62</w:t>
            </w:r>
          </w:p>
        </w:tc>
        <w:tc>
          <w:tcPr>
            <w:tcW w:w="1462" w:type="dxa"/>
            <w:hideMark/>
          </w:tcPr>
          <w:p w14:paraId="4A0E1AD3" w14:textId="069E6EE9" w:rsidR="00C72154" w:rsidRPr="00DC4379" w:rsidRDefault="00C72154" w:rsidP="00C72154">
            <w:pPr>
              <w:jc w:val="center"/>
              <w:rPr>
                <w:rFonts w:ascii="Times New Roman" w:eastAsia="Times New Roman" w:hAnsi="Times New Roman" w:cs="Times New Roman"/>
                <w:color w:val="000000"/>
              </w:rPr>
            </w:pPr>
            <w:r w:rsidRPr="001B7999">
              <w:rPr>
                <w:rFonts w:ascii="Times New Roman" w:eastAsia="Times New Roman" w:hAnsi="Times New Roman" w:cs="Times New Roman"/>
              </w:rPr>
              <w:t>10.40</w:t>
            </w:r>
          </w:p>
        </w:tc>
      </w:tr>
      <w:tr w:rsidR="00C72154" w:rsidRPr="00DC4379" w14:paraId="5AD67300" w14:textId="77777777" w:rsidTr="00C72154">
        <w:trPr>
          <w:trHeight w:val="447"/>
        </w:trPr>
        <w:tc>
          <w:tcPr>
            <w:tcW w:w="1755" w:type="dxa"/>
            <w:noWrap/>
            <w:hideMark/>
          </w:tcPr>
          <w:p w14:paraId="0B0216EE" w14:textId="77777777" w:rsidR="00C72154" w:rsidRPr="00DC4379" w:rsidRDefault="00C72154" w:rsidP="00DC4379">
            <w:pPr>
              <w:rPr>
                <w:rFonts w:ascii="Calibri" w:eastAsia="Times New Roman" w:hAnsi="Calibri" w:cs="Times New Roman"/>
                <w:b/>
                <w:bCs/>
                <w:color w:val="000000"/>
              </w:rPr>
            </w:pPr>
            <w:r w:rsidRPr="00DC4379">
              <w:rPr>
                <w:rFonts w:ascii="Calibri" w:eastAsia="Times New Roman" w:hAnsi="Calibri" w:cs="Times New Roman"/>
                <w:b/>
                <w:bCs/>
                <w:color w:val="000000"/>
              </w:rPr>
              <w:t>2004-2008</w:t>
            </w:r>
          </w:p>
        </w:tc>
        <w:tc>
          <w:tcPr>
            <w:tcW w:w="1462" w:type="dxa"/>
            <w:noWrap/>
            <w:hideMark/>
          </w:tcPr>
          <w:p w14:paraId="6A364DFF" w14:textId="77777777" w:rsidR="00C72154" w:rsidRPr="00DC4379" w:rsidRDefault="00C72154" w:rsidP="00DC4379">
            <w:pPr>
              <w:rPr>
                <w:rFonts w:ascii="Calibri" w:eastAsia="Times New Roman" w:hAnsi="Calibri" w:cs="Times New Roman"/>
                <w:b/>
                <w:bCs/>
                <w:color w:val="000000"/>
              </w:rPr>
            </w:pPr>
          </w:p>
        </w:tc>
        <w:tc>
          <w:tcPr>
            <w:tcW w:w="1525" w:type="dxa"/>
            <w:noWrap/>
            <w:hideMark/>
          </w:tcPr>
          <w:p w14:paraId="405B2FEA" w14:textId="77777777" w:rsidR="00C72154" w:rsidRPr="00DC4379" w:rsidRDefault="00C72154" w:rsidP="00DC4379">
            <w:pPr>
              <w:rPr>
                <w:rFonts w:ascii="Times New Roman" w:eastAsia="Times New Roman" w:hAnsi="Times New Roman" w:cs="Times New Roman"/>
                <w:sz w:val="20"/>
                <w:szCs w:val="20"/>
              </w:rPr>
            </w:pPr>
          </w:p>
        </w:tc>
        <w:tc>
          <w:tcPr>
            <w:tcW w:w="1462" w:type="dxa"/>
          </w:tcPr>
          <w:p w14:paraId="1FBC3B18" w14:textId="77777777" w:rsidR="00C72154" w:rsidRPr="00DC4379" w:rsidRDefault="00C72154" w:rsidP="00DC4379">
            <w:pPr>
              <w:rPr>
                <w:rFonts w:ascii="Times New Roman" w:eastAsia="Times New Roman" w:hAnsi="Times New Roman" w:cs="Times New Roman"/>
                <w:sz w:val="20"/>
                <w:szCs w:val="20"/>
              </w:rPr>
            </w:pPr>
          </w:p>
        </w:tc>
        <w:tc>
          <w:tcPr>
            <w:tcW w:w="1462" w:type="dxa"/>
            <w:noWrap/>
            <w:hideMark/>
          </w:tcPr>
          <w:p w14:paraId="0549FCA7" w14:textId="742DE522" w:rsidR="00C72154" w:rsidRPr="00DC4379" w:rsidRDefault="00C72154" w:rsidP="00DC4379">
            <w:pPr>
              <w:rPr>
                <w:rFonts w:ascii="Times New Roman" w:eastAsia="Times New Roman" w:hAnsi="Times New Roman" w:cs="Times New Roman"/>
                <w:sz w:val="20"/>
                <w:szCs w:val="20"/>
              </w:rPr>
            </w:pPr>
          </w:p>
        </w:tc>
        <w:tc>
          <w:tcPr>
            <w:tcW w:w="1462" w:type="dxa"/>
            <w:noWrap/>
            <w:hideMark/>
          </w:tcPr>
          <w:p w14:paraId="026E4194" w14:textId="77777777" w:rsidR="00C72154" w:rsidRPr="00DC4379" w:rsidRDefault="00C72154" w:rsidP="00DC4379">
            <w:pPr>
              <w:rPr>
                <w:rFonts w:ascii="Times New Roman" w:eastAsia="Times New Roman" w:hAnsi="Times New Roman" w:cs="Times New Roman"/>
                <w:sz w:val="20"/>
                <w:szCs w:val="20"/>
              </w:rPr>
            </w:pPr>
          </w:p>
        </w:tc>
      </w:tr>
      <w:tr w:rsidR="00C72154" w:rsidRPr="00DC4379" w14:paraId="2AE00BD2" w14:textId="77777777" w:rsidTr="00C72154">
        <w:trPr>
          <w:trHeight w:val="447"/>
        </w:trPr>
        <w:tc>
          <w:tcPr>
            <w:tcW w:w="1755" w:type="dxa"/>
            <w:noWrap/>
            <w:hideMark/>
          </w:tcPr>
          <w:p w14:paraId="7006B598" w14:textId="77777777" w:rsidR="00C72154" w:rsidRPr="00DC4379" w:rsidRDefault="00C72154" w:rsidP="00DC4379">
            <w:pPr>
              <w:jc w:val="right"/>
              <w:rPr>
                <w:rFonts w:ascii="Calibri" w:eastAsia="Times New Roman" w:hAnsi="Calibri" w:cs="Times New Roman"/>
                <w:color w:val="000000"/>
              </w:rPr>
            </w:pPr>
            <w:r w:rsidRPr="00DC4379">
              <w:rPr>
                <w:rFonts w:ascii="Calibri" w:eastAsia="Times New Roman" w:hAnsi="Calibri" w:cs="Times New Roman"/>
                <w:color w:val="000000"/>
              </w:rPr>
              <w:t>Primary</w:t>
            </w:r>
          </w:p>
        </w:tc>
        <w:tc>
          <w:tcPr>
            <w:tcW w:w="1462" w:type="dxa"/>
            <w:noWrap/>
            <w:hideMark/>
          </w:tcPr>
          <w:p w14:paraId="4C717CF5" w14:textId="77777777" w:rsidR="00C72154" w:rsidRPr="00DC4379" w:rsidRDefault="00C72154" w:rsidP="00DC4379">
            <w:pPr>
              <w:jc w:val="right"/>
              <w:rPr>
                <w:rFonts w:ascii="Calibri" w:eastAsia="Times New Roman" w:hAnsi="Calibri" w:cs="Times New Roman"/>
                <w:b/>
                <w:bCs/>
                <w:color w:val="000000"/>
              </w:rPr>
            </w:pPr>
            <w:r w:rsidRPr="00DC4379">
              <w:rPr>
                <w:rFonts w:ascii="Calibri" w:eastAsia="Times New Roman" w:hAnsi="Calibri" w:cs="Times New Roman"/>
                <w:b/>
                <w:bCs/>
                <w:color w:val="000000"/>
              </w:rPr>
              <w:t>56</w:t>
            </w:r>
          </w:p>
        </w:tc>
        <w:tc>
          <w:tcPr>
            <w:tcW w:w="1525" w:type="dxa"/>
            <w:hideMark/>
          </w:tcPr>
          <w:p w14:paraId="38D39CD8" w14:textId="071185D0" w:rsidR="00C72154" w:rsidRPr="00DC4379" w:rsidRDefault="00C72154" w:rsidP="00C72154">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9.22</w:t>
            </w:r>
          </w:p>
        </w:tc>
        <w:tc>
          <w:tcPr>
            <w:tcW w:w="1462" w:type="dxa"/>
          </w:tcPr>
          <w:p w14:paraId="46DA0E36" w14:textId="464733A2"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7.19</w:t>
            </w:r>
          </w:p>
        </w:tc>
        <w:tc>
          <w:tcPr>
            <w:tcW w:w="1462" w:type="dxa"/>
            <w:hideMark/>
          </w:tcPr>
          <w:p w14:paraId="2934DC24" w14:textId="592EEE93"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11.25</w:t>
            </w:r>
          </w:p>
        </w:tc>
        <w:tc>
          <w:tcPr>
            <w:tcW w:w="1462" w:type="dxa"/>
            <w:hideMark/>
          </w:tcPr>
          <w:p w14:paraId="6BEE2A77" w14:textId="49426CE6" w:rsidR="00C72154" w:rsidRPr="00DC4379" w:rsidRDefault="00C72154" w:rsidP="00DC4379">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9</w:t>
            </w:r>
            <w:r>
              <w:rPr>
                <w:rFonts w:ascii="Times New Roman" w:eastAsia="Times New Roman" w:hAnsi="Times New Roman" w:cs="Times New Roman"/>
                <w:color w:val="000000"/>
              </w:rPr>
              <w:t>.00</w:t>
            </w:r>
          </w:p>
        </w:tc>
      </w:tr>
      <w:tr w:rsidR="00C72154" w:rsidRPr="00DC4379" w14:paraId="1072CA8E" w14:textId="77777777" w:rsidTr="00C72154">
        <w:trPr>
          <w:trHeight w:val="447"/>
        </w:trPr>
        <w:tc>
          <w:tcPr>
            <w:tcW w:w="1755" w:type="dxa"/>
            <w:noWrap/>
            <w:hideMark/>
          </w:tcPr>
          <w:p w14:paraId="7032430A" w14:textId="77777777" w:rsidR="00C72154" w:rsidRPr="00DC4379" w:rsidRDefault="00C72154" w:rsidP="00DC4379">
            <w:pPr>
              <w:jc w:val="right"/>
              <w:rPr>
                <w:rFonts w:ascii="Calibri" w:eastAsia="Times New Roman" w:hAnsi="Calibri" w:cs="Times New Roman"/>
                <w:color w:val="000000"/>
              </w:rPr>
            </w:pPr>
            <w:r w:rsidRPr="00DC4379">
              <w:rPr>
                <w:rFonts w:ascii="Calibri" w:eastAsia="Times New Roman" w:hAnsi="Calibri" w:cs="Times New Roman"/>
                <w:color w:val="000000"/>
              </w:rPr>
              <w:t>Secondary</w:t>
            </w:r>
          </w:p>
        </w:tc>
        <w:tc>
          <w:tcPr>
            <w:tcW w:w="1462" w:type="dxa"/>
            <w:noWrap/>
            <w:hideMark/>
          </w:tcPr>
          <w:p w14:paraId="5342C8F9" w14:textId="77777777" w:rsidR="00C72154" w:rsidRPr="00DC4379" w:rsidRDefault="00C72154" w:rsidP="00DC4379">
            <w:pPr>
              <w:jc w:val="right"/>
              <w:rPr>
                <w:rFonts w:ascii="Calibri" w:eastAsia="Times New Roman" w:hAnsi="Calibri" w:cs="Times New Roman"/>
                <w:b/>
                <w:bCs/>
                <w:color w:val="000000"/>
              </w:rPr>
            </w:pPr>
            <w:r w:rsidRPr="00DC4379">
              <w:rPr>
                <w:rFonts w:ascii="Calibri" w:eastAsia="Times New Roman" w:hAnsi="Calibri" w:cs="Times New Roman"/>
                <w:b/>
                <w:bCs/>
                <w:color w:val="000000"/>
              </w:rPr>
              <w:t>1325</w:t>
            </w:r>
          </w:p>
        </w:tc>
        <w:tc>
          <w:tcPr>
            <w:tcW w:w="1525" w:type="dxa"/>
            <w:hideMark/>
          </w:tcPr>
          <w:p w14:paraId="4424D97D" w14:textId="4C26A06C" w:rsidR="00C72154" w:rsidRPr="00DC4379" w:rsidRDefault="00C72154" w:rsidP="00C72154">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14.5</w:t>
            </w:r>
            <w:r>
              <w:rPr>
                <w:rFonts w:ascii="Times New Roman" w:eastAsia="Times New Roman" w:hAnsi="Times New Roman" w:cs="Times New Roman"/>
                <w:color w:val="000000"/>
              </w:rPr>
              <w:t>1</w:t>
            </w:r>
          </w:p>
        </w:tc>
        <w:tc>
          <w:tcPr>
            <w:tcW w:w="1462" w:type="dxa"/>
          </w:tcPr>
          <w:p w14:paraId="1ABABFD2" w14:textId="00E531D8"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14.08</w:t>
            </w:r>
          </w:p>
        </w:tc>
        <w:tc>
          <w:tcPr>
            <w:tcW w:w="1462" w:type="dxa"/>
            <w:hideMark/>
          </w:tcPr>
          <w:p w14:paraId="54B872DD" w14:textId="0C0E9678"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14.92</w:t>
            </w:r>
          </w:p>
        </w:tc>
        <w:tc>
          <w:tcPr>
            <w:tcW w:w="1462" w:type="dxa"/>
            <w:hideMark/>
          </w:tcPr>
          <w:p w14:paraId="431B7C0D" w14:textId="03D4FFCC"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rPr>
              <w:t>13.00</w:t>
            </w:r>
          </w:p>
        </w:tc>
      </w:tr>
      <w:tr w:rsidR="00C72154" w:rsidRPr="00DC4379" w14:paraId="71A6D16C" w14:textId="77777777" w:rsidTr="00C72154">
        <w:trPr>
          <w:trHeight w:val="447"/>
        </w:trPr>
        <w:tc>
          <w:tcPr>
            <w:tcW w:w="1755" w:type="dxa"/>
            <w:noWrap/>
            <w:hideMark/>
          </w:tcPr>
          <w:p w14:paraId="1ED1562C" w14:textId="77777777" w:rsidR="00C72154" w:rsidRPr="00DC4379" w:rsidRDefault="00C72154" w:rsidP="00DC4379">
            <w:pPr>
              <w:rPr>
                <w:rFonts w:ascii="Calibri" w:eastAsia="Times New Roman" w:hAnsi="Calibri" w:cs="Times New Roman"/>
                <w:b/>
                <w:bCs/>
                <w:color w:val="000000"/>
              </w:rPr>
            </w:pPr>
            <w:r w:rsidRPr="00DC4379">
              <w:rPr>
                <w:rFonts w:ascii="Calibri" w:eastAsia="Times New Roman" w:hAnsi="Calibri" w:cs="Times New Roman"/>
                <w:b/>
                <w:bCs/>
                <w:color w:val="000000"/>
              </w:rPr>
              <w:t>2008-2013</w:t>
            </w:r>
          </w:p>
        </w:tc>
        <w:tc>
          <w:tcPr>
            <w:tcW w:w="1462" w:type="dxa"/>
            <w:noWrap/>
            <w:hideMark/>
          </w:tcPr>
          <w:p w14:paraId="5FE38C61" w14:textId="77777777" w:rsidR="00C72154" w:rsidRPr="00DC4379" w:rsidRDefault="00C72154" w:rsidP="00DC4379">
            <w:pPr>
              <w:rPr>
                <w:rFonts w:ascii="Calibri" w:eastAsia="Times New Roman" w:hAnsi="Calibri" w:cs="Times New Roman"/>
                <w:b/>
                <w:bCs/>
                <w:color w:val="000000"/>
              </w:rPr>
            </w:pPr>
          </w:p>
        </w:tc>
        <w:tc>
          <w:tcPr>
            <w:tcW w:w="1525" w:type="dxa"/>
            <w:noWrap/>
            <w:hideMark/>
          </w:tcPr>
          <w:p w14:paraId="378D607F" w14:textId="77777777" w:rsidR="00C72154" w:rsidRPr="00DC4379" w:rsidRDefault="00C72154" w:rsidP="00DC4379">
            <w:pPr>
              <w:rPr>
                <w:rFonts w:ascii="Times New Roman" w:eastAsia="Times New Roman" w:hAnsi="Times New Roman" w:cs="Times New Roman"/>
                <w:sz w:val="20"/>
                <w:szCs w:val="20"/>
              </w:rPr>
            </w:pPr>
          </w:p>
        </w:tc>
        <w:tc>
          <w:tcPr>
            <w:tcW w:w="1462" w:type="dxa"/>
          </w:tcPr>
          <w:p w14:paraId="65E73F1D" w14:textId="77777777" w:rsidR="00C72154" w:rsidRPr="00DC4379" w:rsidRDefault="00C72154" w:rsidP="00DC4379">
            <w:pPr>
              <w:rPr>
                <w:rFonts w:ascii="Times New Roman" w:eastAsia="Times New Roman" w:hAnsi="Times New Roman" w:cs="Times New Roman"/>
                <w:sz w:val="20"/>
                <w:szCs w:val="20"/>
              </w:rPr>
            </w:pPr>
          </w:p>
        </w:tc>
        <w:tc>
          <w:tcPr>
            <w:tcW w:w="1462" w:type="dxa"/>
            <w:noWrap/>
            <w:hideMark/>
          </w:tcPr>
          <w:p w14:paraId="45BBBA42" w14:textId="095D9344" w:rsidR="00C72154" w:rsidRPr="00DC4379" w:rsidRDefault="00C72154" w:rsidP="00DC4379">
            <w:pPr>
              <w:rPr>
                <w:rFonts w:ascii="Times New Roman" w:eastAsia="Times New Roman" w:hAnsi="Times New Roman" w:cs="Times New Roman"/>
                <w:sz w:val="20"/>
                <w:szCs w:val="20"/>
              </w:rPr>
            </w:pPr>
          </w:p>
        </w:tc>
        <w:tc>
          <w:tcPr>
            <w:tcW w:w="1462" w:type="dxa"/>
            <w:noWrap/>
            <w:hideMark/>
          </w:tcPr>
          <w:p w14:paraId="4DE552D0" w14:textId="77777777" w:rsidR="00C72154" w:rsidRPr="00DC4379" w:rsidRDefault="00C72154" w:rsidP="00DC4379">
            <w:pPr>
              <w:rPr>
                <w:rFonts w:ascii="Times New Roman" w:eastAsia="Times New Roman" w:hAnsi="Times New Roman" w:cs="Times New Roman"/>
                <w:sz w:val="20"/>
                <w:szCs w:val="20"/>
              </w:rPr>
            </w:pPr>
          </w:p>
        </w:tc>
      </w:tr>
      <w:tr w:rsidR="00C72154" w:rsidRPr="00DC4379" w14:paraId="23F7F4CB" w14:textId="77777777" w:rsidTr="00C72154">
        <w:trPr>
          <w:trHeight w:val="447"/>
        </w:trPr>
        <w:tc>
          <w:tcPr>
            <w:tcW w:w="1755" w:type="dxa"/>
            <w:noWrap/>
            <w:hideMark/>
          </w:tcPr>
          <w:p w14:paraId="27BD109A" w14:textId="77777777" w:rsidR="00C72154" w:rsidRPr="00DC4379" w:rsidRDefault="00C72154" w:rsidP="00DC4379">
            <w:pPr>
              <w:jc w:val="right"/>
              <w:rPr>
                <w:rFonts w:ascii="Calibri" w:eastAsia="Times New Roman" w:hAnsi="Calibri" w:cs="Times New Roman"/>
                <w:color w:val="000000"/>
              </w:rPr>
            </w:pPr>
            <w:r w:rsidRPr="00DC4379">
              <w:rPr>
                <w:rFonts w:ascii="Calibri" w:eastAsia="Times New Roman" w:hAnsi="Calibri" w:cs="Times New Roman"/>
                <w:color w:val="000000"/>
              </w:rPr>
              <w:t>Primary</w:t>
            </w:r>
          </w:p>
        </w:tc>
        <w:tc>
          <w:tcPr>
            <w:tcW w:w="1462" w:type="dxa"/>
            <w:noWrap/>
            <w:hideMark/>
          </w:tcPr>
          <w:p w14:paraId="1B329ADF" w14:textId="77777777" w:rsidR="00C72154" w:rsidRPr="00DC4379" w:rsidRDefault="00C72154" w:rsidP="00DC4379">
            <w:pPr>
              <w:jc w:val="right"/>
              <w:rPr>
                <w:rFonts w:ascii="Calibri" w:eastAsia="Times New Roman" w:hAnsi="Calibri" w:cs="Times New Roman"/>
                <w:b/>
                <w:bCs/>
                <w:color w:val="000000"/>
              </w:rPr>
            </w:pPr>
            <w:r w:rsidRPr="00DC4379">
              <w:rPr>
                <w:rFonts w:ascii="Calibri" w:eastAsia="Times New Roman" w:hAnsi="Calibri" w:cs="Times New Roman"/>
                <w:b/>
                <w:bCs/>
                <w:color w:val="000000"/>
              </w:rPr>
              <w:t>62</w:t>
            </w:r>
          </w:p>
        </w:tc>
        <w:tc>
          <w:tcPr>
            <w:tcW w:w="1525" w:type="dxa"/>
            <w:hideMark/>
          </w:tcPr>
          <w:p w14:paraId="7F6C15F4" w14:textId="44B98518" w:rsidR="00C72154" w:rsidRPr="00DC4379" w:rsidRDefault="00C72154" w:rsidP="00C72154">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9.5</w:t>
            </w:r>
            <w:r>
              <w:rPr>
                <w:rFonts w:ascii="Times New Roman" w:eastAsia="Times New Roman" w:hAnsi="Times New Roman" w:cs="Times New Roman"/>
                <w:color w:val="000000"/>
              </w:rPr>
              <w:t>9</w:t>
            </w:r>
          </w:p>
        </w:tc>
        <w:tc>
          <w:tcPr>
            <w:tcW w:w="1462" w:type="dxa"/>
          </w:tcPr>
          <w:p w14:paraId="3DF8F198" w14:textId="1C33CD73"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7.78</w:t>
            </w:r>
          </w:p>
        </w:tc>
        <w:tc>
          <w:tcPr>
            <w:tcW w:w="1462" w:type="dxa"/>
            <w:hideMark/>
          </w:tcPr>
          <w:p w14:paraId="709333A3" w14:textId="7FC36598"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11.39</w:t>
            </w:r>
          </w:p>
        </w:tc>
        <w:tc>
          <w:tcPr>
            <w:tcW w:w="1462" w:type="dxa"/>
            <w:hideMark/>
          </w:tcPr>
          <w:p w14:paraId="5A30FA1C" w14:textId="1CE1224D"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9.45</w:t>
            </w:r>
          </w:p>
        </w:tc>
      </w:tr>
      <w:tr w:rsidR="00C72154" w:rsidRPr="00DC4379" w14:paraId="7AE9A5B1" w14:textId="77777777" w:rsidTr="00C72154">
        <w:trPr>
          <w:trHeight w:val="464"/>
        </w:trPr>
        <w:tc>
          <w:tcPr>
            <w:tcW w:w="1755" w:type="dxa"/>
            <w:noWrap/>
            <w:hideMark/>
          </w:tcPr>
          <w:p w14:paraId="7A76C372" w14:textId="77777777" w:rsidR="00C72154" w:rsidRPr="00DC4379" w:rsidRDefault="00C72154" w:rsidP="00DC4379">
            <w:pPr>
              <w:jc w:val="right"/>
              <w:rPr>
                <w:rFonts w:ascii="Calibri" w:eastAsia="Times New Roman" w:hAnsi="Calibri" w:cs="Times New Roman"/>
                <w:color w:val="000000"/>
              </w:rPr>
            </w:pPr>
            <w:r w:rsidRPr="00DC4379">
              <w:rPr>
                <w:rFonts w:ascii="Calibri" w:eastAsia="Times New Roman" w:hAnsi="Calibri" w:cs="Times New Roman"/>
                <w:color w:val="000000"/>
              </w:rPr>
              <w:t>Secondary</w:t>
            </w:r>
          </w:p>
        </w:tc>
        <w:tc>
          <w:tcPr>
            <w:tcW w:w="1462" w:type="dxa"/>
            <w:noWrap/>
            <w:hideMark/>
          </w:tcPr>
          <w:p w14:paraId="3934D2FE" w14:textId="77777777" w:rsidR="00C72154" w:rsidRPr="00DC4379" w:rsidRDefault="00C72154" w:rsidP="00DC4379">
            <w:pPr>
              <w:jc w:val="right"/>
              <w:rPr>
                <w:rFonts w:ascii="Calibri" w:eastAsia="Times New Roman" w:hAnsi="Calibri" w:cs="Times New Roman"/>
                <w:b/>
                <w:bCs/>
                <w:color w:val="000000"/>
              </w:rPr>
            </w:pPr>
            <w:r w:rsidRPr="00DC4379">
              <w:rPr>
                <w:rFonts w:ascii="Calibri" w:eastAsia="Times New Roman" w:hAnsi="Calibri" w:cs="Times New Roman"/>
                <w:b/>
                <w:bCs/>
                <w:color w:val="000000"/>
              </w:rPr>
              <w:t>1080</w:t>
            </w:r>
          </w:p>
        </w:tc>
        <w:tc>
          <w:tcPr>
            <w:tcW w:w="1525" w:type="dxa"/>
            <w:hideMark/>
          </w:tcPr>
          <w:p w14:paraId="3A8F2760" w14:textId="1D65E750" w:rsidR="00C72154" w:rsidRPr="00DC4379" w:rsidRDefault="00C72154" w:rsidP="00C72154">
            <w:pPr>
              <w:jc w:val="center"/>
              <w:rPr>
                <w:rFonts w:ascii="Times New Roman" w:eastAsia="Times New Roman" w:hAnsi="Times New Roman" w:cs="Times New Roman"/>
                <w:color w:val="000000"/>
              </w:rPr>
            </w:pPr>
            <w:r w:rsidRPr="00DC4379">
              <w:rPr>
                <w:rFonts w:ascii="Times New Roman" w:eastAsia="Times New Roman" w:hAnsi="Times New Roman" w:cs="Times New Roman"/>
                <w:color w:val="000000"/>
              </w:rPr>
              <w:t>17.26</w:t>
            </w:r>
          </w:p>
        </w:tc>
        <w:tc>
          <w:tcPr>
            <w:tcW w:w="1462" w:type="dxa"/>
          </w:tcPr>
          <w:p w14:paraId="0300BED9" w14:textId="6967B65C"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16.78</w:t>
            </w:r>
          </w:p>
        </w:tc>
        <w:tc>
          <w:tcPr>
            <w:tcW w:w="1462" w:type="dxa"/>
            <w:hideMark/>
          </w:tcPr>
          <w:p w14:paraId="20E66432" w14:textId="1E2D3DE3" w:rsidR="00C72154" w:rsidRPr="00DC4379" w:rsidRDefault="00C72154" w:rsidP="00DC43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17.82</w:t>
            </w:r>
          </w:p>
        </w:tc>
        <w:tc>
          <w:tcPr>
            <w:tcW w:w="1462" w:type="dxa"/>
            <w:hideMark/>
          </w:tcPr>
          <w:p w14:paraId="419E8F3B" w14:textId="48ABFE76" w:rsidR="00C72154" w:rsidRPr="00DC4379" w:rsidRDefault="00C72154" w:rsidP="00C72154">
            <w:pPr>
              <w:jc w:val="center"/>
              <w:rPr>
                <w:rFonts w:ascii="Times New Roman" w:eastAsia="Times New Roman" w:hAnsi="Times New Roman" w:cs="Times New Roman"/>
                <w:color w:val="000000"/>
              </w:rPr>
            </w:pPr>
            <w:r w:rsidRPr="001B7999">
              <w:rPr>
                <w:rFonts w:ascii="Times New Roman" w:eastAsia="Times New Roman" w:hAnsi="Times New Roman" w:cs="Times New Roman"/>
              </w:rPr>
              <w:t>15.11</w:t>
            </w:r>
          </w:p>
        </w:tc>
      </w:tr>
    </w:tbl>
    <w:p w14:paraId="514E96FF" w14:textId="77777777" w:rsidR="00CE5BD8" w:rsidRDefault="00CE5BD8" w:rsidP="00360FD5">
      <w:pPr>
        <w:spacing w:line="480" w:lineRule="auto"/>
        <w:outlineLvl w:val="0"/>
      </w:pPr>
    </w:p>
    <w:p w14:paraId="23C2518F" w14:textId="77777777" w:rsidR="00EC6EC9" w:rsidRDefault="00EC6EC9" w:rsidP="006B7974">
      <w:pPr>
        <w:spacing w:line="480" w:lineRule="auto"/>
      </w:pPr>
    </w:p>
    <w:p w14:paraId="5A88A41D" w14:textId="77777777" w:rsidR="003B1983" w:rsidRDefault="003B1983" w:rsidP="006B7974">
      <w:pPr>
        <w:spacing w:line="480" w:lineRule="auto"/>
      </w:pPr>
    </w:p>
    <w:p w14:paraId="206D849D" w14:textId="34A3F340" w:rsidR="007B528E" w:rsidRDefault="004F1FE0" w:rsidP="009B7498">
      <w:pPr>
        <w:spacing w:line="480" w:lineRule="auto"/>
        <w:jc w:val="center"/>
        <w:outlineLvl w:val="0"/>
        <w:rPr>
          <w:b/>
        </w:rPr>
      </w:pPr>
      <w:r>
        <w:rPr>
          <w:b/>
        </w:rPr>
        <w:lastRenderedPageBreak/>
        <w:t>4.0 DISCUSSION</w:t>
      </w:r>
    </w:p>
    <w:p w14:paraId="25E88FE8" w14:textId="13B3AE99" w:rsidR="00DD426F" w:rsidRDefault="006A50AD" w:rsidP="00393B34">
      <w:pPr>
        <w:spacing w:line="480" w:lineRule="auto"/>
        <w:outlineLvl w:val="0"/>
      </w:pPr>
      <w:r>
        <w:t xml:space="preserve">The co-dominance </w:t>
      </w:r>
      <w:r w:rsidR="001A1DE1">
        <w:t>in dengue incidence between DENV1 and DEVN</w:t>
      </w:r>
      <w:r>
        <w:t>2</w:t>
      </w:r>
      <w:r w:rsidR="001A1DE1">
        <w:t xml:space="preserve"> serotypes</w:t>
      </w:r>
      <w:r>
        <w:t xml:space="preserve"> for multiple years represents a departure from what has been reported before in Thailand</w:t>
      </w:r>
      <w:r>
        <w:rPr>
          <w:vertAlign w:val="superscript"/>
        </w:rPr>
        <w:t>18</w:t>
      </w:r>
      <w:r>
        <w:t xml:space="preserve">. </w:t>
      </w:r>
      <w:r w:rsidR="001A1DE1">
        <w:t>Historically, b</w:t>
      </w:r>
      <w:r>
        <w:t>oth Bangkok and Kamphaeng Phet have found one serotype is always dominant over the other three.  The large number of dengue outbreaks</w:t>
      </w:r>
      <w:r w:rsidR="001A1DE1">
        <w:t xml:space="preserve"> from 1994-2013</w:t>
      </w:r>
      <w:r>
        <w:t xml:space="preserve"> was unusual due to a three to five-year cyclic pattern in Thailand. </w:t>
      </w:r>
      <w:r w:rsidR="001A1DE1">
        <w:t xml:space="preserve">This pattern may be accounted of difference in age at onset over time, and </w:t>
      </w:r>
      <w:r>
        <w:t xml:space="preserve">different dengue serotypes, year, and the interaction between the two variables. </w:t>
      </w:r>
    </w:p>
    <w:p w14:paraId="0DBE1075" w14:textId="77777777" w:rsidR="006A50AD" w:rsidRPr="006A50AD" w:rsidRDefault="006A50AD" w:rsidP="006A50AD">
      <w:pPr>
        <w:spacing w:line="480" w:lineRule="auto"/>
        <w:ind w:firstLine="720"/>
        <w:outlineLvl w:val="0"/>
      </w:pPr>
    </w:p>
    <w:p w14:paraId="4BADBC7F" w14:textId="6325382A" w:rsidR="00DD426F" w:rsidRPr="00557D70" w:rsidRDefault="00360FD5" w:rsidP="00DD426F">
      <w:pPr>
        <w:spacing w:line="480" w:lineRule="auto"/>
        <w:jc w:val="center"/>
        <w:outlineLvl w:val="0"/>
        <w:rPr>
          <w:b/>
        </w:rPr>
      </w:pPr>
      <w:r>
        <w:rPr>
          <w:b/>
        </w:rPr>
        <w:t>4.1 Summary</w:t>
      </w:r>
    </w:p>
    <w:p w14:paraId="774FC362" w14:textId="31894DFA" w:rsidR="00557D70" w:rsidRPr="00F542A1" w:rsidRDefault="00D07DF8" w:rsidP="00393B34">
      <w:pPr>
        <w:spacing w:line="480" w:lineRule="auto"/>
        <w:outlineLvl w:val="0"/>
      </w:pPr>
      <w:r>
        <w:t>The results of this obse</w:t>
      </w:r>
      <w:r w:rsidR="001A1DE1">
        <w:t>rvational study of dengue show</w:t>
      </w:r>
      <w:r>
        <w:t xml:space="preserve"> that a</w:t>
      </w:r>
      <w:r w:rsidR="004F1FE0">
        <w:t xml:space="preserve">ll four DENV serotypes circulated continuously in Kamphaeng Phet from 1994-2013, causing both acute primary and secondary dengue in residents of all ages. </w:t>
      </w:r>
      <w:r w:rsidR="00813B96">
        <w:t>The equality of percentage of cases of both DENV1 and DENV2 is a departure from what is seen in the literature</w:t>
      </w:r>
      <w:r w:rsidR="009F2CBB">
        <w:t xml:space="preserve"> for dengue in Thailand</w:t>
      </w:r>
      <w:r w:rsidR="00813B96">
        <w:t>.  Both Kamphaeng Phet and Bangkok have seen a higher incidence of one over the other</w:t>
      </w:r>
      <w:r>
        <w:t xml:space="preserve"> in the literature</w:t>
      </w:r>
      <w:r w:rsidR="00813B96">
        <w:t>. Clapham found DENV1 to be more prevalent in children in Bangkok over forty years, and Endy found DENV3 to be highest in Kamppheng Phet</w:t>
      </w:r>
      <w:r w:rsidR="00443AD5">
        <w:rPr>
          <w:vertAlign w:val="superscript"/>
        </w:rPr>
        <w:t>24</w:t>
      </w:r>
      <w:r w:rsidR="009E167D">
        <w:rPr>
          <w:vertAlign w:val="superscript"/>
        </w:rPr>
        <w:t>,2</w:t>
      </w:r>
      <w:r w:rsidR="00443AD5">
        <w:rPr>
          <w:vertAlign w:val="superscript"/>
        </w:rPr>
        <w:t>5</w:t>
      </w:r>
      <w:r w:rsidR="00813B96">
        <w:t>. This departure may be due to a smaller sample size and different population demographics</w:t>
      </w:r>
      <w:r w:rsidR="001A1DE1">
        <w:t xml:space="preserve"> tha</w:t>
      </w:r>
      <w:r w:rsidR="009E167D">
        <w:t>n Clapham</w:t>
      </w:r>
      <w:r w:rsidR="009E167D">
        <w:rPr>
          <w:vertAlign w:val="superscript"/>
        </w:rPr>
        <w:t>2</w:t>
      </w:r>
      <w:r w:rsidR="00443AD5">
        <w:rPr>
          <w:vertAlign w:val="superscript"/>
        </w:rPr>
        <w:t>5</w:t>
      </w:r>
      <w:r w:rsidR="009E167D">
        <w:t xml:space="preserve">. </w:t>
      </w:r>
      <w:r w:rsidR="00AC6B12">
        <w:t xml:space="preserve"> Clapham was looking at only children in Bangkok, at a level three MOPH pediatric hospital. </w:t>
      </w:r>
      <w:r w:rsidR="001A1DE1">
        <w:t xml:space="preserve"> The Endy et al</w:t>
      </w:r>
      <w:r w:rsidR="009E167D">
        <w:t xml:space="preserve"> </w:t>
      </w:r>
      <w:r w:rsidR="00813B96">
        <w:t xml:space="preserve">finding </w:t>
      </w:r>
      <w:r w:rsidR="001A1DE1">
        <w:t xml:space="preserve">in </w:t>
      </w:r>
      <w:r w:rsidR="00813B96">
        <w:t>1998-2000</w:t>
      </w:r>
      <w:r w:rsidR="001A1DE1">
        <w:t xml:space="preserve"> represents</w:t>
      </w:r>
      <w:r w:rsidR="00813B96">
        <w:t xml:space="preserve"> a much smaller sample size then KPPH’s cases</w:t>
      </w:r>
      <w:r w:rsidR="00AC6B12">
        <w:t>, looking only at school-age children</w:t>
      </w:r>
      <w:r w:rsidR="009E167D">
        <w:rPr>
          <w:vertAlign w:val="superscript"/>
        </w:rPr>
        <w:t>2</w:t>
      </w:r>
      <w:r w:rsidR="00443AD5">
        <w:rPr>
          <w:vertAlign w:val="superscript"/>
        </w:rPr>
        <w:t>4</w:t>
      </w:r>
      <w:r w:rsidR="00813B96">
        <w:t xml:space="preserve">.  This equality of </w:t>
      </w:r>
      <w:r w:rsidR="009F2CBB">
        <w:t>cases between DENV1, which</w:t>
      </w:r>
      <w:r w:rsidR="00813B96">
        <w:t xml:space="preserve"> is more virulent as a primary</w:t>
      </w:r>
      <w:r w:rsidR="009F2CBB">
        <w:t xml:space="preserve"> infection, and DENV2, which is more </w:t>
      </w:r>
      <w:r w:rsidR="009F2CBB">
        <w:lastRenderedPageBreak/>
        <w:t>virulent</w:t>
      </w:r>
      <w:r w:rsidR="00813B96">
        <w:t xml:space="preserve"> as a secondary infection</w:t>
      </w:r>
      <w:r w:rsidR="009F2CBB">
        <w:t>,</w:t>
      </w:r>
      <w:r w:rsidR="001A1DE1">
        <w:t xml:space="preserve"> may be one</w:t>
      </w:r>
      <w:r w:rsidR="008C6DAA">
        <w:t xml:space="preserve"> reason why there have been more outbreaks in</w:t>
      </w:r>
      <w:r w:rsidR="001A1DE1">
        <w:t xml:space="preserve"> recent years</w:t>
      </w:r>
      <w:r w:rsidR="008C6DAA">
        <w:t xml:space="preserve">. </w:t>
      </w:r>
      <w:r w:rsidR="00AC6B12">
        <w:t xml:space="preserve"> </w:t>
      </w:r>
    </w:p>
    <w:p w14:paraId="3BF52F11" w14:textId="794FF6C7" w:rsidR="00CD7AB5" w:rsidRDefault="00CD7AB5" w:rsidP="008C6DAA">
      <w:pPr>
        <w:spacing w:line="480" w:lineRule="auto"/>
      </w:pPr>
      <w:r>
        <w:tab/>
        <w:t>The number of outbreak</w:t>
      </w:r>
      <w:r w:rsidR="008C6DAA">
        <w:t xml:space="preserve"> years was startling to see. Usually dengue is cyclic with outbreaks every three to five years in Thailand. </w:t>
      </w:r>
      <w:r>
        <w:t>DENV3 incidence seemed to peak every twelve years. DENV1 seemed to follow a</w:t>
      </w:r>
      <w:r w:rsidR="00AC6B12">
        <w:t>n</w:t>
      </w:r>
      <w:r>
        <w:t xml:space="preserve"> outbreak every 3 years after the end of the last one, but that outbreak could last for one to three years. </w:t>
      </w:r>
    </w:p>
    <w:p w14:paraId="72F31853" w14:textId="69E1C21F" w:rsidR="008C6DAA" w:rsidRDefault="008C6DAA" w:rsidP="00CD7AB5">
      <w:pPr>
        <w:spacing w:line="480" w:lineRule="auto"/>
        <w:ind w:firstLine="720"/>
      </w:pPr>
      <w:r>
        <w:t>The number of consecutive years of 100+ cases of the same serotype either says that the number of cases used to recognize an outb</w:t>
      </w:r>
      <w:r w:rsidR="00870360">
        <w:t>reak is too low, or that there is a</w:t>
      </w:r>
      <w:r w:rsidR="001A1DE1">
        <w:t>n alternate explanation not examined</w:t>
      </w:r>
      <w:r w:rsidR="00870360">
        <w:t xml:space="preserve"> in this paper</w:t>
      </w:r>
      <w:r w:rsidR="001A1DE1">
        <w:t>. After an outbreak was finished,</w:t>
      </w:r>
      <w:r w:rsidR="00CD7AB5">
        <w:t xml:space="preserve"> serotype numbers went back down to endemic levels of approximately </w:t>
      </w:r>
      <w:r w:rsidR="001A1DE1">
        <w:t>10-35 hospitalized cases a year</w:t>
      </w:r>
      <w:r w:rsidR="00CD7AB5">
        <w:t xml:space="preserve">. </w:t>
      </w:r>
      <w:r w:rsidR="00AC6B12">
        <w:t>It would be better to look at incidence</w:t>
      </w:r>
      <w:r w:rsidR="001A1DE1">
        <w:t xml:space="preserve"> rates</w:t>
      </w:r>
      <w:r w:rsidR="00AC6B12">
        <w:t xml:space="preserve">, rather than just the number of cases. </w:t>
      </w:r>
      <w:r w:rsidR="009F2CBB">
        <w:t xml:space="preserve">Unfortunately, population data for the entire time-period was not available to calculate </w:t>
      </w:r>
      <w:r w:rsidR="0008090E">
        <w:t>incidence</w:t>
      </w:r>
      <w:r w:rsidR="001A1DE1">
        <w:t xml:space="preserve"> rates</w:t>
      </w:r>
      <w:r w:rsidR="009F2CBB">
        <w:t xml:space="preserve">. </w:t>
      </w:r>
    </w:p>
    <w:p w14:paraId="21D24ADC" w14:textId="5EE04776" w:rsidR="00443AD5" w:rsidRDefault="00CD7AB5" w:rsidP="00425433">
      <w:pPr>
        <w:spacing w:line="480" w:lineRule="auto"/>
        <w:ind w:firstLine="720"/>
      </w:pPr>
      <w:r>
        <w:t>Of the five years with the highest tot</w:t>
      </w:r>
      <w:r w:rsidR="001A1DE1">
        <w:t>al number of cases, four of the years</w:t>
      </w:r>
      <w:r>
        <w:t xml:space="preserve"> h</w:t>
      </w:r>
      <w:r w:rsidR="001A1DE1">
        <w:t>ad two serotypes in an outbreak.</w:t>
      </w:r>
      <w:r>
        <w:t xml:space="preserve"> </w:t>
      </w:r>
      <w:r w:rsidR="001A1DE1">
        <w:t xml:space="preserve"> I</w:t>
      </w:r>
      <w:r>
        <w:t xml:space="preserve">n </w:t>
      </w:r>
      <w:r w:rsidR="001A1DE1">
        <w:t xml:space="preserve">the </w:t>
      </w:r>
      <w:r>
        <w:t>2001</w:t>
      </w:r>
      <w:r w:rsidR="001A1DE1">
        <w:t xml:space="preserve"> outbreak, three serotypes were involved.</w:t>
      </w:r>
      <w:r>
        <w:t xml:space="preserve"> 2013 had the second highest amount of cases, but only had DENV3 in an outbreak. The large amount of DENV3 cases (largest amount of cases for a single serotype for a single year for the entire 20 years) could be because of the </w:t>
      </w:r>
      <w:r w:rsidR="009E167D">
        <w:t xml:space="preserve">re-emergence of DENV3. DENV3 is seen to be more virulent in primary infections then other serotypes. The large case load might also be explained by this infection being the third or fourth infection for people, which usually does cause more severe dengue </w:t>
      </w:r>
      <w:r w:rsidR="00F7332A">
        <w:t>symptoms</w:t>
      </w:r>
      <w:r w:rsidR="009E167D">
        <w:t>.</w:t>
      </w:r>
    </w:p>
    <w:p w14:paraId="09880B0C" w14:textId="48AEC657" w:rsidR="00425433" w:rsidRDefault="00425433" w:rsidP="00425433">
      <w:pPr>
        <w:spacing w:line="480" w:lineRule="auto"/>
        <w:ind w:firstLine="720"/>
      </w:pPr>
      <w:r>
        <w:t>Breaking the acute primary and secondary</w:t>
      </w:r>
      <w:r w:rsidR="00D4669D">
        <w:t xml:space="preserve"> infections down by year gave</w:t>
      </w:r>
      <w:r>
        <w:t xml:space="preserve"> an idea of what percent</w:t>
      </w:r>
      <w:r w:rsidR="00D4669D">
        <w:t xml:space="preserve">age of the cases were primary or secondary. The largest number of primary </w:t>
      </w:r>
      <w:r w:rsidR="00D4669D">
        <w:lastRenderedPageBreak/>
        <w:t>cases each year come in the same years that outbreaks of e</w:t>
      </w:r>
      <w:r w:rsidR="00870360">
        <w:t>ither DENV1 or DENV3 happened. Further analysis could</w:t>
      </w:r>
      <w:r w:rsidR="00D4669D">
        <w:t xml:space="preserve"> </w:t>
      </w:r>
      <w:r w:rsidR="00870360">
        <w:t>determine if the DENV1 and DENV</w:t>
      </w:r>
      <w:r w:rsidR="00D4669D">
        <w:t xml:space="preserve">3 </w:t>
      </w:r>
      <w:r w:rsidR="00870360">
        <w:t xml:space="preserve">cases at KPPH </w:t>
      </w:r>
      <w:r w:rsidR="00D4669D">
        <w:t xml:space="preserve">are more virulent as primary infections then the other serotypes. </w:t>
      </w:r>
    </w:p>
    <w:p w14:paraId="3D3E7FFC" w14:textId="55F5D6D1" w:rsidR="00AF2C89" w:rsidRDefault="00AF2C89" w:rsidP="00360FD5">
      <w:pPr>
        <w:spacing w:line="480" w:lineRule="auto"/>
        <w:ind w:firstLine="720"/>
      </w:pPr>
      <w:r>
        <w:t>While mean age</w:t>
      </w:r>
      <w:r w:rsidR="0036353B">
        <w:t xml:space="preserve"> of dengue infection</w:t>
      </w:r>
      <w:r>
        <w:t xml:space="preserve"> has been increasing in Thailand</w:t>
      </w:r>
      <w:r w:rsidR="0036353B">
        <w:t xml:space="preserve"> over the twenty years of this analysis</w:t>
      </w:r>
      <w:r>
        <w:t>, t</w:t>
      </w:r>
      <w:r w:rsidR="00AC6B12">
        <w:t>here was no explanation in the literature to account for</w:t>
      </w:r>
      <w:r w:rsidR="0036353B">
        <w:t xml:space="preserve"> such large mean age increases</w:t>
      </w:r>
      <w:r>
        <w:t xml:space="preserve"> in the </w:t>
      </w:r>
      <w:r w:rsidR="0036353B">
        <w:t xml:space="preserve">five-year </w:t>
      </w:r>
      <w:r>
        <w:t xml:space="preserve">intervals.  The mean age and standard deviation for all infections was similar to the </w:t>
      </w:r>
      <w:r w:rsidR="0036353B">
        <w:t>secondary infections, d</w:t>
      </w:r>
      <w:r w:rsidR="0008090E">
        <w:t xml:space="preserve">ue to </w:t>
      </w:r>
      <w:r w:rsidR="00F92E34">
        <w:t xml:space="preserve">secondary cases being </w:t>
      </w:r>
      <w:r w:rsidR="0008090E">
        <w:t xml:space="preserve">over </w:t>
      </w:r>
      <w:r w:rsidR="00F92E34">
        <w:t>80% of the</w:t>
      </w:r>
      <w:r w:rsidR="0008090E">
        <w:t xml:space="preserve"> confirmed cases compared to</w:t>
      </w:r>
      <w:r w:rsidR="00F92E34">
        <w:t xml:space="preserve"> </w:t>
      </w:r>
      <w:r w:rsidR="0008090E">
        <w:t xml:space="preserve">5% of the confirmed cases being primary </w:t>
      </w:r>
      <w:r w:rsidR="00870360">
        <w:t>infections.</w:t>
      </w:r>
      <w:r>
        <w:t xml:space="preserve"> </w:t>
      </w:r>
      <w:r w:rsidR="007D5E1A">
        <w:t>Using regression, year in study, co-circulating year, and dengue serotype accounted for</w:t>
      </w:r>
      <w:r w:rsidR="0008090E">
        <w:t xml:space="preserve"> 17% of va</w:t>
      </w:r>
      <w:r w:rsidR="006D4A39">
        <w:t xml:space="preserve">riation for age. </w:t>
      </w:r>
    </w:p>
    <w:p w14:paraId="22F4022F" w14:textId="5FC88F88" w:rsidR="00D5776D" w:rsidRDefault="00AF2C89" w:rsidP="00425433">
      <w:pPr>
        <w:spacing w:line="480" w:lineRule="auto"/>
        <w:ind w:firstLine="720"/>
      </w:pPr>
      <w:r>
        <w:t xml:space="preserve">The </w:t>
      </w:r>
      <w:r w:rsidR="0064215E">
        <w:t xml:space="preserve">consistent </w:t>
      </w:r>
      <w:r>
        <w:t>three-year</w:t>
      </w:r>
      <w:r w:rsidR="001A1DE1">
        <w:t xml:space="preserve"> mean</w:t>
      </w:r>
      <w:r w:rsidR="006D4A39">
        <w:t xml:space="preserve"> age increase for every five-year interval</w:t>
      </w:r>
      <w:r>
        <w:t xml:space="preserve"> is not something that has been seen before. Each</w:t>
      </w:r>
      <w:r w:rsidR="006D4A39">
        <w:t xml:space="preserve"> age group was tested for the mean age within their age group for each five-year interval to determine </w:t>
      </w:r>
      <w:r>
        <w:t xml:space="preserve">if there was any </w:t>
      </w:r>
      <w:r w:rsidR="008611C9">
        <w:t>variation in each</w:t>
      </w:r>
      <w:r w:rsidR="006D4A39">
        <w:t xml:space="preserve"> five-year</w:t>
      </w:r>
      <w:r w:rsidR="008611C9">
        <w:t xml:space="preserve"> interval</w:t>
      </w:r>
      <w:r w:rsidR="006D4A39">
        <w:t xml:space="preserve"> that might explain the consistent increase.</w:t>
      </w:r>
      <w:r w:rsidR="008611C9">
        <w:t xml:space="preserve"> There were no </w:t>
      </w:r>
      <w:r w:rsidR="001A1DE1">
        <w:t>statistically</w:t>
      </w:r>
      <w:r w:rsidR="006D4A39">
        <w:t xml:space="preserve"> </w:t>
      </w:r>
      <w:r w:rsidR="008611C9">
        <w:t>significant findings</w:t>
      </w:r>
      <w:r w:rsidR="006D4A39">
        <w:t xml:space="preserve"> for the different age groups</w:t>
      </w:r>
      <w:r w:rsidR="008611C9">
        <w:t xml:space="preserve">, just a larger number of adults having secondary dengue. </w:t>
      </w:r>
      <w:r w:rsidR="0064215E">
        <w:t xml:space="preserve">From 1994-1998, no adult over 39 had secondary dengue. By 2009-2013, there were 54 in the 40-59 age range, and 5 in the 60+ age categories. </w:t>
      </w:r>
    </w:p>
    <w:p w14:paraId="62F4A97B" w14:textId="44CEFACF" w:rsidR="00AF2C89" w:rsidRDefault="001A1DE1" w:rsidP="00425433">
      <w:pPr>
        <w:spacing w:line="480" w:lineRule="auto"/>
        <w:ind w:firstLine="720"/>
      </w:pPr>
      <w:r>
        <w:t>One</w:t>
      </w:r>
      <w:r w:rsidR="0064215E">
        <w:t xml:space="preserve"> possible reason for the increas</w:t>
      </w:r>
      <w:r>
        <w:t>e in adult population infection</w:t>
      </w:r>
      <w:r w:rsidR="0064215E">
        <w:t xml:space="preserve"> is th</w:t>
      </w:r>
      <w:r>
        <w:t>at the last five years had DENV</w:t>
      </w:r>
      <w:r w:rsidR="0064215E">
        <w:t xml:space="preserve">3 reintroduced to the population after a long period of low prevalence. </w:t>
      </w:r>
      <w:r>
        <w:t>Another reason may be</w:t>
      </w:r>
      <w:r w:rsidR="00D5776D">
        <w:t xml:space="preserve"> that the </w:t>
      </w:r>
      <w:r w:rsidR="00A9691C">
        <w:t xml:space="preserve">genotype </w:t>
      </w:r>
      <w:r w:rsidR="00D5776D">
        <w:t xml:space="preserve">strains being introduced are not the </w:t>
      </w:r>
      <w:r w:rsidR="00A9691C">
        <w:t>common Asian</w:t>
      </w:r>
      <w:r w:rsidR="00D5776D">
        <w:t xml:space="preserve"> DENV strains people are used to.  </w:t>
      </w:r>
      <w:r w:rsidR="0042673D">
        <w:t>Geno</w:t>
      </w:r>
      <w:r w:rsidR="00A9691C">
        <w:t xml:space="preserve">types of the four different dengue serotypes are different around the world. A genotype that traveled to Thailand from the Americas due to globalization might cause higher viremia in a patient than an Asian genotype, possibly </w:t>
      </w:r>
      <w:r w:rsidR="00A9691C">
        <w:lastRenderedPageBreak/>
        <w:t xml:space="preserve">leading to higher rates of hospitalization due to increased severity. </w:t>
      </w:r>
      <w:r w:rsidR="00C1118C">
        <w:t>Another potential reason is that as Thailand’s popul</w:t>
      </w:r>
      <w:r w:rsidR="00FF6BEF">
        <w:t xml:space="preserve">ation is getting older. As </w:t>
      </w:r>
      <w:r w:rsidR="00C1118C">
        <w:t>people get older,</w:t>
      </w:r>
      <w:r w:rsidR="00CB3C2A">
        <w:t xml:space="preserve"> co-morbidities and a waning immune system makes</w:t>
      </w:r>
      <w:r w:rsidR="00D5776D">
        <w:t xml:space="preserve"> them potentially susceptible to a strain they mig</w:t>
      </w:r>
      <w:r w:rsidR="00CB3C2A">
        <w:t xml:space="preserve">ht have had when they were </w:t>
      </w:r>
      <w:r w:rsidR="00D5776D">
        <w:t>younger</w:t>
      </w:r>
      <w:r w:rsidR="00CB3C2A">
        <w:rPr>
          <w:vertAlign w:val="superscript"/>
        </w:rPr>
        <w:t>27</w:t>
      </w:r>
      <w:r w:rsidR="00D5776D">
        <w:t xml:space="preserve">. </w:t>
      </w:r>
      <w:r w:rsidR="00CB3C2A">
        <w:t xml:space="preserve"> </w:t>
      </w:r>
    </w:p>
    <w:p w14:paraId="4B19A46D" w14:textId="64A0F6B5" w:rsidR="0064215E" w:rsidRDefault="00870360" w:rsidP="00425433">
      <w:pPr>
        <w:spacing w:line="480" w:lineRule="auto"/>
        <w:ind w:firstLine="720"/>
      </w:pPr>
      <w:r>
        <w:t>The</w:t>
      </w:r>
      <w:r w:rsidR="00066D4A">
        <w:t xml:space="preserve"> increase in the age at primary infection over time does not have</w:t>
      </w:r>
      <w:r>
        <w:t xml:space="preserve"> </w:t>
      </w:r>
      <w:r w:rsidR="00066D4A">
        <w:t>a straight-forward explanation</w:t>
      </w:r>
      <w:r w:rsidR="0064215E">
        <w:t xml:space="preserve">. Thailand has seen an increase in the average </w:t>
      </w:r>
      <w:r w:rsidR="00CB3C2A">
        <w:t>age of dengue cases, but it</w:t>
      </w:r>
      <w:r>
        <w:t>s</w:t>
      </w:r>
      <w:r w:rsidR="00CB3C2A">
        <w:t xml:space="preserve"> average age of a case </w:t>
      </w:r>
      <w:r w:rsidR="0064215E">
        <w:t>jumped from the 5-9 to the 10-14 age group in 2002</w:t>
      </w:r>
      <w:r w:rsidR="00CB3C2A">
        <w:rPr>
          <w:vertAlign w:val="superscript"/>
        </w:rPr>
        <w:t>19</w:t>
      </w:r>
      <w:r w:rsidR="0064215E">
        <w:t xml:space="preserve">.  There should </w:t>
      </w:r>
      <w:r w:rsidR="00CB3C2A">
        <w:t xml:space="preserve">not have been such a large increase </w:t>
      </w:r>
      <w:r w:rsidR="00993F17">
        <w:t xml:space="preserve">in the </w:t>
      </w:r>
      <w:r w:rsidR="00CB3C2A">
        <w:t>mean age of primary infection</w:t>
      </w:r>
      <w:r w:rsidR="00993F17">
        <w:t xml:space="preserve"> cases</w:t>
      </w:r>
      <w:r w:rsidR="00CB3C2A">
        <w:t xml:space="preserve"> from 1999-2003 to 2004-2008</w:t>
      </w:r>
      <w:r w:rsidR="0064215E">
        <w:t>.</w:t>
      </w:r>
      <w:r w:rsidR="00CB3C2A">
        <w:t xml:space="preserve"> While there were three outbreak years from 1999-2003,</w:t>
      </w:r>
      <w:r w:rsidR="001B7050">
        <w:t xml:space="preserve"> </w:t>
      </w:r>
      <w:r w:rsidR="00066D4A">
        <w:t>including the large outbreak i</w:t>
      </w:r>
      <w:r w:rsidR="00CB3C2A">
        <w:t xml:space="preserve">n 2001, the interval from 2003-2008 had </w:t>
      </w:r>
      <w:r w:rsidR="001B7050">
        <w:t xml:space="preserve">multiple outbreak years as well. </w:t>
      </w:r>
      <w:r w:rsidR="0064215E">
        <w:t xml:space="preserve"> Looking at pr</w:t>
      </w:r>
      <w:r w:rsidR="001B7050">
        <w:t xml:space="preserve">imary infection </w:t>
      </w:r>
      <w:r w:rsidR="00066D4A">
        <w:t xml:space="preserve">by </w:t>
      </w:r>
      <w:r w:rsidR="001B7050">
        <w:t>age for all suspected</w:t>
      </w:r>
      <w:r w:rsidR="0064215E">
        <w:t xml:space="preserve"> cases, no</w:t>
      </w:r>
      <w:r w:rsidR="00066D4A">
        <w:t>t just the confirmed cases, show</w:t>
      </w:r>
      <w:r w:rsidR="0064215E">
        <w:t>s us a similar jump. The median age is 6.00</w:t>
      </w:r>
      <w:r w:rsidR="004D602F">
        <w:t xml:space="preserve"> for the first decade, before it jumps to 9.2, and lowers to 9.0 for the final five years. </w:t>
      </w:r>
    </w:p>
    <w:p w14:paraId="4F8A1100" w14:textId="14AF9FD7" w:rsidR="006A50AD" w:rsidRDefault="00155D7A" w:rsidP="00AC6B12">
      <w:pPr>
        <w:spacing w:line="480" w:lineRule="auto"/>
      </w:pPr>
      <w:r>
        <w:tab/>
        <w:t>A possi</w:t>
      </w:r>
      <w:r w:rsidR="00D5776D">
        <w:t xml:space="preserve">ble reason for the </w:t>
      </w:r>
      <w:r w:rsidR="008141BA">
        <w:t xml:space="preserve">large increase in </w:t>
      </w:r>
      <w:r w:rsidR="00066D4A">
        <w:t xml:space="preserve">mean </w:t>
      </w:r>
      <w:r w:rsidR="008141BA">
        <w:t>age</w:t>
      </w:r>
      <w:r w:rsidR="00066D4A">
        <w:t xml:space="preserve"> at infection</w:t>
      </w:r>
      <w:r w:rsidR="008141BA">
        <w:t xml:space="preserve"> is a large decrease in force of infection. After the 2001 outbreak, DENV-1 and DENV-3 were not as prevalent. </w:t>
      </w:r>
      <w:r w:rsidR="00C55224">
        <w:t>The secondary</w:t>
      </w:r>
      <w:r w:rsidR="001B7050">
        <w:t xml:space="preserve"> infections also jumped, lending</w:t>
      </w:r>
      <w:r w:rsidR="00C55224">
        <w:t xml:space="preserve"> credence </w:t>
      </w:r>
      <w:r w:rsidR="001B7050">
        <w:t>to the force of infection possibly playing a part in the increase of average age</w:t>
      </w:r>
      <w:r w:rsidR="00066D4A">
        <w:t>. Birth rates may also</w:t>
      </w:r>
      <w:r w:rsidR="00C55224">
        <w:t xml:space="preserve"> have an effect as well. In 2004, there was a </w:t>
      </w:r>
      <w:r w:rsidR="001B7050">
        <w:t>c</w:t>
      </w:r>
      <w:r w:rsidR="00C55224">
        <w:t>rude birth rate of 10/1000</w:t>
      </w:r>
      <w:r w:rsidR="00AC0F01">
        <w:t>; In 2012 it was 8.79/1000. In the first part of 2004, 522,000 of 726,000 people in Kamphaeng Phet were over 15 years of age. In 2013 there are almost 599,000 of 727,500 people. In nine years, the population over 15 has increased by 10%. A lower birth rate and an aging population are thought to decrease the number of susceptible individuals.</w:t>
      </w:r>
    </w:p>
    <w:p w14:paraId="49AF4ED5" w14:textId="77777777" w:rsidR="00FC618F" w:rsidRPr="00AC6B12" w:rsidRDefault="00FC618F" w:rsidP="00AC6B12">
      <w:pPr>
        <w:spacing w:line="480" w:lineRule="auto"/>
      </w:pPr>
    </w:p>
    <w:p w14:paraId="75AA89D6" w14:textId="7B7E9F76" w:rsidR="004970C6" w:rsidRDefault="004970C6" w:rsidP="00265B2D">
      <w:pPr>
        <w:spacing w:line="480" w:lineRule="auto"/>
        <w:ind w:firstLine="720"/>
        <w:jc w:val="center"/>
        <w:outlineLvl w:val="0"/>
        <w:rPr>
          <w:b/>
        </w:rPr>
      </w:pPr>
      <w:r w:rsidRPr="004970C6">
        <w:rPr>
          <w:b/>
        </w:rPr>
        <w:lastRenderedPageBreak/>
        <w:t>4.2. Limitations</w:t>
      </w:r>
    </w:p>
    <w:p w14:paraId="2456772C" w14:textId="5C1C09DE" w:rsidR="002B68E0" w:rsidRDefault="00066D4A" w:rsidP="00393B34">
      <w:pPr>
        <w:spacing w:line="480" w:lineRule="auto"/>
      </w:pPr>
      <w:r>
        <w:t>The analysis in this report may be influence by</w:t>
      </w:r>
      <w:r w:rsidR="00A22F29">
        <w:t xml:space="preserve"> several limitations. Most importantly,</w:t>
      </w:r>
      <w:r>
        <w:t xml:space="preserve"> the analysis is based upon</w:t>
      </w:r>
      <w:r w:rsidR="00A22F29">
        <w:t xml:space="preserve"> hospitalized data, which doesn’t show the entire scope of dengue in the Kamphaeng Phet Province</w:t>
      </w:r>
      <w:r>
        <w:t>.</w:t>
      </w:r>
      <w:r w:rsidR="002B68E0">
        <w:t xml:space="preserve"> </w:t>
      </w:r>
      <w:r>
        <w:t xml:space="preserve"> </w:t>
      </w:r>
      <w:r w:rsidR="002B68E0">
        <w:t xml:space="preserve">Another important limitation is the possibility of double dipping. The de-identified data only told the age at time of visit. A person could be in the database more than once, in multiple age and serotype categories.  Dengue infection usually gives around 6 months cross-protective effect against other serotypes, depending on the infecting serotype. A person could potentially be hospitalized twice in a year for dengue, making the hospital look like it had more people show up then there were. </w:t>
      </w:r>
    </w:p>
    <w:p w14:paraId="62FB0650" w14:textId="415D640E" w:rsidR="00360FD5" w:rsidRDefault="002B68E0" w:rsidP="00360FD5">
      <w:pPr>
        <w:spacing w:line="480" w:lineRule="auto"/>
        <w:ind w:firstLine="720"/>
      </w:pPr>
      <w:r>
        <w:t>A third limitation is the lack of data on dengue severity in the samples</w:t>
      </w:r>
      <w:r w:rsidR="000803B6">
        <w:t xml:space="preserve">. </w:t>
      </w:r>
      <w:r w:rsidR="00360FD5">
        <w:t>Dengue fever and dengue hemorrhagic fever data was available from 1994 to 2006</w:t>
      </w:r>
      <w:r w:rsidR="000803B6">
        <w:t>, with 3501 dengue cases having a diagnosis of severity over that time period</w:t>
      </w:r>
      <w:r w:rsidR="00360FD5">
        <w:t xml:space="preserve">. After that, there were no records found with the DF/DHF diagnosis, most likely because Thailand was a site of early testing of the new 2009 WHO dengue classification. The records until 2007 do see a higher proportion of DHF cases then DF, because these are hospitalized cases. The ratio between the DF and DHF cases ranges from 1:1.8 to 1:5.4.   The year with the largest ratio discrepancy was 1998, which was not a large outbreak year, but 40% of the cases were DHF. 2001 had a ratio of 1:3.11, which was around the average ratio. </w:t>
      </w:r>
    </w:p>
    <w:p w14:paraId="15D77B88" w14:textId="36D43EC3" w:rsidR="00360FD5" w:rsidRDefault="00360FD5" w:rsidP="000803B6">
      <w:pPr>
        <w:spacing w:line="480" w:lineRule="auto"/>
        <w:ind w:firstLine="720"/>
      </w:pPr>
      <w:r>
        <w:t>91% of infant cases were DHF. There was nothing significant for the other age groups, with the older ages having a slightly higher percentage of DHF cases, which comes with multiple exposures to dengue. The assumption is that most adults are experiencing secondary infections, possibly their third or fourth.</w:t>
      </w:r>
    </w:p>
    <w:p w14:paraId="3148250D" w14:textId="0E5F58D8" w:rsidR="002B68E0" w:rsidRDefault="000803B6" w:rsidP="00A22F29">
      <w:pPr>
        <w:spacing w:line="480" w:lineRule="auto"/>
        <w:ind w:firstLine="720"/>
      </w:pPr>
      <w:r>
        <w:lastRenderedPageBreak/>
        <w:t>These analysis results were</w:t>
      </w:r>
      <w:r w:rsidR="0083654B">
        <w:t xml:space="preserve"> not consistent enough to be looked at as a confounding factor for the later part of the twenty years, making it harder to compare that time period from KPPH to Bangkok, or other parts of Thailand. It also doesn’t make it possible to prove a decrease in force of infection. </w:t>
      </w:r>
    </w:p>
    <w:p w14:paraId="54BA3072" w14:textId="77777777" w:rsidR="00265B2D" w:rsidRDefault="00265B2D" w:rsidP="00A22F29">
      <w:pPr>
        <w:spacing w:line="480" w:lineRule="auto"/>
        <w:ind w:firstLine="720"/>
      </w:pPr>
    </w:p>
    <w:p w14:paraId="05E1616E" w14:textId="77777777" w:rsidR="00265B2D" w:rsidRDefault="00265B2D" w:rsidP="00A22F29">
      <w:pPr>
        <w:spacing w:line="480" w:lineRule="auto"/>
        <w:ind w:firstLine="720"/>
      </w:pPr>
    </w:p>
    <w:p w14:paraId="7BFB20D7" w14:textId="77777777" w:rsidR="00D47B3F" w:rsidRDefault="00D47B3F" w:rsidP="00A22F29">
      <w:pPr>
        <w:spacing w:line="480" w:lineRule="auto"/>
        <w:ind w:firstLine="720"/>
      </w:pPr>
    </w:p>
    <w:p w14:paraId="6C27D801" w14:textId="77777777" w:rsidR="00D47B3F" w:rsidRDefault="00D47B3F" w:rsidP="00A22F29">
      <w:pPr>
        <w:spacing w:line="480" w:lineRule="auto"/>
        <w:ind w:firstLine="720"/>
      </w:pPr>
    </w:p>
    <w:p w14:paraId="4F96A0F6" w14:textId="77777777" w:rsidR="00D47B3F" w:rsidRDefault="00D47B3F" w:rsidP="00A22F29">
      <w:pPr>
        <w:spacing w:line="480" w:lineRule="auto"/>
        <w:ind w:firstLine="720"/>
      </w:pPr>
    </w:p>
    <w:p w14:paraId="60A9EE48" w14:textId="77777777" w:rsidR="00D47B3F" w:rsidRDefault="00D47B3F" w:rsidP="00A22F29">
      <w:pPr>
        <w:spacing w:line="480" w:lineRule="auto"/>
        <w:ind w:firstLine="720"/>
      </w:pPr>
    </w:p>
    <w:p w14:paraId="72273617" w14:textId="77777777" w:rsidR="00D47B3F" w:rsidRDefault="00D47B3F" w:rsidP="00A22F29">
      <w:pPr>
        <w:spacing w:line="480" w:lineRule="auto"/>
        <w:ind w:firstLine="720"/>
      </w:pPr>
    </w:p>
    <w:p w14:paraId="65530CCF" w14:textId="77777777" w:rsidR="00D47B3F" w:rsidRDefault="00D47B3F" w:rsidP="00A22F29">
      <w:pPr>
        <w:spacing w:line="480" w:lineRule="auto"/>
        <w:ind w:firstLine="720"/>
      </w:pPr>
    </w:p>
    <w:p w14:paraId="3E1F562A" w14:textId="77777777" w:rsidR="00D47B3F" w:rsidRDefault="00D47B3F" w:rsidP="00A22F29">
      <w:pPr>
        <w:spacing w:line="480" w:lineRule="auto"/>
        <w:ind w:firstLine="720"/>
      </w:pPr>
    </w:p>
    <w:p w14:paraId="5339517D" w14:textId="77777777" w:rsidR="00D47B3F" w:rsidRDefault="00D47B3F" w:rsidP="00A22F29">
      <w:pPr>
        <w:spacing w:line="480" w:lineRule="auto"/>
        <w:ind w:firstLine="720"/>
      </w:pPr>
    </w:p>
    <w:p w14:paraId="3AB36BE1" w14:textId="77777777" w:rsidR="00066D4A" w:rsidRDefault="00066D4A" w:rsidP="00A22F29">
      <w:pPr>
        <w:spacing w:line="480" w:lineRule="auto"/>
        <w:ind w:firstLine="720"/>
      </w:pPr>
    </w:p>
    <w:p w14:paraId="103E759A" w14:textId="77777777" w:rsidR="00066D4A" w:rsidRDefault="00066D4A" w:rsidP="00A22F29">
      <w:pPr>
        <w:spacing w:line="480" w:lineRule="auto"/>
        <w:ind w:firstLine="720"/>
      </w:pPr>
    </w:p>
    <w:p w14:paraId="473246C6" w14:textId="77777777" w:rsidR="00066D4A" w:rsidRDefault="00066D4A" w:rsidP="00A22F29">
      <w:pPr>
        <w:spacing w:line="480" w:lineRule="auto"/>
        <w:ind w:firstLine="720"/>
      </w:pPr>
    </w:p>
    <w:p w14:paraId="6ED1EBC0" w14:textId="77777777" w:rsidR="00066D4A" w:rsidRDefault="00066D4A" w:rsidP="00A22F29">
      <w:pPr>
        <w:spacing w:line="480" w:lineRule="auto"/>
        <w:ind w:firstLine="720"/>
      </w:pPr>
    </w:p>
    <w:p w14:paraId="064E0C14" w14:textId="77777777" w:rsidR="00066D4A" w:rsidRDefault="00066D4A" w:rsidP="00A22F29">
      <w:pPr>
        <w:spacing w:line="480" w:lineRule="auto"/>
        <w:ind w:firstLine="720"/>
      </w:pPr>
    </w:p>
    <w:p w14:paraId="7B322152" w14:textId="77777777" w:rsidR="00066D4A" w:rsidRDefault="00066D4A" w:rsidP="00A22F29">
      <w:pPr>
        <w:spacing w:line="480" w:lineRule="auto"/>
        <w:ind w:firstLine="720"/>
      </w:pPr>
    </w:p>
    <w:p w14:paraId="58F80625" w14:textId="77777777" w:rsidR="00D47B3F" w:rsidRDefault="00D47B3F" w:rsidP="00A22F29">
      <w:pPr>
        <w:spacing w:line="480" w:lineRule="auto"/>
        <w:ind w:firstLine="720"/>
      </w:pPr>
    </w:p>
    <w:p w14:paraId="2AAA0FFA" w14:textId="77777777" w:rsidR="0083654B" w:rsidRDefault="0083654B" w:rsidP="007D5E1A">
      <w:pPr>
        <w:spacing w:line="480" w:lineRule="auto"/>
      </w:pPr>
    </w:p>
    <w:p w14:paraId="71A7D530" w14:textId="77777777" w:rsidR="007D5E1A" w:rsidRDefault="007D5E1A" w:rsidP="007D5E1A">
      <w:pPr>
        <w:spacing w:line="480" w:lineRule="auto"/>
      </w:pPr>
    </w:p>
    <w:p w14:paraId="5933C59B" w14:textId="0C270051" w:rsidR="0083654B" w:rsidRDefault="0083654B" w:rsidP="009B7498">
      <w:pPr>
        <w:spacing w:line="480" w:lineRule="auto"/>
        <w:ind w:firstLine="720"/>
        <w:jc w:val="center"/>
        <w:outlineLvl w:val="0"/>
        <w:rPr>
          <w:b/>
        </w:rPr>
      </w:pPr>
      <w:r>
        <w:rPr>
          <w:b/>
        </w:rPr>
        <w:lastRenderedPageBreak/>
        <w:t>5.0 PUBLIC HEALTH SIGNIFICANCE</w:t>
      </w:r>
    </w:p>
    <w:p w14:paraId="012DD397" w14:textId="77777777" w:rsidR="00A402AB" w:rsidRDefault="0083654B" w:rsidP="00393B34">
      <w:pPr>
        <w:spacing w:line="480" w:lineRule="auto"/>
      </w:pPr>
      <w:r>
        <w:t xml:space="preserve">Dengue is one of most important vector borne infectious diseases in the world. There is no doubt that it is of critical public health significance. </w:t>
      </w:r>
      <w:r w:rsidR="00DF5C50">
        <w:t xml:space="preserve">As the majority of the world population now lives in cities in the tropics, compared to rural areas, it creates more people for the </w:t>
      </w:r>
      <w:r w:rsidR="00DF5C50">
        <w:rPr>
          <w:i/>
        </w:rPr>
        <w:t xml:space="preserve">Aedes </w:t>
      </w:r>
      <w:r w:rsidR="00DF5C50">
        <w:t xml:space="preserve">mosquito to infect. Shifting global climate has allowed both </w:t>
      </w:r>
      <w:r w:rsidR="00DF5C50">
        <w:rPr>
          <w:i/>
        </w:rPr>
        <w:t xml:space="preserve">A.aegypti </w:t>
      </w:r>
      <w:r w:rsidR="00DF5C50" w:rsidRPr="00DF5C50">
        <w:t>and</w:t>
      </w:r>
      <w:r w:rsidR="00DF5C50">
        <w:rPr>
          <w:i/>
        </w:rPr>
        <w:t xml:space="preserve"> A.albopicuts</w:t>
      </w:r>
      <w:r w:rsidR="00DF5C50">
        <w:t xml:space="preserve"> to expand to almost all areas in the lower and middle latitudes. The expansion increases the amount of people at risk of dengue. </w:t>
      </w:r>
      <w:r w:rsidR="00E522BC">
        <w:t xml:space="preserve">An estimate from the WHO suggests that around 4 billion people live in an area at risk for dengue. As climate changes, sea levels rise, and global warning continues, this number is expected to increase. </w:t>
      </w:r>
    </w:p>
    <w:p w14:paraId="03434E50" w14:textId="5AFAC12B" w:rsidR="0083654B" w:rsidRDefault="00A402AB" w:rsidP="0083654B">
      <w:pPr>
        <w:spacing w:line="480" w:lineRule="auto"/>
        <w:ind w:firstLine="720"/>
      </w:pPr>
      <w:r>
        <w:t xml:space="preserve">Another worrying issue is the spread of the other </w:t>
      </w:r>
      <w:r>
        <w:rPr>
          <w:i/>
        </w:rPr>
        <w:t xml:space="preserve">Aedes </w:t>
      </w:r>
      <w:r>
        <w:t xml:space="preserve">species able to transmit. </w:t>
      </w:r>
      <w:r w:rsidR="00E522BC">
        <w:t xml:space="preserve"> </w:t>
      </w:r>
      <w:r>
        <w:rPr>
          <w:i/>
        </w:rPr>
        <w:t xml:space="preserve">A.albopictus </w:t>
      </w:r>
      <w:r>
        <w:t xml:space="preserve">is the secondary vector, but studies say it is the superior larval species then </w:t>
      </w:r>
      <w:r>
        <w:rPr>
          <w:i/>
        </w:rPr>
        <w:t xml:space="preserve">A.aegypti. </w:t>
      </w:r>
      <w:r>
        <w:t xml:space="preserve">Like </w:t>
      </w:r>
      <w:r>
        <w:rPr>
          <w:i/>
        </w:rPr>
        <w:t xml:space="preserve">aegypti, </w:t>
      </w:r>
      <w:r>
        <w:t xml:space="preserve">it prefers humans and urban areas. It is a much more incredibly aggressive mosquito then </w:t>
      </w:r>
      <w:r>
        <w:rPr>
          <w:i/>
        </w:rPr>
        <w:t>aegypti</w:t>
      </w:r>
      <w:r>
        <w:t xml:space="preserve"> and its habitat is able to reach farther north, and still expanding</w:t>
      </w:r>
      <w:r>
        <w:rPr>
          <w:i/>
        </w:rPr>
        <w:t xml:space="preserve">.  </w:t>
      </w:r>
    </w:p>
    <w:p w14:paraId="58EFC99A" w14:textId="0D96F722" w:rsidR="00A402AB" w:rsidRPr="00A402AB" w:rsidRDefault="00A402AB" w:rsidP="0083654B">
      <w:pPr>
        <w:spacing w:line="480" w:lineRule="auto"/>
        <w:ind w:firstLine="720"/>
      </w:pPr>
      <w:r>
        <w:t xml:space="preserve">Global travel is making it easier for diseases to spread quickly to different locations from more distant places. The Hawaii dengue outbreak started from an infected traveler from South America, and it has flourished. This infection may become more established among the mosquito population within the Hawaii population, and from there can travel more readily to other parts of the United States and world. </w:t>
      </w:r>
    </w:p>
    <w:p w14:paraId="3C4FF6A1" w14:textId="77777777" w:rsidR="00557D70" w:rsidRDefault="00557D70" w:rsidP="004F1FE0">
      <w:pPr>
        <w:spacing w:line="480" w:lineRule="auto"/>
        <w:rPr>
          <w:b/>
        </w:rPr>
      </w:pPr>
    </w:p>
    <w:p w14:paraId="06246EA4" w14:textId="77777777" w:rsidR="00D07DF8" w:rsidRDefault="00D07DF8" w:rsidP="004F1FE0">
      <w:pPr>
        <w:spacing w:line="480" w:lineRule="auto"/>
        <w:rPr>
          <w:b/>
        </w:rPr>
      </w:pPr>
    </w:p>
    <w:p w14:paraId="4648E537" w14:textId="77777777" w:rsidR="00F542A1" w:rsidRDefault="00F542A1" w:rsidP="004F1FE0">
      <w:pPr>
        <w:spacing w:line="480" w:lineRule="auto"/>
        <w:rPr>
          <w:b/>
        </w:rPr>
      </w:pPr>
    </w:p>
    <w:p w14:paraId="758E382F" w14:textId="77777777" w:rsidR="00F542A1" w:rsidRDefault="00F542A1" w:rsidP="004F1FE0">
      <w:pPr>
        <w:spacing w:line="480" w:lineRule="auto"/>
        <w:rPr>
          <w:b/>
        </w:rPr>
      </w:pPr>
    </w:p>
    <w:p w14:paraId="586A6DA6" w14:textId="45F3FD79" w:rsidR="00455EAE" w:rsidRDefault="00557D70" w:rsidP="00455EAE">
      <w:pPr>
        <w:spacing w:line="480" w:lineRule="auto"/>
        <w:jc w:val="center"/>
        <w:rPr>
          <w:b/>
        </w:rPr>
      </w:pPr>
      <w:r>
        <w:rPr>
          <w:b/>
        </w:rPr>
        <w:lastRenderedPageBreak/>
        <w:t>6.0 CONCLUSION</w:t>
      </w:r>
    </w:p>
    <w:p w14:paraId="0CC9CE85" w14:textId="77777777" w:rsidR="00455EAE" w:rsidRDefault="00455EAE" w:rsidP="00455EAE">
      <w:pPr>
        <w:spacing w:line="480" w:lineRule="auto"/>
        <w:jc w:val="center"/>
        <w:rPr>
          <w:b/>
        </w:rPr>
      </w:pPr>
    </w:p>
    <w:p w14:paraId="4C702AEB" w14:textId="35309435" w:rsidR="002408E2" w:rsidRDefault="00455EAE" w:rsidP="004F1FE0">
      <w:pPr>
        <w:spacing w:line="480" w:lineRule="auto"/>
      </w:pPr>
      <w:r>
        <w:t>Dengue is a disease that has been around for years, but has been increasing in prevalence and importance for years.  Detailed and ongoing observation of this disease is important to understand how it is spreading and what patterns there are. This observational data is important to give a comprehensive overview of Kamphaeng Phet.</w:t>
      </w:r>
    </w:p>
    <w:p w14:paraId="469456C1" w14:textId="05E95EEB" w:rsidR="002408E2" w:rsidRDefault="002408E2" w:rsidP="004F1FE0">
      <w:pPr>
        <w:spacing w:line="480" w:lineRule="auto"/>
      </w:pPr>
      <w:r>
        <w:tab/>
        <w:t xml:space="preserve">This study demonstrated serotype cycling over the years in Kamphaeng Phet that has not been well documented previously for long periods of time. DENV-1 and DENV-2 were equally dominant for a period of time, and DENV-4 has never reached the same peaks incase numbers of other serotypes. An almost 12-year cycle for DENV-3 has been found. In recent years, all four serotypes have been more consistently circulating, usually resulting in co-dominant outbreak years. </w:t>
      </w:r>
    </w:p>
    <w:p w14:paraId="182209F0" w14:textId="4525234F" w:rsidR="00455EAE" w:rsidRPr="00455EAE" w:rsidRDefault="00557D70" w:rsidP="004F1FE0">
      <w:pPr>
        <w:spacing w:line="480" w:lineRule="auto"/>
      </w:pPr>
      <w:r>
        <w:tab/>
      </w:r>
      <w:r w:rsidR="00455EAE">
        <w:t xml:space="preserve">An updated analysis of trends in Kamphaeng Phet is timely for understanding what may happen in the future. Thailand is an important setting for studying DENV transmission due to it’s hyperendmicity and strong surveillance system. </w:t>
      </w:r>
      <w:r w:rsidR="002408E2">
        <w:t xml:space="preserve">Description and understanding of how this dengue epidemiology has developed and interacted with population changes over twenty years is important for other countries who might be or are currently facing the same challenges Thailand has. </w:t>
      </w:r>
    </w:p>
    <w:p w14:paraId="49F26C04" w14:textId="77777777" w:rsidR="00AC0F01" w:rsidRPr="00AC0F01" w:rsidRDefault="00AC0F01" w:rsidP="004F1FE0">
      <w:pPr>
        <w:spacing w:line="480" w:lineRule="auto"/>
        <w:rPr>
          <w:b/>
        </w:rPr>
      </w:pPr>
    </w:p>
    <w:p w14:paraId="050D2BBC" w14:textId="77777777" w:rsidR="00265B2D" w:rsidRDefault="00265B2D" w:rsidP="00997F3B">
      <w:pPr>
        <w:spacing w:line="480" w:lineRule="auto"/>
      </w:pPr>
    </w:p>
    <w:p w14:paraId="65538F08" w14:textId="77777777" w:rsidR="00265B2D" w:rsidRDefault="00265B2D" w:rsidP="00997F3B">
      <w:pPr>
        <w:spacing w:line="480" w:lineRule="auto"/>
      </w:pPr>
    </w:p>
    <w:p w14:paraId="0974CD79" w14:textId="77777777" w:rsidR="00993F17" w:rsidRDefault="00993F17" w:rsidP="00997F3B">
      <w:pPr>
        <w:spacing w:line="480" w:lineRule="auto"/>
      </w:pPr>
    </w:p>
    <w:sdt>
      <w:sdtPr>
        <w:rPr>
          <w:rFonts w:asciiTheme="minorHAnsi" w:eastAsiaTheme="minorHAnsi" w:hAnsiTheme="minorHAnsi" w:cstheme="minorBidi"/>
          <w:b w:val="0"/>
          <w:bCs w:val="0"/>
          <w:color w:val="auto"/>
          <w:sz w:val="24"/>
          <w:szCs w:val="24"/>
        </w:rPr>
        <w:id w:val="-1667540876"/>
        <w:docPartObj>
          <w:docPartGallery w:val="Bibliographies"/>
          <w:docPartUnique/>
        </w:docPartObj>
      </w:sdtPr>
      <w:sdtEndPr/>
      <w:sdtContent>
        <w:p w14:paraId="4B2F40A5" w14:textId="77777777" w:rsidR="00914292" w:rsidRPr="00393B34" w:rsidRDefault="00557D70" w:rsidP="00557D70">
          <w:pPr>
            <w:pStyle w:val="Heading1"/>
            <w:jc w:val="center"/>
            <w:rPr>
              <w:rFonts w:asciiTheme="minorHAnsi" w:hAnsiTheme="minorHAnsi"/>
              <w:color w:val="000000" w:themeColor="text1"/>
              <w:sz w:val="28"/>
              <w:szCs w:val="28"/>
            </w:rPr>
          </w:pPr>
          <w:r w:rsidRPr="00393B34">
            <w:rPr>
              <w:rFonts w:asciiTheme="minorHAnsi" w:hAnsiTheme="minorHAnsi"/>
              <w:color w:val="000000" w:themeColor="text1"/>
              <w:sz w:val="28"/>
              <w:szCs w:val="28"/>
            </w:rPr>
            <w:t>BIBLIOGRAPHY</w:t>
          </w:r>
        </w:p>
        <w:p w14:paraId="4F34B903" w14:textId="53072CC9" w:rsidR="00557D70" w:rsidRDefault="00557D70" w:rsidP="00557D70"/>
        <w:p w14:paraId="37671D4E" w14:textId="77777777" w:rsidR="00557D70" w:rsidRPr="00557D70" w:rsidRDefault="00557D70" w:rsidP="00557D70"/>
        <w:p w14:paraId="2C347CC9" w14:textId="55A919D7" w:rsidR="00914292" w:rsidRDefault="00914292" w:rsidP="00914292">
          <w:pPr>
            <w:pStyle w:val="Bibliography"/>
            <w:numPr>
              <w:ilvl w:val="0"/>
              <w:numId w:val="11"/>
            </w:numPr>
            <w:rPr>
              <w:noProof/>
            </w:rPr>
          </w:pPr>
          <w:r>
            <w:rPr>
              <w:noProof/>
            </w:rPr>
            <w:t xml:space="preserve">Endy, T., Nisalak, A., &amp; and Vaughn, D. (2008). Diagnosis of Denge Virus Infection. In </w:t>
          </w:r>
          <w:r>
            <w:rPr>
              <w:i/>
              <w:iCs/>
              <w:noProof/>
            </w:rPr>
            <w:t>Dengue</w:t>
          </w:r>
          <w:r>
            <w:rPr>
              <w:noProof/>
            </w:rPr>
            <w:t xml:space="preserve"> (pp. 327-60). London: Imperial College Press.</w:t>
          </w:r>
        </w:p>
        <w:p w14:paraId="14DCAE4E" w14:textId="18FBF408" w:rsidR="00914292" w:rsidRDefault="00914292" w:rsidP="00914292">
          <w:pPr>
            <w:pStyle w:val="Bibliography"/>
            <w:numPr>
              <w:ilvl w:val="0"/>
              <w:numId w:val="11"/>
            </w:numPr>
            <w:rPr>
              <w:noProof/>
            </w:rPr>
          </w:pPr>
          <w:r>
            <w:rPr>
              <w:i/>
              <w:iCs/>
              <w:noProof/>
            </w:rPr>
            <w:t>Dengue and Severe Dengue: Fact Sheet</w:t>
          </w:r>
          <w:r>
            <w:rPr>
              <w:noProof/>
            </w:rPr>
            <w:t xml:space="preserve">. (2015, May). Retrieved March 2016, from World Health Organization: </w:t>
          </w:r>
          <w:hyperlink r:id="rId19" w:history="1">
            <w:r w:rsidRPr="009E24A2">
              <w:rPr>
                <w:rStyle w:val="Hyperlink"/>
                <w:noProof/>
              </w:rPr>
              <w:t>http://www.who.int/mediacentre/factsheets/fs117/en/</w:t>
            </w:r>
          </w:hyperlink>
        </w:p>
        <w:p w14:paraId="3A5C0D70" w14:textId="74AD4CA4" w:rsidR="00914292" w:rsidRDefault="00914292" w:rsidP="00914292">
          <w:pPr>
            <w:pStyle w:val="Bibliography"/>
            <w:numPr>
              <w:ilvl w:val="0"/>
              <w:numId w:val="11"/>
            </w:numPr>
            <w:rPr>
              <w:noProof/>
            </w:rPr>
          </w:pPr>
          <w:r>
            <w:rPr>
              <w:noProof/>
            </w:rPr>
            <w:t xml:space="preserve">Brady, O., Gething, P., Bhatt, S., Messina, J., Brownstein, J., Hoen, A., . . . Hay, S. (2012, August 7). Refining the Global Spatial Limits of Dengue Virus Transmission by Evidence-Based Consensus. </w:t>
          </w:r>
          <w:r w:rsidR="00357E8D">
            <w:rPr>
              <w:i/>
              <w:iCs/>
              <w:noProof/>
            </w:rPr>
            <w:t>PLOS Neg</w:t>
          </w:r>
          <w:r>
            <w:rPr>
              <w:i/>
              <w:iCs/>
              <w:noProof/>
            </w:rPr>
            <w:t>l</w:t>
          </w:r>
          <w:r w:rsidR="00357E8D">
            <w:rPr>
              <w:i/>
              <w:iCs/>
              <w:noProof/>
            </w:rPr>
            <w:t>ec</w:t>
          </w:r>
          <w:r>
            <w:rPr>
              <w:i/>
              <w:iCs/>
              <w:noProof/>
            </w:rPr>
            <w:t>ted Tropical Disease, 6</w:t>
          </w:r>
          <w:r>
            <w:rPr>
              <w:noProof/>
            </w:rPr>
            <w:t>(8).</w:t>
          </w:r>
        </w:p>
        <w:p w14:paraId="11277AB3" w14:textId="77777777" w:rsidR="00914292" w:rsidRDefault="00914292" w:rsidP="00914292">
          <w:pPr>
            <w:pStyle w:val="Bibliography"/>
            <w:numPr>
              <w:ilvl w:val="0"/>
              <w:numId w:val="11"/>
            </w:numPr>
            <w:rPr>
              <w:noProof/>
            </w:rPr>
          </w:pPr>
          <w:r>
            <w:rPr>
              <w:noProof/>
            </w:rPr>
            <w:t xml:space="preserve">Wilson, M. E., &amp; Chen, L. (2015). Dengue: Update on Epidemiology. </w:t>
          </w:r>
          <w:r>
            <w:rPr>
              <w:i/>
              <w:iCs/>
              <w:noProof/>
            </w:rPr>
            <w:t>Current Infectious Disease Report</w:t>
          </w:r>
          <w:r>
            <w:rPr>
              <w:noProof/>
            </w:rPr>
            <w:t>.</w:t>
          </w:r>
        </w:p>
        <w:p w14:paraId="40125B08" w14:textId="57835470" w:rsidR="00914292" w:rsidRDefault="00914292" w:rsidP="00914292">
          <w:pPr>
            <w:pStyle w:val="Bibliography"/>
            <w:numPr>
              <w:ilvl w:val="0"/>
              <w:numId w:val="11"/>
            </w:numPr>
            <w:rPr>
              <w:noProof/>
            </w:rPr>
          </w:pPr>
          <w:r>
            <w:rPr>
              <w:i/>
              <w:iCs/>
              <w:noProof/>
            </w:rPr>
            <w:t>Dengue: Clinical Guidance</w:t>
          </w:r>
          <w:r>
            <w:rPr>
              <w:noProof/>
            </w:rPr>
            <w:t xml:space="preserve">. (2015). Retrieved 3 8, 2016, from Centers for Disease Control and Prevention: </w:t>
          </w:r>
          <w:hyperlink r:id="rId20" w:history="1">
            <w:r w:rsidR="00A33FEB" w:rsidRPr="009E24A2">
              <w:rPr>
                <w:rStyle w:val="Hyperlink"/>
                <w:noProof/>
              </w:rPr>
              <w:t>http://www.cdc.gov/dengue/clinicalLab/clinical.html</w:t>
            </w:r>
          </w:hyperlink>
        </w:p>
        <w:p w14:paraId="533AD319" w14:textId="77777777" w:rsidR="00A33FEB" w:rsidRDefault="00A33FEB" w:rsidP="00A33FEB">
          <w:pPr>
            <w:pStyle w:val="Bibliography"/>
            <w:numPr>
              <w:ilvl w:val="0"/>
              <w:numId w:val="11"/>
            </w:numPr>
            <w:rPr>
              <w:noProof/>
            </w:rPr>
          </w:pPr>
          <w:r>
            <w:rPr>
              <w:noProof/>
            </w:rPr>
            <w:t xml:space="preserve">Murray, N., Quam, M., &amp; Wilder-Smith, A. (2013). Epidemiology of dengue: past, present and future prospects. </w:t>
          </w:r>
          <w:r>
            <w:rPr>
              <w:i/>
              <w:iCs/>
              <w:noProof/>
            </w:rPr>
            <w:t>Clinical Epidemiology, 5</w:t>
          </w:r>
          <w:r>
            <w:rPr>
              <w:noProof/>
            </w:rPr>
            <w:t>, 299-309.</w:t>
          </w:r>
        </w:p>
        <w:p w14:paraId="364D000B" w14:textId="77777777" w:rsidR="00A33FEB" w:rsidRPr="00557D70" w:rsidRDefault="00A33FEB" w:rsidP="00A33FEB">
          <w:pPr>
            <w:pStyle w:val="Bibliography"/>
            <w:numPr>
              <w:ilvl w:val="0"/>
              <w:numId w:val="11"/>
            </w:numPr>
            <w:rPr>
              <w:noProof/>
              <w:color w:val="000000" w:themeColor="text1"/>
            </w:rPr>
          </w:pPr>
          <w:r w:rsidRPr="00557D70">
            <w:rPr>
              <w:noProof/>
              <w:color w:val="000000" w:themeColor="text1"/>
            </w:rPr>
            <w:t xml:space="preserve">Kyle, J., &amp; Harris, E. (2008, October). Global Spread and Persistence of Dengue. </w:t>
          </w:r>
          <w:r w:rsidRPr="00557D70">
            <w:rPr>
              <w:i/>
              <w:iCs/>
              <w:noProof/>
              <w:color w:val="000000" w:themeColor="text1"/>
            </w:rPr>
            <w:t>Microbiology, 62</w:t>
          </w:r>
          <w:r w:rsidRPr="00557D70">
            <w:rPr>
              <w:noProof/>
              <w:color w:val="000000" w:themeColor="text1"/>
            </w:rPr>
            <w:t>, 71-92.</w:t>
          </w:r>
        </w:p>
        <w:p w14:paraId="4ECBF19E" w14:textId="77777777" w:rsidR="002C38B0" w:rsidRPr="00557D70" w:rsidRDefault="002C38B0" w:rsidP="002C38B0">
          <w:pPr>
            <w:pStyle w:val="ListParagraph"/>
            <w:numPr>
              <w:ilvl w:val="0"/>
              <w:numId w:val="11"/>
            </w:numPr>
            <w:rPr>
              <w:rFonts w:eastAsia="Times New Roman" w:cs="Times New Roman"/>
              <w:color w:val="000000" w:themeColor="text1"/>
            </w:rPr>
          </w:pPr>
          <w:r w:rsidRPr="00557D70">
            <w:rPr>
              <w:rFonts w:eastAsia="Times New Roman" w:cs="Arial"/>
              <w:color w:val="000000" w:themeColor="text1"/>
              <w:shd w:val="clear" w:color="auto" w:fill="FFFFFF"/>
            </w:rPr>
            <w:t>Chareonsook, O., Foy, H. M., Teeraratkul, A., &amp; Silarug, N. (1999). Changing epidemiology of dengue hemorrhagic fever in Thailand. </w:t>
          </w:r>
          <w:r w:rsidRPr="00557D70">
            <w:rPr>
              <w:rFonts w:eastAsia="Times New Roman" w:cs="Arial"/>
              <w:i/>
              <w:iCs/>
              <w:color w:val="000000" w:themeColor="text1"/>
              <w:shd w:val="clear" w:color="auto" w:fill="FFFFFF"/>
            </w:rPr>
            <w:t>Epidemiology and infection</w:t>
          </w:r>
          <w:r w:rsidRPr="00557D70">
            <w:rPr>
              <w:rFonts w:eastAsia="Times New Roman" w:cs="Arial"/>
              <w:color w:val="000000" w:themeColor="text1"/>
              <w:shd w:val="clear" w:color="auto" w:fill="FFFFFF"/>
            </w:rPr>
            <w:t>, </w:t>
          </w:r>
          <w:r w:rsidRPr="00557D70">
            <w:rPr>
              <w:rFonts w:eastAsia="Times New Roman" w:cs="Arial"/>
              <w:i/>
              <w:iCs/>
              <w:color w:val="000000" w:themeColor="text1"/>
              <w:shd w:val="clear" w:color="auto" w:fill="FFFFFF"/>
            </w:rPr>
            <w:t>122</w:t>
          </w:r>
          <w:r w:rsidRPr="00557D70">
            <w:rPr>
              <w:rFonts w:eastAsia="Times New Roman" w:cs="Arial"/>
              <w:color w:val="000000" w:themeColor="text1"/>
              <w:shd w:val="clear" w:color="auto" w:fill="FFFFFF"/>
            </w:rPr>
            <w:t>(01), 161-166.</w:t>
          </w:r>
        </w:p>
        <w:p w14:paraId="5E8C269A" w14:textId="77777777" w:rsidR="006C3671" w:rsidRPr="00557D70" w:rsidRDefault="006C3671" w:rsidP="006C3671">
          <w:pPr>
            <w:pStyle w:val="ListParagraph"/>
            <w:numPr>
              <w:ilvl w:val="0"/>
              <w:numId w:val="11"/>
            </w:numPr>
            <w:rPr>
              <w:rFonts w:ascii="Cambria" w:eastAsia="Times New Roman" w:hAnsi="Cambria" w:cs="Times New Roman"/>
              <w:color w:val="000000" w:themeColor="text1"/>
            </w:rPr>
          </w:pPr>
          <w:r w:rsidRPr="00557D70">
            <w:rPr>
              <w:rFonts w:ascii="Cambria" w:eastAsia="Times New Roman" w:hAnsi="Cambria" w:cs="Arial"/>
              <w:color w:val="000000" w:themeColor="text1"/>
              <w:shd w:val="clear" w:color="auto" w:fill="FFFFFF"/>
            </w:rPr>
            <w:t>Suaya, Jose A., et al. "Cost of dengue cases in eight countries in the Americas and Asia: a prospective study." </w:t>
          </w:r>
          <w:r w:rsidRPr="00557D70">
            <w:rPr>
              <w:rFonts w:ascii="Cambria" w:eastAsia="Times New Roman" w:hAnsi="Cambria" w:cs="Arial"/>
              <w:i/>
              <w:iCs/>
              <w:color w:val="000000" w:themeColor="text1"/>
              <w:shd w:val="clear" w:color="auto" w:fill="FFFFFF"/>
            </w:rPr>
            <w:t>The American Journal of Tropical Medicine and Hygiene</w:t>
          </w:r>
          <w:r w:rsidRPr="00557D70">
            <w:rPr>
              <w:rFonts w:ascii="Cambria" w:eastAsia="Times New Roman" w:hAnsi="Cambria" w:cs="Arial"/>
              <w:color w:val="000000" w:themeColor="text1"/>
              <w:shd w:val="clear" w:color="auto" w:fill="FFFFFF"/>
            </w:rPr>
            <w:t> 80.5 (2009): 846-855.</w:t>
          </w:r>
        </w:p>
        <w:p w14:paraId="1C1D85AE" w14:textId="77777777" w:rsidR="009220B2" w:rsidRPr="00557D70" w:rsidRDefault="009220B2" w:rsidP="009220B2">
          <w:pPr>
            <w:pStyle w:val="Bibliography"/>
            <w:numPr>
              <w:ilvl w:val="0"/>
              <w:numId w:val="11"/>
            </w:numPr>
            <w:rPr>
              <w:noProof/>
              <w:color w:val="000000" w:themeColor="text1"/>
            </w:rPr>
          </w:pPr>
          <w:r w:rsidRPr="00557D70">
            <w:rPr>
              <w:i/>
              <w:iCs/>
              <w:noProof/>
              <w:color w:val="000000" w:themeColor="text1"/>
            </w:rPr>
            <w:t>Dengue Fever- Hawaii Island Outbreak</w:t>
          </w:r>
          <w:r w:rsidRPr="00557D70">
            <w:rPr>
              <w:noProof/>
              <w:color w:val="000000" w:themeColor="text1"/>
            </w:rPr>
            <w:t>. (2015, March 7). Retrieved March 8, 2016, from State of Hawaii, Department of Health; Disease Outbreak Control Division: http://health.hawaii.gov/docd/dengue-outbreak-2015/</w:t>
          </w:r>
        </w:p>
        <w:p w14:paraId="7C3BCDE7" w14:textId="77777777" w:rsidR="00210A61" w:rsidRPr="00557D70" w:rsidRDefault="00210A61" w:rsidP="00210A61">
          <w:pPr>
            <w:pStyle w:val="ListParagraph"/>
            <w:numPr>
              <w:ilvl w:val="0"/>
              <w:numId w:val="11"/>
            </w:numPr>
            <w:rPr>
              <w:rFonts w:ascii="Cambria" w:eastAsia="Times New Roman" w:hAnsi="Cambria" w:cs="Times New Roman"/>
              <w:color w:val="000000" w:themeColor="text1"/>
            </w:rPr>
          </w:pPr>
          <w:r w:rsidRPr="00557D70">
            <w:rPr>
              <w:rFonts w:ascii="Cambria" w:eastAsia="Times New Roman" w:hAnsi="Cambria" w:cs="Times New Roman"/>
              <w:color w:val="000000" w:themeColor="text1"/>
            </w:rPr>
            <w:t xml:space="preserve"> Campbell, L. P., Luther, C., Moo-Llanes, D., Ramsey, J. M., Danis-Lozano, R., &amp; Peterson, A. T. (2015). Climate change influences on global distributions of dengue and chikungunya virus vectors. </w:t>
          </w:r>
          <w:r w:rsidRPr="00557D70">
            <w:rPr>
              <w:rFonts w:ascii="Cambria" w:eastAsia="Times New Roman" w:hAnsi="Cambria" w:cs="Times New Roman"/>
              <w:i/>
              <w:iCs/>
              <w:color w:val="000000" w:themeColor="text1"/>
            </w:rPr>
            <w:t>Philosophical Transactions of the Royal Society of London B: Biological Sciences</w:t>
          </w:r>
          <w:r w:rsidRPr="00557D70">
            <w:rPr>
              <w:rFonts w:ascii="Cambria" w:eastAsia="Times New Roman" w:hAnsi="Cambria" w:cs="Times New Roman"/>
              <w:color w:val="000000" w:themeColor="text1"/>
            </w:rPr>
            <w:t>,</w:t>
          </w:r>
          <w:r w:rsidRPr="00557D70">
            <w:rPr>
              <w:rFonts w:ascii="Cambria" w:eastAsia="Times New Roman" w:hAnsi="Cambria" w:cs="Times New Roman"/>
              <w:i/>
              <w:iCs/>
              <w:color w:val="000000" w:themeColor="text1"/>
            </w:rPr>
            <w:t>370</w:t>
          </w:r>
          <w:r w:rsidRPr="00557D70">
            <w:rPr>
              <w:rFonts w:ascii="Cambria" w:eastAsia="Times New Roman" w:hAnsi="Cambria" w:cs="Times New Roman"/>
              <w:color w:val="000000" w:themeColor="text1"/>
            </w:rPr>
            <w:t>(1665), 20140135.</w:t>
          </w:r>
        </w:p>
        <w:p w14:paraId="0EBF0BC1" w14:textId="718640DA" w:rsidR="00E33322" w:rsidRPr="00557D70" w:rsidRDefault="00E33322" w:rsidP="00E33322">
          <w:pPr>
            <w:pStyle w:val="ListParagraph"/>
            <w:numPr>
              <w:ilvl w:val="0"/>
              <w:numId w:val="11"/>
            </w:numPr>
            <w:rPr>
              <w:rFonts w:ascii="Cambria" w:eastAsia="Times New Roman" w:hAnsi="Cambria" w:cs="Times New Roman"/>
              <w:color w:val="000000" w:themeColor="text1"/>
            </w:rPr>
          </w:pPr>
          <w:r w:rsidRPr="00557D70">
            <w:rPr>
              <w:rFonts w:ascii="Cambria" w:eastAsia="Times New Roman" w:hAnsi="Cambria" w:cs="Arial"/>
              <w:color w:val="000000" w:themeColor="text1"/>
              <w:shd w:val="clear" w:color="auto" w:fill="FFFFFF"/>
            </w:rPr>
            <w:t>Guzman, M. G., et al., (2010). Dengue: a continuing global threat. </w:t>
          </w:r>
          <w:r w:rsidRPr="00557D70">
            <w:rPr>
              <w:rFonts w:ascii="Cambria" w:eastAsia="Times New Roman" w:hAnsi="Cambria" w:cs="Arial"/>
              <w:i/>
              <w:iCs/>
              <w:color w:val="000000" w:themeColor="text1"/>
              <w:shd w:val="clear" w:color="auto" w:fill="FFFFFF"/>
            </w:rPr>
            <w:t>Nature Reviews Microbiology</w:t>
          </w:r>
          <w:r w:rsidRPr="00557D70">
            <w:rPr>
              <w:rFonts w:ascii="Cambria" w:eastAsia="Times New Roman" w:hAnsi="Cambria" w:cs="Arial"/>
              <w:color w:val="000000" w:themeColor="text1"/>
              <w:shd w:val="clear" w:color="auto" w:fill="FFFFFF"/>
            </w:rPr>
            <w:t>, </w:t>
          </w:r>
          <w:r w:rsidRPr="00557D70">
            <w:rPr>
              <w:rFonts w:ascii="Cambria" w:eastAsia="Times New Roman" w:hAnsi="Cambria" w:cs="Arial"/>
              <w:i/>
              <w:iCs/>
              <w:color w:val="000000" w:themeColor="text1"/>
              <w:shd w:val="clear" w:color="auto" w:fill="FFFFFF"/>
            </w:rPr>
            <w:t>8</w:t>
          </w:r>
          <w:r w:rsidRPr="00557D70">
            <w:rPr>
              <w:rFonts w:ascii="Cambria" w:eastAsia="Times New Roman" w:hAnsi="Cambria" w:cs="Arial"/>
              <w:color w:val="000000" w:themeColor="text1"/>
              <w:shd w:val="clear" w:color="auto" w:fill="FFFFFF"/>
            </w:rPr>
            <w:t>, S7-S16.</w:t>
          </w:r>
        </w:p>
        <w:p w14:paraId="13800192" w14:textId="022E3FEE" w:rsidR="009836CF" w:rsidRPr="00557D70" w:rsidRDefault="009836CF" w:rsidP="009836CF">
          <w:pPr>
            <w:pStyle w:val="ListParagraph"/>
            <w:numPr>
              <w:ilvl w:val="0"/>
              <w:numId w:val="11"/>
            </w:numPr>
            <w:rPr>
              <w:rFonts w:ascii="Cambria" w:eastAsia="Times New Roman" w:hAnsi="Cambria" w:cs="Times New Roman"/>
              <w:color w:val="000000" w:themeColor="text1"/>
            </w:rPr>
          </w:pPr>
          <w:r w:rsidRPr="00557D70">
            <w:rPr>
              <w:rFonts w:ascii="Cambria" w:eastAsia="Times New Roman" w:hAnsi="Cambria" w:cs="Times New Roman"/>
              <w:color w:val="000000" w:themeColor="text1"/>
            </w:rPr>
            <w:t>Dengue: Guidelines for Diagnosis, Treatment, Prevention and Control 2009, World Health Organization</w:t>
          </w:r>
        </w:p>
        <w:p w14:paraId="33612006" w14:textId="77777777" w:rsidR="00A63A29" w:rsidRPr="00557D70" w:rsidRDefault="00A63A29" w:rsidP="00A63A29">
          <w:pPr>
            <w:pStyle w:val="ListParagraph"/>
            <w:numPr>
              <w:ilvl w:val="0"/>
              <w:numId w:val="11"/>
            </w:numPr>
            <w:rPr>
              <w:rFonts w:ascii="Cambria" w:eastAsia="Times New Roman" w:hAnsi="Cambria" w:cs="Times New Roman"/>
              <w:color w:val="000000" w:themeColor="text1"/>
            </w:rPr>
          </w:pPr>
          <w:r w:rsidRPr="00557D70">
            <w:rPr>
              <w:rFonts w:ascii="Cambria" w:eastAsia="Times New Roman" w:hAnsi="Cambria" w:cs="Arial"/>
              <w:color w:val="000000" w:themeColor="text1"/>
              <w:shd w:val="clear" w:color="auto" w:fill="FFFFFF"/>
            </w:rPr>
            <w:t>Whitehorn, J., &amp; Farrar, J. (2010). Dengue. </w:t>
          </w:r>
          <w:r w:rsidRPr="00557D70">
            <w:rPr>
              <w:rFonts w:ascii="Cambria" w:eastAsia="Times New Roman" w:hAnsi="Cambria" w:cs="Arial"/>
              <w:i/>
              <w:iCs/>
              <w:color w:val="000000" w:themeColor="text1"/>
              <w:shd w:val="clear" w:color="auto" w:fill="FFFFFF"/>
            </w:rPr>
            <w:t>British medical bulletin</w:t>
          </w:r>
          <w:r w:rsidRPr="00557D70">
            <w:rPr>
              <w:rFonts w:ascii="Cambria" w:eastAsia="Times New Roman" w:hAnsi="Cambria" w:cs="Arial"/>
              <w:color w:val="000000" w:themeColor="text1"/>
              <w:shd w:val="clear" w:color="auto" w:fill="FFFFFF"/>
            </w:rPr>
            <w:t>, </w:t>
          </w:r>
          <w:r w:rsidRPr="00557D70">
            <w:rPr>
              <w:rFonts w:ascii="Cambria" w:eastAsia="Times New Roman" w:hAnsi="Cambria" w:cs="Arial"/>
              <w:i/>
              <w:iCs/>
              <w:color w:val="000000" w:themeColor="text1"/>
              <w:shd w:val="clear" w:color="auto" w:fill="FFFFFF"/>
            </w:rPr>
            <w:t>95</w:t>
          </w:r>
          <w:r w:rsidRPr="00557D70">
            <w:rPr>
              <w:rFonts w:ascii="Cambria" w:eastAsia="Times New Roman" w:hAnsi="Cambria" w:cs="Arial"/>
              <w:color w:val="000000" w:themeColor="text1"/>
              <w:shd w:val="clear" w:color="auto" w:fill="FFFFFF"/>
            </w:rPr>
            <w:t>(1), 161-173.</w:t>
          </w:r>
        </w:p>
        <w:p w14:paraId="5148E936" w14:textId="77777777" w:rsidR="00391CA8" w:rsidRPr="00557D70" w:rsidRDefault="00391CA8" w:rsidP="00391CA8">
          <w:pPr>
            <w:pStyle w:val="ListParagraph"/>
            <w:numPr>
              <w:ilvl w:val="0"/>
              <w:numId w:val="11"/>
            </w:numPr>
            <w:rPr>
              <w:rFonts w:ascii="Cambria" w:eastAsia="Times New Roman" w:hAnsi="Cambria" w:cs="Times New Roman"/>
              <w:color w:val="000000" w:themeColor="text1"/>
            </w:rPr>
          </w:pPr>
          <w:r w:rsidRPr="00557D70">
            <w:rPr>
              <w:rFonts w:ascii="Cambria" w:eastAsia="Times New Roman" w:hAnsi="Cambria" w:cs="Arial"/>
              <w:color w:val="000000" w:themeColor="text1"/>
              <w:shd w:val="clear" w:color="auto" w:fill="FFFFFF"/>
            </w:rPr>
            <w:t>Hadinegoro, S. R. S. (2012). The revised WHO dengue case classification: does the system need to be modified? </w:t>
          </w:r>
          <w:r w:rsidRPr="00557D70">
            <w:rPr>
              <w:rFonts w:ascii="Cambria" w:eastAsia="Times New Roman" w:hAnsi="Cambria" w:cs="Arial"/>
              <w:i/>
              <w:iCs/>
              <w:color w:val="000000" w:themeColor="text1"/>
              <w:shd w:val="clear" w:color="auto" w:fill="FFFFFF"/>
            </w:rPr>
            <w:t>Paediatrics and International Child Health</w:t>
          </w:r>
          <w:r w:rsidRPr="00557D70">
            <w:rPr>
              <w:rFonts w:ascii="Cambria" w:eastAsia="Times New Roman" w:hAnsi="Cambria" w:cs="Arial"/>
              <w:color w:val="000000" w:themeColor="text1"/>
              <w:shd w:val="clear" w:color="auto" w:fill="FFFFFF"/>
            </w:rPr>
            <w:t>, </w:t>
          </w:r>
          <w:r w:rsidRPr="00557D70">
            <w:rPr>
              <w:rFonts w:ascii="Cambria" w:eastAsia="Times New Roman" w:hAnsi="Cambria" w:cs="Arial"/>
              <w:i/>
              <w:iCs/>
              <w:color w:val="000000" w:themeColor="text1"/>
              <w:shd w:val="clear" w:color="auto" w:fill="FFFFFF"/>
            </w:rPr>
            <w:t>32</w:t>
          </w:r>
          <w:r w:rsidRPr="00557D70">
            <w:rPr>
              <w:rFonts w:ascii="Cambria" w:eastAsia="Times New Roman" w:hAnsi="Cambria" w:cs="Arial"/>
              <w:color w:val="000000" w:themeColor="text1"/>
              <w:shd w:val="clear" w:color="auto" w:fill="FFFFFF"/>
            </w:rPr>
            <w:t>(s1), 33–38. http://doi.org/10.1179/2046904712Z.00000000052</w:t>
          </w:r>
        </w:p>
        <w:p w14:paraId="671B4707" w14:textId="72370B5A" w:rsidR="009A2F61" w:rsidRPr="00C63F70" w:rsidRDefault="009A2F61" w:rsidP="009A2F61">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Arial"/>
              <w:color w:val="000000" w:themeColor="text1"/>
              <w:shd w:val="clear" w:color="auto" w:fill="FFFFFF"/>
            </w:rPr>
            <w:t>Libraty, D. H., et al., (2009). A prospective nested case-control study of Dengue in infants: rethinking and refining the antibody-dependent enhancement dengue hemorrhagic fever model. </w:t>
          </w:r>
          <w:r w:rsidRPr="00C63F70">
            <w:rPr>
              <w:rFonts w:ascii="Cambria" w:eastAsia="Times New Roman" w:hAnsi="Cambria" w:cs="Arial"/>
              <w:i/>
              <w:iCs/>
              <w:color w:val="000000" w:themeColor="text1"/>
              <w:shd w:val="clear" w:color="auto" w:fill="FFFFFF"/>
            </w:rPr>
            <w:t>PLoS Med</w:t>
          </w:r>
          <w:r w:rsidRPr="00C63F70">
            <w:rPr>
              <w:rFonts w:ascii="Cambria" w:eastAsia="Times New Roman" w:hAnsi="Cambria" w:cs="Arial"/>
              <w:color w:val="000000" w:themeColor="text1"/>
              <w:shd w:val="clear" w:color="auto" w:fill="FFFFFF"/>
            </w:rPr>
            <w:t>, </w:t>
          </w:r>
          <w:r w:rsidRPr="00C63F70">
            <w:rPr>
              <w:rFonts w:ascii="Cambria" w:eastAsia="Times New Roman" w:hAnsi="Cambria" w:cs="Arial"/>
              <w:i/>
              <w:iCs/>
              <w:color w:val="000000" w:themeColor="text1"/>
              <w:shd w:val="clear" w:color="auto" w:fill="FFFFFF"/>
            </w:rPr>
            <w:t>6</w:t>
          </w:r>
          <w:r w:rsidRPr="00C63F70">
            <w:rPr>
              <w:rFonts w:ascii="Cambria" w:eastAsia="Times New Roman" w:hAnsi="Cambria" w:cs="Arial"/>
              <w:color w:val="000000" w:themeColor="text1"/>
              <w:shd w:val="clear" w:color="auto" w:fill="FFFFFF"/>
            </w:rPr>
            <w:t>(10), e1000171.</w:t>
          </w:r>
        </w:p>
        <w:p w14:paraId="3F01AAD7" w14:textId="3CF3E13A" w:rsidR="006257E1" w:rsidRPr="00C63F70" w:rsidRDefault="009A2F61" w:rsidP="006257E1">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Arial"/>
              <w:color w:val="000000" w:themeColor="text1"/>
              <w:shd w:val="clear" w:color="auto" w:fill="FFFFFF"/>
            </w:rPr>
            <w:t>Gibbons, R. V. (2010). Dengue conundrums. </w:t>
          </w:r>
          <w:r w:rsidRPr="00C63F70">
            <w:rPr>
              <w:rFonts w:ascii="Cambria" w:eastAsia="Times New Roman" w:hAnsi="Cambria" w:cs="Arial"/>
              <w:i/>
              <w:iCs/>
              <w:color w:val="000000" w:themeColor="text1"/>
              <w:shd w:val="clear" w:color="auto" w:fill="FFFFFF"/>
            </w:rPr>
            <w:t>International journal of antimicrobial agents</w:t>
          </w:r>
          <w:r w:rsidRPr="00C63F70">
            <w:rPr>
              <w:rFonts w:ascii="Cambria" w:eastAsia="Times New Roman" w:hAnsi="Cambria" w:cs="Arial"/>
              <w:color w:val="000000" w:themeColor="text1"/>
              <w:shd w:val="clear" w:color="auto" w:fill="FFFFFF"/>
            </w:rPr>
            <w:t>, </w:t>
          </w:r>
          <w:r w:rsidRPr="00C63F70">
            <w:rPr>
              <w:rFonts w:ascii="Cambria" w:eastAsia="Times New Roman" w:hAnsi="Cambria" w:cs="Arial"/>
              <w:i/>
              <w:iCs/>
              <w:color w:val="000000" w:themeColor="text1"/>
              <w:shd w:val="clear" w:color="auto" w:fill="FFFFFF"/>
            </w:rPr>
            <w:t>36</w:t>
          </w:r>
          <w:r w:rsidRPr="00C63F70">
            <w:rPr>
              <w:rFonts w:ascii="Cambria" w:eastAsia="Times New Roman" w:hAnsi="Cambria" w:cs="Arial"/>
              <w:color w:val="000000" w:themeColor="text1"/>
              <w:shd w:val="clear" w:color="auto" w:fill="FFFFFF"/>
            </w:rPr>
            <w:t>, S36-S39.</w:t>
          </w:r>
        </w:p>
        <w:p w14:paraId="58213C57" w14:textId="77777777" w:rsidR="003059DB" w:rsidRPr="00C63F70" w:rsidRDefault="003059DB" w:rsidP="003059DB">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Arial"/>
              <w:color w:val="000000" w:themeColor="text1"/>
              <w:shd w:val="clear" w:color="auto" w:fill="FFFFFF"/>
            </w:rPr>
            <w:lastRenderedPageBreak/>
            <w:t>Limkittikul, K., Brett, J., &amp; L’Azou, M. (2014). Epidemiological Trends of Dengue Disease in Thailand (2000–2011): A Systematic Literature Review. </w:t>
          </w:r>
          <w:r w:rsidRPr="00C63F70">
            <w:rPr>
              <w:rFonts w:ascii="Cambria" w:eastAsia="Times New Roman" w:hAnsi="Cambria" w:cs="Arial"/>
              <w:i/>
              <w:iCs/>
              <w:color w:val="000000" w:themeColor="text1"/>
              <w:shd w:val="clear" w:color="auto" w:fill="FFFFFF"/>
            </w:rPr>
            <w:t>PLoS Neglected Tropical Diseases</w:t>
          </w:r>
          <w:r w:rsidRPr="00C63F70">
            <w:rPr>
              <w:rFonts w:ascii="Cambria" w:eastAsia="Times New Roman" w:hAnsi="Cambria" w:cs="Arial"/>
              <w:color w:val="000000" w:themeColor="text1"/>
              <w:shd w:val="clear" w:color="auto" w:fill="FFFFFF"/>
            </w:rPr>
            <w:t>, </w:t>
          </w:r>
          <w:r w:rsidRPr="00C63F70">
            <w:rPr>
              <w:rFonts w:ascii="Cambria" w:eastAsia="Times New Roman" w:hAnsi="Cambria" w:cs="Arial"/>
              <w:i/>
              <w:iCs/>
              <w:color w:val="000000" w:themeColor="text1"/>
              <w:shd w:val="clear" w:color="auto" w:fill="FFFFFF"/>
            </w:rPr>
            <w:t>8</w:t>
          </w:r>
          <w:r w:rsidRPr="00C63F70">
            <w:rPr>
              <w:rFonts w:ascii="Cambria" w:eastAsia="Times New Roman" w:hAnsi="Cambria" w:cs="Arial"/>
              <w:color w:val="000000" w:themeColor="text1"/>
              <w:shd w:val="clear" w:color="auto" w:fill="FFFFFF"/>
            </w:rPr>
            <w:t>(11), e3241. http://doi.org/10.1371/journal.pntd.0003241</w:t>
          </w:r>
        </w:p>
        <w:p w14:paraId="3F5A0F73" w14:textId="77777777" w:rsidR="003059DB" w:rsidRPr="00C63F70" w:rsidRDefault="003059DB" w:rsidP="003059DB">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Arial"/>
              <w:color w:val="000000" w:themeColor="text1"/>
              <w:shd w:val="clear" w:color="auto" w:fill="FFFFFF"/>
            </w:rPr>
            <w:t>Chareonsook, O., Foy, H. M., Teeraratkul, A., &amp; Silarug, N. (1999). Changing epidemiology of dengue hemorrhagic fever in Thailand. </w:t>
          </w:r>
          <w:r w:rsidRPr="00C63F70">
            <w:rPr>
              <w:rFonts w:ascii="Cambria" w:eastAsia="Times New Roman" w:hAnsi="Cambria" w:cs="Arial"/>
              <w:i/>
              <w:iCs/>
              <w:color w:val="000000" w:themeColor="text1"/>
              <w:shd w:val="clear" w:color="auto" w:fill="FFFFFF"/>
            </w:rPr>
            <w:t>Epidemiology and Infection</w:t>
          </w:r>
          <w:r w:rsidRPr="00C63F70">
            <w:rPr>
              <w:rFonts w:ascii="Cambria" w:eastAsia="Times New Roman" w:hAnsi="Cambria" w:cs="Arial"/>
              <w:color w:val="000000" w:themeColor="text1"/>
              <w:shd w:val="clear" w:color="auto" w:fill="FFFFFF"/>
            </w:rPr>
            <w:t>, </w:t>
          </w:r>
          <w:r w:rsidRPr="00C63F70">
            <w:rPr>
              <w:rFonts w:ascii="Cambria" w:eastAsia="Times New Roman" w:hAnsi="Cambria" w:cs="Arial"/>
              <w:i/>
              <w:iCs/>
              <w:color w:val="000000" w:themeColor="text1"/>
              <w:shd w:val="clear" w:color="auto" w:fill="FFFFFF"/>
            </w:rPr>
            <w:t>122</w:t>
          </w:r>
          <w:r w:rsidRPr="00C63F70">
            <w:rPr>
              <w:rFonts w:ascii="Cambria" w:eastAsia="Times New Roman" w:hAnsi="Cambria" w:cs="Arial"/>
              <w:color w:val="000000" w:themeColor="text1"/>
              <w:shd w:val="clear" w:color="auto" w:fill="FFFFFF"/>
            </w:rPr>
            <w:t>(1), 161–166.</w:t>
          </w:r>
        </w:p>
        <w:p w14:paraId="7BD718A9" w14:textId="4B631AA5" w:rsidR="006257E1" w:rsidRPr="00C63F70" w:rsidRDefault="006257E1" w:rsidP="006257E1">
          <w:pPr>
            <w:pStyle w:val="ListParagraph"/>
            <w:numPr>
              <w:ilvl w:val="0"/>
              <w:numId w:val="11"/>
            </w:numPr>
            <w:rPr>
              <w:rFonts w:eastAsia="Times New Roman" w:cs="Times New Roman"/>
              <w:color w:val="000000" w:themeColor="text1"/>
            </w:rPr>
          </w:pPr>
          <w:r w:rsidRPr="00C63F70">
            <w:rPr>
              <w:rFonts w:eastAsia="Times New Roman" w:cs="Arial"/>
              <w:color w:val="000000" w:themeColor="text1"/>
              <w:shd w:val="clear" w:color="auto" w:fill="FFFFFF"/>
            </w:rPr>
            <w:t>Cummings, D. A., Irizarry, R. A., Huang, N. E., Endy, T. P., Nisalak, A., Ungchusak, K., &amp; Burke, D. S. (2004). Travelling waves in the occurrence of dengue haemorrhagic fever in Thailand. </w:t>
          </w:r>
          <w:r w:rsidRPr="00C63F70">
            <w:rPr>
              <w:rFonts w:eastAsia="Times New Roman" w:cs="Arial"/>
              <w:i/>
              <w:iCs/>
              <w:color w:val="000000" w:themeColor="text1"/>
              <w:shd w:val="clear" w:color="auto" w:fill="FFFFFF"/>
            </w:rPr>
            <w:t>Nature</w:t>
          </w:r>
          <w:r w:rsidRPr="00C63F70">
            <w:rPr>
              <w:rFonts w:eastAsia="Times New Roman" w:cs="Arial"/>
              <w:color w:val="000000" w:themeColor="text1"/>
              <w:shd w:val="clear" w:color="auto" w:fill="FFFFFF"/>
            </w:rPr>
            <w:t>, </w:t>
          </w:r>
          <w:r w:rsidRPr="00C63F70">
            <w:rPr>
              <w:rFonts w:eastAsia="Times New Roman" w:cs="Arial"/>
              <w:i/>
              <w:iCs/>
              <w:color w:val="000000" w:themeColor="text1"/>
              <w:shd w:val="clear" w:color="auto" w:fill="FFFFFF"/>
            </w:rPr>
            <w:t>427</w:t>
          </w:r>
          <w:r w:rsidRPr="00C63F70">
            <w:rPr>
              <w:rFonts w:eastAsia="Times New Roman" w:cs="Arial"/>
              <w:color w:val="000000" w:themeColor="text1"/>
              <w:shd w:val="clear" w:color="auto" w:fill="FFFFFF"/>
            </w:rPr>
            <w:t>(6972), 344-347.</w:t>
          </w:r>
        </w:p>
        <w:p w14:paraId="2BF738E7" w14:textId="77777777" w:rsidR="00016F8E" w:rsidRPr="00C63F70" w:rsidRDefault="00016F8E" w:rsidP="00016F8E">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Times New Roman"/>
              <w:color w:val="000000" w:themeColor="text1"/>
            </w:rPr>
            <w:t xml:space="preserve">Thailand Regional Dataset, October 2013 - knoema.com. (2013, October 30). Retrieved March 12, 2016, from http://knoema.com/wtxids/thailand-regional-dataset-october-2013 </w:t>
          </w:r>
        </w:p>
        <w:p w14:paraId="55911D83" w14:textId="4AB88B0D" w:rsidR="008E3905" w:rsidRPr="00C63F70" w:rsidRDefault="008E3905" w:rsidP="008E3905">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Arial"/>
              <w:color w:val="000000" w:themeColor="text1"/>
              <w:shd w:val="clear" w:color="auto" w:fill="FFFFFF"/>
            </w:rPr>
            <w:t>World Health Organization. (1997). </w:t>
          </w:r>
          <w:r w:rsidRPr="00C63F70">
            <w:rPr>
              <w:rFonts w:ascii="Cambria" w:eastAsia="Times New Roman" w:hAnsi="Cambria" w:cs="Arial"/>
              <w:i/>
              <w:iCs/>
              <w:color w:val="000000" w:themeColor="text1"/>
              <w:shd w:val="clear" w:color="auto" w:fill="FFFFFF"/>
            </w:rPr>
            <w:t>Dengue hemorrhagic fever: diagnosis, treatment and control</w:t>
          </w:r>
          <w:r w:rsidRPr="00C63F70">
            <w:rPr>
              <w:rFonts w:ascii="Cambria" w:eastAsia="Times New Roman" w:hAnsi="Cambria" w:cs="Arial"/>
              <w:color w:val="000000" w:themeColor="text1"/>
              <w:shd w:val="clear" w:color="auto" w:fill="FFFFFF"/>
            </w:rPr>
            <w:t>. World Health Organization.</w:t>
          </w:r>
        </w:p>
        <w:p w14:paraId="5CB1BD36" w14:textId="523335E7" w:rsidR="00016F8E" w:rsidRPr="00C63F70" w:rsidRDefault="00016F8E" w:rsidP="00016F8E">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Arial"/>
              <w:color w:val="000000" w:themeColor="text1"/>
              <w:shd w:val="clear" w:color="auto" w:fill="FFFFFF"/>
            </w:rPr>
            <w:t>Klungthong, C., et al.;(2015). Monitoring and improving the sensitivity of dengue nested RT-PCR used in longitudinal surveillance in Thailand. </w:t>
          </w:r>
          <w:r w:rsidRPr="00C63F70">
            <w:rPr>
              <w:rFonts w:ascii="Cambria" w:eastAsia="Times New Roman" w:hAnsi="Cambria" w:cs="Arial"/>
              <w:i/>
              <w:iCs/>
              <w:color w:val="000000" w:themeColor="text1"/>
              <w:shd w:val="clear" w:color="auto" w:fill="FFFFFF"/>
            </w:rPr>
            <w:t>Journal of Clinical Virology</w:t>
          </w:r>
          <w:r w:rsidRPr="00C63F70">
            <w:rPr>
              <w:rFonts w:ascii="Cambria" w:eastAsia="Times New Roman" w:hAnsi="Cambria" w:cs="Arial"/>
              <w:color w:val="000000" w:themeColor="text1"/>
              <w:shd w:val="clear" w:color="auto" w:fill="FFFFFF"/>
            </w:rPr>
            <w:t>, </w:t>
          </w:r>
          <w:r w:rsidRPr="00C63F70">
            <w:rPr>
              <w:rFonts w:ascii="Cambria" w:eastAsia="Times New Roman" w:hAnsi="Cambria" w:cs="Arial"/>
              <w:i/>
              <w:iCs/>
              <w:color w:val="000000" w:themeColor="text1"/>
              <w:shd w:val="clear" w:color="auto" w:fill="FFFFFF"/>
            </w:rPr>
            <w:t>63</w:t>
          </w:r>
          <w:r w:rsidRPr="00C63F70">
            <w:rPr>
              <w:rFonts w:ascii="Cambria" w:eastAsia="Times New Roman" w:hAnsi="Cambria" w:cs="Arial"/>
              <w:color w:val="000000" w:themeColor="text1"/>
              <w:shd w:val="clear" w:color="auto" w:fill="FFFFFF"/>
            </w:rPr>
            <w:t>, 25-31.</w:t>
          </w:r>
        </w:p>
        <w:p w14:paraId="4D476179" w14:textId="2365BAA4" w:rsidR="009E167D" w:rsidRPr="00C63F70" w:rsidRDefault="009E167D" w:rsidP="009E167D">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Arial"/>
              <w:color w:val="000000" w:themeColor="text1"/>
              <w:shd w:val="clear" w:color="auto" w:fill="FFFFFF"/>
            </w:rPr>
            <w:t>Endy, T. P., et al.; (2002). Spatial and temporal circulation of dengue virus serotypes: a prospective study of primary school children in Kamphaeng Phet, Thailand. </w:t>
          </w:r>
          <w:r w:rsidRPr="00C63F70">
            <w:rPr>
              <w:rFonts w:ascii="Cambria" w:eastAsia="Times New Roman" w:hAnsi="Cambria" w:cs="Arial"/>
              <w:i/>
              <w:iCs/>
              <w:color w:val="000000" w:themeColor="text1"/>
              <w:shd w:val="clear" w:color="auto" w:fill="FFFFFF"/>
            </w:rPr>
            <w:t>American Journal of Epidemiology</w:t>
          </w:r>
          <w:r w:rsidRPr="00C63F70">
            <w:rPr>
              <w:rFonts w:ascii="Cambria" w:eastAsia="Times New Roman" w:hAnsi="Cambria" w:cs="Arial"/>
              <w:color w:val="000000" w:themeColor="text1"/>
              <w:shd w:val="clear" w:color="auto" w:fill="FFFFFF"/>
            </w:rPr>
            <w:t>, </w:t>
          </w:r>
          <w:r w:rsidRPr="00C63F70">
            <w:rPr>
              <w:rFonts w:ascii="Cambria" w:eastAsia="Times New Roman" w:hAnsi="Cambria" w:cs="Arial"/>
              <w:i/>
              <w:iCs/>
              <w:color w:val="000000" w:themeColor="text1"/>
              <w:shd w:val="clear" w:color="auto" w:fill="FFFFFF"/>
            </w:rPr>
            <w:t>156</w:t>
          </w:r>
          <w:r w:rsidRPr="00C63F70">
            <w:rPr>
              <w:rFonts w:ascii="Cambria" w:eastAsia="Times New Roman" w:hAnsi="Cambria" w:cs="Arial"/>
              <w:color w:val="000000" w:themeColor="text1"/>
              <w:shd w:val="clear" w:color="auto" w:fill="FFFFFF"/>
            </w:rPr>
            <w:t>(1), 52-59.</w:t>
          </w:r>
        </w:p>
        <w:p w14:paraId="073EC36C" w14:textId="410357E5" w:rsidR="00F36544" w:rsidRPr="00C63F70" w:rsidRDefault="00F36544" w:rsidP="00F36544">
          <w:pPr>
            <w:pStyle w:val="ListParagraph"/>
            <w:numPr>
              <w:ilvl w:val="0"/>
              <w:numId w:val="11"/>
            </w:numPr>
            <w:rPr>
              <w:rFonts w:ascii="Cambria" w:eastAsia="Times New Roman" w:hAnsi="Cambria" w:cs="Times New Roman"/>
              <w:color w:val="000000" w:themeColor="text1"/>
            </w:rPr>
          </w:pPr>
          <w:r w:rsidRPr="00C63F70">
            <w:rPr>
              <w:rFonts w:ascii="Cambria" w:eastAsia="Times New Roman" w:hAnsi="Cambria" w:cs="Arial"/>
              <w:color w:val="000000" w:themeColor="text1"/>
              <w:shd w:val="clear" w:color="auto" w:fill="FFFFFF"/>
            </w:rPr>
            <w:t>Clapham, H., et al.;(2015). Epidemiology of Infant Dengue Cases Illuminates Serotype-Specificity in the Interaction between Immunity and Disease, and Changes in Transmission Dynamics.</w:t>
          </w:r>
          <w:r w:rsidRPr="00C63F70">
            <w:rPr>
              <w:rFonts w:ascii="Cambria" w:eastAsia="Times New Roman" w:hAnsi="Cambria" w:cs="Arial"/>
              <w:i/>
              <w:iCs/>
              <w:color w:val="000000" w:themeColor="text1"/>
              <w:shd w:val="clear" w:color="auto" w:fill="FFFFFF"/>
            </w:rPr>
            <w:t>PLOS Negl Trop Dis</w:t>
          </w:r>
          <w:r w:rsidRPr="00C63F70">
            <w:rPr>
              <w:rFonts w:ascii="Cambria" w:eastAsia="Times New Roman" w:hAnsi="Cambria" w:cs="Arial"/>
              <w:color w:val="000000" w:themeColor="text1"/>
              <w:shd w:val="clear" w:color="auto" w:fill="FFFFFF"/>
            </w:rPr>
            <w:t>, </w:t>
          </w:r>
          <w:r w:rsidRPr="00C63F70">
            <w:rPr>
              <w:rFonts w:ascii="Cambria" w:eastAsia="Times New Roman" w:hAnsi="Cambria" w:cs="Arial"/>
              <w:i/>
              <w:iCs/>
              <w:color w:val="000000" w:themeColor="text1"/>
              <w:shd w:val="clear" w:color="auto" w:fill="FFFFFF"/>
            </w:rPr>
            <w:t>9</w:t>
          </w:r>
          <w:r w:rsidRPr="00C63F70">
            <w:rPr>
              <w:rFonts w:ascii="Cambria" w:eastAsia="Times New Roman" w:hAnsi="Cambria" w:cs="Arial"/>
              <w:color w:val="000000" w:themeColor="text1"/>
              <w:shd w:val="clear" w:color="auto" w:fill="FFFFFF"/>
            </w:rPr>
            <w:t>(12), e0004262.</w:t>
          </w:r>
        </w:p>
        <w:p w14:paraId="14BCBF6A" w14:textId="38AAD661" w:rsidR="00455EAE" w:rsidRPr="00CB3C2A" w:rsidRDefault="00455EAE" w:rsidP="00455EAE">
          <w:pPr>
            <w:pStyle w:val="ListParagraph"/>
            <w:numPr>
              <w:ilvl w:val="0"/>
              <w:numId w:val="11"/>
            </w:numPr>
            <w:rPr>
              <w:rFonts w:eastAsia="Times New Roman" w:cs="Times New Roman"/>
              <w:color w:val="000000" w:themeColor="text1"/>
            </w:rPr>
          </w:pPr>
          <w:r w:rsidRPr="00C63F70">
            <w:rPr>
              <w:rFonts w:eastAsia="Times New Roman" w:cs="Arial"/>
              <w:color w:val="000000" w:themeColor="text1"/>
              <w:shd w:val="clear" w:color="auto" w:fill="FFFFFF"/>
            </w:rPr>
            <w:t>Anderson, K. B., et.al.;(2011). Preexisting Japanese encephalitis virus neutralizing antibodies and increased symptomatic dengue illness in a school-based cohort in Thailand. </w:t>
          </w:r>
          <w:r w:rsidRPr="00C63F70">
            <w:rPr>
              <w:rFonts w:eastAsia="Times New Roman" w:cs="Arial"/>
              <w:i/>
              <w:iCs/>
              <w:color w:val="000000" w:themeColor="text1"/>
              <w:shd w:val="clear" w:color="auto" w:fill="FFFFFF"/>
            </w:rPr>
            <w:t>PLoS Negl Trop Dis</w:t>
          </w:r>
          <w:r w:rsidRPr="00C63F70">
            <w:rPr>
              <w:rFonts w:eastAsia="Times New Roman" w:cs="Arial"/>
              <w:color w:val="000000" w:themeColor="text1"/>
              <w:shd w:val="clear" w:color="auto" w:fill="FFFFFF"/>
            </w:rPr>
            <w:t>, </w:t>
          </w:r>
          <w:r w:rsidRPr="00C63F70">
            <w:rPr>
              <w:rFonts w:eastAsia="Times New Roman" w:cs="Arial"/>
              <w:i/>
              <w:iCs/>
              <w:color w:val="000000" w:themeColor="text1"/>
              <w:shd w:val="clear" w:color="auto" w:fill="FFFFFF"/>
            </w:rPr>
            <w:t>5</w:t>
          </w:r>
          <w:r w:rsidRPr="00C63F70">
            <w:rPr>
              <w:rFonts w:eastAsia="Times New Roman" w:cs="Arial"/>
              <w:color w:val="000000" w:themeColor="text1"/>
              <w:shd w:val="clear" w:color="auto" w:fill="FFFFFF"/>
            </w:rPr>
            <w:t>(10), e1311.</w:t>
          </w:r>
        </w:p>
        <w:p w14:paraId="22A6E83D" w14:textId="77777777" w:rsidR="00CB3C2A" w:rsidRPr="00CB3C2A" w:rsidRDefault="00CB3C2A" w:rsidP="00CB3C2A">
          <w:pPr>
            <w:pStyle w:val="ListParagraph"/>
            <w:numPr>
              <w:ilvl w:val="0"/>
              <w:numId w:val="11"/>
            </w:numPr>
            <w:rPr>
              <w:rFonts w:eastAsia="Times New Roman" w:cs="Times New Roman"/>
            </w:rPr>
          </w:pPr>
          <w:r w:rsidRPr="00CB3C2A">
            <w:rPr>
              <w:rFonts w:eastAsia="Times New Roman" w:cs="Arial"/>
              <w:color w:val="222222"/>
              <w:shd w:val="clear" w:color="auto" w:fill="FFFFFF"/>
            </w:rPr>
            <w:t>Lee, I. K., Liu, J. W., &amp; Yang, K. D. (2005). Clinical characteristics and risk factors for concurrent bacteremia in adults with dengue hemorrhagic fever.</w:t>
          </w:r>
          <w:r w:rsidRPr="00CB3C2A">
            <w:rPr>
              <w:rFonts w:eastAsia="Times New Roman" w:cs="Arial"/>
              <w:i/>
              <w:iCs/>
              <w:color w:val="222222"/>
              <w:shd w:val="clear" w:color="auto" w:fill="FFFFFF"/>
            </w:rPr>
            <w:t>The American journal of tropical medicine and hygiene</w:t>
          </w:r>
          <w:r w:rsidRPr="00CB3C2A">
            <w:rPr>
              <w:rFonts w:eastAsia="Times New Roman" w:cs="Arial"/>
              <w:color w:val="222222"/>
              <w:shd w:val="clear" w:color="auto" w:fill="FFFFFF"/>
            </w:rPr>
            <w:t>, </w:t>
          </w:r>
          <w:r w:rsidRPr="00CB3C2A">
            <w:rPr>
              <w:rFonts w:eastAsia="Times New Roman" w:cs="Arial"/>
              <w:i/>
              <w:iCs/>
              <w:color w:val="222222"/>
              <w:shd w:val="clear" w:color="auto" w:fill="FFFFFF"/>
            </w:rPr>
            <w:t>72</w:t>
          </w:r>
          <w:r w:rsidRPr="00CB3C2A">
            <w:rPr>
              <w:rFonts w:eastAsia="Times New Roman" w:cs="Arial"/>
              <w:color w:val="222222"/>
              <w:shd w:val="clear" w:color="auto" w:fill="FFFFFF"/>
            </w:rPr>
            <w:t>(2), 221-226.</w:t>
          </w:r>
        </w:p>
        <w:p w14:paraId="6AC302DC" w14:textId="77777777" w:rsidR="00CB3C2A" w:rsidRPr="00D47B3F" w:rsidRDefault="00CB3C2A" w:rsidP="00D47B3F">
          <w:pPr>
            <w:ind w:left="360"/>
            <w:rPr>
              <w:rFonts w:eastAsia="Times New Roman" w:cs="Times New Roman"/>
              <w:color w:val="000000" w:themeColor="text1"/>
            </w:rPr>
          </w:pPr>
        </w:p>
        <w:p w14:paraId="59B2758C" w14:textId="02D2C034" w:rsidR="00914292" w:rsidRPr="00C63F70" w:rsidRDefault="00914292" w:rsidP="00557D70">
          <w:pPr>
            <w:pStyle w:val="ListParagraph"/>
            <w:rPr>
              <w:rFonts w:ascii="Cambria" w:eastAsia="Times New Roman" w:hAnsi="Cambria" w:cs="Times New Roman"/>
              <w:color w:val="000000" w:themeColor="text1"/>
            </w:rPr>
          </w:pPr>
        </w:p>
        <w:sdt>
          <w:sdtPr>
            <w:rPr>
              <w:color w:val="000000" w:themeColor="text1"/>
            </w:rPr>
            <w:id w:val="111145805"/>
            <w:bibliography/>
          </w:sdtPr>
          <w:sdtEndPr>
            <w:rPr>
              <w:color w:val="auto"/>
            </w:rPr>
          </w:sdtEndPr>
          <w:sdtContent>
            <w:p w14:paraId="28751837" w14:textId="1C3EE84A" w:rsidR="009220B2" w:rsidRPr="00C63F70" w:rsidRDefault="009220B2" w:rsidP="009220B2">
              <w:pPr>
                <w:pStyle w:val="Bibliography"/>
                <w:ind w:left="720" w:hanging="720"/>
                <w:rPr>
                  <w:color w:val="000000" w:themeColor="text1"/>
                </w:rPr>
              </w:pPr>
            </w:p>
            <w:p w14:paraId="6EB9B273" w14:textId="51B2CCAE" w:rsidR="00914292" w:rsidRDefault="008F6073" w:rsidP="009220B2"/>
          </w:sdtContent>
        </w:sdt>
      </w:sdtContent>
    </w:sdt>
    <w:p w14:paraId="105EE6B5" w14:textId="77777777" w:rsidR="007F1D19" w:rsidRDefault="007F1D19" w:rsidP="00171914">
      <w:pPr>
        <w:spacing w:line="360" w:lineRule="auto"/>
        <w:jc w:val="center"/>
      </w:pPr>
    </w:p>
    <w:p w14:paraId="23C562A8" w14:textId="77777777" w:rsidR="007F1D19" w:rsidRDefault="007F1D19" w:rsidP="00171914">
      <w:pPr>
        <w:spacing w:line="360" w:lineRule="auto"/>
        <w:jc w:val="center"/>
      </w:pPr>
    </w:p>
    <w:p w14:paraId="79D3CBFA" w14:textId="77777777" w:rsidR="00F542A1" w:rsidRPr="00171914" w:rsidRDefault="00F542A1" w:rsidP="00993F17">
      <w:pPr>
        <w:spacing w:line="360" w:lineRule="auto"/>
      </w:pPr>
    </w:p>
    <w:sectPr w:rsidR="00F542A1" w:rsidRPr="00171914" w:rsidSect="00915504">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61B6B" w14:textId="77777777" w:rsidR="00C01FB4" w:rsidRDefault="00C01FB4">
      <w:r>
        <w:separator/>
      </w:r>
    </w:p>
  </w:endnote>
  <w:endnote w:type="continuationSeparator" w:id="0">
    <w:p w14:paraId="5BB70051" w14:textId="77777777" w:rsidR="00C01FB4" w:rsidRDefault="00C0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47AEF" w14:textId="77777777" w:rsidR="00C01FB4" w:rsidRDefault="00C01FB4" w:rsidP="00F076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ADF772" w14:textId="77777777" w:rsidR="00C01FB4" w:rsidRDefault="00C01F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761004"/>
      <w:docPartObj>
        <w:docPartGallery w:val="Page Numbers (Bottom of Page)"/>
        <w:docPartUnique/>
      </w:docPartObj>
    </w:sdtPr>
    <w:sdtEndPr>
      <w:rPr>
        <w:noProof/>
      </w:rPr>
    </w:sdtEndPr>
    <w:sdtContent>
      <w:p w14:paraId="409CA7F8" w14:textId="64AD51C5" w:rsidR="00C01FB4" w:rsidRDefault="00C01FB4">
        <w:pPr>
          <w:pStyle w:val="Footer"/>
          <w:jc w:val="center"/>
        </w:pPr>
        <w:r>
          <w:fldChar w:fldCharType="begin"/>
        </w:r>
        <w:r>
          <w:instrText xml:space="preserve"> PAGE   \* MERGEFORMAT </w:instrText>
        </w:r>
        <w:r>
          <w:fldChar w:fldCharType="separate"/>
        </w:r>
        <w:r w:rsidR="008F6073">
          <w:rPr>
            <w:noProof/>
          </w:rPr>
          <w:t>15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822405"/>
      <w:docPartObj>
        <w:docPartGallery w:val="Page Numbers (Bottom of Page)"/>
        <w:docPartUnique/>
      </w:docPartObj>
    </w:sdtPr>
    <w:sdtEndPr>
      <w:rPr>
        <w:noProof/>
      </w:rPr>
    </w:sdtEndPr>
    <w:sdtContent>
      <w:p w14:paraId="5EDCB484" w14:textId="06106ECF" w:rsidR="00C01FB4" w:rsidRDefault="00C01FB4">
        <w:pPr>
          <w:pStyle w:val="Footer"/>
          <w:jc w:val="center"/>
        </w:pPr>
        <w:r>
          <w:fldChar w:fldCharType="begin"/>
        </w:r>
        <w:r>
          <w:instrText xml:space="preserve"> PAGE   \* MERGEFORMAT </w:instrText>
        </w:r>
        <w:r>
          <w:fldChar w:fldCharType="separate"/>
        </w:r>
        <w:r w:rsidR="008F6073">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2EDC6" w14:textId="77777777" w:rsidR="00C01FB4" w:rsidRDefault="00C01FB4">
      <w:r>
        <w:separator/>
      </w:r>
    </w:p>
  </w:footnote>
  <w:footnote w:type="continuationSeparator" w:id="0">
    <w:p w14:paraId="1682FE89" w14:textId="77777777" w:rsidR="00C01FB4" w:rsidRDefault="00C01F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34C98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0163F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D0E1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CEB8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55C57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B49C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9E84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E666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C9A08"/>
    <w:lvl w:ilvl="0">
      <w:start w:val="1"/>
      <w:numFmt w:val="decimal"/>
      <w:lvlText w:val="%1."/>
      <w:lvlJc w:val="left"/>
      <w:pPr>
        <w:tabs>
          <w:tab w:val="num" w:pos="360"/>
        </w:tabs>
        <w:ind w:left="360" w:hanging="360"/>
      </w:pPr>
    </w:lvl>
  </w:abstractNum>
  <w:abstractNum w:abstractNumId="9" w15:restartNumberingAfterBreak="0">
    <w:nsid w:val="0C816957"/>
    <w:multiLevelType w:val="hybridMultilevel"/>
    <w:tmpl w:val="D35868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D37AF"/>
    <w:multiLevelType w:val="hybridMultilevel"/>
    <w:tmpl w:val="689E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51749"/>
    <w:multiLevelType w:val="hybridMultilevel"/>
    <w:tmpl w:val="55CCC7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F4023"/>
    <w:multiLevelType w:val="multilevel"/>
    <w:tmpl w:val="7B608D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11"/>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rawingGridHorizontalSpacing w:val="120"/>
  <w:drawingGridVerticalSpacing w:val="163"/>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B7625"/>
    <w:rsid w:val="000031DF"/>
    <w:rsid w:val="00016F8E"/>
    <w:rsid w:val="00020FB5"/>
    <w:rsid w:val="000240CF"/>
    <w:rsid w:val="00025F25"/>
    <w:rsid w:val="00032159"/>
    <w:rsid w:val="00053F98"/>
    <w:rsid w:val="00066D07"/>
    <w:rsid w:val="00066D4A"/>
    <w:rsid w:val="00076507"/>
    <w:rsid w:val="000803B6"/>
    <w:rsid w:val="0008090E"/>
    <w:rsid w:val="000A16AD"/>
    <w:rsid w:val="000A4563"/>
    <w:rsid w:val="000E48AB"/>
    <w:rsid w:val="0010698E"/>
    <w:rsid w:val="00107B7F"/>
    <w:rsid w:val="00121A83"/>
    <w:rsid w:val="00133ECC"/>
    <w:rsid w:val="0013660B"/>
    <w:rsid w:val="001367E2"/>
    <w:rsid w:val="00147495"/>
    <w:rsid w:val="001536FD"/>
    <w:rsid w:val="00155D7A"/>
    <w:rsid w:val="001563EC"/>
    <w:rsid w:val="0016214C"/>
    <w:rsid w:val="00170B51"/>
    <w:rsid w:val="00171914"/>
    <w:rsid w:val="00177F62"/>
    <w:rsid w:val="001853B7"/>
    <w:rsid w:val="00186403"/>
    <w:rsid w:val="00194A54"/>
    <w:rsid w:val="00195B5B"/>
    <w:rsid w:val="001A1DE1"/>
    <w:rsid w:val="001B7050"/>
    <w:rsid w:val="001C406A"/>
    <w:rsid w:val="001C4316"/>
    <w:rsid w:val="001E4814"/>
    <w:rsid w:val="001E4D95"/>
    <w:rsid w:val="001E58B1"/>
    <w:rsid w:val="001F3A86"/>
    <w:rsid w:val="00201321"/>
    <w:rsid w:val="00204D08"/>
    <w:rsid w:val="002068AB"/>
    <w:rsid w:val="00210A61"/>
    <w:rsid w:val="002124C4"/>
    <w:rsid w:val="002252DF"/>
    <w:rsid w:val="002408E2"/>
    <w:rsid w:val="00247199"/>
    <w:rsid w:val="00265B2D"/>
    <w:rsid w:val="00292343"/>
    <w:rsid w:val="002A018A"/>
    <w:rsid w:val="002A06B0"/>
    <w:rsid w:val="002A5150"/>
    <w:rsid w:val="002A5A13"/>
    <w:rsid w:val="002B2F6A"/>
    <w:rsid w:val="002B68E0"/>
    <w:rsid w:val="002B6EF9"/>
    <w:rsid w:val="002C38B0"/>
    <w:rsid w:val="002C3F0D"/>
    <w:rsid w:val="002D70C1"/>
    <w:rsid w:val="002E6F83"/>
    <w:rsid w:val="002F559A"/>
    <w:rsid w:val="0030592C"/>
    <w:rsid w:val="003059DB"/>
    <w:rsid w:val="00316062"/>
    <w:rsid w:val="00321D5C"/>
    <w:rsid w:val="003221B1"/>
    <w:rsid w:val="00325CA2"/>
    <w:rsid w:val="00327778"/>
    <w:rsid w:val="00335039"/>
    <w:rsid w:val="00354550"/>
    <w:rsid w:val="00355BBB"/>
    <w:rsid w:val="00357E8D"/>
    <w:rsid w:val="00360FD5"/>
    <w:rsid w:val="0036353B"/>
    <w:rsid w:val="00381BBC"/>
    <w:rsid w:val="0038225E"/>
    <w:rsid w:val="003831FC"/>
    <w:rsid w:val="00384992"/>
    <w:rsid w:val="00391CA8"/>
    <w:rsid w:val="00393B34"/>
    <w:rsid w:val="003A7A7B"/>
    <w:rsid w:val="003B1983"/>
    <w:rsid w:val="003D0354"/>
    <w:rsid w:val="003D084A"/>
    <w:rsid w:val="003D6F44"/>
    <w:rsid w:val="003F176F"/>
    <w:rsid w:val="003F2547"/>
    <w:rsid w:val="00420199"/>
    <w:rsid w:val="00423061"/>
    <w:rsid w:val="00425433"/>
    <w:rsid w:val="0042673D"/>
    <w:rsid w:val="00430FE0"/>
    <w:rsid w:val="004330A1"/>
    <w:rsid w:val="00437B0D"/>
    <w:rsid w:val="00443AD5"/>
    <w:rsid w:val="004540E5"/>
    <w:rsid w:val="00455EAE"/>
    <w:rsid w:val="00467CEE"/>
    <w:rsid w:val="004711A0"/>
    <w:rsid w:val="0047128B"/>
    <w:rsid w:val="00475E0F"/>
    <w:rsid w:val="00475F10"/>
    <w:rsid w:val="00483725"/>
    <w:rsid w:val="004970C6"/>
    <w:rsid w:val="004B60ED"/>
    <w:rsid w:val="004C0750"/>
    <w:rsid w:val="004C0C90"/>
    <w:rsid w:val="004C38D9"/>
    <w:rsid w:val="004C7EC3"/>
    <w:rsid w:val="004D225B"/>
    <w:rsid w:val="004D602F"/>
    <w:rsid w:val="004F1FE0"/>
    <w:rsid w:val="00507833"/>
    <w:rsid w:val="005423B2"/>
    <w:rsid w:val="005424A9"/>
    <w:rsid w:val="00546072"/>
    <w:rsid w:val="00557D70"/>
    <w:rsid w:val="005730A8"/>
    <w:rsid w:val="0057793B"/>
    <w:rsid w:val="005944DA"/>
    <w:rsid w:val="005A2A06"/>
    <w:rsid w:val="005A3C58"/>
    <w:rsid w:val="005B2865"/>
    <w:rsid w:val="005C4326"/>
    <w:rsid w:val="00612554"/>
    <w:rsid w:val="00615D65"/>
    <w:rsid w:val="00616A54"/>
    <w:rsid w:val="006257E1"/>
    <w:rsid w:val="0064215E"/>
    <w:rsid w:val="00646270"/>
    <w:rsid w:val="006615A2"/>
    <w:rsid w:val="0066720C"/>
    <w:rsid w:val="006717B0"/>
    <w:rsid w:val="00676CEC"/>
    <w:rsid w:val="00686EBC"/>
    <w:rsid w:val="006905F7"/>
    <w:rsid w:val="00691B93"/>
    <w:rsid w:val="006A50AD"/>
    <w:rsid w:val="006A7BA8"/>
    <w:rsid w:val="006B7974"/>
    <w:rsid w:val="006C3671"/>
    <w:rsid w:val="006D4A39"/>
    <w:rsid w:val="006D7CC8"/>
    <w:rsid w:val="006E4868"/>
    <w:rsid w:val="006E782C"/>
    <w:rsid w:val="00705734"/>
    <w:rsid w:val="00716300"/>
    <w:rsid w:val="0073181F"/>
    <w:rsid w:val="00767ABE"/>
    <w:rsid w:val="00767C78"/>
    <w:rsid w:val="00775333"/>
    <w:rsid w:val="007875D8"/>
    <w:rsid w:val="007A0451"/>
    <w:rsid w:val="007B528E"/>
    <w:rsid w:val="007C56DE"/>
    <w:rsid w:val="007C6D5C"/>
    <w:rsid w:val="007D346F"/>
    <w:rsid w:val="007D5E1A"/>
    <w:rsid w:val="007E6825"/>
    <w:rsid w:val="007F1D19"/>
    <w:rsid w:val="007F548C"/>
    <w:rsid w:val="008005B0"/>
    <w:rsid w:val="00804B28"/>
    <w:rsid w:val="00805F7C"/>
    <w:rsid w:val="00806F4F"/>
    <w:rsid w:val="00813690"/>
    <w:rsid w:val="00813B96"/>
    <w:rsid w:val="008141BA"/>
    <w:rsid w:val="00823B6F"/>
    <w:rsid w:val="00823DA2"/>
    <w:rsid w:val="0083383F"/>
    <w:rsid w:val="0083654B"/>
    <w:rsid w:val="008611C9"/>
    <w:rsid w:val="00863902"/>
    <w:rsid w:val="00870360"/>
    <w:rsid w:val="00894A1C"/>
    <w:rsid w:val="008955CC"/>
    <w:rsid w:val="008B13BB"/>
    <w:rsid w:val="008B6521"/>
    <w:rsid w:val="008C6DAA"/>
    <w:rsid w:val="008C706F"/>
    <w:rsid w:val="008D3E5A"/>
    <w:rsid w:val="008E2280"/>
    <w:rsid w:val="008E3905"/>
    <w:rsid w:val="008F3887"/>
    <w:rsid w:val="008F6073"/>
    <w:rsid w:val="00914292"/>
    <w:rsid w:val="00915504"/>
    <w:rsid w:val="0092040B"/>
    <w:rsid w:val="009220B2"/>
    <w:rsid w:val="0093575A"/>
    <w:rsid w:val="009363D0"/>
    <w:rsid w:val="00957001"/>
    <w:rsid w:val="0096024C"/>
    <w:rsid w:val="00966F16"/>
    <w:rsid w:val="00973423"/>
    <w:rsid w:val="00975F2B"/>
    <w:rsid w:val="009775F9"/>
    <w:rsid w:val="009836CF"/>
    <w:rsid w:val="009857F3"/>
    <w:rsid w:val="0099206D"/>
    <w:rsid w:val="00992B00"/>
    <w:rsid w:val="00993F17"/>
    <w:rsid w:val="00996906"/>
    <w:rsid w:val="00997F3B"/>
    <w:rsid w:val="009A2D47"/>
    <w:rsid w:val="009A2F61"/>
    <w:rsid w:val="009A78CE"/>
    <w:rsid w:val="009B7498"/>
    <w:rsid w:val="009C41B1"/>
    <w:rsid w:val="009C7489"/>
    <w:rsid w:val="009E167D"/>
    <w:rsid w:val="009E275A"/>
    <w:rsid w:val="009F2CBB"/>
    <w:rsid w:val="009F5521"/>
    <w:rsid w:val="00A00FBC"/>
    <w:rsid w:val="00A07523"/>
    <w:rsid w:val="00A137F3"/>
    <w:rsid w:val="00A22257"/>
    <w:rsid w:val="00A22F29"/>
    <w:rsid w:val="00A2383D"/>
    <w:rsid w:val="00A31DEF"/>
    <w:rsid w:val="00A33FEB"/>
    <w:rsid w:val="00A360E4"/>
    <w:rsid w:val="00A402AB"/>
    <w:rsid w:val="00A63A29"/>
    <w:rsid w:val="00A76676"/>
    <w:rsid w:val="00A84EB2"/>
    <w:rsid w:val="00A85392"/>
    <w:rsid w:val="00A914CE"/>
    <w:rsid w:val="00A9377E"/>
    <w:rsid w:val="00A9691C"/>
    <w:rsid w:val="00AB00F6"/>
    <w:rsid w:val="00AB4489"/>
    <w:rsid w:val="00AB7432"/>
    <w:rsid w:val="00AC06F4"/>
    <w:rsid w:val="00AC0F01"/>
    <w:rsid w:val="00AC6B12"/>
    <w:rsid w:val="00AC6B6A"/>
    <w:rsid w:val="00AE6EA6"/>
    <w:rsid w:val="00AF2C89"/>
    <w:rsid w:val="00AF428F"/>
    <w:rsid w:val="00AF4E5E"/>
    <w:rsid w:val="00B01587"/>
    <w:rsid w:val="00B11465"/>
    <w:rsid w:val="00B14590"/>
    <w:rsid w:val="00B37958"/>
    <w:rsid w:val="00B45C2E"/>
    <w:rsid w:val="00B6169A"/>
    <w:rsid w:val="00B862BF"/>
    <w:rsid w:val="00BC6982"/>
    <w:rsid w:val="00BD29BF"/>
    <w:rsid w:val="00BD33B2"/>
    <w:rsid w:val="00BE132C"/>
    <w:rsid w:val="00BE160C"/>
    <w:rsid w:val="00C01FB4"/>
    <w:rsid w:val="00C02D9A"/>
    <w:rsid w:val="00C1118C"/>
    <w:rsid w:val="00C12B75"/>
    <w:rsid w:val="00C21499"/>
    <w:rsid w:val="00C31843"/>
    <w:rsid w:val="00C358CD"/>
    <w:rsid w:val="00C36C50"/>
    <w:rsid w:val="00C55224"/>
    <w:rsid w:val="00C63F70"/>
    <w:rsid w:val="00C65200"/>
    <w:rsid w:val="00C72154"/>
    <w:rsid w:val="00C73F3E"/>
    <w:rsid w:val="00C87C48"/>
    <w:rsid w:val="00C90418"/>
    <w:rsid w:val="00CB1ABD"/>
    <w:rsid w:val="00CB3C2A"/>
    <w:rsid w:val="00CC03F0"/>
    <w:rsid w:val="00CC6005"/>
    <w:rsid w:val="00CD52EC"/>
    <w:rsid w:val="00CD7045"/>
    <w:rsid w:val="00CD7AB5"/>
    <w:rsid w:val="00CE5BD8"/>
    <w:rsid w:val="00CF4F46"/>
    <w:rsid w:val="00CF62EE"/>
    <w:rsid w:val="00D05BEA"/>
    <w:rsid w:val="00D07DF8"/>
    <w:rsid w:val="00D12C42"/>
    <w:rsid w:val="00D329C9"/>
    <w:rsid w:val="00D428A0"/>
    <w:rsid w:val="00D4669D"/>
    <w:rsid w:val="00D47B3F"/>
    <w:rsid w:val="00D5776D"/>
    <w:rsid w:val="00D62CE4"/>
    <w:rsid w:val="00D662BE"/>
    <w:rsid w:val="00D712EC"/>
    <w:rsid w:val="00D7181B"/>
    <w:rsid w:val="00D76990"/>
    <w:rsid w:val="00D93210"/>
    <w:rsid w:val="00DB7D37"/>
    <w:rsid w:val="00DC4379"/>
    <w:rsid w:val="00DD405E"/>
    <w:rsid w:val="00DD426F"/>
    <w:rsid w:val="00DD6D24"/>
    <w:rsid w:val="00DF350D"/>
    <w:rsid w:val="00DF5C50"/>
    <w:rsid w:val="00E23B12"/>
    <w:rsid w:val="00E26B32"/>
    <w:rsid w:val="00E27168"/>
    <w:rsid w:val="00E33322"/>
    <w:rsid w:val="00E34A2D"/>
    <w:rsid w:val="00E37107"/>
    <w:rsid w:val="00E41CF0"/>
    <w:rsid w:val="00E500FE"/>
    <w:rsid w:val="00E517E0"/>
    <w:rsid w:val="00E522BC"/>
    <w:rsid w:val="00E54F4D"/>
    <w:rsid w:val="00E70DD8"/>
    <w:rsid w:val="00E76CE5"/>
    <w:rsid w:val="00E8454B"/>
    <w:rsid w:val="00E96881"/>
    <w:rsid w:val="00E979B5"/>
    <w:rsid w:val="00EB090D"/>
    <w:rsid w:val="00EB12F2"/>
    <w:rsid w:val="00EB370A"/>
    <w:rsid w:val="00EB7625"/>
    <w:rsid w:val="00EC196B"/>
    <w:rsid w:val="00EC6EC9"/>
    <w:rsid w:val="00ED0B0B"/>
    <w:rsid w:val="00ED20A2"/>
    <w:rsid w:val="00EE5791"/>
    <w:rsid w:val="00EF0947"/>
    <w:rsid w:val="00EF5493"/>
    <w:rsid w:val="00F07689"/>
    <w:rsid w:val="00F079B1"/>
    <w:rsid w:val="00F10585"/>
    <w:rsid w:val="00F16A7E"/>
    <w:rsid w:val="00F17584"/>
    <w:rsid w:val="00F36544"/>
    <w:rsid w:val="00F542A1"/>
    <w:rsid w:val="00F67415"/>
    <w:rsid w:val="00F7332A"/>
    <w:rsid w:val="00F74836"/>
    <w:rsid w:val="00F842DE"/>
    <w:rsid w:val="00F8637E"/>
    <w:rsid w:val="00F92E34"/>
    <w:rsid w:val="00F97683"/>
    <w:rsid w:val="00FA179A"/>
    <w:rsid w:val="00FC618F"/>
    <w:rsid w:val="00FC6577"/>
    <w:rsid w:val="00FD7773"/>
    <w:rsid w:val="00FF4356"/>
    <w:rsid w:val="00FF6BEF"/>
    <w:rsid w:val="00FF6F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A557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B54"/>
  </w:style>
  <w:style w:type="paragraph" w:styleId="Heading1">
    <w:name w:val="heading 1"/>
    <w:basedOn w:val="Normal"/>
    <w:next w:val="Normal"/>
    <w:link w:val="Heading1Char"/>
    <w:uiPriority w:val="9"/>
    <w:qFormat/>
    <w:rsid w:val="0096024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D19"/>
    <w:pPr>
      <w:tabs>
        <w:tab w:val="center" w:pos="4320"/>
        <w:tab w:val="right" w:pos="8640"/>
      </w:tabs>
    </w:pPr>
  </w:style>
  <w:style w:type="character" w:customStyle="1" w:styleId="HeaderChar">
    <w:name w:val="Header Char"/>
    <w:basedOn w:val="DefaultParagraphFont"/>
    <w:link w:val="Header"/>
    <w:uiPriority w:val="99"/>
    <w:rsid w:val="007F1D19"/>
  </w:style>
  <w:style w:type="paragraph" w:styleId="Footer">
    <w:name w:val="footer"/>
    <w:basedOn w:val="Normal"/>
    <w:link w:val="FooterChar"/>
    <w:uiPriority w:val="99"/>
    <w:unhideWhenUsed/>
    <w:rsid w:val="007F1D19"/>
    <w:pPr>
      <w:tabs>
        <w:tab w:val="center" w:pos="4320"/>
        <w:tab w:val="right" w:pos="8640"/>
      </w:tabs>
    </w:pPr>
  </w:style>
  <w:style w:type="character" w:customStyle="1" w:styleId="FooterChar">
    <w:name w:val="Footer Char"/>
    <w:basedOn w:val="DefaultParagraphFont"/>
    <w:link w:val="Footer"/>
    <w:uiPriority w:val="99"/>
    <w:rsid w:val="007F1D19"/>
  </w:style>
  <w:style w:type="paragraph" w:styleId="NoSpacing">
    <w:name w:val="No Spacing"/>
    <w:link w:val="NoSpacingChar"/>
    <w:qFormat/>
    <w:rsid w:val="007F1D19"/>
    <w:rPr>
      <w:rFonts w:ascii="PMingLiU" w:eastAsiaTheme="minorEastAsia" w:hAnsi="PMingLiU"/>
      <w:sz w:val="22"/>
      <w:szCs w:val="22"/>
    </w:rPr>
  </w:style>
  <w:style w:type="character" w:customStyle="1" w:styleId="NoSpacingChar">
    <w:name w:val="No Spacing Char"/>
    <w:basedOn w:val="DefaultParagraphFont"/>
    <w:link w:val="NoSpacing"/>
    <w:rsid w:val="007F1D19"/>
    <w:rPr>
      <w:rFonts w:ascii="PMingLiU" w:eastAsiaTheme="minorEastAsia" w:hAnsi="PMingLiU"/>
      <w:sz w:val="22"/>
      <w:szCs w:val="22"/>
    </w:rPr>
  </w:style>
  <w:style w:type="table" w:styleId="LightShading-Accent1">
    <w:name w:val="Light Shading Accent 1"/>
    <w:basedOn w:val="TableNormal"/>
    <w:uiPriority w:val="60"/>
    <w:rsid w:val="007F1D19"/>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96024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96024C"/>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96024C"/>
    <w:pPr>
      <w:spacing w:before="120"/>
    </w:pPr>
    <w:rPr>
      <w:rFonts w:asciiTheme="majorHAnsi" w:hAnsiTheme="majorHAnsi"/>
      <w:b/>
      <w:color w:val="548DD4"/>
    </w:rPr>
  </w:style>
  <w:style w:type="paragraph" w:styleId="TOC2">
    <w:name w:val="toc 2"/>
    <w:basedOn w:val="Normal"/>
    <w:next w:val="Normal"/>
    <w:autoRedefine/>
    <w:uiPriority w:val="39"/>
    <w:rsid w:val="0096024C"/>
    <w:rPr>
      <w:sz w:val="22"/>
      <w:szCs w:val="22"/>
    </w:rPr>
  </w:style>
  <w:style w:type="paragraph" w:styleId="TOC3">
    <w:name w:val="toc 3"/>
    <w:basedOn w:val="Normal"/>
    <w:next w:val="Normal"/>
    <w:autoRedefine/>
    <w:uiPriority w:val="39"/>
    <w:rsid w:val="002A5150"/>
    <w:pPr>
      <w:ind w:left="240"/>
    </w:pPr>
    <w:rPr>
      <w:sz w:val="22"/>
      <w:szCs w:val="22"/>
    </w:rPr>
  </w:style>
  <w:style w:type="paragraph" w:styleId="TOC4">
    <w:name w:val="toc 4"/>
    <w:basedOn w:val="Normal"/>
    <w:next w:val="Normal"/>
    <w:autoRedefine/>
    <w:rsid w:val="0096024C"/>
    <w:pPr>
      <w:pBdr>
        <w:between w:val="double" w:sz="6" w:space="0" w:color="auto"/>
      </w:pBdr>
      <w:ind w:left="480"/>
    </w:pPr>
    <w:rPr>
      <w:sz w:val="20"/>
      <w:szCs w:val="20"/>
    </w:rPr>
  </w:style>
  <w:style w:type="paragraph" w:styleId="TOC5">
    <w:name w:val="toc 5"/>
    <w:basedOn w:val="Normal"/>
    <w:next w:val="Normal"/>
    <w:autoRedefine/>
    <w:rsid w:val="0096024C"/>
    <w:pPr>
      <w:pBdr>
        <w:between w:val="double" w:sz="6" w:space="0" w:color="auto"/>
      </w:pBdr>
      <w:ind w:left="720"/>
    </w:pPr>
    <w:rPr>
      <w:sz w:val="20"/>
      <w:szCs w:val="20"/>
    </w:rPr>
  </w:style>
  <w:style w:type="paragraph" w:styleId="TOC6">
    <w:name w:val="toc 6"/>
    <w:basedOn w:val="Normal"/>
    <w:next w:val="Normal"/>
    <w:autoRedefine/>
    <w:rsid w:val="0096024C"/>
    <w:pPr>
      <w:pBdr>
        <w:between w:val="double" w:sz="6" w:space="0" w:color="auto"/>
      </w:pBdr>
      <w:ind w:left="960"/>
    </w:pPr>
    <w:rPr>
      <w:sz w:val="20"/>
      <w:szCs w:val="20"/>
    </w:rPr>
  </w:style>
  <w:style w:type="paragraph" w:styleId="TOC7">
    <w:name w:val="toc 7"/>
    <w:basedOn w:val="Normal"/>
    <w:next w:val="Normal"/>
    <w:autoRedefine/>
    <w:rsid w:val="0096024C"/>
    <w:pPr>
      <w:pBdr>
        <w:between w:val="double" w:sz="6" w:space="0" w:color="auto"/>
      </w:pBdr>
      <w:ind w:left="1200"/>
    </w:pPr>
    <w:rPr>
      <w:sz w:val="20"/>
      <w:szCs w:val="20"/>
    </w:rPr>
  </w:style>
  <w:style w:type="paragraph" w:styleId="TOC8">
    <w:name w:val="toc 8"/>
    <w:basedOn w:val="Normal"/>
    <w:next w:val="Normal"/>
    <w:autoRedefine/>
    <w:rsid w:val="0096024C"/>
    <w:pPr>
      <w:pBdr>
        <w:between w:val="double" w:sz="6" w:space="0" w:color="auto"/>
      </w:pBdr>
      <w:ind w:left="1440"/>
    </w:pPr>
    <w:rPr>
      <w:sz w:val="20"/>
      <w:szCs w:val="20"/>
    </w:rPr>
  </w:style>
  <w:style w:type="paragraph" w:styleId="TOC9">
    <w:name w:val="toc 9"/>
    <w:basedOn w:val="Normal"/>
    <w:next w:val="Normal"/>
    <w:autoRedefine/>
    <w:rsid w:val="0096024C"/>
    <w:pPr>
      <w:pBdr>
        <w:between w:val="double" w:sz="6" w:space="0" w:color="auto"/>
      </w:pBdr>
      <w:ind w:left="1680"/>
    </w:pPr>
    <w:rPr>
      <w:sz w:val="20"/>
      <w:szCs w:val="20"/>
    </w:rPr>
  </w:style>
  <w:style w:type="paragraph" w:styleId="ListParagraph">
    <w:name w:val="List Paragraph"/>
    <w:basedOn w:val="Normal"/>
    <w:uiPriority w:val="34"/>
    <w:qFormat/>
    <w:rsid w:val="009775F9"/>
    <w:pPr>
      <w:ind w:left="720"/>
      <w:contextualSpacing/>
    </w:pPr>
  </w:style>
  <w:style w:type="paragraph" w:customStyle="1" w:styleId="Style1">
    <w:name w:val="Style1"/>
    <w:basedOn w:val="Normal"/>
    <w:qFormat/>
    <w:rsid w:val="00997F3B"/>
    <w:pPr>
      <w:spacing w:line="480" w:lineRule="auto"/>
    </w:pPr>
  </w:style>
  <w:style w:type="paragraph" w:customStyle="1" w:styleId="Style2">
    <w:name w:val="Style2"/>
    <w:basedOn w:val="Normal"/>
    <w:autoRedefine/>
    <w:rsid w:val="00997F3B"/>
    <w:pPr>
      <w:spacing w:line="480" w:lineRule="auto"/>
    </w:pPr>
  </w:style>
  <w:style w:type="paragraph" w:styleId="Bibliography">
    <w:name w:val="Bibliography"/>
    <w:basedOn w:val="Normal"/>
    <w:next w:val="Normal"/>
    <w:unhideWhenUsed/>
    <w:rsid w:val="00914292"/>
  </w:style>
  <w:style w:type="character" w:styleId="Hyperlink">
    <w:name w:val="Hyperlink"/>
    <w:basedOn w:val="DefaultParagraphFont"/>
    <w:rsid w:val="00914292"/>
    <w:rPr>
      <w:color w:val="0000FF" w:themeColor="hyperlink"/>
      <w:u w:val="single"/>
    </w:rPr>
  </w:style>
  <w:style w:type="character" w:customStyle="1" w:styleId="apple-converted-space">
    <w:name w:val="apple-converted-space"/>
    <w:basedOn w:val="DefaultParagraphFont"/>
    <w:rsid w:val="002C38B0"/>
  </w:style>
  <w:style w:type="character" w:styleId="PageNumber">
    <w:name w:val="page number"/>
    <w:basedOn w:val="DefaultParagraphFont"/>
    <w:semiHidden/>
    <w:unhideWhenUsed/>
    <w:rsid w:val="00894A1C"/>
  </w:style>
  <w:style w:type="paragraph" w:styleId="DocumentMap">
    <w:name w:val="Document Map"/>
    <w:basedOn w:val="Normal"/>
    <w:link w:val="DocumentMapChar"/>
    <w:semiHidden/>
    <w:unhideWhenUsed/>
    <w:rsid w:val="000E48AB"/>
    <w:rPr>
      <w:rFonts w:ascii="Times New Roman" w:hAnsi="Times New Roman" w:cs="Times New Roman"/>
    </w:rPr>
  </w:style>
  <w:style w:type="character" w:customStyle="1" w:styleId="DocumentMapChar">
    <w:name w:val="Document Map Char"/>
    <w:basedOn w:val="DefaultParagraphFont"/>
    <w:link w:val="DocumentMap"/>
    <w:semiHidden/>
    <w:rsid w:val="000E48AB"/>
    <w:rPr>
      <w:rFonts w:ascii="Times New Roman" w:hAnsi="Times New Roman" w:cs="Times New Roman"/>
    </w:rPr>
  </w:style>
  <w:style w:type="paragraph" w:styleId="Revision">
    <w:name w:val="Revision"/>
    <w:hidden/>
    <w:semiHidden/>
    <w:rsid w:val="000E48AB"/>
  </w:style>
  <w:style w:type="table" w:styleId="TableGrid">
    <w:name w:val="Table Grid"/>
    <w:basedOn w:val="TableNormal"/>
    <w:rsid w:val="00FF4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F43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1255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125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3652610">
      <w:bodyDiv w:val="1"/>
      <w:marLeft w:val="0"/>
      <w:marRight w:val="0"/>
      <w:marTop w:val="0"/>
      <w:marBottom w:val="0"/>
      <w:divBdr>
        <w:top w:val="none" w:sz="0" w:space="0" w:color="auto"/>
        <w:left w:val="none" w:sz="0" w:space="0" w:color="auto"/>
        <w:bottom w:val="none" w:sz="0" w:space="0" w:color="auto"/>
        <w:right w:val="none" w:sz="0" w:space="0" w:color="auto"/>
      </w:divBdr>
    </w:div>
    <w:div w:id="110978244">
      <w:bodyDiv w:val="1"/>
      <w:marLeft w:val="0"/>
      <w:marRight w:val="0"/>
      <w:marTop w:val="0"/>
      <w:marBottom w:val="0"/>
      <w:divBdr>
        <w:top w:val="none" w:sz="0" w:space="0" w:color="auto"/>
        <w:left w:val="none" w:sz="0" w:space="0" w:color="auto"/>
        <w:bottom w:val="none" w:sz="0" w:space="0" w:color="auto"/>
        <w:right w:val="none" w:sz="0" w:space="0" w:color="auto"/>
      </w:divBdr>
    </w:div>
    <w:div w:id="306978797">
      <w:bodyDiv w:val="1"/>
      <w:marLeft w:val="0"/>
      <w:marRight w:val="0"/>
      <w:marTop w:val="0"/>
      <w:marBottom w:val="0"/>
      <w:divBdr>
        <w:top w:val="none" w:sz="0" w:space="0" w:color="auto"/>
        <w:left w:val="none" w:sz="0" w:space="0" w:color="auto"/>
        <w:bottom w:val="none" w:sz="0" w:space="0" w:color="auto"/>
        <w:right w:val="none" w:sz="0" w:space="0" w:color="auto"/>
      </w:divBdr>
    </w:div>
    <w:div w:id="324826373">
      <w:bodyDiv w:val="1"/>
      <w:marLeft w:val="0"/>
      <w:marRight w:val="0"/>
      <w:marTop w:val="0"/>
      <w:marBottom w:val="0"/>
      <w:divBdr>
        <w:top w:val="none" w:sz="0" w:space="0" w:color="auto"/>
        <w:left w:val="none" w:sz="0" w:space="0" w:color="auto"/>
        <w:bottom w:val="none" w:sz="0" w:space="0" w:color="auto"/>
        <w:right w:val="none" w:sz="0" w:space="0" w:color="auto"/>
      </w:divBdr>
    </w:div>
    <w:div w:id="395671317">
      <w:bodyDiv w:val="1"/>
      <w:marLeft w:val="0"/>
      <w:marRight w:val="0"/>
      <w:marTop w:val="0"/>
      <w:marBottom w:val="0"/>
      <w:divBdr>
        <w:top w:val="none" w:sz="0" w:space="0" w:color="auto"/>
        <w:left w:val="none" w:sz="0" w:space="0" w:color="auto"/>
        <w:bottom w:val="none" w:sz="0" w:space="0" w:color="auto"/>
        <w:right w:val="none" w:sz="0" w:space="0" w:color="auto"/>
      </w:divBdr>
    </w:div>
    <w:div w:id="442963885">
      <w:bodyDiv w:val="1"/>
      <w:marLeft w:val="0"/>
      <w:marRight w:val="0"/>
      <w:marTop w:val="0"/>
      <w:marBottom w:val="0"/>
      <w:divBdr>
        <w:top w:val="none" w:sz="0" w:space="0" w:color="auto"/>
        <w:left w:val="none" w:sz="0" w:space="0" w:color="auto"/>
        <w:bottom w:val="none" w:sz="0" w:space="0" w:color="auto"/>
        <w:right w:val="none" w:sz="0" w:space="0" w:color="auto"/>
      </w:divBdr>
    </w:div>
    <w:div w:id="460684453">
      <w:bodyDiv w:val="1"/>
      <w:marLeft w:val="0"/>
      <w:marRight w:val="0"/>
      <w:marTop w:val="0"/>
      <w:marBottom w:val="0"/>
      <w:divBdr>
        <w:top w:val="none" w:sz="0" w:space="0" w:color="auto"/>
        <w:left w:val="none" w:sz="0" w:space="0" w:color="auto"/>
        <w:bottom w:val="none" w:sz="0" w:space="0" w:color="auto"/>
        <w:right w:val="none" w:sz="0" w:space="0" w:color="auto"/>
      </w:divBdr>
    </w:div>
    <w:div w:id="506602619">
      <w:bodyDiv w:val="1"/>
      <w:marLeft w:val="0"/>
      <w:marRight w:val="0"/>
      <w:marTop w:val="0"/>
      <w:marBottom w:val="0"/>
      <w:divBdr>
        <w:top w:val="none" w:sz="0" w:space="0" w:color="auto"/>
        <w:left w:val="none" w:sz="0" w:space="0" w:color="auto"/>
        <w:bottom w:val="none" w:sz="0" w:space="0" w:color="auto"/>
        <w:right w:val="none" w:sz="0" w:space="0" w:color="auto"/>
      </w:divBdr>
    </w:div>
    <w:div w:id="522086251">
      <w:bodyDiv w:val="1"/>
      <w:marLeft w:val="0"/>
      <w:marRight w:val="0"/>
      <w:marTop w:val="0"/>
      <w:marBottom w:val="0"/>
      <w:divBdr>
        <w:top w:val="none" w:sz="0" w:space="0" w:color="auto"/>
        <w:left w:val="none" w:sz="0" w:space="0" w:color="auto"/>
        <w:bottom w:val="none" w:sz="0" w:space="0" w:color="auto"/>
        <w:right w:val="none" w:sz="0" w:space="0" w:color="auto"/>
      </w:divBdr>
    </w:div>
    <w:div w:id="538854385">
      <w:bodyDiv w:val="1"/>
      <w:marLeft w:val="0"/>
      <w:marRight w:val="0"/>
      <w:marTop w:val="0"/>
      <w:marBottom w:val="0"/>
      <w:divBdr>
        <w:top w:val="none" w:sz="0" w:space="0" w:color="auto"/>
        <w:left w:val="none" w:sz="0" w:space="0" w:color="auto"/>
        <w:bottom w:val="none" w:sz="0" w:space="0" w:color="auto"/>
        <w:right w:val="none" w:sz="0" w:space="0" w:color="auto"/>
      </w:divBdr>
    </w:div>
    <w:div w:id="597366866">
      <w:bodyDiv w:val="1"/>
      <w:marLeft w:val="0"/>
      <w:marRight w:val="0"/>
      <w:marTop w:val="0"/>
      <w:marBottom w:val="0"/>
      <w:divBdr>
        <w:top w:val="none" w:sz="0" w:space="0" w:color="auto"/>
        <w:left w:val="none" w:sz="0" w:space="0" w:color="auto"/>
        <w:bottom w:val="none" w:sz="0" w:space="0" w:color="auto"/>
        <w:right w:val="none" w:sz="0" w:space="0" w:color="auto"/>
      </w:divBdr>
    </w:div>
    <w:div w:id="609778179">
      <w:bodyDiv w:val="1"/>
      <w:marLeft w:val="0"/>
      <w:marRight w:val="0"/>
      <w:marTop w:val="0"/>
      <w:marBottom w:val="0"/>
      <w:divBdr>
        <w:top w:val="none" w:sz="0" w:space="0" w:color="auto"/>
        <w:left w:val="none" w:sz="0" w:space="0" w:color="auto"/>
        <w:bottom w:val="none" w:sz="0" w:space="0" w:color="auto"/>
        <w:right w:val="none" w:sz="0" w:space="0" w:color="auto"/>
      </w:divBdr>
    </w:div>
    <w:div w:id="624577199">
      <w:bodyDiv w:val="1"/>
      <w:marLeft w:val="0"/>
      <w:marRight w:val="0"/>
      <w:marTop w:val="0"/>
      <w:marBottom w:val="0"/>
      <w:divBdr>
        <w:top w:val="none" w:sz="0" w:space="0" w:color="auto"/>
        <w:left w:val="none" w:sz="0" w:space="0" w:color="auto"/>
        <w:bottom w:val="none" w:sz="0" w:space="0" w:color="auto"/>
        <w:right w:val="none" w:sz="0" w:space="0" w:color="auto"/>
      </w:divBdr>
    </w:div>
    <w:div w:id="631861031">
      <w:bodyDiv w:val="1"/>
      <w:marLeft w:val="0"/>
      <w:marRight w:val="0"/>
      <w:marTop w:val="0"/>
      <w:marBottom w:val="0"/>
      <w:divBdr>
        <w:top w:val="none" w:sz="0" w:space="0" w:color="auto"/>
        <w:left w:val="none" w:sz="0" w:space="0" w:color="auto"/>
        <w:bottom w:val="none" w:sz="0" w:space="0" w:color="auto"/>
        <w:right w:val="none" w:sz="0" w:space="0" w:color="auto"/>
      </w:divBdr>
    </w:div>
    <w:div w:id="652873052">
      <w:bodyDiv w:val="1"/>
      <w:marLeft w:val="0"/>
      <w:marRight w:val="0"/>
      <w:marTop w:val="0"/>
      <w:marBottom w:val="0"/>
      <w:divBdr>
        <w:top w:val="none" w:sz="0" w:space="0" w:color="auto"/>
        <w:left w:val="none" w:sz="0" w:space="0" w:color="auto"/>
        <w:bottom w:val="none" w:sz="0" w:space="0" w:color="auto"/>
        <w:right w:val="none" w:sz="0" w:space="0" w:color="auto"/>
      </w:divBdr>
    </w:div>
    <w:div w:id="675961452">
      <w:bodyDiv w:val="1"/>
      <w:marLeft w:val="0"/>
      <w:marRight w:val="0"/>
      <w:marTop w:val="0"/>
      <w:marBottom w:val="0"/>
      <w:divBdr>
        <w:top w:val="none" w:sz="0" w:space="0" w:color="auto"/>
        <w:left w:val="none" w:sz="0" w:space="0" w:color="auto"/>
        <w:bottom w:val="none" w:sz="0" w:space="0" w:color="auto"/>
        <w:right w:val="none" w:sz="0" w:space="0" w:color="auto"/>
      </w:divBdr>
    </w:div>
    <w:div w:id="698167468">
      <w:bodyDiv w:val="1"/>
      <w:marLeft w:val="0"/>
      <w:marRight w:val="0"/>
      <w:marTop w:val="0"/>
      <w:marBottom w:val="0"/>
      <w:divBdr>
        <w:top w:val="none" w:sz="0" w:space="0" w:color="auto"/>
        <w:left w:val="none" w:sz="0" w:space="0" w:color="auto"/>
        <w:bottom w:val="none" w:sz="0" w:space="0" w:color="auto"/>
        <w:right w:val="none" w:sz="0" w:space="0" w:color="auto"/>
      </w:divBdr>
    </w:div>
    <w:div w:id="766342200">
      <w:bodyDiv w:val="1"/>
      <w:marLeft w:val="0"/>
      <w:marRight w:val="0"/>
      <w:marTop w:val="0"/>
      <w:marBottom w:val="0"/>
      <w:divBdr>
        <w:top w:val="none" w:sz="0" w:space="0" w:color="auto"/>
        <w:left w:val="none" w:sz="0" w:space="0" w:color="auto"/>
        <w:bottom w:val="none" w:sz="0" w:space="0" w:color="auto"/>
        <w:right w:val="none" w:sz="0" w:space="0" w:color="auto"/>
      </w:divBdr>
    </w:div>
    <w:div w:id="773938476">
      <w:bodyDiv w:val="1"/>
      <w:marLeft w:val="0"/>
      <w:marRight w:val="0"/>
      <w:marTop w:val="0"/>
      <w:marBottom w:val="0"/>
      <w:divBdr>
        <w:top w:val="none" w:sz="0" w:space="0" w:color="auto"/>
        <w:left w:val="none" w:sz="0" w:space="0" w:color="auto"/>
        <w:bottom w:val="none" w:sz="0" w:space="0" w:color="auto"/>
        <w:right w:val="none" w:sz="0" w:space="0" w:color="auto"/>
      </w:divBdr>
    </w:div>
    <w:div w:id="830408894">
      <w:bodyDiv w:val="1"/>
      <w:marLeft w:val="0"/>
      <w:marRight w:val="0"/>
      <w:marTop w:val="0"/>
      <w:marBottom w:val="0"/>
      <w:divBdr>
        <w:top w:val="none" w:sz="0" w:space="0" w:color="auto"/>
        <w:left w:val="none" w:sz="0" w:space="0" w:color="auto"/>
        <w:bottom w:val="none" w:sz="0" w:space="0" w:color="auto"/>
        <w:right w:val="none" w:sz="0" w:space="0" w:color="auto"/>
      </w:divBdr>
      <w:divsChild>
        <w:div w:id="1304627011">
          <w:marLeft w:val="0"/>
          <w:marRight w:val="0"/>
          <w:marTop w:val="0"/>
          <w:marBottom w:val="0"/>
          <w:divBdr>
            <w:top w:val="none" w:sz="0" w:space="0" w:color="auto"/>
            <w:left w:val="none" w:sz="0" w:space="0" w:color="auto"/>
            <w:bottom w:val="none" w:sz="0" w:space="0" w:color="auto"/>
            <w:right w:val="none" w:sz="0" w:space="0" w:color="auto"/>
          </w:divBdr>
        </w:div>
      </w:divsChild>
    </w:div>
    <w:div w:id="872117244">
      <w:bodyDiv w:val="1"/>
      <w:marLeft w:val="0"/>
      <w:marRight w:val="0"/>
      <w:marTop w:val="0"/>
      <w:marBottom w:val="0"/>
      <w:divBdr>
        <w:top w:val="none" w:sz="0" w:space="0" w:color="auto"/>
        <w:left w:val="none" w:sz="0" w:space="0" w:color="auto"/>
        <w:bottom w:val="none" w:sz="0" w:space="0" w:color="auto"/>
        <w:right w:val="none" w:sz="0" w:space="0" w:color="auto"/>
      </w:divBdr>
    </w:div>
    <w:div w:id="912158508">
      <w:bodyDiv w:val="1"/>
      <w:marLeft w:val="0"/>
      <w:marRight w:val="0"/>
      <w:marTop w:val="0"/>
      <w:marBottom w:val="0"/>
      <w:divBdr>
        <w:top w:val="none" w:sz="0" w:space="0" w:color="auto"/>
        <w:left w:val="none" w:sz="0" w:space="0" w:color="auto"/>
        <w:bottom w:val="none" w:sz="0" w:space="0" w:color="auto"/>
        <w:right w:val="none" w:sz="0" w:space="0" w:color="auto"/>
      </w:divBdr>
    </w:div>
    <w:div w:id="1021778990">
      <w:bodyDiv w:val="1"/>
      <w:marLeft w:val="0"/>
      <w:marRight w:val="0"/>
      <w:marTop w:val="0"/>
      <w:marBottom w:val="0"/>
      <w:divBdr>
        <w:top w:val="none" w:sz="0" w:space="0" w:color="auto"/>
        <w:left w:val="none" w:sz="0" w:space="0" w:color="auto"/>
        <w:bottom w:val="none" w:sz="0" w:space="0" w:color="auto"/>
        <w:right w:val="none" w:sz="0" w:space="0" w:color="auto"/>
      </w:divBdr>
    </w:div>
    <w:div w:id="1037241233">
      <w:bodyDiv w:val="1"/>
      <w:marLeft w:val="0"/>
      <w:marRight w:val="0"/>
      <w:marTop w:val="0"/>
      <w:marBottom w:val="0"/>
      <w:divBdr>
        <w:top w:val="none" w:sz="0" w:space="0" w:color="auto"/>
        <w:left w:val="none" w:sz="0" w:space="0" w:color="auto"/>
        <w:bottom w:val="none" w:sz="0" w:space="0" w:color="auto"/>
        <w:right w:val="none" w:sz="0" w:space="0" w:color="auto"/>
      </w:divBdr>
    </w:div>
    <w:div w:id="1064137402">
      <w:bodyDiv w:val="1"/>
      <w:marLeft w:val="0"/>
      <w:marRight w:val="0"/>
      <w:marTop w:val="0"/>
      <w:marBottom w:val="0"/>
      <w:divBdr>
        <w:top w:val="none" w:sz="0" w:space="0" w:color="auto"/>
        <w:left w:val="none" w:sz="0" w:space="0" w:color="auto"/>
        <w:bottom w:val="none" w:sz="0" w:space="0" w:color="auto"/>
        <w:right w:val="none" w:sz="0" w:space="0" w:color="auto"/>
      </w:divBdr>
    </w:div>
    <w:div w:id="1118910167">
      <w:bodyDiv w:val="1"/>
      <w:marLeft w:val="0"/>
      <w:marRight w:val="0"/>
      <w:marTop w:val="0"/>
      <w:marBottom w:val="0"/>
      <w:divBdr>
        <w:top w:val="none" w:sz="0" w:space="0" w:color="auto"/>
        <w:left w:val="none" w:sz="0" w:space="0" w:color="auto"/>
        <w:bottom w:val="none" w:sz="0" w:space="0" w:color="auto"/>
        <w:right w:val="none" w:sz="0" w:space="0" w:color="auto"/>
      </w:divBdr>
    </w:div>
    <w:div w:id="1144080769">
      <w:bodyDiv w:val="1"/>
      <w:marLeft w:val="0"/>
      <w:marRight w:val="0"/>
      <w:marTop w:val="0"/>
      <w:marBottom w:val="0"/>
      <w:divBdr>
        <w:top w:val="none" w:sz="0" w:space="0" w:color="auto"/>
        <w:left w:val="none" w:sz="0" w:space="0" w:color="auto"/>
        <w:bottom w:val="none" w:sz="0" w:space="0" w:color="auto"/>
        <w:right w:val="none" w:sz="0" w:space="0" w:color="auto"/>
      </w:divBdr>
    </w:div>
    <w:div w:id="1161434366">
      <w:bodyDiv w:val="1"/>
      <w:marLeft w:val="0"/>
      <w:marRight w:val="0"/>
      <w:marTop w:val="0"/>
      <w:marBottom w:val="0"/>
      <w:divBdr>
        <w:top w:val="none" w:sz="0" w:space="0" w:color="auto"/>
        <w:left w:val="none" w:sz="0" w:space="0" w:color="auto"/>
        <w:bottom w:val="none" w:sz="0" w:space="0" w:color="auto"/>
        <w:right w:val="none" w:sz="0" w:space="0" w:color="auto"/>
      </w:divBdr>
    </w:div>
    <w:div w:id="1256864317">
      <w:bodyDiv w:val="1"/>
      <w:marLeft w:val="0"/>
      <w:marRight w:val="0"/>
      <w:marTop w:val="0"/>
      <w:marBottom w:val="0"/>
      <w:divBdr>
        <w:top w:val="none" w:sz="0" w:space="0" w:color="auto"/>
        <w:left w:val="none" w:sz="0" w:space="0" w:color="auto"/>
        <w:bottom w:val="none" w:sz="0" w:space="0" w:color="auto"/>
        <w:right w:val="none" w:sz="0" w:space="0" w:color="auto"/>
      </w:divBdr>
    </w:div>
    <w:div w:id="1308900049">
      <w:bodyDiv w:val="1"/>
      <w:marLeft w:val="0"/>
      <w:marRight w:val="0"/>
      <w:marTop w:val="0"/>
      <w:marBottom w:val="0"/>
      <w:divBdr>
        <w:top w:val="none" w:sz="0" w:space="0" w:color="auto"/>
        <w:left w:val="none" w:sz="0" w:space="0" w:color="auto"/>
        <w:bottom w:val="none" w:sz="0" w:space="0" w:color="auto"/>
        <w:right w:val="none" w:sz="0" w:space="0" w:color="auto"/>
      </w:divBdr>
    </w:div>
    <w:div w:id="1339963558">
      <w:bodyDiv w:val="1"/>
      <w:marLeft w:val="0"/>
      <w:marRight w:val="0"/>
      <w:marTop w:val="0"/>
      <w:marBottom w:val="0"/>
      <w:divBdr>
        <w:top w:val="none" w:sz="0" w:space="0" w:color="auto"/>
        <w:left w:val="none" w:sz="0" w:space="0" w:color="auto"/>
        <w:bottom w:val="none" w:sz="0" w:space="0" w:color="auto"/>
        <w:right w:val="none" w:sz="0" w:space="0" w:color="auto"/>
      </w:divBdr>
    </w:div>
    <w:div w:id="1346519804">
      <w:bodyDiv w:val="1"/>
      <w:marLeft w:val="0"/>
      <w:marRight w:val="0"/>
      <w:marTop w:val="0"/>
      <w:marBottom w:val="0"/>
      <w:divBdr>
        <w:top w:val="none" w:sz="0" w:space="0" w:color="auto"/>
        <w:left w:val="none" w:sz="0" w:space="0" w:color="auto"/>
        <w:bottom w:val="none" w:sz="0" w:space="0" w:color="auto"/>
        <w:right w:val="none" w:sz="0" w:space="0" w:color="auto"/>
      </w:divBdr>
    </w:div>
    <w:div w:id="1407845055">
      <w:bodyDiv w:val="1"/>
      <w:marLeft w:val="0"/>
      <w:marRight w:val="0"/>
      <w:marTop w:val="0"/>
      <w:marBottom w:val="0"/>
      <w:divBdr>
        <w:top w:val="none" w:sz="0" w:space="0" w:color="auto"/>
        <w:left w:val="none" w:sz="0" w:space="0" w:color="auto"/>
        <w:bottom w:val="none" w:sz="0" w:space="0" w:color="auto"/>
        <w:right w:val="none" w:sz="0" w:space="0" w:color="auto"/>
      </w:divBdr>
    </w:div>
    <w:div w:id="1486046852">
      <w:bodyDiv w:val="1"/>
      <w:marLeft w:val="0"/>
      <w:marRight w:val="0"/>
      <w:marTop w:val="0"/>
      <w:marBottom w:val="0"/>
      <w:divBdr>
        <w:top w:val="none" w:sz="0" w:space="0" w:color="auto"/>
        <w:left w:val="none" w:sz="0" w:space="0" w:color="auto"/>
        <w:bottom w:val="none" w:sz="0" w:space="0" w:color="auto"/>
        <w:right w:val="none" w:sz="0" w:space="0" w:color="auto"/>
      </w:divBdr>
    </w:div>
    <w:div w:id="1491019669">
      <w:bodyDiv w:val="1"/>
      <w:marLeft w:val="0"/>
      <w:marRight w:val="0"/>
      <w:marTop w:val="0"/>
      <w:marBottom w:val="0"/>
      <w:divBdr>
        <w:top w:val="none" w:sz="0" w:space="0" w:color="auto"/>
        <w:left w:val="none" w:sz="0" w:space="0" w:color="auto"/>
        <w:bottom w:val="none" w:sz="0" w:space="0" w:color="auto"/>
        <w:right w:val="none" w:sz="0" w:space="0" w:color="auto"/>
      </w:divBdr>
    </w:div>
    <w:div w:id="1502965596">
      <w:bodyDiv w:val="1"/>
      <w:marLeft w:val="0"/>
      <w:marRight w:val="0"/>
      <w:marTop w:val="0"/>
      <w:marBottom w:val="0"/>
      <w:divBdr>
        <w:top w:val="none" w:sz="0" w:space="0" w:color="auto"/>
        <w:left w:val="none" w:sz="0" w:space="0" w:color="auto"/>
        <w:bottom w:val="none" w:sz="0" w:space="0" w:color="auto"/>
        <w:right w:val="none" w:sz="0" w:space="0" w:color="auto"/>
      </w:divBdr>
    </w:div>
    <w:div w:id="1536890716">
      <w:bodyDiv w:val="1"/>
      <w:marLeft w:val="0"/>
      <w:marRight w:val="0"/>
      <w:marTop w:val="0"/>
      <w:marBottom w:val="0"/>
      <w:divBdr>
        <w:top w:val="none" w:sz="0" w:space="0" w:color="auto"/>
        <w:left w:val="none" w:sz="0" w:space="0" w:color="auto"/>
        <w:bottom w:val="none" w:sz="0" w:space="0" w:color="auto"/>
        <w:right w:val="none" w:sz="0" w:space="0" w:color="auto"/>
      </w:divBdr>
    </w:div>
    <w:div w:id="1544832694">
      <w:bodyDiv w:val="1"/>
      <w:marLeft w:val="0"/>
      <w:marRight w:val="0"/>
      <w:marTop w:val="0"/>
      <w:marBottom w:val="0"/>
      <w:divBdr>
        <w:top w:val="none" w:sz="0" w:space="0" w:color="auto"/>
        <w:left w:val="none" w:sz="0" w:space="0" w:color="auto"/>
        <w:bottom w:val="none" w:sz="0" w:space="0" w:color="auto"/>
        <w:right w:val="none" w:sz="0" w:space="0" w:color="auto"/>
      </w:divBdr>
    </w:div>
    <w:div w:id="1609316807">
      <w:bodyDiv w:val="1"/>
      <w:marLeft w:val="0"/>
      <w:marRight w:val="0"/>
      <w:marTop w:val="0"/>
      <w:marBottom w:val="0"/>
      <w:divBdr>
        <w:top w:val="none" w:sz="0" w:space="0" w:color="auto"/>
        <w:left w:val="none" w:sz="0" w:space="0" w:color="auto"/>
        <w:bottom w:val="none" w:sz="0" w:space="0" w:color="auto"/>
        <w:right w:val="none" w:sz="0" w:space="0" w:color="auto"/>
      </w:divBdr>
    </w:div>
    <w:div w:id="1660770750">
      <w:bodyDiv w:val="1"/>
      <w:marLeft w:val="0"/>
      <w:marRight w:val="0"/>
      <w:marTop w:val="0"/>
      <w:marBottom w:val="0"/>
      <w:divBdr>
        <w:top w:val="none" w:sz="0" w:space="0" w:color="auto"/>
        <w:left w:val="none" w:sz="0" w:space="0" w:color="auto"/>
        <w:bottom w:val="none" w:sz="0" w:space="0" w:color="auto"/>
        <w:right w:val="none" w:sz="0" w:space="0" w:color="auto"/>
      </w:divBdr>
    </w:div>
    <w:div w:id="1682315022">
      <w:bodyDiv w:val="1"/>
      <w:marLeft w:val="0"/>
      <w:marRight w:val="0"/>
      <w:marTop w:val="0"/>
      <w:marBottom w:val="0"/>
      <w:divBdr>
        <w:top w:val="none" w:sz="0" w:space="0" w:color="auto"/>
        <w:left w:val="none" w:sz="0" w:space="0" w:color="auto"/>
        <w:bottom w:val="none" w:sz="0" w:space="0" w:color="auto"/>
        <w:right w:val="none" w:sz="0" w:space="0" w:color="auto"/>
      </w:divBdr>
    </w:div>
    <w:div w:id="1694451449">
      <w:bodyDiv w:val="1"/>
      <w:marLeft w:val="0"/>
      <w:marRight w:val="0"/>
      <w:marTop w:val="0"/>
      <w:marBottom w:val="0"/>
      <w:divBdr>
        <w:top w:val="none" w:sz="0" w:space="0" w:color="auto"/>
        <w:left w:val="none" w:sz="0" w:space="0" w:color="auto"/>
        <w:bottom w:val="none" w:sz="0" w:space="0" w:color="auto"/>
        <w:right w:val="none" w:sz="0" w:space="0" w:color="auto"/>
      </w:divBdr>
    </w:div>
    <w:div w:id="1897861985">
      <w:bodyDiv w:val="1"/>
      <w:marLeft w:val="0"/>
      <w:marRight w:val="0"/>
      <w:marTop w:val="0"/>
      <w:marBottom w:val="0"/>
      <w:divBdr>
        <w:top w:val="none" w:sz="0" w:space="0" w:color="auto"/>
        <w:left w:val="none" w:sz="0" w:space="0" w:color="auto"/>
        <w:bottom w:val="none" w:sz="0" w:space="0" w:color="auto"/>
        <w:right w:val="none" w:sz="0" w:space="0" w:color="auto"/>
      </w:divBdr>
    </w:div>
    <w:div w:id="1919242930">
      <w:bodyDiv w:val="1"/>
      <w:marLeft w:val="0"/>
      <w:marRight w:val="0"/>
      <w:marTop w:val="0"/>
      <w:marBottom w:val="0"/>
      <w:divBdr>
        <w:top w:val="none" w:sz="0" w:space="0" w:color="auto"/>
        <w:left w:val="none" w:sz="0" w:space="0" w:color="auto"/>
        <w:bottom w:val="none" w:sz="0" w:space="0" w:color="auto"/>
        <w:right w:val="none" w:sz="0" w:space="0" w:color="auto"/>
      </w:divBdr>
    </w:div>
    <w:div w:id="1936865882">
      <w:bodyDiv w:val="1"/>
      <w:marLeft w:val="0"/>
      <w:marRight w:val="0"/>
      <w:marTop w:val="0"/>
      <w:marBottom w:val="0"/>
      <w:divBdr>
        <w:top w:val="none" w:sz="0" w:space="0" w:color="auto"/>
        <w:left w:val="none" w:sz="0" w:space="0" w:color="auto"/>
        <w:bottom w:val="none" w:sz="0" w:space="0" w:color="auto"/>
        <w:right w:val="none" w:sz="0" w:space="0" w:color="auto"/>
      </w:divBdr>
    </w:div>
    <w:div w:id="1977104788">
      <w:bodyDiv w:val="1"/>
      <w:marLeft w:val="0"/>
      <w:marRight w:val="0"/>
      <w:marTop w:val="0"/>
      <w:marBottom w:val="0"/>
      <w:divBdr>
        <w:top w:val="none" w:sz="0" w:space="0" w:color="auto"/>
        <w:left w:val="none" w:sz="0" w:space="0" w:color="auto"/>
        <w:bottom w:val="none" w:sz="0" w:space="0" w:color="auto"/>
        <w:right w:val="none" w:sz="0" w:space="0" w:color="auto"/>
      </w:divBdr>
    </w:div>
    <w:div w:id="20974390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cdc.gov/dengue/clinicalLab/clinica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hyperlink" Target="http://www.who.int/mediacentre/factsheets/fs117/e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tif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Volumes\NO%20NAME\1994-2013%20summary_KPPH%20updated%20(10JUNE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ephanie\Documents\Essay\1994-2013%20summary_KPPH%20updated%20(26JUNE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ephanie\Documents\Essay\1994-2013%20summary_KPPH%20updated%20(26JUNE1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Serotypes</a:t>
            </a:r>
            <a:r>
              <a:rPr lang="en-US" baseline="0"/>
              <a:t> by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026563006155"/>
          <c:y val="0.154813492442999"/>
          <c:w val="0.857898715041572"/>
          <c:h val="0.55088108925655499"/>
        </c:manualLayout>
      </c:layout>
      <c:lineChart>
        <c:grouping val="standard"/>
        <c:varyColors val="0"/>
        <c:ser>
          <c:idx val="1"/>
          <c:order val="0"/>
          <c:tx>
            <c:strRef>
              <c:f>Sheet2!$B$1</c:f>
              <c:strCache>
                <c:ptCount val="1"/>
                <c:pt idx="0">
                  <c:v>DENV1 </c:v>
                </c:pt>
              </c:strCache>
            </c:strRef>
          </c:tx>
          <c:spPr>
            <a:ln w="28575" cap="rnd">
              <a:solidFill>
                <a:schemeClr val="accent2"/>
              </a:solidFill>
              <a:round/>
            </a:ln>
            <a:effectLst/>
          </c:spPr>
          <c:marker>
            <c:symbol val="none"/>
          </c:marker>
          <c:cat>
            <c:numRef>
              <c:f>Sheet2!$A$2:$A$21</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Sheet2!$B$2:$B$21</c:f>
              <c:numCache>
                <c:formatCode>General</c:formatCode>
                <c:ptCount val="20"/>
                <c:pt idx="0">
                  <c:v>8</c:v>
                </c:pt>
                <c:pt idx="1">
                  <c:v>6</c:v>
                </c:pt>
                <c:pt idx="2">
                  <c:v>19</c:v>
                </c:pt>
                <c:pt idx="3">
                  <c:v>151</c:v>
                </c:pt>
                <c:pt idx="4">
                  <c:v>36</c:v>
                </c:pt>
                <c:pt idx="5">
                  <c:v>43</c:v>
                </c:pt>
                <c:pt idx="6">
                  <c:v>19</c:v>
                </c:pt>
                <c:pt idx="7">
                  <c:v>334</c:v>
                </c:pt>
                <c:pt idx="8">
                  <c:v>111</c:v>
                </c:pt>
                <c:pt idx="9">
                  <c:v>48</c:v>
                </c:pt>
                <c:pt idx="10">
                  <c:v>21</c:v>
                </c:pt>
                <c:pt idx="11">
                  <c:v>46</c:v>
                </c:pt>
                <c:pt idx="12">
                  <c:v>173</c:v>
                </c:pt>
                <c:pt idx="13">
                  <c:v>248</c:v>
                </c:pt>
                <c:pt idx="14">
                  <c:v>279</c:v>
                </c:pt>
                <c:pt idx="15">
                  <c:v>39</c:v>
                </c:pt>
                <c:pt idx="16">
                  <c:v>33</c:v>
                </c:pt>
                <c:pt idx="17">
                  <c:v>195</c:v>
                </c:pt>
                <c:pt idx="18">
                  <c:v>45</c:v>
                </c:pt>
                <c:pt idx="19">
                  <c:v>55</c:v>
                </c:pt>
              </c:numCache>
            </c:numRef>
          </c:val>
          <c:smooth val="0"/>
        </c:ser>
        <c:ser>
          <c:idx val="2"/>
          <c:order val="1"/>
          <c:tx>
            <c:strRef>
              <c:f>Sheet2!$C$1</c:f>
              <c:strCache>
                <c:ptCount val="1"/>
                <c:pt idx="0">
                  <c:v>DENV2</c:v>
                </c:pt>
              </c:strCache>
            </c:strRef>
          </c:tx>
          <c:spPr>
            <a:ln w="28575" cap="rnd">
              <a:solidFill>
                <a:schemeClr val="accent3"/>
              </a:solidFill>
              <a:round/>
            </a:ln>
            <a:effectLst/>
          </c:spPr>
          <c:marker>
            <c:symbol val="none"/>
          </c:marker>
          <c:cat>
            <c:numRef>
              <c:f>Sheet2!$A$2:$A$21</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Sheet2!$C$2:$C$21</c:f>
              <c:numCache>
                <c:formatCode>General</c:formatCode>
                <c:ptCount val="20"/>
                <c:pt idx="0">
                  <c:v>4</c:v>
                </c:pt>
                <c:pt idx="1">
                  <c:v>24</c:v>
                </c:pt>
                <c:pt idx="2">
                  <c:v>8</c:v>
                </c:pt>
                <c:pt idx="3">
                  <c:v>27</c:v>
                </c:pt>
                <c:pt idx="4">
                  <c:v>48</c:v>
                </c:pt>
                <c:pt idx="5">
                  <c:v>101</c:v>
                </c:pt>
                <c:pt idx="6">
                  <c:v>81</c:v>
                </c:pt>
                <c:pt idx="7">
                  <c:v>366</c:v>
                </c:pt>
                <c:pt idx="8">
                  <c:v>102</c:v>
                </c:pt>
                <c:pt idx="9">
                  <c:v>85</c:v>
                </c:pt>
                <c:pt idx="10">
                  <c:v>61</c:v>
                </c:pt>
                <c:pt idx="11">
                  <c:v>82</c:v>
                </c:pt>
                <c:pt idx="12">
                  <c:v>4</c:v>
                </c:pt>
                <c:pt idx="13">
                  <c:v>21</c:v>
                </c:pt>
                <c:pt idx="14">
                  <c:v>117</c:v>
                </c:pt>
                <c:pt idx="15">
                  <c:v>97</c:v>
                </c:pt>
                <c:pt idx="16">
                  <c:v>152</c:v>
                </c:pt>
                <c:pt idx="17">
                  <c:v>262</c:v>
                </c:pt>
                <c:pt idx="18">
                  <c:v>144</c:v>
                </c:pt>
                <c:pt idx="19">
                  <c:v>61</c:v>
                </c:pt>
              </c:numCache>
            </c:numRef>
          </c:val>
          <c:smooth val="0"/>
        </c:ser>
        <c:ser>
          <c:idx val="3"/>
          <c:order val="2"/>
          <c:tx>
            <c:strRef>
              <c:f>Sheet2!$D$1</c:f>
              <c:strCache>
                <c:ptCount val="1"/>
                <c:pt idx="0">
                  <c:v>DENV3</c:v>
                </c:pt>
              </c:strCache>
            </c:strRef>
          </c:tx>
          <c:spPr>
            <a:ln w="28575" cap="rnd">
              <a:solidFill>
                <a:schemeClr val="accent4"/>
              </a:solidFill>
              <a:round/>
            </a:ln>
            <a:effectLst/>
          </c:spPr>
          <c:marker>
            <c:symbol val="none"/>
          </c:marker>
          <c:cat>
            <c:numRef>
              <c:f>Sheet2!$A$2:$A$21</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Sheet2!$D$2:$D$21</c:f>
              <c:numCache>
                <c:formatCode>General</c:formatCode>
                <c:ptCount val="20"/>
                <c:pt idx="0">
                  <c:v>8</c:v>
                </c:pt>
                <c:pt idx="1">
                  <c:v>23</c:v>
                </c:pt>
                <c:pt idx="2">
                  <c:v>13</c:v>
                </c:pt>
                <c:pt idx="3">
                  <c:v>42</c:v>
                </c:pt>
                <c:pt idx="4">
                  <c:v>100</c:v>
                </c:pt>
                <c:pt idx="5">
                  <c:v>57</c:v>
                </c:pt>
                <c:pt idx="6">
                  <c:v>4</c:v>
                </c:pt>
                <c:pt idx="7">
                  <c:v>141</c:v>
                </c:pt>
                <c:pt idx="8">
                  <c:v>34</c:v>
                </c:pt>
                <c:pt idx="9">
                  <c:v>3</c:v>
                </c:pt>
                <c:pt idx="10">
                  <c:v>4</c:v>
                </c:pt>
                <c:pt idx="11">
                  <c:v>3</c:v>
                </c:pt>
                <c:pt idx="12">
                  <c:v>34</c:v>
                </c:pt>
                <c:pt idx="13">
                  <c:v>31</c:v>
                </c:pt>
                <c:pt idx="14">
                  <c:v>80</c:v>
                </c:pt>
                <c:pt idx="15">
                  <c:v>28</c:v>
                </c:pt>
                <c:pt idx="16">
                  <c:v>63</c:v>
                </c:pt>
                <c:pt idx="17">
                  <c:v>61</c:v>
                </c:pt>
                <c:pt idx="18">
                  <c:v>26</c:v>
                </c:pt>
                <c:pt idx="19">
                  <c:v>382</c:v>
                </c:pt>
              </c:numCache>
            </c:numRef>
          </c:val>
          <c:smooth val="0"/>
        </c:ser>
        <c:ser>
          <c:idx val="4"/>
          <c:order val="3"/>
          <c:tx>
            <c:strRef>
              <c:f>Sheet2!$E$1</c:f>
              <c:strCache>
                <c:ptCount val="1"/>
                <c:pt idx="0">
                  <c:v>DENV4</c:v>
                </c:pt>
              </c:strCache>
            </c:strRef>
          </c:tx>
          <c:spPr>
            <a:ln w="28575" cap="rnd">
              <a:solidFill>
                <a:schemeClr val="accent5"/>
              </a:solidFill>
              <a:round/>
            </a:ln>
            <a:effectLst/>
          </c:spPr>
          <c:marker>
            <c:symbol val="none"/>
          </c:marker>
          <c:cat>
            <c:numRef>
              <c:f>Sheet2!$A$2:$A$21</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Sheet2!$E$2:$E$21</c:f>
              <c:numCache>
                <c:formatCode>General</c:formatCode>
                <c:ptCount val="20"/>
                <c:pt idx="0">
                  <c:v>10</c:v>
                </c:pt>
                <c:pt idx="1">
                  <c:v>4</c:v>
                </c:pt>
                <c:pt idx="2">
                  <c:v>0</c:v>
                </c:pt>
                <c:pt idx="3">
                  <c:v>7</c:v>
                </c:pt>
                <c:pt idx="4">
                  <c:v>0</c:v>
                </c:pt>
                <c:pt idx="5">
                  <c:v>13</c:v>
                </c:pt>
                <c:pt idx="6">
                  <c:v>0</c:v>
                </c:pt>
                <c:pt idx="7">
                  <c:v>11</c:v>
                </c:pt>
                <c:pt idx="8">
                  <c:v>7</c:v>
                </c:pt>
                <c:pt idx="9">
                  <c:v>31</c:v>
                </c:pt>
                <c:pt idx="10">
                  <c:v>105</c:v>
                </c:pt>
                <c:pt idx="11">
                  <c:v>43</c:v>
                </c:pt>
                <c:pt idx="12">
                  <c:v>55</c:v>
                </c:pt>
                <c:pt idx="13">
                  <c:v>30</c:v>
                </c:pt>
                <c:pt idx="14">
                  <c:v>78</c:v>
                </c:pt>
                <c:pt idx="15">
                  <c:v>5</c:v>
                </c:pt>
                <c:pt idx="16">
                  <c:v>6</c:v>
                </c:pt>
                <c:pt idx="17">
                  <c:v>33</c:v>
                </c:pt>
                <c:pt idx="18">
                  <c:v>11</c:v>
                </c:pt>
                <c:pt idx="19">
                  <c:v>19</c:v>
                </c:pt>
              </c:numCache>
            </c:numRef>
          </c:val>
          <c:smooth val="0"/>
        </c:ser>
        <c:dLbls>
          <c:showLegendKey val="0"/>
          <c:showVal val="0"/>
          <c:showCatName val="0"/>
          <c:showSerName val="0"/>
          <c:showPercent val="0"/>
          <c:showBubbleSize val="0"/>
        </c:dLbls>
        <c:smooth val="0"/>
        <c:axId val="298321632"/>
        <c:axId val="298657000"/>
      </c:lineChart>
      <c:catAx>
        <c:axId val="298321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657000"/>
        <c:crosses val="autoZero"/>
        <c:auto val="1"/>
        <c:lblAlgn val="ctr"/>
        <c:lblOffset val="100"/>
        <c:noMultiLvlLbl val="0"/>
      </c:catAx>
      <c:valAx>
        <c:axId val="298657000"/>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321632"/>
        <c:crosses val="autoZero"/>
        <c:crossBetween val="between"/>
      </c:valAx>
      <c:spPr>
        <a:noFill/>
        <a:ln>
          <a:noFill/>
        </a:ln>
        <a:effectLst/>
      </c:spPr>
    </c:plotArea>
    <c:legend>
      <c:legendPos val="b"/>
      <c:layout>
        <c:manualLayout>
          <c:xMode val="edge"/>
          <c:yMode val="edge"/>
          <c:x val="0.23394014523694701"/>
          <c:y val="0.88554021840387398"/>
          <c:w val="0.54075808551142002"/>
          <c:h val="7.39739516366122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Acute</a:t>
            </a:r>
            <a:r>
              <a:rPr lang="en-US" baseline="0"/>
              <a:t> Primary Infection by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11111111111099"/>
          <c:y val="0.12981122992813701"/>
          <c:w val="0.863585122386342"/>
          <c:h val="0.59362743412531904"/>
        </c:manualLayout>
      </c:layout>
      <c:barChart>
        <c:barDir val="col"/>
        <c:grouping val="stacked"/>
        <c:varyColors val="0"/>
        <c:ser>
          <c:idx val="0"/>
          <c:order val="0"/>
          <c:tx>
            <c:strRef>
              <c:f>Sheet3!$I$3</c:f>
              <c:strCache>
                <c:ptCount val="1"/>
                <c:pt idx="0">
                  <c:v>DENV1</c:v>
                </c:pt>
              </c:strCache>
            </c:strRef>
          </c:tx>
          <c:spPr>
            <a:solidFill>
              <a:schemeClr val="accent1"/>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Sheet3!$I$4:$I$23</c:f>
              <c:numCache>
                <c:formatCode>General</c:formatCode>
                <c:ptCount val="20"/>
                <c:pt idx="0">
                  <c:v>1</c:v>
                </c:pt>
                <c:pt idx="1">
                  <c:v>1</c:v>
                </c:pt>
                <c:pt idx="2">
                  <c:v>1</c:v>
                </c:pt>
                <c:pt idx="3">
                  <c:v>18</c:v>
                </c:pt>
                <c:pt idx="4">
                  <c:v>9</c:v>
                </c:pt>
                <c:pt idx="5">
                  <c:v>7</c:v>
                </c:pt>
                <c:pt idx="6">
                  <c:v>5</c:v>
                </c:pt>
                <c:pt idx="7">
                  <c:v>74</c:v>
                </c:pt>
                <c:pt idx="8">
                  <c:v>21</c:v>
                </c:pt>
                <c:pt idx="9">
                  <c:v>7</c:v>
                </c:pt>
                <c:pt idx="10">
                  <c:v>3</c:v>
                </c:pt>
                <c:pt idx="11">
                  <c:v>6</c:v>
                </c:pt>
                <c:pt idx="12">
                  <c:v>41</c:v>
                </c:pt>
                <c:pt idx="13">
                  <c:v>50</c:v>
                </c:pt>
                <c:pt idx="14">
                  <c:v>64</c:v>
                </c:pt>
                <c:pt idx="15">
                  <c:v>12</c:v>
                </c:pt>
                <c:pt idx="16">
                  <c:v>4</c:v>
                </c:pt>
                <c:pt idx="17">
                  <c:v>47</c:v>
                </c:pt>
                <c:pt idx="18">
                  <c:v>8</c:v>
                </c:pt>
                <c:pt idx="19">
                  <c:v>4</c:v>
                </c:pt>
              </c:numCache>
            </c:numRef>
          </c:val>
        </c:ser>
        <c:ser>
          <c:idx val="1"/>
          <c:order val="1"/>
          <c:tx>
            <c:strRef>
              <c:f>Sheet3!$J$3</c:f>
              <c:strCache>
                <c:ptCount val="1"/>
                <c:pt idx="0">
                  <c:v>DENV2</c:v>
                </c:pt>
              </c:strCache>
            </c:strRef>
          </c:tx>
          <c:spPr>
            <a:solidFill>
              <a:schemeClr val="accent2"/>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Sheet3!$J$4:$J$23</c:f>
              <c:numCache>
                <c:formatCode>General</c:formatCode>
                <c:ptCount val="20"/>
                <c:pt idx="0">
                  <c:v>0</c:v>
                </c:pt>
                <c:pt idx="1">
                  <c:v>1</c:v>
                </c:pt>
                <c:pt idx="2">
                  <c:v>0</c:v>
                </c:pt>
                <c:pt idx="3">
                  <c:v>3</c:v>
                </c:pt>
                <c:pt idx="4">
                  <c:v>2</c:v>
                </c:pt>
                <c:pt idx="5">
                  <c:v>7</c:v>
                </c:pt>
                <c:pt idx="6">
                  <c:v>11</c:v>
                </c:pt>
                <c:pt idx="7">
                  <c:v>37</c:v>
                </c:pt>
                <c:pt idx="8">
                  <c:v>7</c:v>
                </c:pt>
                <c:pt idx="9">
                  <c:v>6</c:v>
                </c:pt>
                <c:pt idx="10">
                  <c:v>0</c:v>
                </c:pt>
                <c:pt idx="11">
                  <c:v>3</c:v>
                </c:pt>
                <c:pt idx="12">
                  <c:v>2</c:v>
                </c:pt>
                <c:pt idx="13">
                  <c:v>1</c:v>
                </c:pt>
                <c:pt idx="14">
                  <c:v>11</c:v>
                </c:pt>
                <c:pt idx="15">
                  <c:v>9</c:v>
                </c:pt>
                <c:pt idx="16">
                  <c:v>7</c:v>
                </c:pt>
                <c:pt idx="17">
                  <c:v>34</c:v>
                </c:pt>
                <c:pt idx="18">
                  <c:v>14</c:v>
                </c:pt>
                <c:pt idx="19">
                  <c:v>5</c:v>
                </c:pt>
              </c:numCache>
            </c:numRef>
          </c:val>
        </c:ser>
        <c:ser>
          <c:idx val="2"/>
          <c:order val="2"/>
          <c:tx>
            <c:strRef>
              <c:f>Sheet3!$K$3</c:f>
              <c:strCache>
                <c:ptCount val="1"/>
                <c:pt idx="0">
                  <c:v>DENV3</c:v>
                </c:pt>
              </c:strCache>
            </c:strRef>
          </c:tx>
          <c:spPr>
            <a:solidFill>
              <a:schemeClr val="accent3"/>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Sheet3!$K$4:$K$23</c:f>
              <c:numCache>
                <c:formatCode>General</c:formatCode>
                <c:ptCount val="20"/>
                <c:pt idx="0">
                  <c:v>0</c:v>
                </c:pt>
                <c:pt idx="1">
                  <c:v>3</c:v>
                </c:pt>
                <c:pt idx="2">
                  <c:v>2</c:v>
                </c:pt>
                <c:pt idx="3">
                  <c:v>6</c:v>
                </c:pt>
                <c:pt idx="4">
                  <c:v>17</c:v>
                </c:pt>
                <c:pt idx="5">
                  <c:v>10</c:v>
                </c:pt>
                <c:pt idx="6">
                  <c:v>1</c:v>
                </c:pt>
                <c:pt idx="7">
                  <c:v>28</c:v>
                </c:pt>
                <c:pt idx="8">
                  <c:v>5</c:v>
                </c:pt>
                <c:pt idx="9">
                  <c:v>1</c:v>
                </c:pt>
                <c:pt idx="10">
                  <c:v>1</c:v>
                </c:pt>
                <c:pt idx="11">
                  <c:v>0</c:v>
                </c:pt>
                <c:pt idx="12">
                  <c:v>6</c:v>
                </c:pt>
                <c:pt idx="13">
                  <c:v>4</c:v>
                </c:pt>
                <c:pt idx="14">
                  <c:v>17</c:v>
                </c:pt>
                <c:pt idx="15">
                  <c:v>3</c:v>
                </c:pt>
                <c:pt idx="16">
                  <c:v>6</c:v>
                </c:pt>
                <c:pt idx="17">
                  <c:v>14</c:v>
                </c:pt>
                <c:pt idx="18">
                  <c:v>7</c:v>
                </c:pt>
                <c:pt idx="19">
                  <c:v>61</c:v>
                </c:pt>
              </c:numCache>
            </c:numRef>
          </c:val>
        </c:ser>
        <c:ser>
          <c:idx val="3"/>
          <c:order val="3"/>
          <c:tx>
            <c:strRef>
              <c:f>Sheet3!$L$3</c:f>
              <c:strCache>
                <c:ptCount val="1"/>
                <c:pt idx="0">
                  <c:v>DENV4</c:v>
                </c:pt>
              </c:strCache>
            </c:strRef>
          </c:tx>
          <c:spPr>
            <a:solidFill>
              <a:schemeClr val="accent4"/>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Sheet3!$L$4:$L$23</c:f>
              <c:numCache>
                <c:formatCode>General</c:formatCode>
                <c:ptCount val="20"/>
                <c:pt idx="0">
                  <c:v>0</c:v>
                </c:pt>
                <c:pt idx="1">
                  <c:v>0</c:v>
                </c:pt>
                <c:pt idx="2">
                  <c:v>0</c:v>
                </c:pt>
                <c:pt idx="3">
                  <c:v>0</c:v>
                </c:pt>
                <c:pt idx="4">
                  <c:v>0</c:v>
                </c:pt>
                <c:pt idx="5">
                  <c:v>1</c:v>
                </c:pt>
                <c:pt idx="6">
                  <c:v>0</c:v>
                </c:pt>
                <c:pt idx="7">
                  <c:v>3</c:v>
                </c:pt>
                <c:pt idx="8">
                  <c:v>0</c:v>
                </c:pt>
                <c:pt idx="9">
                  <c:v>0</c:v>
                </c:pt>
                <c:pt idx="10">
                  <c:v>4</c:v>
                </c:pt>
                <c:pt idx="11">
                  <c:v>3</c:v>
                </c:pt>
                <c:pt idx="12">
                  <c:v>3</c:v>
                </c:pt>
                <c:pt idx="13">
                  <c:v>2</c:v>
                </c:pt>
                <c:pt idx="14">
                  <c:v>5</c:v>
                </c:pt>
                <c:pt idx="15">
                  <c:v>1</c:v>
                </c:pt>
                <c:pt idx="16">
                  <c:v>2</c:v>
                </c:pt>
                <c:pt idx="17">
                  <c:v>3</c:v>
                </c:pt>
                <c:pt idx="18">
                  <c:v>0</c:v>
                </c:pt>
                <c:pt idx="19">
                  <c:v>2</c:v>
                </c:pt>
              </c:numCache>
            </c:numRef>
          </c:val>
        </c:ser>
        <c:ser>
          <c:idx val="4"/>
          <c:order val="4"/>
          <c:tx>
            <c:strRef>
              <c:f>Sheet3!$M$3</c:f>
              <c:strCache>
                <c:ptCount val="1"/>
                <c:pt idx="0">
                  <c:v>DENVx2</c:v>
                </c:pt>
              </c:strCache>
            </c:strRef>
          </c:tx>
          <c:spPr>
            <a:solidFill>
              <a:schemeClr val="accent5"/>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Sheet3!$M$4:$M$23</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5"/>
          <c:order val="5"/>
          <c:tx>
            <c:strRef>
              <c:f>Sheet3!$N$3</c:f>
              <c:strCache>
                <c:ptCount val="1"/>
                <c:pt idx="0">
                  <c:v>ND</c:v>
                </c:pt>
              </c:strCache>
            </c:strRef>
          </c:tx>
          <c:spPr>
            <a:solidFill>
              <a:schemeClr val="accent6"/>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Sheet3!$N$4:$N$23</c:f>
              <c:numCache>
                <c:formatCode>General</c:formatCode>
                <c:ptCount val="20"/>
                <c:pt idx="0">
                  <c:v>19</c:v>
                </c:pt>
                <c:pt idx="1">
                  <c:v>3</c:v>
                </c:pt>
                <c:pt idx="2">
                  <c:v>0</c:v>
                </c:pt>
                <c:pt idx="3">
                  <c:v>5</c:v>
                </c:pt>
                <c:pt idx="4">
                  <c:v>1</c:v>
                </c:pt>
                <c:pt idx="5">
                  <c:v>0</c:v>
                </c:pt>
                <c:pt idx="6">
                  <c:v>0</c:v>
                </c:pt>
                <c:pt idx="7">
                  <c:v>1</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6"/>
          <c:order val="6"/>
          <c:tx>
            <c:strRef>
              <c:f>Sheet3!$O$3</c:f>
              <c:strCache>
                <c:ptCount val="1"/>
                <c:pt idx="0">
                  <c:v>NEG</c:v>
                </c:pt>
              </c:strCache>
            </c:strRef>
          </c:tx>
          <c:spPr>
            <a:solidFill>
              <a:schemeClr val="accent1">
                <a:lumMod val="60000"/>
              </a:schemeClr>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Sheet3!$O$4:$O$23</c:f>
              <c:numCache>
                <c:formatCode>General</c:formatCode>
                <c:ptCount val="20"/>
                <c:pt idx="0">
                  <c:v>0</c:v>
                </c:pt>
                <c:pt idx="1">
                  <c:v>6</c:v>
                </c:pt>
                <c:pt idx="2">
                  <c:v>3</c:v>
                </c:pt>
                <c:pt idx="3">
                  <c:v>16</c:v>
                </c:pt>
                <c:pt idx="4">
                  <c:v>7</c:v>
                </c:pt>
                <c:pt idx="5">
                  <c:v>8</c:v>
                </c:pt>
                <c:pt idx="6">
                  <c:v>6</c:v>
                </c:pt>
                <c:pt idx="7">
                  <c:v>93</c:v>
                </c:pt>
                <c:pt idx="8">
                  <c:v>24</c:v>
                </c:pt>
                <c:pt idx="9">
                  <c:v>7</c:v>
                </c:pt>
                <c:pt idx="10">
                  <c:v>0</c:v>
                </c:pt>
                <c:pt idx="11">
                  <c:v>3</c:v>
                </c:pt>
                <c:pt idx="12">
                  <c:v>3</c:v>
                </c:pt>
                <c:pt idx="13">
                  <c:v>2</c:v>
                </c:pt>
                <c:pt idx="14">
                  <c:v>6</c:v>
                </c:pt>
                <c:pt idx="15">
                  <c:v>8</c:v>
                </c:pt>
                <c:pt idx="16">
                  <c:v>6</c:v>
                </c:pt>
                <c:pt idx="17">
                  <c:v>38</c:v>
                </c:pt>
                <c:pt idx="18">
                  <c:v>21</c:v>
                </c:pt>
                <c:pt idx="19">
                  <c:v>35</c:v>
                </c:pt>
              </c:numCache>
            </c:numRef>
          </c:val>
        </c:ser>
        <c:dLbls>
          <c:showLegendKey val="0"/>
          <c:showVal val="0"/>
          <c:showCatName val="0"/>
          <c:showSerName val="0"/>
          <c:showPercent val="0"/>
          <c:showBubbleSize val="0"/>
        </c:dLbls>
        <c:gapWidth val="150"/>
        <c:overlap val="100"/>
        <c:axId val="246632968"/>
        <c:axId val="298964864"/>
      </c:barChart>
      <c:catAx>
        <c:axId val="246632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964864"/>
        <c:crosses val="autoZero"/>
        <c:auto val="1"/>
        <c:lblAlgn val="ctr"/>
        <c:lblOffset val="100"/>
        <c:noMultiLvlLbl val="0"/>
      </c:catAx>
      <c:valAx>
        <c:axId val="29896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Primary Infections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3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Acute</a:t>
            </a:r>
            <a:r>
              <a:rPr lang="en-US" baseline="0"/>
              <a:t> Secondary Infection by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1601348126939"/>
          <c:y val="0.17100453582848299"/>
          <c:w val="0.85104174951615896"/>
          <c:h val="0.55176509503187998"/>
        </c:manualLayout>
      </c:layout>
      <c:barChart>
        <c:barDir val="col"/>
        <c:grouping val="stacked"/>
        <c:varyColors val="0"/>
        <c:ser>
          <c:idx val="0"/>
          <c:order val="0"/>
          <c:tx>
            <c:strRef>
              <c:f>Sheet3!$R$3</c:f>
              <c:strCache>
                <c:ptCount val="1"/>
                <c:pt idx="0">
                  <c:v>DENV1</c:v>
                </c:pt>
              </c:strCache>
            </c:strRef>
          </c:tx>
          <c:spPr>
            <a:solidFill>
              <a:schemeClr val="accent1"/>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Sheet3!$R$4:$R$23</c:f>
              <c:numCache>
                <c:formatCode>General</c:formatCode>
                <c:ptCount val="20"/>
                <c:pt idx="0">
                  <c:v>5</c:v>
                </c:pt>
                <c:pt idx="1">
                  <c:v>4</c:v>
                </c:pt>
                <c:pt idx="2">
                  <c:v>18</c:v>
                </c:pt>
                <c:pt idx="3">
                  <c:v>123</c:v>
                </c:pt>
                <c:pt idx="4">
                  <c:v>25</c:v>
                </c:pt>
                <c:pt idx="5">
                  <c:v>28</c:v>
                </c:pt>
                <c:pt idx="6">
                  <c:v>14</c:v>
                </c:pt>
                <c:pt idx="7">
                  <c:v>243</c:v>
                </c:pt>
                <c:pt idx="8">
                  <c:v>80</c:v>
                </c:pt>
                <c:pt idx="9">
                  <c:v>37</c:v>
                </c:pt>
                <c:pt idx="10">
                  <c:v>18</c:v>
                </c:pt>
                <c:pt idx="11">
                  <c:v>38</c:v>
                </c:pt>
                <c:pt idx="12">
                  <c:v>119</c:v>
                </c:pt>
                <c:pt idx="13">
                  <c:v>174</c:v>
                </c:pt>
                <c:pt idx="14">
                  <c:v>209</c:v>
                </c:pt>
                <c:pt idx="15">
                  <c:v>23</c:v>
                </c:pt>
                <c:pt idx="16">
                  <c:v>15</c:v>
                </c:pt>
                <c:pt idx="17">
                  <c:v>96</c:v>
                </c:pt>
                <c:pt idx="18">
                  <c:v>35</c:v>
                </c:pt>
                <c:pt idx="19">
                  <c:v>41</c:v>
                </c:pt>
              </c:numCache>
            </c:numRef>
          </c:val>
        </c:ser>
        <c:ser>
          <c:idx val="1"/>
          <c:order val="1"/>
          <c:tx>
            <c:strRef>
              <c:f>Sheet3!$S$3</c:f>
              <c:strCache>
                <c:ptCount val="1"/>
                <c:pt idx="0">
                  <c:v>DENV2</c:v>
                </c:pt>
              </c:strCache>
            </c:strRef>
          </c:tx>
          <c:spPr>
            <a:solidFill>
              <a:schemeClr val="accent2"/>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Sheet3!$S$4:$S$23</c:f>
              <c:numCache>
                <c:formatCode>General</c:formatCode>
                <c:ptCount val="20"/>
                <c:pt idx="0">
                  <c:v>4</c:v>
                </c:pt>
                <c:pt idx="1">
                  <c:v>23</c:v>
                </c:pt>
                <c:pt idx="2">
                  <c:v>8</c:v>
                </c:pt>
                <c:pt idx="3">
                  <c:v>23</c:v>
                </c:pt>
                <c:pt idx="4">
                  <c:v>42</c:v>
                </c:pt>
                <c:pt idx="5">
                  <c:v>84</c:v>
                </c:pt>
                <c:pt idx="6">
                  <c:v>60</c:v>
                </c:pt>
                <c:pt idx="7">
                  <c:v>308</c:v>
                </c:pt>
                <c:pt idx="8">
                  <c:v>83</c:v>
                </c:pt>
                <c:pt idx="9">
                  <c:v>71</c:v>
                </c:pt>
                <c:pt idx="10">
                  <c:v>59</c:v>
                </c:pt>
                <c:pt idx="11">
                  <c:v>75</c:v>
                </c:pt>
                <c:pt idx="12">
                  <c:v>38</c:v>
                </c:pt>
                <c:pt idx="13">
                  <c:v>18</c:v>
                </c:pt>
                <c:pt idx="14">
                  <c:v>98</c:v>
                </c:pt>
                <c:pt idx="15">
                  <c:v>77</c:v>
                </c:pt>
                <c:pt idx="16">
                  <c:v>89</c:v>
                </c:pt>
                <c:pt idx="17">
                  <c:v>166</c:v>
                </c:pt>
                <c:pt idx="18">
                  <c:v>108</c:v>
                </c:pt>
                <c:pt idx="19">
                  <c:v>51</c:v>
                </c:pt>
              </c:numCache>
            </c:numRef>
          </c:val>
        </c:ser>
        <c:ser>
          <c:idx val="2"/>
          <c:order val="2"/>
          <c:tx>
            <c:strRef>
              <c:f>Sheet3!$T$3</c:f>
              <c:strCache>
                <c:ptCount val="1"/>
                <c:pt idx="0">
                  <c:v>DENV3</c:v>
                </c:pt>
              </c:strCache>
            </c:strRef>
          </c:tx>
          <c:spPr>
            <a:solidFill>
              <a:schemeClr val="accent3"/>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Sheet3!$T$4:$T$23</c:f>
              <c:numCache>
                <c:formatCode>General</c:formatCode>
                <c:ptCount val="20"/>
                <c:pt idx="0">
                  <c:v>5</c:v>
                </c:pt>
                <c:pt idx="1">
                  <c:v>17</c:v>
                </c:pt>
                <c:pt idx="2">
                  <c:v>8</c:v>
                </c:pt>
                <c:pt idx="3">
                  <c:v>34</c:v>
                </c:pt>
                <c:pt idx="4">
                  <c:v>71</c:v>
                </c:pt>
                <c:pt idx="5">
                  <c:v>40</c:v>
                </c:pt>
                <c:pt idx="6">
                  <c:v>3</c:v>
                </c:pt>
                <c:pt idx="7">
                  <c:v>101</c:v>
                </c:pt>
                <c:pt idx="8">
                  <c:v>28</c:v>
                </c:pt>
                <c:pt idx="9">
                  <c:v>2</c:v>
                </c:pt>
                <c:pt idx="10">
                  <c:v>3</c:v>
                </c:pt>
                <c:pt idx="11">
                  <c:v>2</c:v>
                </c:pt>
                <c:pt idx="12">
                  <c:v>28</c:v>
                </c:pt>
                <c:pt idx="13">
                  <c:v>25</c:v>
                </c:pt>
                <c:pt idx="14">
                  <c:v>62</c:v>
                </c:pt>
                <c:pt idx="15">
                  <c:v>21</c:v>
                </c:pt>
                <c:pt idx="16">
                  <c:v>34</c:v>
                </c:pt>
                <c:pt idx="17">
                  <c:v>35</c:v>
                </c:pt>
                <c:pt idx="18">
                  <c:v>17</c:v>
                </c:pt>
                <c:pt idx="19">
                  <c:v>307</c:v>
                </c:pt>
              </c:numCache>
            </c:numRef>
          </c:val>
        </c:ser>
        <c:ser>
          <c:idx val="3"/>
          <c:order val="3"/>
          <c:tx>
            <c:strRef>
              <c:f>Sheet3!$U$3</c:f>
              <c:strCache>
                <c:ptCount val="1"/>
                <c:pt idx="0">
                  <c:v>DENV4</c:v>
                </c:pt>
              </c:strCache>
            </c:strRef>
          </c:tx>
          <c:spPr>
            <a:solidFill>
              <a:schemeClr val="accent4"/>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Sheet3!$U$4:$U$23</c:f>
              <c:numCache>
                <c:formatCode>General</c:formatCode>
                <c:ptCount val="20"/>
                <c:pt idx="0">
                  <c:v>8</c:v>
                </c:pt>
                <c:pt idx="1">
                  <c:v>3</c:v>
                </c:pt>
                <c:pt idx="2">
                  <c:v>0</c:v>
                </c:pt>
                <c:pt idx="3">
                  <c:v>7</c:v>
                </c:pt>
                <c:pt idx="4">
                  <c:v>0</c:v>
                </c:pt>
                <c:pt idx="5">
                  <c:v>12</c:v>
                </c:pt>
                <c:pt idx="6">
                  <c:v>0</c:v>
                </c:pt>
                <c:pt idx="7">
                  <c:v>6</c:v>
                </c:pt>
                <c:pt idx="8">
                  <c:v>6</c:v>
                </c:pt>
                <c:pt idx="9">
                  <c:v>29</c:v>
                </c:pt>
                <c:pt idx="10">
                  <c:v>97</c:v>
                </c:pt>
                <c:pt idx="11">
                  <c:v>38</c:v>
                </c:pt>
                <c:pt idx="12">
                  <c:v>47</c:v>
                </c:pt>
                <c:pt idx="13">
                  <c:v>26</c:v>
                </c:pt>
                <c:pt idx="14">
                  <c:v>71</c:v>
                </c:pt>
                <c:pt idx="15">
                  <c:v>4</c:v>
                </c:pt>
                <c:pt idx="16">
                  <c:v>4</c:v>
                </c:pt>
                <c:pt idx="17">
                  <c:v>23</c:v>
                </c:pt>
                <c:pt idx="18">
                  <c:v>8</c:v>
                </c:pt>
                <c:pt idx="19">
                  <c:v>17</c:v>
                </c:pt>
              </c:numCache>
            </c:numRef>
          </c:val>
        </c:ser>
        <c:ser>
          <c:idx val="4"/>
          <c:order val="4"/>
          <c:tx>
            <c:strRef>
              <c:f>Sheet3!$V$3</c:f>
              <c:strCache>
                <c:ptCount val="1"/>
                <c:pt idx="0">
                  <c:v>DENVX2</c:v>
                </c:pt>
              </c:strCache>
            </c:strRef>
          </c:tx>
          <c:spPr>
            <a:solidFill>
              <a:schemeClr val="accent5"/>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Sheet3!$V$4:$V$23</c:f>
              <c:numCache>
                <c:formatCode>General</c:formatCode>
                <c:ptCount val="20"/>
                <c:pt idx="0">
                  <c:v>0</c:v>
                </c:pt>
                <c:pt idx="1">
                  <c:v>0</c:v>
                </c:pt>
                <c:pt idx="2">
                  <c:v>0</c:v>
                </c:pt>
                <c:pt idx="3">
                  <c:v>2</c:v>
                </c:pt>
                <c:pt idx="4">
                  <c:v>0</c:v>
                </c:pt>
                <c:pt idx="5">
                  <c:v>0</c:v>
                </c:pt>
                <c:pt idx="6">
                  <c:v>0</c:v>
                </c:pt>
                <c:pt idx="7">
                  <c:v>0</c:v>
                </c:pt>
                <c:pt idx="8">
                  <c:v>0</c:v>
                </c:pt>
                <c:pt idx="9">
                  <c:v>0</c:v>
                </c:pt>
                <c:pt idx="10">
                  <c:v>0</c:v>
                </c:pt>
                <c:pt idx="11">
                  <c:v>0</c:v>
                </c:pt>
                <c:pt idx="12">
                  <c:v>0</c:v>
                </c:pt>
                <c:pt idx="13">
                  <c:v>1</c:v>
                </c:pt>
                <c:pt idx="14">
                  <c:v>1</c:v>
                </c:pt>
                <c:pt idx="15">
                  <c:v>0</c:v>
                </c:pt>
                <c:pt idx="16">
                  <c:v>0</c:v>
                </c:pt>
                <c:pt idx="17">
                  <c:v>0</c:v>
                </c:pt>
                <c:pt idx="18">
                  <c:v>0</c:v>
                </c:pt>
                <c:pt idx="19">
                  <c:v>0</c:v>
                </c:pt>
              </c:numCache>
            </c:numRef>
          </c:val>
        </c:ser>
        <c:ser>
          <c:idx val="5"/>
          <c:order val="5"/>
          <c:tx>
            <c:strRef>
              <c:f>Sheet3!$W$3</c:f>
              <c:strCache>
                <c:ptCount val="1"/>
                <c:pt idx="0">
                  <c:v>ND</c:v>
                </c:pt>
              </c:strCache>
            </c:strRef>
          </c:tx>
          <c:spPr>
            <a:solidFill>
              <a:schemeClr val="accent6"/>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Sheet3!$W$4:$W$23</c:f>
              <c:numCache>
                <c:formatCode>General</c:formatCode>
                <c:ptCount val="20"/>
                <c:pt idx="0">
                  <c:v>172</c:v>
                </c:pt>
                <c:pt idx="1">
                  <c:v>10</c:v>
                </c:pt>
                <c:pt idx="2">
                  <c:v>20</c:v>
                </c:pt>
                <c:pt idx="3">
                  <c:v>20</c:v>
                </c:pt>
                <c:pt idx="4">
                  <c:v>2</c:v>
                </c:pt>
                <c:pt idx="5">
                  <c:v>1</c:v>
                </c:pt>
                <c:pt idx="6">
                  <c:v>0</c:v>
                </c:pt>
                <c:pt idx="7">
                  <c:v>7</c:v>
                </c:pt>
                <c:pt idx="8">
                  <c:v>0</c:v>
                </c:pt>
                <c:pt idx="9">
                  <c:v>0</c:v>
                </c:pt>
                <c:pt idx="10">
                  <c:v>0</c:v>
                </c:pt>
                <c:pt idx="11">
                  <c:v>0</c:v>
                </c:pt>
                <c:pt idx="12">
                  <c:v>0</c:v>
                </c:pt>
                <c:pt idx="13">
                  <c:v>0</c:v>
                </c:pt>
                <c:pt idx="14">
                  <c:v>0</c:v>
                </c:pt>
                <c:pt idx="15">
                  <c:v>0</c:v>
                </c:pt>
                <c:pt idx="16">
                  <c:v>0</c:v>
                </c:pt>
                <c:pt idx="17">
                  <c:v>0</c:v>
                </c:pt>
                <c:pt idx="18">
                  <c:v>1</c:v>
                </c:pt>
                <c:pt idx="19">
                  <c:v>0</c:v>
                </c:pt>
              </c:numCache>
            </c:numRef>
          </c:val>
        </c:ser>
        <c:ser>
          <c:idx val="6"/>
          <c:order val="6"/>
          <c:tx>
            <c:strRef>
              <c:f>Sheet3!$X$3</c:f>
              <c:strCache>
                <c:ptCount val="1"/>
                <c:pt idx="0">
                  <c:v>NEG</c:v>
                </c:pt>
              </c:strCache>
            </c:strRef>
          </c:tx>
          <c:spPr>
            <a:solidFill>
              <a:schemeClr val="accent1">
                <a:lumMod val="60000"/>
              </a:schemeClr>
            </a:solidFill>
            <a:ln>
              <a:noFill/>
            </a:ln>
            <a:effectLst/>
          </c:spPr>
          <c:invertIfNegative val="0"/>
          <c:cat>
            <c:numRef>
              <c:f>Sheet3!$H$4:$H$23</c:f>
              <c:numCache>
                <c:formatCode>General</c:formatCode>
                <c:ptCount val="2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numCache>
            </c:numRef>
          </c:cat>
          <c:val>
            <c:numRef>
              <c:f>Sheet3!$X$4:$X$23</c:f>
              <c:numCache>
                <c:formatCode>General</c:formatCode>
                <c:ptCount val="20"/>
                <c:pt idx="0">
                  <c:v>8</c:v>
                </c:pt>
                <c:pt idx="1">
                  <c:v>50</c:v>
                </c:pt>
                <c:pt idx="2">
                  <c:v>49</c:v>
                </c:pt>
                <c:pt idx="3">
                  <c:v>143</c:v>
                </c:pt>
                <c:pt idx="4">
                  <c:v>92</c:v>
                </c:pt>
                <c:pt idx="5">
                  <c:v>99</c:v>
                </c:pt>
                <c:pt idx="6">
                  <c:v>55</c:v>
                </c:pt>
                <c:pt idx="7">
                  <c:v>650</c:v>
                </c:pt>
                <c:pt idx="8">
                  <c:v>224</c:v>
                </c:pt>
                <c:pt idx="9">
                  <c:v>72</c:v>
                </c:pt>
                <c:pt idx="10">
                  <c:v>50</c:v>
                </c:pt>
                <c:pt idx="11">
                  <c:v>53</c:v>
                </c:pt>
                <c:pt idx="12">
                  <c:v>56</c:v>
                </c:pt>
                <c:pt idx="13">
                  <c:v>41</c:v>
                </c:pt>
                <c:pt idx="14">
                  <c:v>105</c:v>
                </c:pt>
                <c:pt idx="15">
                  <c:v>72</c:v>
                </c:pt>
                <c:pt idx="16">
                  <c:v>61</c:v>
                </c:pt>
                <c:pt idx="17">
                  <c:v>154</c:v>
                </c:pt>
                <c:pt idx="18">
                  <c:v>181</c:v>
                </c:pt>
                <c:pt idx="19">
                  <c:v>235</c:v>
                </c:pt>
              </c:numCache>
            </c:numRef>
          </c:val>
        </c:ser>
        <c:dLbls>
          <c:showLegendKey val="0"/>
          <c:showVal val="0"/>
          <c:showCatName val="0"/>
          <c:showSerName val="0"/>
          <c:showPercent val="0"/>
          <c:showBubbleSize val="0"/>
        </c:dLbls>
        <c:gapWidth val="150"/>
        <c:overlap val="100"/>
        <c:axId val="298792008"/>
        <c:axId val="298800584"/>
      </c:barChart>
      <c:catAx>
        <c:axId val="298792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800584"/>
        <c:crosses val="autoZero"/>
        <c:auto val="1"/>
        <c:lblAlgn val="ctr"/>
        <c:lblOffset val="100"/>
        <c:noMultiLvlLbl val="0"/>
      </c:catAx>
      <c:valAx>
        <c:axId val="29880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Secondary Infections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9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End08</b:Tag>
    <b:SourceType>BookSection</b:SourceType>
    <b:Guid>{8959B078-E81C-0C4D-880F-FC0C9FC2871B}</b:Guid>
    <b:Title>Diagnosis of Denge Virus Infection</b:Title>
    <b:Year>2008</b:Year>
    <b:Author>
      <b:Author>
        <b:NameList>
          <b:Person>
            <b:Last>Endy</b:Last>
            <b:First>T.</b:First>
          </b:Person>
          <b:Person>
            <b:Last>Nisalak</b:Last>
            <b:First>A.</b:First>
          </b:Person>
          <b:Person>
            <b:Last>and Vaughn</b:Last>
            <b:First>D.W.</b:First>
          </b:Person>
        </b:NameList>
      </b:Author>
    </b:Author>
    <b:BookTitle>Dengue</b:BookTitle>
    <b:City>London</b:City>
    <b:Publisher>Imperial College Press</b:Publisher>
    <b:Pages>327-60</b:Pages>
    <b:RefOrder>1</b:RefOrder>
  </b:Source>
  <b:Source>
    <b:Tag>Den15</b:Tag>
    <b:SourceType>InternetSite</b:SourceType>
    <b:Guid>{58A4512C-0959-694C-8DAE-B80DEC2F4B15}</b:Guid>
    <b:Title>Dengue and Severe Dengue: Fact Sheet</b:Title>
    <b:Year>2015</b:Year>
    <b:InternetSiteTitle>World Health Organization</b:InternetSiteTitle>
    <b:URL>http://www.who.int/mediacentre/factsheets/fs117/en/</b:URL>
    <b:Month>May</b:Month>
    <b:YearAccessed>2016</b:YearAccessed>
    <b:MonthAccessed>March</b:MonthAccessed>
    <b:RefOrder>2</b:RefOrder>
  </b:Source>
  <b:Source>
    <b:Tag>Bra12</b:Tag>
    <b:SourceType>JournalArticle</b:SourceType>
    <b:Guid>{88BF52BD-6F93-C84B-852C-BC21BA057F92}</b:Guid>
    <b:Author>
      <b:Author>
        <b:NameList>
          <b:Person>
            <b:Last>Brady</b:Last>
            <b:First>O.</b:First>
          </b:Person>
          <b:Person>
            <b:Last>Gething</b:Last>
            <b:First>P.</b:First>
          </b:Person>
          <b:Person>
            <b:Last>Bhatt</b:Last>
            <b:First>S.</b:First>
          </b:Person>
          <b:Person>
            <b:Last>Messina</b:Last>
            <b:First>J</b:First>
          </b:Person>
          <b:Person>
            <b:Last>Brownstein</b:Last>
            <b:First>J.</b:First>
          </b:Person>
          <b:Person>
            <b:Last>Hoen</b:Last>
            <b:First>A.</b:First>
          </b:Person>
          <b:Person>
            <b:Last>Moyes</b:Last>
            <b:First>C.</b:First>
          </b:Person>
          <b:Person>
            <b:Last>Farlow</b:Last>
            <b:First>A.</b:First>
          </b:Person>
          <b:Person>
            <b:Last>Scott</b:Last>
            <b:First>T.</b:First>
          </b:Person>
          <b:Person>
            <b:Last>Hay</b:Last>
            <b:First>S.</b:First>
          </b:Person>
        </b:NameList>
      </b:Author>
    </b:Author>
    <b:Title>Refining the Global Spatial Limits of Dengue Virus Transmission by Evidence-Based Consensus</b:Title>
    <b:Year>2012</b:Year>
    <b:Month>August</b:Month>
    <b:Day>7</b:Day>
    <b:JournalName>PLOS Negelted Tropical Disease</b:JournalName>
    <b:Volume>6</b:Volume>
    <b:Issue>8</b:Issue>
    <b:RefOrder>3</b:RefOrder>
  </b:Source>
  <b:Source>
    <b:Tag>Wil15</b:Tag>
    <b:SourceType>JournalArticle</b:SourceType>
    <b:Guid>{39636720-1D20-FC47-83CD-3E10EFE83D7C}</b:Guid>
    <b:Author>
      <b:Author>
        <b:NameList>
          <b:Person>
            <b:Last>Wilson</b:Last>
            <b:First>M.</b:First>
            <b:Middle>E.</b:Middle>
          </b:Person>
          <b:Person>
            <b:Last>Chen</b:Last>
            <b:First>L.</b:First>
          </b:Person>
        </b:NameList>
      </b:Author>
    </b:Author>
    <b:Title>Dengue: Update on Epidemiology</b:Title>
    <b:JournalName>Current Infectious Disease Report</b:JournalName>
    <b:Year>2015</b:Year>
    <b:RefOrder>4</b:RefOrder>
  </b:Source>
  <b:Source>
    <b:Tag>Den151</b:Tag>
    <b:SourceType>InternetSite</b:SourceType>
    <b:Guid>{4AB9F26F-3EE8-C14B-82EB-7830AE0DF9D4}</b:Guid>
    <b:Title>Dengue: Clinical Guidance</b:Title>
    <b:Year>2015</b:Year>
    <b:InternetSiteTitle>Centers for Disease Control and Prevention</b:InternetSiteTitle>
    <b:URL>http://www.cdc.gov/dengue/clinicalLab/clinical.html</b:URL>
    <b:YearAccessed>2016</b:YearAccessed>
    <b:MonthAccessed>3</b:MonthAccessed>
    <b:DayAccessed>8</b:DayAccessed>
    <b:RefOrder>5</b:RefOrder>
  </b:Source>
  <b:Source>
    <b:Tag>Mur13</b:Tag>
    <b:SourceType>JournalArticle</b:SourceType>
    <b:Guid>{35723854-C77A-7642-A84C-164980FC6D30}</b:Guid>
    <b:Title>Epidemiology of dengue: past, present and future prospects</b:Title>
    <b:Year>2013</b:Year>
    <b:Author>
      <b:Author>
        <b:NameList>
          <b:Person>
            <b:Last>Murray</b:Last>
            <b:First>N.</b:First>
          </b:Person>
          <b:Person>
            <b:Last>Quam</b:Last>
            <b:First>M.</b:First>
          </b:Person>
          <b:Person>
            <b:Last>Wilder-Smith</b:Last>
            <b:First>A</b:First>
          </b:Person>
        </b:NameList>
      </b:Author>
    </b:Author>
    <b:JournalName>Clinical Epidemiology</b:JournalName>
    <b:Volume>5</b:Volume>
    <b:Pages>299-309</b:Pages>
    <b:RefOrder>6</b:RefOrder>
  </b:Source>
  <b:Source>
    <b:Tag>Kyl08</b:Tag>
    <b:SourceType>JournalArticle</b:SourceType>
    <b:Guid>{30C845ED-B50B-1747-B4B7-D9F15CEDA4B1}</b:Guid>
    <b:Author>
      <b:Author>
        <b:NameList>
          <b:Person>
            <b:Last>Kyle</b:Last>
            <b:First>J.</b:First>
          </b:Person>
          <b:Person>
            <b:Last>Harris</b:Last>
            <b:First>E.</b:First>
          </b:Person>
        </b:NameList>
      </b:Author>
    </b:Author>
    <b:Title>Global Spread and Persistence of Dengue</b:Title>
    <b:JournalName>Microbiology</b:JournalName>
    <b:Year>2008</b:Year>
    <b:Month>October</b:Month>
    <b:Volume>62</b:Volume>
    <b:Pages>71-92</b:Pages>
    <b:RefOrder>7</b:RefOrder>
  </b:Source>
  <b:Source>
    <b:Tag>Den152</b:Tag>
    <b:SourceType>InternetSite</b:SourceType>
    <b:Guid>{3175AF63-263C-2D4E-90B3-3B507525C1B7}</b:Guid>
    <b:Title>Dengue Fever- Hawaii Island Outbreak</b:Title>
    <b:Year>2015</b:Year>
    <b:Month>March</b:Month>
    <b:Day>7</b:Day>
    <b:InternetSiteTitle>State of Hawaii, Department of Health; Disease Outbreak Control Division</b:InternetSiteTitle>
    <b:URL>http://health.hawaii.gov/docd/dengue-outbreak-2015/</b:URL>
    <b:YearAccessed>2016</b:YearAccessed>
    <b:MonthAccessed>March</b:MonthAccessed>
    <b:DayAccessed>8</b:DayAccessed>
    <b:RefOrder>8</b:RefOrder>
  </b:Source>
</b:Sources>
</file>

<file path=customXml/itemProps1.xml><?xml version="1.0" encoding="utf-8"?>
<ds:datastoreItem xmlns:ds="http://schemas.openxmlformats.org/officeDocument/2006/customXml" ds:itemID="{960E9C59-1624-43F6-A882-39DAA205D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49</Pages>
  <Words>10104</Words>
  <Characters>57593</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Ohio State University</Company>
  <LinksUpToDate>false</LinksUpToDate>
  <CharactersWithSpaces>67562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Johnson</dc:creator>
  <cp:keywords/>
  <dc:description/>
  <cp:lastModifiedBy>Pegher, Joanne</cp:lastModifiedBy>
  <cp:revision>18</cp:revision>
  <cp:lastPrinted>2016-08-31T20:31:00Z</cp:lastPrinted>
  <dcterms:created xsi:type="dcterms:W3CDTF">2016-08-31T19:58:00Z</dcterms:created>
  <dcterms:modified xsi:type="dcterms:W3CDTF">2016-08-31T20:46:00Z</dcterms:modified>
</cp:coreProperties>
</file>