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B59" w:rsidRPr="0013795A" w:rsidRDefault="00383F96" w:rsidP="00BF2B29">
      <w:pPr>
        <w:ind w:firstLine="0"/>
        <w:rPr>
          <w:color w:val="171717" w:themeColor="background2" w:themeShade="1A"/>
        </w:rPr>
      </w:pPr>
      <w:r w:rsidRPr="0013795A">
        <w:rPr>
          <w:noProof/>
          <w:color w:val="171717" w:themeColor="background2" w:themeShade="1A"/>
        </w:rPr>
        <mc:AlternateContent>
          <mc:Choice Requires="wps">
            <w:drawing>
              <wp:anchor distT="0" distB="0" distL="114300" distR="114300" simplePos="0" relativeHeight="251656192" behindDoc="0" locked="0" layoutInCell="1" allowOverlap="1" wp14:anchorId="6346BDEC" wp14:editId="2BF0DF73">
                <wp:simplePos x="0" y="0"/>
                <wp:positionH relativeFrom="page">
                  <wp:posOffset>914400</wp:posOffset>
                </wp:positionH>
                <wp:positionV relativeFrom="page">
                  <wp:posOffset>1143000</wp:posOffset>
                </wp:positionV>
                <wp:extent cx="5943600" cy="8343900"/>
                <wp:effectExtent l="0" t="0" r="0" b="0"/>
                <wp:wrapSquare wrapText="bothSides"/>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439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A53FB" w:rsidRPr="0013795A" w:rsidRDefault="00CA53FB" w:rsidP="00536110">
                            <w:pPr>
                              <w:spacing w:line="240" w:lineRule="auto"/>
                              <w:ind w:firstLine="0"/>
                              <w:jc w:val="center"/>
                              <w:rPr>
                                <w:b/>
                                <w:color w:val="171717" w:themeColor="background2" w:themeShade="1A"/>
                              </w:rPr>
                            </w:pPr>
                            <w:r w:rsidRPr="0013795A">
                              <w:rPr>
                                <w:b/>
                                <w:color w:val="171717" w:themeColor="background2" w:themeShade="1A"/>
                              </w:rPr>
                              <w:t>VACCINES: HOW REQUIREMENT</w:t>
                            </w:r>
                            <w:r>
                              <w:rPr>
                                <w:b/>
                                <w:color w:val="171717" w:themeColor="background2" w:themeShade="1A"/>
                              </w:rPr>
                              <w:t xml:space="preserve">S AND EXEMPTIONS AFFECT VACCINATION </w:t>
                            </w:r>
                            <w:r w:rsidRPr="0013795A">
                              <w:rPr>
                                <w:b/>
                                <w:color w:val="171717" w:themeColor="background2" w:themeShade="1A"/>
                              </w:rPr>
                              <w:t>RATES, DISEASE PREVALENCE, AND HERD IMMUNITY WITHIN THE UNITED STATES</w:t>
                            </w: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B57E9B">
                            <w:pPr>
                              <w:ind w:firstLine="0"/>
                              <w:jc w:val="center"/>
                              <w:rPr>
                                <w:color w:val="171717" w:themeColor="background2" w:themeShade="1A"/>
                              </w:rPr>
                            </w:pPr>
                            <w:proofErr w:type="gramStart"/>
                            <w:r w:rsidRPr="0013795A">
                              <w:rPr>
                                <w:color w:val="171717" w:themeColor="background2" w:themeShade="1A"/>
                              </w:rPr>
                              <w:t>by</w:t>
                            </w:r>
                            <w:proofErr w:type="gramEnd"/>
                          </w:p>
                          <w:p w:rsidR="00CA53FB" w:rsidRPr="0013795A" w:rsidRDefault="00CA53FB" w:rsidP="00B57E9B">
                            <w:pPr>
                              <w:ind w:firstLine="0"/>
                              <w:jc w:val="center"/>
                              <w:rPr>
                                <w:color w:val="171717" w:themeColor="background2" w:themeShade="1A"/>
                              </w:rPr>
                            </w:pPr>
                            <w:r w:rsidRPr="0013795A">
                              <w:rPr>
                                <w:b/>
                                <w:color w:val="171717" w:themeColor="background2" w:themeShade="1A"/>
                              </w:rPr>
                              <w:t>Megan Ziegler</w:t>
                            </w:r>
                          </w:p>
                          <w:p w:rsidR="00CA53FB" w:rsidRPr="0013795A" w:rsidRDefault="00CA53FB" w:rsidP="0072316E">
                            <w:pPr>
                              <w:spacing w:line="240" w:lineRule="auto"/>
                              <w:ind w:firstLine="0"/>
                              <w:jc w:val="center"/>
                              <w:rPr>
                                <w:color w:val="171717" w:themeColor="background2" w:themeShade="1A"/>
                              </w:rPr>
                            </w:pPr>
                            <w:r w:rsidRPr="0013795A">
                              <w:rPr>
                                <w:color w:val="171717" w:themeColor="background2" w:themeShade="1A"/>
                              </w:rPr>
                              <w:t>BS in Kinesiology, Pennsylvania State University, 2014</w:t>
                            </w:r>
                          </w:p>
                          <w:p w:rsidR="00CA53FB" w:rsidRPr="0013795A" w:rsidRDefault="00CA53FB" w:rsidP="00536110">
                            <w:pPr>
                              <w:spacing w:line="240" w:lineRule="auto"/>
                              <w:ind w:firstLine="0"/>
                              <w:jc w:val="center"/>
                              <w:rPr>
                                <w:noProof/>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B57E9B">
                            <w:pPr>
                              <w:ind w:firstLine="0"/>
                              <w:jc w:val="center"/>
                              <w:rPr>
                                <w:color w:val="171717" w:themeColor="background2" w:themeShade="1A"/>
                              </w:rPr>
                            </w:pPr>
                            <w:r w:rsidRPr="0013795A">
                              <w:rPr>
                                <w:color w:val="171717" w:themeColor="background2" w:themeShade="1A"/>
                              </w:rPr>
                              <w:t>Submitted to the Graduate Faculty of</w:t>
                            </w:r>
                          </w:p>
                          <w:p w:rsidR="00CA53FB" w:rsidRPr="0013795A" w:rsidRDefault="00CA53FB" w:rsidP="00B57E9B">
                            <w:pPr>
                              <w:ind w:firstLine="0"/>
                              <w:jc w:val="center"/>
                              <w:rPr>
                                <w:color w:val="171717" w:themeColor="background2" w:themeShade="1A"/>
                              </w:rPr>
                            </w:pPr>
                            <w:r w:rsidRPr="0013795A">
                              <w:rPr>
                                <w:color w:val="171717" w:themeColor="background2" w:themeShade="1A"/>
                              </w:rPr>
                              <w:t>Health Policy and Management</w:t>
                            </w:r>
                          </w:p>
                          <w:p w:rsidR="00CA53FB" w:rsidRPr="0013795A" w:rsidRDefault="00CA53FB" w:rsidP="00B57E9B">
                            <w:pPr>
                              <w:ind w:firstLine="0"/>
                              <w:jc w:val="center"/>
                              <w:rPr>
                                <w:color w:val="171717" w:themeColor="background2" w:themeShade="1A"/>
                              </w:rPr>
                            </w:pPr>
                            <w:r w:rsidRPr="0013795A">
                              <w:rPr>
                                <w:color w:val="171717" w:themeColor="background2" w:themeShade="1A"/>
                              </w:rPr>
                              <w:t xml:space="preserve">Graduate School of Public Health in partial fulfillment </w:t>
                            </w:r>
                          </w:p>
                          <w:p w:rsidR="00CA53FB" w:rsidRPr="0013795A" w:rsidRDefault="00CA53FB" w:rsidP="00B57E9B">
                            <w:pPr>
                              <w:ind w:firstLine="0"/>
                              <w:jc w:val="center"/>
                              <w:rPr>
                                <w:color w:val="171717" w:themeColor="background2" w:themeShade="1A"/>
                              </w:rPr>
                            </w:pPr>
                            <w:proofErr w:type="gramStart"/>
                            <w:r w:rsidRPr="0013795A">
                              <w:rPr>
                                <w:color w:val="171717" w:themeColor="background2" w:themeShade="1A"/>
                              </w:rPr>
                              <w:t>of</w:t>
                            </w:r>
                            <w:proofErr w:type="gramEnd"/>
                            <w:r w:rsidRPr="0013795A">
                              <w:rPr>
                                <w:color w:val="171717" w:themeColor="background2" w:themeShade="1A"/>
                              </w:rPr>
                              <w:t xml:space="preserve"> the requirements for the degree of</w:t>
                            </w:r>
                          </w:p>
                          <w:p w:rsidR="00CA53FB" w:rsidRPr="0013795A" w:rsidRDefault="00CA53FB" w:rsidP="00536110">
                            <w:pPr>
                              <w:spacing w:line="240" w:lineRule="auto"/>
                              <w:ind w:firstLine="0"/>
                              <w:jc w:val="center"/>
                              <w:rPr>
                                <w:color w:val="171717" w:themeColor="background2" w:themeShade="1A"/>
                              </w:rPr>
                            </w:pPr>
                            <w:r w:rsidRPr="0013795A">
                              <w:rPr>
                                <w:color w:val="171717" w:themeColor="background2" w:themeShade="1A"/>
                              </w:rPr>
                              <w:t>Master of Public Health</w:t>
                            </w:r>
                          </w:p>
                          <w:p w:rsidR="00CA53FB" w:rsidRPr="0013795A" w:rsidRDefault="00CA53FB" w:rsidP="00536110">
                            <w:pPr>
                              <w:spacing w:line="240" w:lineRule="auto"/>
                              <w:ind w:firstLine="0"/>
                              <w:jc w:val="center"/>
                              <w:rPr>
                                <w:color w:val="171717" w:themeColor="background2" w:themeShade="1A"/>
                              </w:rPr>
                            </w:pPr>
                          </w:p>
                          <w:p w:rsidR="00CA53FB" w:rsidRPr="0013795A" w:rsidRDefault="00CA53FB" w:rsidP="00536110">
                            <w:pPr>
                              <w:spacing w:line="240" w:lineRule="auto"/>
                              <w:ind w:firstLine="0"/>
                              <w:jc w:val="center"/>
                              <w:rPr>
                                <w:color w:val="171717" w:themeColor="background2" w:themeShade="1A"/>
                              </w:rPr>
                            </w:pPr>
                          </w:p>
                          <w:p w:rsidR="00CA53FB" w:rsidRPr="0013795A" w:rsidRDefault="00CA53FB" w:rsidP="00B57E9B">
                            <w:pPr>
                              <w:spacing w:line="240" w:lineRule="auto"/>
                              <w:ind w:firstLine="0"/>
                              <w:jc w:val="center"/>
                              <w:rPr>
                                <w:color w:val="171717" w:themeColor="background2" w:themeShade="1A"/>
                              </w:rPr>
                            </w:pPr>
                          </w:p>
                          <w:p w:rsidR="00CA53FB" w:rsidRPr="0013795A" w:rsidRDefault="00CA53FB" w:rsidP="00B57E9B">
                            <w:pPr>
                              <w:spacing w:line="240" w:lineRule="auto"/>
                              <w:ind w:firstLine="0"/>
                              <w:jc w:val="center"/>
                              <w:rPr>
                                <w:color w:val="171717" w:themeColor="background2" w:themeShade="1A"/>
                              </w:rPr>
                            </w:pPr>
                          </w:p>
                          <w:p w:rsidR="00CA53FB" w:rsidRPr="0013795A" w:rsidRDefault="00CA53FB" w:rsidP="00B57E9B">
                            <w:pPr>
                              <w:spacing w:line="240" w:lineRule="auto"/>
                              <w:ind w:firstLine="0"/>
                              <w:jc w:val="center"/>
                              <w:rPr>
                                <w:color w:val="171717" w:themeColor="background2" w:themeShade="1A"/>
                              </w:rPr>
                            </w:pPr>
                          </w:p>
                          <w:p w:rsidR="00CA53FB" w:rsidRPr="0013795A" w:rsidRDefault="00CA53FB" w:rsidP="00B57E9B">
                            <w:pPr>
                              <w:spacing w:line="240" w:lineRule="auto"/>
                              <w:ind w:firstLine="0"/>
                              <w:jc w:val="center"/>
                              <w:rPr>
                                <w:color w:val="171717" w:themeColor="background2" w:themeShade="1A"/>
                              </w:rPr>
                            </w:pPr>
                          </w:p>
                          <w:p w:rsidR="00CA53FB" w:rsidRPr="0013795A" w:rsidRDefault="00CA53FB" w:rsidP="00B57E9B">
                            <w:pPr>
                              <w:spacing w:line="240" w:lineRule="auto"/>
                              <w:ind w:firstLine="0"/>
                              <w:jc w:val="center"/>
                              <w:rPr>
                                <w:color w:val="171717" w:themeColor="background2" w:themeShade="1A"/>
                              </w:rPr>
                            </w:pPr>
                          </w:p>
                          <w:p w:rsidR="00CA53FB" w:rsidRPr="0013795A" w:rsidRDefault="00CA53FB" w:rsidP="00B57E9B">
                            <w:pPr>
                              <w:spacing w:line="240" w:lineRule="auto"/>
                              <w:ind w:firstLine="0"/>
                              <w:jc w:val="center"/>
                              <w:rPr>
                                <w:color w:val="171717" w:themeColor="background2" w:themeShade="1A"/>
                              </w:rPr>
                            </w:pPr>
                          </w:p>
                          <w:p w:rsidR="00CA53FB" w:rsidRPr="0013795A" w:rsidRDefault="00CA53FB" w:rsidP="00B57E9B">
                            <w:pPr>
                              <w:spacing w:line="240" w:lineRule="auto"/>
                              <w:ind w:firstLine="0"/>
                              <w:jc w:val="center"/>
                              <w:rPr>
                                <w:color w:val="171717" w:themeColor="background2" w:themeShade="1A"/>
                              </w:rPr>
                            </w:pPr>
                          </w:p>
                          <w:p w:rsidR="00CA53FB" w:rsidRPr="0013795A" w:rsidRDefault="00CA53FB" w:rsidP="00337CC7">
                            <w:pPr>
                              <w:ind w:firstLine="0"/>
                              <w:jc w:val="center"/>
                              <w:rPr>
                                <w:color w:val="171717" w:themeColor="background2" w:themeShade="1A"/>
                              </w:rPr>
                            </w:pPr>
                            <w:r w:rsidRPr="0013795A">
                              <w:rPr>
                                <w:color w:val="171717" w:themeColor="background2" w:themeShade="1A"/>
                              </w:rPr>
                              <w:t>University of Pittsburgh</w:t>
                            </w:r>
                          </w:p>
                          <w:p w:rsidR="00CA53FB" w:rsidRPr="0013795A" w:rsidRDefault="00CA53FB" w:rsidP="00B57E9B">
                            <w:pPr>
                              <w:ind w:firstLine="0"/>
                              <w:jc w:val="center"/>
                              <w:rPr>
                                <w:noProof/>
                                <w:color w:val="171717" w:themeColor="background2" w:themeShade="1A"/>
                              </w:rPr>
                            </w:pPr>
                            <w:r w:rsidRPr="0013795A">
                              <w:rPr>
                                <w:color w:val="171717" w:themeColor="background2" w:themeShade="1A"/>
                              </w:rPr>
                              <w:t>2016</w:t>
                            </w:r>
                          </w:p>
                          <w:p w:rsidR="00CA53FB" w:rsidRPr="004E3B59" w:rsidRDefault="00CA53FB" w:rsidP="006B1124">
                            <w:pPr>
                              <w:ind w:firstLine="0"/>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6BDEC" id="_x0000_t202" coordsize="21600,21600" o:spt="202" path="m,l,21600r21600,l21600,xe">
                <v:stroke joinstyle="miter"/>
                <v:path gradientshapeok="t" o:connecttype="rect"/>
              </v:shapetype>
              <v:shape id="Text Box 14" o:spid="_x0000_s1026" type="#_x0000_t202" style="position:absolute;left:0;text-align:left;margin-left:1in;margin-top:90pt;width:468pt;height:65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" stroked="f">
                <v:textbox inset="0,0,0,0">
                  <w:txbxContent>
                    <w:p w:rsidR="00CA53FB" w:rsidRPr="0013795A" w:rsidRDefault="00CA53FB" w:rsidP="00536110">
                      <w:pPr>
                        <w:spacing w:line="240" w:lineRule="auto"/>
                        <w:ind w:firstLine="0"/>
                        <w:jc w:val="center"/>
                        <w:rPr>
                          <w:b/>
                          <w:color w:val="171717" w:themeColor="background2" w:themeShade="1A"/>
                        </w:rPr>
                      </w:pPr>
                      <w:r w:rsidRPr="0013795A">
                        <w:rPr>
                          <w:b/>
                          <w:color w:val="171717" w:themeColor="background2" w:themeShade="1A"/>
                        </w:rPr>
                        <w:t>VACCINES: HOW REQUIREMENT</w:t>
                      </w:r>
                      <w:r>
                        <w:rPr>
                          <w:b/>
                          <w:color w:val="171717" w:themeColor="background2" w:themeShade="1A"/>
                        </w:rPr>
                        <w:t xml:space="preserve">S AND EXEMPTIONS AFFECT VACCINATION </w:t>
                      </w:r>
                      <w:r w:rsidRPr="0013795A">
                        <w:rPr>
                          <w:b/>
                          <w:color w:val="171717" w:themeColor="background2" w:themeShade="1A"/>
                        </w:rPr>
                        <w:t>RATES, DISEASE PREVALENCE, AND HERD IMMUNITY WITHIN THE UNITED STATES</w:t>
                      </w: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B57E9B">
                      <w:pPr>
                        <w:ind w:firstLine="0"/>
                        <w:jc w:val="center"/>
                        <w:rPr>
                          <w:color w:val="171717" w:themeColor="background2" w:themeShade="1A"/>
                        </w:rPr>
                      </w:pPr>
                      <w:proofErr w:type="gramStart"/>
                      <w:r w:rsidRPr="0013795A">
                        <w:rPr>
                          <w:color w:val="171717" w:themeColor="background2" w:themeShade="1A"/>
                        </w:rPr>
                        <w:t>by</w:t>
                      </w:r>
                      <w:proofErr w:type="gramEnd"/>
                    </w:p>
                    <w:p w:rsidR="00CA53FB" w:rsidRPr="0013795A" w:rsidRDefault="00CA53FB" w:rsidP="00B57E9B">
                      <w:pPr>
                        <w:ind w:firstLine="0"/>
                        <w:jc w:val="center"/>
                        <w:rPr>
                          <w:color w:val="171717" w:themeColor="background2" w:themeShade="1A"/>
                        </w:rPr>
                      </w:pPr>
                      <w:r w:rsidRPr="0013795A">
                        <w:rPr>
                          <w:b/>
                          <w:color w:val="171717" w:themeColor="background2" w:themeShade="1A"/>
                        </w:rPr>
                        <w:t>Megan Ziegler</w:t>
                      </w:r>
                    </w:p>
                    <w:p w:rsidR="00CA53FB" w:rsidRPr="0013795A" w:rsidRDefault="00CA53FB" w:rsidP="0072316E">
                      <w:pPr>
                        <w:spacing w:line="240" w:lineRule="auto"/>
                        <w:ind w:firstLine="0"/>
                        <w:jc w:val="center"/>
                        <w:rPr>
                          <w:color w:val="171717" w:themeColor="background2" w:themeShade="1A"/>
                        </w:rPr>
                      </w:pPr>
                      <w:r w:rsidRPr="0013795A">
                        <w:rPr>
                          <w:color w:val="171717" w:themeColor="background2" w:themeShade="1A"/>
                        </w:rPr>
                        <w:t>BS in Kinesiology, Pennsylvania State University, 2014</w:t>
                      </w:r>
                    </w:p>
                    <w:p w:rsidR="00CA53FB" w:rsidRPr="0013795A" w:rsidRDefault="00CA53FB" w:rsidP="00536110">
                      <w:pPr>
                        <w:spacing w:line="240" w:lineRule="auto"/>
                        <w:ind w:firstLine="0"/>
                        <w:jc w:val="center"/>
                        <w:rPr>
                          <w:noProof/>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536110">
                      <w:pPr>
                        <w:spacing w:line="240" w:lineRule="auto"/>
                        <w:ind w:firstLine="0"/>
                        <w:jc w:val="center"/>
                        <w:rPr>
                          <w:b/>
                          <w:color w:val="171717" w:themeColor="background2" w:themeShade="1A"/>
                        </w:rPr>
                      </w:pPr>
                    </w:p>
                    <w:p w:rsidR="00CA53FB" w:rsidRPr="0013795A" w:rsidRDefault="00CA53FB" w:rsidP="00B57E9B">
                      <w:pPr>
                        <w:ind w:firstLine="0"/>
                        <w:jc w:val="center"/>
                        <w:rPr>
                          <w:color w:val="171717" w:themeColor="background2" w:themeShade="1A"/>
                        </w:rPr>
                      </w:pPr>
                      <w:r w:rsidRPr="0013795A">
                        <w:rPr>
                          <w:color w:val="171717" w:themeColor="background2" w:themeShade="1A"/>
                        </w:rPr>
                        <w:t>Submitted to the Graduate Faculty of</w:t>
                      </w:r>
                    </w:p>
                    <w:p w:rsidR="00CA53FB" w:rsidRPr="0013795A" w:rsidRDefault="00CA53FB" w:rsidP="00B57E9B">
                      <w:pPr>
                        <w:ind w:firstLine="0"/>
                        <w:jc w:val="center"/>
                        <w:rPr>
                          <w:color w:val="171717" w:themeColor="background2" w:themeShade="1A"/>
                        </w:rPr>
                      </w:pPr>
                      <w:r w:rsidRPr="0013795A">
                        <w:rPr>
                          <w:color w:val="171717" w:themeColor="background2" w:themeShade="1A"/>
                        </w:rPr>
                        <w:t>Health Policy and Management</w:t>
                      </w:r>
                    </w:p>
                    <w:p w:rsidR="00CA53FB" w:rsidRPr="0013795A" w:rsidRDefault="00CA53FB" w:rsidP="00B57E9B">
                      <w:pPr>
                        <w:ind w:firstLine="0"/>
                        <w:jc w:val="center"/>
                        <w:rPr>
                          <w:color w:val="171717" w:themeColor="background2" w:themeShade="1A"/>
                        </w:rPr>
                      </w:pPr>
                      <w:r w:rsidRPr="0013795A">
                        <w:rPr>
                          <w:color w:val="171717" w:themeColor="background2" w:themeShade="1A"/>
                        </w:rPr>
                        <w:t xml:space="preserve">Graduate School of Public Health in partial fulfillment </w:t>
                      </w:r>
                    </w:p>
                    <w:p w:rsidR="00CA53FB" w:rsidRPr="0013795A" w:rsidRDefault="00CA53FB" w:rsidP="00B57E9B">
                      <w:pPr>
                        <w:ind w:firstLine="0"/>
                        <w:jc w:val="center"/>
                        <w:rPr>
                          <w:color w:val="171717" w:themeColor="background2" w:themeShade="1A"/>
                        </w:rPr>
                      </w:pPr>
                      <w:proofErr w:type="gramStart"/>
                      <w:r w:rsidRPr="0013795A">
                        <w:rPr>
                          <w:color w:val="171717" w:themeColor="background2" w:themeShade="1A"/>
                        </w:rPr>
                        <w:t>of</w:t>
                      </w:r>
                      <w:proofErr w:type="gramEnd"/>
                      <w:r w:rsidRPr="0013795A">
                        <w:rPr>
                          <w:color w:val="171717" w:themeColor="background2" w:themeShade="1A"/>
                        </w:rPr>
                        <w:t xml:space="preserve"> the requirements for the degree of</w:t>
                      </w:r>
                    </w:p>
                    <w:p w:rsidR="00CA53FB" w:rsidRPr="0013795A" w:rsidRDefault="00CA53FB" w:rsidP="00536110">
                      <w:pPr>
                        <w:spacing w:line="240" w:lineRule="auto"/>
                        <w:ind w:firstLine="0"/>
                        <w:jc w:val="center"/>
                        <w:rPr>
                          <w:color w:val="171717" w:themeColor="background2" w:themeShade="1A"/>
                        </w:rPr>
                      </w:pPr>
                      <w:r w:rsidRPr="0013795A">
                        <w:rPr>
                          <w:color w:val="171717" w:themeColor="background2" w:themeShade="1A"/>
                        </w:rPr>
                        <w:t>Master of Public Health</w:t>
                      </w:r>
                    </w:p>
                    <w:p w:rsidR="00CA53FB" w:rsidRPr="0013795A" w:rsidRDefault="00CA53FB" w:rsidP="00536110">
                      <w:pPr>
                        <w:spacing w:line="240" w:lineRule="auto"/>
                        <w:ind w:firstLine="0"/>
                        <w:jc w:val="center"/>
                        <w:rPr>
                          <w:color w:val="171717" w:themeColor="background2" w:themeShade="1A"/>
                        </w:rPr>
                      </w:pPr>
                    </w:p>
                    <w:p w:rsidR="00CA53FB" w:rsidRPr="0013795A" w:rsidRDefault="00CA53FB" w:rsidP="00536110">
                      <w:pPr>
                        <w:spacing w:line="240" w:lineRule="auto"/>
                        <w:ind w:firstLine="0"/>
                        <w:jc w:val="center"/>
                        <w:rPr>
                          <w:color w:val="171717" w:themeColor="background2" w:themeShade="1A"/>
                        </w:rPr>
                      </w:pPr>
                    </w:p>
                    <w:p w:rsidR="00CA53FB" w:rsidRPr="0013795A" w:rsidRDefault="00CA53FB" w:rsidP="00B57E9B">
                      <w:pPr>
                        <w:spacing w:line="240" w:lineRule="auto"/>
                        <w:ind w:firstLine="0"/>
                        <w:jc w:val="center"/>
                        <w:rPr>
                          <w:color w:val="171717" w:themeColor="background2" w:themeShade="1A"/>
                        </w:rPr>
                      </w:pPr>
                    </w:p>
                    <w:p w:rsidR="00CA53FB" w:rsidRPr="0013795A" w:rsidRDefault="00CA53FB" w:rsidP="00B57E9B">
                      <w:pPr>
                        <w:spacing w:line="240" w:lineRule="auto"/>
                        <w:ind w:firstLine="0"/>
                        <w:jc w:val="center"/>
                        <w:rPr>
                          <w:color w:val="171717" w:themeColor="background2" w:themeShade="1A"/>
                        </w:rPr>
                      </w:pPr>
                    </w:p>
                    <w:p w:rsidR="00CA53FB" w:rsidRPr="0013795A" w:rsidRDefault="00CA53FB" w:rsidP="00B57E9B">
                      <w:pPr>
                        <w:spacing w:line="240" w:lineRule="auto"/>
                        <w:ind w:firstLine="0"/>
                        <w:jc w:val="center"/>
                        <w:rPr>
                          <w:color w:val="171717" w:themeColor="background2" w:themeShade="1A"/>
                        </w:rPr>
                      </w:pPr>
                    </w:p>
                    <w:p w:rsidR="00CA53FB" w:rsidRPr="0013795A" w:rsidRDefault="00CA53FB" w:rsidP="00B57E9B">
                      <w:pPr>
                        <w:spacing w:line="240" w:lineRule="auto"/>
                        <w:ind w:firstLine="0"/>
                        <w:jc w:val="center"/>
                        <w:rPr>
                          <w:color w:val="171717" w:themeColor="background2" w:themeShade="1A"/>
                        </w:rPr>
                      </w:pPr>
                    </w:p>
                    <w:p w:rsidR="00CA53FB" w:rsidRPr="0013795A" w:rsidRDefault="00CA53FB" w:rsidP="00B57E9B">
                      <w:pPr>
                        <w:spacing w:line="240" w:lineRule="auto"/>
                        <w:ind w:firstLine="0"/>
                        <w:jc w:val="center"/>
                        <w:rPr>
                          <w:color w:val="171717" w:themeColor="background2" w:themeShade="1A"/>
                        </w:rPr>
                      </w:pPr>
                    </w:p>
                    <w:p w:rsidR="00CA53FB" w:rsidRPr="0013795A" w:rsidRDefault="00CA53FB" w:rsidP="00B57E9B">
                      <w:pPr>
                        <w:spacing w:line="240" w:lineRule="auto"/>
                        <w:ind w:firstLine="0"/>
                        <w:jc w:val="center"/>
                        <w:rPr>
                          <w:color w:val="171717" w:themeColor="background2" w:themeShade="1A"/>
                        </w:rPr>
                      </w:pPr>
                    </w:p>
                    <w:p w:rsidR="00CA53FB" w:rsidRPr="0013795A" w:rsidRDefault="00CA53FB" w:rsidP="00B57E9B">
                      <w:pPr>
                        <w:spacing w:line="240" w:lineRule="auto"/>
                        <w:ind w:firstLine="0"/>
                        <w:jc w:val="center"/>
                        <w:rPr>
                          <w:color w:val="171717" w:themeColor="background2" w:themeShade="1A"/>
                        </w:rPr>
                      </w:pPr>
                    </w:p>
                    <w:p w:rsidR="00CA53FB" w:rsidRPr="0013795A" w:rsidRDefault="00CA53FB" w:rsidP="00337CC7">
                      <w:pPr>
                        <w:ind w:firstLine="0"/>
                        <w:jc w:val="center"/>
                        <w:rPr>
                          <w:color w:val="171717" w:themeColor="background2" w:themeShade="1A"/>
                        </w:rPr>
                      </w:pPr>
                      <w:r w:rsidRPr="0013795A">
                        <w:rPr>
                          <w:color w:val="171717" w:themeColor="background2" w:themeShade="1A"/>
                        </w:rPr>
                        <w:t>University of Pittsburgh</w:t>
                      </w:r>
                    </w:p>
                    <w:p w:rsidR="00CA53FB" w:rsidRPr="0013795A" w:rsidRDefault="00CA53FB" w:rsidP="00B57E9B">
                      <w:pPr>
                        <w:ind w:firstLine="0"/>
                        <w:jc w:val="center"/>
                        <w:rPr>
                          <w:noProof/>
                          <w:color w:val="171717" w:themeColor="background2" w:themeShade="1A"/>
                        </w:rPr>
                      </w:pPr>
                      <w:r w:rsidRPr="0013795A">
                        <w:rPr>
                          <w:color w:val="171717" w:themeColor="background2" w:themeShade="1A"/>
                        </w:rPr>
                        <w:t>2016</w:t>
                      </w:r>
                    </w:p>
                    <w:p w:rsidR="00CA53FB" w:rsidRPr="004E3B59" w:rsidRDefault="00CA53FB" w:rsidP="006B1124">
                      <w:pPr>
                        <w:ind w:firstLine="0"/>
                        <w:jc w:val="center"/>
                        <w:rPr>
                          <w:b/>
                        </w:rPr>
                      </w:pPr>
                    </w:p>
                  </w:txbxContent>
                </v:textbox>
                <w10:wrap type="square" anchorx="page" anchory="page"/>
              </v:shape>
            </w:pict>
          </mc:Fallback>
        </mc:AlternateContent>
      </w:r>
    </w:p>
    <w:p w:rsidR="003F40F3" w:rsidRPr="0013795A" w:rsidRDefault="00383F96" w:rsidP="007F763B">
      <w:pPr>
        <w:pStyle w:val="Noindent"/>
        <w:spacing w:line="240" w:lineRule="auto"/>
        <w:rPr>
          <w:color w:val="171717" w:themeColor="background2" w:themeShade="1A"/>
        </w:rPr>
      </w:pPr>
      <w:r w:rsidRPr="0013795A">
        <w:rPr>
          <w:noProof/>
          <w:color w:val="171717" w:themeColor="background2" w:themeShade="1A"/>
        </w:rPr>
        <w:lastRenderedPageBreak/>
        <mc:AlternateContent>
          <mc:Choice Requires="wps">
            <w:drawing>
              <wp:anchor distT="0" distB="0" distL="114300" distR="114300" simplePos="0" relativeHeight="251657216" behindDoc="0" locked="0" layoutInCell="1" allowOverlap="1" wp14:anchorId="52B91B03" wp14:editId="224E32EF">
                <wp:simplePos x="0" y="0"/>
                <wp:positionH relativeFrom="page">
                  <wp:posOffset>914400</wp:posOffset>
                </wp:positionH>
                <wp:positionV relativeFrom="margin">
                  <wp:posOffset>454025</wp:posOffset>
                </wp:positionV>
                <wp:extent cx="5943600" cy="7242175"/>
                <wp:effectExtent l="0" t="0" r="0" b="0"/>
                <wp:wrapSquare wrapText="bothSides"/>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421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A53FB" w:rsidRPr="0013795A" w:rsidRDefault="00CA53FB" w:rsidP="006B1124">
                            <w:pPr>
                              <w:ind w:firstLine="0"/>
                              <w:jc w:val="center"/>
                              <w:rPr>
                                <w:color w:val="171717" w:themeColor="background2" w:themeShade="1A"/>
                              </w:rPr>
                            </w:pPr>
                            <w:r w:rsidRPr="0013795A">
                              <w:rPr>
                                <w:color w:val="171717" w:themeColor="background2" w:themeShade="1A"/>
                              </w:rPr>
                              <w:t>UNIVERSITY OF PITTSBURGH</w:t>
                            </w:r>
                          </w:p>
                          <w:p w:rsidR="00CA53FB" w:rsidRPr="0013795A" w:rsidRDefault="00CA53FB" w:rsidP="00536110">
                            <w:pPr>
                              <w:spacing w:line="240" w:lineRule="auto"/>
                              <w:ind w:firstLine="0"/>
                              <w:jc w:val="center"/>
                              <w:rPr>
                                <w:color w:val="171717" w:themeColor="background2" w:themeShade="1A"/>
                              </w:rPr>
                            </w:pPr>
                            <w:r w:rsidRPr="0013795A">
                              <w:rPr>
                                <w:color w:val="171717" w:themeColor="background2" w:themeShade="1A"/>
                              </w:rPr>
                              <w:t>GRADUATE SCHOOL OF PUBLIC HEALTH</w:t>
                            </w:r>
                          </w:p>
                          <w:p w:rsidR="00CA53FB" w:rsidRPr="0013795A" w:rsidRDefault="00CA53FB" w:rsidP="00536110">
                            <w:pPr>
                              <w:spacing w:line="240" w:lineRule="auto"/>
                              <w:ind w:firstLine="0"/>
                              <w:jc w:val="center"/>
                              <w:rPr>
                                <w:color w:val="171717" w:themeColor="background2" w:themeShade="1A"/>
                              </w:rPr>
                            </w:pPr>
                          </w:p>
                          <w:p w:rsidR="00CA53FB" w:rsidRPr="0013795A" w:rsidRDefault="00CA53FB" w:rsidP="00536110">
                            <w:pPr>
                              <w:spacing w:line="240" w:lineRule="auto"/>
                              <w:ind w:firstLine="0"/>
                              <w:jc w:val="center"/>
                              <w:rPr>
                                <w:color w:val="171717" w:themeColor="background2" w:themeShade="1A"/>
                              </w:rPr>
                            </w:pPr>
                          </w:p>
                          <w:p w:rsidR="00CA53FB" w:rsidRPr="0013795A" w:rsidRDefault="00CA53FB" w:rsidP="006A5780">
                            <w:pPr>
                              <w:ind w:firstLine="0"/>
                              <w:jc w:val="center"/>
                              <w:rPr>
                                <w:color w:val="171717" w:themeColor="background2" w:themeShade="1A"/>
                              </w:rPr>
                            </w:pPr>
                            <w:r w:rsidRPr="0013795A">
                              <w:rPr>
                                <w:color w:val="171717" w:themeColor="background2" w:themeShade="1A"/>
                              </w:rPr>
                              <w:t>This essay is submitted</w:t>
                            </w:r>
                          </w:p>
                          <w:p w:rsidR="00CA53FB" w:rsidRPr="0013795A" w:rsidRDefault="00CA53FB" w:rsidP="006B1124">
                            <w:pPr>
                              <w:ind w:firstLine="0"/>
                              <w:jc w:val="center"/>
                              <w:rPr>
                                <w:color w:val="171717" w:themeColor="background2" w:themeShade="1A"/>
                              </w:rPr>
                            </w:pPr>
                            <w:proofErr w:type="gramStart"/>
                            <w:r w:rsidRPr="0013795A">
                              <w:rPr>
                                <w:color w:val="171717" w:themeColor="background2" w:themeShade="1A"/>
                              </w:rPr>
                              <w:t>by</w:t>
                            </w:r>
                            <w:proofErr w:type="gramEnd"/>
                          </w:p>
                          <w:p w:rsidR="00CA53FB" w:rsidRPr="0013795A" w:rsidRDefault="00CA53FB" w:rsidP="006A5780">
                            <w:pPr>
                              <w:spacing w:line="240" w:lineRule="auto"/>
                              <w:ind w:firstLine="0"/>
                              <w:jc w:val="center"/>
                              <w:rPr>
                                <w:color w:val="171717" w:themeColor="background2" w:themeShade="1A"/>
                              </w:rPr>
                            </w:pPr>
                            <w:r w:rsidRPr="0013795A">
                              <w:rPr>
                                <w:color w:val="171717" w:themeColor="background2" w:themeShade="1A"/>
                              </w:rPr>
                              <w:t>Megan Ziegler</w:t>
                            </w:r>
                          </w:p>
                          <w:p w:rsidR="00CA53FB" w:rsidRPr="0013795A" w:rsidRDefault="00CA53FB" w:rsidP="006A5780">
                            <w:pPr>
                              <w:spacing w:line="240" w:lineRule="auto"/>
                              <w:ind w:firstLine="0"/>
                              <w:jc w:val="center"/>
                              <w:rPr>
                                <w:color w:val="171717" w:themeColor="background2" w:themeShade="1A"/>
                              </w:rPr>
                            </w:pPr>
                          </w:p>
                          <w:p w:rsidR="00CA53FB" w:rsidRPr="0013795A" w:rsidRDefault="00CA53FB" w:rsidP="006A5780">
                            <w:pPr>
                              <w:spacing w:line="240" w:lineRule="auto"/>
                              <w:ind w:firstLine="0"/>
                              <w:jc w:val="center"/>
                              <w:rPr>
                                <w:color w:val="171717" w:themeColor="background2" w:themeShade="1A"/>
                              </w:rPr>
                            </w:pPr>
                            <w:proofErr w:type="gramStart"/>
                            <w:r w:rsidRPr="0013795A">
                              <w:rPr>
                                <w:color w:val="171717" w:themeColor="background2" w:themeShade="1A"/>
                              </w:rPr>
                              <w:t>on</w:t>
                            </w:r>
                            <w:proofErr w:type="gramEnd"/>
                          </w:p>
                          <w:p w:rsidR="00CA53FB" w:rsidRPr="0013795A" w:rsidRDefault="00CA53FB" w:rsidP="006A5780">
                            <w:pPr>
                              <w:spacing w:line="240" w:lineRule="auto"/>
                              <w:ind w:firstLine="0"/>
                              <w:jc w:val="center"/>
                              <w:rPr>
                                <w:color w:val="171717" w:themeColor="background2" w:themeShade="1A"/>
                              </w:rPr>
                            </w:pPr>
                          </w:p>
                          <w:p w:rsidR="00CA53FB" w:rsidRPr="0013795A" w:rsidRDefault="00CA53FB" w:rsidP="006A5780">
                            <w:pPr>
                              <w:ind w:firstLine="0"/>
                              <w:jc w:val="center"/>
                              <w:rPr>
                                <w:color w:val="171717" w:themeColor="background2" w:themeShade="1A"/>
                              </w:rPr>
                            </w:pPr>
                            <w:r w:rsidRPr="0013795A">
                              <w:rPr>
                                <w:color w:val="171717" w:themeColor="background2" w:themeShade="1A"/>
                              </w:rPr>
                              <w:t>April 26, 2016</w:t>
                            </w:r>
                          </w:p>
                          <w:p w:rsidR="00CA53FB" w:rsidRPr="0013795A" w:rsidRDefault="00CA53FB" w:rsidP="006A5780">
                            <w:pPr>
                              <w:ind w:firstLine="0"/>
                              <w:jc w:val="center"/>
                              <w:rPr>
                                <w:color w:val="171717" w:themeColor="background2" w:themeShade="1A"/>
                              </w:rPr>
                            </w:pPr>
                            <w:proofErr w:type="gramStart"/>
                            <w:r w:rsidRPr="0013795A">
                              <w:rPr>
                                <w:color w:val="171717" w:themeColor="background2" w:themeShade="1A"/>
                              </w:rPr>
                              <w:t>and</w:t>
                            </w:r>
                            <w:proofErr w:type="gramEnd"/>
                            <w:r w:rsidRPr="0013795A">
                              <w:rPr>
                                <w:color w:val="171717" w:themeColor="background2" w:themeShade="1A"/>
                              </w:rPr>
                              <w:t xml:space="preserve"> approved by</w:t>
                            </w:r>
                          </w:p>
                          <w:p w:rsidR="00CA53FB" w:rsidRPr="0013795A" w:rsidRDefault="00CA53FB" w:rsidP="006A5780">
                            <w:pPr>
                              <w:ind w:firstLine="0"/>
                              <w:jc w:val="center"/>
                              <w:rPr>
                                <w:color w:val="171717" w:themeColor="background2" w:themeShade="1A"/>
                              </w:rPr>
                            </w:pPr>
                          </w:p>
                          <w:p w:rsidR="00CA53FB" w:rsidRPr="0013795A" w:rsidRDefault="00CA53FB" w:rsidP="00030D3B">
                            <w:pPr>
                              <w:spacing w:line="240" w:lineRule="auto"/>
                              <w:ind w:firstLine="0"/>
                              <w:rPr>
                                <w:color w:val="171717" w:themeColor="background2" w:themeShade="1A"/>
                              </w:rPr>
                            </w:pPr>
                            <w:r w:rsidRPr="0013795A">
                              <w:rPr>
                                <w:color w:val="171717" w:themeColor="background2" w:themeShade="1A"/>
                              </w:rPr>
                              <w:t>Essay Advisor:</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Elizabeth Van Nostrand, JD</w:t>
                            </w:r>
                            <w:r w:rsidRPr="0013795A">
                              <w:rPr>
                                <w:color w:val="171717" w:themeColor="background2" w:themeShade="1A"/>
                              </w:rPr>
                              <w:tab/>
                            </w:r>
                            <w:r w:rsidRPr="0013795A">
                              <w:rPr>
                                <w:color w:val="171717" w:themeColor="background2" w:themeShade="1A"/>
                              </w:rPr>
                              <w:tab/>
                            </w:r>
                            <w:r w:rsidRPr="0013795A">
                              <w:rPr>
                                <w:color w:val="171717" w:themeColor="background2" w:themeShade="1A"/>
                              </w:rPr>
                              <w:tab/>
                              <w:t>______________________________________</w:t>
                            </w:r>
                            <w:r w:rsidRPr="0013795A">
                              <w:rPr>
                                <w:color w:val="171717" w:themeColor="background2" w:themeShade="1A"/>
                              </w:rPr>
                              <w:br/>
                              <w:t>Director, JD/MPH Program and</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Assistant Professor</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Health Policy and Management</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Associate Director for Law and Policy</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Center for Public Health Practice</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Graduate School of Public Health</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Adjunct Professor</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School of Law</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University of Pittsburgh</w:t>
                            </w:r>
                          </w:p>
                          <w:p w:rsidR="00CA53FB" w:rsidRPr="0013795A" w:rsidRDefault="00CA53FB" w:rsidP="00030D3B">
                            <w:pPr>
                              <w:spacing w:line="240" w:lineRule="auto"/>
                              <w:ind w:firstLine="0"/>
                              <w:rPr>
                                <w:color w:val="171717" w:themeColor="background2" w:themeShade="1A"/>
                              </w:rPr>
                            </w:pPr>
                          </w:p>
                          <w:p w:rsidR="00CA53FB" w:rsidRPr="0013795A" w:rsidRDefault="00CA53FB" w:rsidP="00030D3B">
                            <w:pPr>
                              <w:spacing w:line="240" w:lineRule="auto"/>
                              <w:ind w:firstLine="0"/>
                              <w:rPr>
                                <w:color w:val="171717" w:themeColor="background2" w:themeShade="1A"/>
                              </w:rPr>
                            </w:pPr>
                          </w:p>
                          <w:p w:rsidR="00CA53FB" w:rsidRPr="0013795A" w:rsidRDefault="00CA53FB" w:rsidP="00030D3B">
                            <w:pPr>
                              <w:spacing w:line="240" w:lineRule="auto"/>
                              <w:ind w:firstLine="0"/>
                              <w:rPr>
                                <w:color w:val="171717" w:themeColor="background2" w:themeShade="1A"/>
                              </w:rPr>
                            </w:pPr>
                            <w:r w:rsidRPr="0013795A">
                              <w:rPr>
                                <w:color w:val="171717" w:themeColor="background2" w:themeShade="1A"/>
                              </w:rPr>
                              <w:t>Essay Reader:</w:t>
                            </w:r>
                          </w:p>
                          <w:p w:rsidR="00CA53FB" w:rsidRPr="0013795A" w:rsidRDefault="00CA53FB" w:rsidP="00030D3B">
                            <w:pPr>
                              <w:spacing w:line="240" w:lineRule="auto"/>
                              <w:ind w:firstLine="0"/>
                              <w:rPr>
                                <w:color w:val="171717" w:themeColor="background2" w:themeShade="1A"/>
                              </w:rPr>
                            </w:pPr>
                            <w:r w:rsidRPr="0013795A">
                              <w:rPr>
                                <w:color w:val="171717" w:themeColor="background2" w:themeShade="1A"/>
                              </w:rPr>
                              <w:t>Willem G. van Panhuis, MD PhD</w:t>
                            </w:r>
                            <w:r w:rsidRPr="0013795A">
                              <w:rPr>
                                <w:color w:val="171717" w:themeColor="background2" w:themeShade="1A"/>
                              </w:rPr>
                              <w:tab/>
                            </w:r>
                            <w:r w:rsidRPr="0013795A">
                              <w:rPr>
                                <w:color w:val="171717" w:themeColor="background2" w:themeShade="1A"/>
                              </w:rPr>
                              <w:tab/>
                              <w:t>______________________________________</w:t>
                            </w:r>
                            <w:r w:rsidRPr="0013795A">
                              <w:rPr>
                                <w:color w:val="171717" w:themeColor="background2" w:themeShade="1A"/>
                              </w:rPr>
                              <w:br/>
                              <w:t>Assistant Professor</w:t>
                            </w:r>
                          </w:p>
                          <w:p w:rsidR="00CA53FB" w:rsidRPr="0013795A" w:rsidRDefault="00CA53FB" w:rsidP="00030D3B">
                            <w:pPr>
                              <w:spacing w:line="240" w:lineRule="auto"/>
                              <w:ind w:firstLine="0"/>
                              <w:rPr>
                                <w:color w:val="171717" w:themeColor="background2" w:themeShade="1A"/>
                              </w:rPr>
                            </w:pPr>
                            <w:r w:rsidRPr="0013795A">
                              <w:rPr>
                                <w:color w:val="171717" w:themeColor="background2" w:themeShade="1A"/>
                              </w:rPr>
                              <w:t>Epidemiology</w:t>
                            </w:r>
                          </w:p>
                          <w:p w:rsidR="00CA53FB" w:rsidRPr="0013795A" w:rsidRDefault="00CA53FB" w:rsidP="00030D3B">
                            <w:pPr>
                              <w:spacing w:line="240" w:lineRule="auto"/>
                              <w:ind w:firstLine="0"/>
                              <w:rPr>
                                <w:color w:val="171717" w:themeColor="background2" w:themeShade="1A"/>
                              </w:rPr>
                            </w:pPr>
                            <w:r w:rsidRPr="0013795A">
                              <w:rPr>
                                <w:color w:val="171717" w:themeColor="background2" w:themeShade="1A"/>
                              </w:rPr>
                              <w:t>Graduate School of Public Health</w:t>
                            </w:r>
                          </w:p>
                          <w:p w:rsidR="00CA53FB" w:rsidRPr="0013795A" w:rsidRDefault="00CA53FB" w:rsidP="00030D3B">
                            <w:pPr>
                              <w:spacing w:line="240" w:lineRule="auto"/>
                              <w:ind w:firstLine="0"/>
                              <w:rPr>
                                <w:color w:val="171717" w:themeColor="background2" w:themeShade="1A"/>
                              </w:rPr>
                            </w:pPr>
                            <w:r w:rsidRPr="0013795A">
                              <w:rPr>
                                <w:color w:val="171717" w:themeColor="background2" w:themeShade="1A"/>
                              </w:rPr>
                              <w:t>Biomedical Informatics</w:t>
                            </w:r>
                          </w:p>
                          <w:p w:rsidR="00CA53FB" w:rsidRPr="0013795A" w:rsidRDefault="00CA53FB" w:rsidP="00030D3B">
                            <w:pPr>
                              <w:spacing w:line="240" w:lineRule="auto"/>
                              <w:ind w:firstLine="0"/>
                              <w:rPr>
                                <w:color w:val="171717" w:themeColor="background2" w:themeShade="1A"/>
                              </w:rPr>
                            </w:pPr>
                            <w:r w:rsidRPr="0013795A">
                              <w:rPr>
                                <w:color w:val="171717" w:themeColor="background2" w:themeShade="1A"/>
                              </w:rPr>
                              <w:t>School of Medicine</w:t>
                            </w:r>
                          </w:p>
                          <w:p w:rsidR="00CA53FB" w:rsidRPr="0013795A" w:rsidRDefault="00CA53FB" w:rsidP="00030D3B">
                            <w:pPr>
                              <w:spacing w:line="240" w:lineRule="auto"/>
                              <w:ind w:firstLine="0"/>
                              <w:rPr>
                                <w:color w:val="171717" w:themeColor="background2" w:themeShade="1A"/>
                              </w:rPr>
                            </w:pPr>
                            <w:r w:rsidRPr="0013795A">
                              <w:rPr>
                                <w:color w:val="171717" w:themeColor="background2" w:themeShade="1A"/>
                              </w:rPr>
                              <w:t>University of Pittsburgh</w:t>
                            </w:r>
                          </w:p>
                          <w:p w:rsidR="00CA53FB" w:rsidRDefault="00CA53FB" w:rsidP="00030D3B">
                            <w:pPr>
                              <w:spacing w:line="240" w:lineRule="auto"/>
                              <w:ind w:firstLine="0"/>
                            </w:pPr>
                          </w:p>
                          <w:p w:rsidR="00CA53FB" w:rsidRDefault="00CA53FB" w:rsidP="00030D3B">
                            <w:pPr>
                              <w:spacing w:line="240" w:lineRule="auto"/>
                              <w:ind w:firstLine="0"/>
                            </w:pPr>
                          </w:p>
                          <w:p w:rsidR="00CA53FB" w:rsidRPr="00936D40" w:rsidRDefault="00CA53FB" w:rsidP="006B1124">
                            <w:pPr>
                              <w:ind w:firstLine="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91B03" id="Text Box 26" o:spid="_x0000_s1027" type="#_x0000_t202" style="position:absolute;left:0;text-align:left;margin-left:1in;margin-top:35.75pt;width:468pt;height:57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" stroked="f">
                <v:textbox>
                  <w:txbxContent>
                    <w:p w:rsidR="00CA53FB" w:rsidRPr="0013795A" w:rsidRDefault="00CA53FB" w:rsidP="006B1124">
                      <w:pPr>
                        <w:ind w:firstLine="0"/>
                        <w:jc w:val="center"/>
                        <w:rPr>
                          <w:color w:val="171717" w:themeColor="background2" w:themeShade="1A"/>
                        </w:rPr>
                      </w:pPr>
                      <w:r w:rsidRPr="0013795A">
                        <w:rPr>
                          <w:color w:val="171717" w:themeColor="background2" w:themeShade="1A"/>
                        </w:rPr>
                        <w:t>UNIVERSITY OF PITTSBURGH</w:t>
                      </w:r>
                    </w:p>
                    <w:p w:rsidR="00CA53FB" w:rsidRPr="0013795A" w:rsidRDefault="00CA53FB" w:rsidP="00536110">
                      <w:pPr>
                        <w:spacing w:line="240" w:lineRule="auto"/>
                        <w:ind w:firstLine="0"/>
                        <w:jc w:val="center"/>
                        <w:rPr>
                          <w:color w:val="171717" w:themeColor="background2" w:themeShade="1A"/>
                        </w:rPr>
                      </w:pPr>
                      <w:r w:rsidRPr="0013795A">
                        <w:rPr>
                          <w:color w:val="171717" w:themeColor="background2" w:themeShade="1A"/>
                        </w:rPr>
                        <w:t>GRADUATE SCHOOL OF PUBLIC HEALTH</w:t>
                      </w:r>
                    </w:p>
                    <w:p w:rsidR="00CA53FB" w:rsidRPr="0013795A" w:rsidRDefault="00CA53FB" w:rsidP="00536110">
                      <w:pPr>
                        <w:spacing w:line="240" w:lineRule="auto"/>
                        <w:ind w:firstLine="0"/>
                        <w:jc w:val="center"/>
                        <w:rPr>
                          <w:color w:val="171717" w:themeColor="background2" w:themeShade="1A"/>
                        </w:rPr>
                      </w:pPr>
                    </w:p>
                    <w:p w:rsidR="00CA53FB" w:rsidRPr="0013795A" w:rsidRDefault="00CA53FB" w:rsidP="00536110">
                      <w:pPr>
                        <w:spacing w:line="240" w:lineRule="auto"/>
                        <w:ind w:firstLine="0"/>
                        <w:jc w:val="center"/>
                        <w:rPr>
                          <w:color w:val="171717" w:themeColor="background2" w:themeShade="1A"/>
                        </w:rPr>
                      </w:pPr>
                    </w:p>
                    <w:p w:rsidR="00CA53FB" w:rsidRPr="0013795A" w:rsidRDefault="00CA53FB" w:rsidP="006A5780">
                      <w:pPr>
                        <w:ind w:firstLine="0"/>
                        <w:jc w:val="center"/>
                        <w:rPr>
                          <w:color w:val="171717" w:themeColor="background2" w:themeShade="1A"/>
                        </w:rPr>
                      </w:pPr>
                      <w:r w:rsidRPr="0013795A">
                        <w:rPr>
                          <w:color w:val="171717" w:themeColor="background2" w:themeShade="1A"/>
                        </w:rPr>
                        <w:t>This essay is submitted</w:t>
                      </w:r>
                    </w:p>
                    <w:p w:rsidR="00CA53FB" w:rsidRPr="0013795A" w:rsidRDefault="00CA53FB" w:rsidP="006B1124">
                      <w:pPr>
                        <w:ind w:firstLine="0"/>
                        <w:jc w:val="center"/>
                        <w:rPr>
                          <w:color w:val="171717" w:themeColor="background2" w:themeShade="1A"/>
                        </w:rPr>
                      </w:pPr>
                      <w:proofErr w:type="gramStart"/>
                      <w:r w:rsidRPr="0013795A">
                        <w:rPr>
                          <w:color w:val="171717" w:themeColor="background2" w:themeShade="1A"/>
                        </w:rPr>
                        <w:t>by</w:t>
                      </w:r>
                      <w:proofErr w:type="gramEnd"/>
                    </w:p>
                    <w:p w:rsidR="00CA53FB" w:rsidRPr="0013795A" w:rsidRDefault="00CA53FB" w:rsidP="006A5780">
                      <w:pPr>
                        <w:spacing w:line="240" w:lineRule="auto"/>
                        <w:ind w:firstLine="0"/>
                        <w:jc w:val="center"/>
                        <w:rPr>
                          <w:color w:val="171717" w:themeColor="background2" w:themeShade="1A"/>
                        </w:rPr>
                      </w:pPr>
                      <w:r w:rsidRPr="0013795A">
                        <w:rPr>
                          <w:color w:val="171717" w:themeColor="background2" w:themeShade="1A"/>
                        </w:rPr>
                        <w:t>Megan Ziegler</w:t>
                      </w:r>
                    </w:p>
                    <w:p w:rsidR="00CA53FB" w:rsidRPr="0013795A" w:rsidRDefault="00CA53FB" w:rsidP="006A5780">
                      <w:pPr>
                        <w:spacing w:line="240" w:lineRule="auto"/>
                        <w:ind w:firstLine="0"/>
                        <w:jc w:val="center"/>
                        <w:rPr>
                          <w:color w:val="171717" w:themeColor="background2" w:themeShade="1A"/>
                        </w:rPr>
                      </w:pPr>
                    </w:p>
                    <w:p w:rsidR="00CA53FB" w:rsidRPr="0013795A" w:rsidRDefault="00CA53FB" w:rsidP="006A5780">
                      <w:pPr>
                        <w:spacing w:line="240" w:lineRule="auto"/>
                        <w:ind w:firstLine="0"/>
                        <w:jc w:val="center"/>
                        <w:rPr>
                          <w:color w:val="171717" w:themeColor="background2" w:themeShade="1A"/>
                        </w:rPr>
                      </w:pPr>
                      <w:proofErr w:type="gramStart"/>
                      <w:r w:rsidRPr="0013795A">
                        <w:rPr>
                          <w:color w:val="171717" w:themeColor="background2" w:themeShade="1A"/>
                        </w:rPr>
                        <w:t>on</w:t>
                      </w:r>
                      <w:proofErr w:type="gramEnd"/>
                    </w:p>
                    <w:p w:rsidR="00CA53FB" w:rsidRPr="0013795A" w:rsidRDefault="00CA53FB" w:rsidP="006A5780">
                      <w:pPr>
                        <w:spacing w:line="240" w:lineRule="auto"/>
                        <w:ind w:firstLine="0"/>
                        <w:jc w:val="center"/>
                        <w:rPr>
                          <w:color w:val="171717" w:themeColor="background2" w:themeShade="1A"/>
                        </w:rPr>
                      </w:pPr>
                    </w:p>
                    <w:p w:rsidR="00CA53FB" w:rsidRPr="0013795A" w:rsidRDefault="00CA53FB" w:rsidP="006A5780">
                      <w:pPr>
                        <w:ind w:firstLine="0"/>
                        <w:jc w:val="center"/>
                        <w:rPr>
                          <w:color w:val="171717" w:themeColor="background2" w:themeShade="1A"/>
                        </w:rPr>
                      </w:pPr>
                      <w:r w:rsidRPr="0013795A">
                        <w:rPr>
                          <w:color w:val="171717" w:themeColor="background2" w:themeShade="1A"/>
                        </w:rPr>
                        <w:t>April 26, 2016</w:t>
                      </w:r>
                    </w:p>
                    <w:p w:rsidR="00CA53FB" w:rsidRPr="0013795A" w:rsidRDefault="00CA53FB" w:rsidP="006A5780">
                      <w:pPr>
                        <w:ind w:firstLine="0"/>
                        <w:jc w:val="center"/>
                        <w:rPr>
                          <w:color w:val="171717" w:themeColor="background2" w:themeShade="1A"/>
                        </w:rPr>
                      </w:pPr>
                      <w:proofErr w:type="gramStart"/>
                      <w:r w:rsidRPr="0013795A">
                        <w:rPr>
                          <w:color w:val="171717" w:themeColor="background2" w:themeShade="1A"/>
                        </w:rPr>
                        <w:t>and</w:t>
                      </w:r>
                      <w:proofErr w:type="gramEnd"/>
                      <w:r w:rsidRPr="0013795A">
                        <w:rPr>
                          <w:color w:val="171717" w:themeColor="background2" w:themeShade="1A"/>
                        </w:rPr>
                        <w:t xml:space="preserve"> approved by</w:t>
                      </w:r>
                    </w:p>
                    <w:p w:rsidR="00CA53FB" w:rsidRPr="0013795A" w:rsidRDefault="00CA53FB" w:rsidP="006A5780">
                      <w:pPr>
                        <w:ind w:firstLine="0"/>
                        <w:jc w:val="center"/>
                        <w:rPr>
                          <w:color w:val="171717" w:themeColor="background2" w:themeShade="1A"/>
                        </w:rPr>
                      </w:pPr>
                    </w:p>
                    <w:p w:rsidR="00CA53FB" w:rsidRPr="0013795A" w:rsidRDefault="00CA53FB" w:rsidP="00030D3B">
                      <w:pPr>
                        <w:spacing w:line="240" w:lineRule="auto"/>
                        <w:ind w:firstLine="0"/>
                        <w:rPr>
                          <w:color w:val="171717" w:themeColor="background2" w:themeShade="1A"/>
                        </w:rPr>
                      </w:pPr>
                      <w:r w:rsidRPr="0013795A">
                        <w:rPr>
                          <w:color w:val="171717" w:themeColor="background2" w:themeShade="1A"/>
                        </w:rPr>
                        <w:t>Essay Advisor:</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Elizabeth Van Nostrand, JD</w:t>
                      </w:r>
                      <w:r w:rsidRPr="0013795A">
                        <w:rPr>
                          <w:color w:val="171717" w:themeColor="background2" w:themeShade="1A"/>
                        </w:rPr>
                        <w:tab/>
                      </w:r>
                      <w:r w:rsidRPr="0013795A">
                        <w:rPr>
                          <w:color w:val="171717" w:themeColor="background2" w:themeShade="1A"/>
                        </w:rPr>
                        <w:tab/>
                      </w:r>
                      <w:r w:rsidRPr="0013795A">
                        <w:rPr>
                          <w:color w:val="171717" w:themeColor="background2" w:themeShade="1A"/>
                        </w:rPr>
                        <w:tab/>
                        <w:t>______________________________________</w:t>
                      </w:r>
                      <w:r w:rsidRPr="0013795A">
                        <w:rPr>
                          <w:color w:val="171717" w:themeColor="background2" w:themeShade="1A"/>
                        </w:rPr>
                        <w:br/>
                        <w:t>Director, JD/MPH Program and</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Assistant Professor</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Health Policy and Management</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Associate Director for Law and Policy</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Center for Public Health Practice</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Graduate School of Public Health</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Adjunct Professor</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School of Law</w:t>
                      </w:r>
                    </w:p>
                    <w:p w:rsidR="00CA53FB" w:rsidRPr="0013795A" w:rsidRDefault="00CA53FB" w:rsidP="0072316E">
                      <w:pPr>
                        <w:spacing w:line="240" w:lineRule="auto"/>
                        <w:ind w:firstLine="0"/>
                        <w:rPr>
                          <w:color w:val="171717" w:themeColor="background2" w:themeShade="1A"/>
                        </w:rPr>
                      </w:pPr>
                      <w:r w:rsidRPr="0013795A">
                        <w:rPr>
                          <w:color w:val="171717" w:themeColor="background2" w:themeShade="1A"/>
                        </w:rPr>
                        <w:t>University of Pittsburgh</w:t>
                      </w:r>
                    </w:p>
                    <w:p w:rsidR="00CA53FB" w:rsidRPr="0013795A" w:rsidRDefault="00CA53FB" w:rsidP="00030D3B">
                      <w:pPr>
                        <w:spacing w:line="240" w:lineRule="auto"/>
                        <w:ind w:firstLine="0"/>
                        <w:rPr>
                          <w:color w:val="171717" w:themeColor="background2" w:themeShade="1A"/>
                        </w:rPr>
                      </w:pPr>
                    </w:p>
                    <w:p w:rsidR="00CA53FB" w:rsidRPr="0013795A" w:rsidRDefault="00CA53FB" w:rsidP="00030D3B">
                      <w:pPr>
                        <w:spacing w:line="240" w:lineRule="auto"/>
                        <w:ind w:firstLine="0"/>
                        <w:rPr>
                          <w:color w:val="171717" w:themeColor="background2" w:themeShade="1A"/>
                        </w:rPr>
                      </w:pPr>
                    </w:p>
                    <w:p w:rsidR="00CA53FB" w:rsidRPr="0013795A" w:rsidRDefault="00CA53FB" w:rsidP="00030D3B">
                      <w:pPr>
                        <w:spacing w:line="240" w:lineRule="auto"/>
                        <w:ind w:firstLine="0"/>
                        <w:rPr>
                          <w:color w:val="171717" w:themeColor="background2" w:themeShade="1A"/>
                        </w:rPr>
                      </w:pPr>
                      <w:r w:rsidRPr="0013795A">
                        <w:rPr>
                          <w:color w:val="171717" w:themeColor="background2" w:themeShade="1A"/>
                        </w:rPr>
                        <w:t>Essay Reader:</w:t>
                      </w:r>
                    </w:p>
                    <w:p w:rsidR="00CA53FB" w:rsidRPr="0013795A" w:rsidRDefault="00CA53FB" w:rsidP="00030D3B">
                      <w:pPr>
                        <w:spacing w:line="240" w:lineRule="auto"/>
                        <w:ind w:firstLine="0"/>
                        <w:rPr>
                          <w:color w:val="171717" w:themeColor="background2" w:themeShade="1A"/>
                        </w:rPr>
                      </w:pPr>
                      <w:r w:rsidRPr="0013795A">
                        <w:rPr>
                          <w:color w:val="171717" w:themeColor="background2" w:themeShade="1A"/>
                        </w:rPr>
                        <w:t>Willem G. van Panhuis, MD PhD</w:t>
                      </w:r>
                      <w:r w:rsidRPr="0013795A">
                        <w:rPr>
                          <w:color w:val="171717" w:themeColor="background2" w:themeShade="1A"/>
                        </w:rPr>
                        <w:tab/>
                      </w:r>
                      <w:r w:rsidRPr="0013795A">
                        <w:rPr>
                          <w:color w:val="171717" w:themeColor="background2" w:themeShade="1A"/>
                        </w:rPr>
                        <w:tab/>
                        <w:t>______________________________________</w:t>
                      </w:r>
                      <w:r w:rsidRPr="0013795A">
                        <w:rPr>
                          <w:color w:val="171717" w:themeColor="background2" w:themeShade="1A"/>
                        </w:rPr>
                        <w:br/>
                        <w:t>Assistant Professor</w:t>
                      </w:r>
                    </w:p>
                    <w:p w:rsidR="00CA53FB" w:rsidRPr="0013795A" w:rsidRDefault="00CA53FB" w:rsidP="00030D3B">
                      <w:pPr>
                        <w:spacing w:line="240" w:lineRule="auto"/>
                        <w:ind w:firstLine="0"/>
                        <w:rPr>
                          <w:color w:val="171717" w:themeColor="background2" w:themeShade="1A"/>
                        </w:rPr>
                      </w:pPr>
                      <w:r w:rsidRPr="0013795A">
                        <w:rPr>
                          <w:color w:val="171717" w:themeColor="background2" w:themeShade="1A"/>
                        </w:rPr>
                        <w:t>Epidemiology</w:t>
                      </w:r>
                    </w:p>
                    <w:p w:rsidR="00CA53FB" w:rsidRPr="0013795A" w:rsidRDefault="00CA53FB" w:rsidP="00030D3B">
                      <w:pPr>
                        <w:spacing w:line="240" w:lineRule="auto"/>
                        <w:ind w:firstLine="0"/>
                        <w:rPr>
                          <w:color w:val="171717" w:themeColor="background2" w:themeShade="1A"/>
                        </w:rPr>
                      </w:pPr>
                      <w:r w:rsidRPr="0013795A">
                        <w:rPr>
                          <w:color w:val="171717" w:themeColor="background2" w:themeShade="1A"/>
                        </w:rPr>
                        <w:t>Graduate School of Public Health</w:t>
                      </w:r>
                    </w:p>
                    <w:p w:rsidR="00CA53FB" w:rsidRPr="0013795A" w:rsidRDefault="00CA53FB" w:rsidP="00030D3B">
                      <w:pPr>
                        <w:spacing w:line="240" w:lineRule="auto"/>
                        <w:ind w:firstLine="0"/>
                        <w:rPr>
                          <w:color w:val="171717" w:themeColor="background2" w:themeShade="1A"/>
                        </w:rPr>
                      </w:pPr>
                      <w:r w:rsidRPr="0013795A">
                        <w:rPr>
                          <w:color w:val="171717" w:themeColor="background2" w:themeShade="1A"/>
                        </w:rPr>
                        <w:t>Biomedical Informatics</w:t>
                      </w:r>
                    </w:p>
                    <w:p w:rsidR="00CA53FB" w:rsidRPr="0013795A" w:rsidRDefault="00CA53FB" w:rsidP="00030D3B">
                      <w:pPr>
                        <w:spacing w:line="240" w:lineRule="auto"/>
                        <w:ind w:firstLine="0"/>
                        <w:rPr>
                          <w:color w:val="171717" w:themeColor="background2" w:themeShade="1A"/>
                        </w:rPr>
                      </w:pPr>
                      <w:r w:rsidRPr="0013795A">
                        <w:rPr>
                          <w:color w:val="171717" w:themeColor="background2" w:themeShade="1A"/>
                        </w:rPr>
                        <w:t>School of Medicine</w:t>
                      </w:r>
                    </w:p>
                    <w:p w:rsidR="00CA53FB" w:rsidRPr="0013795A" w:rsidRDefault="00CA53FB" w:rsidP="00030D3B">
                      <w:pPr>
                        <w:spacing w:line="240" w:lineRule="auto"/>
                        <w:ind w:firstLine="0"/>
                        <w:rPr>
                          <w:color w:val="171717" w:themeColor="background2" w:themeShade="1A"/>
                        </w:rPr>
                      </w:pPr>
                      <w:r w:rsidRPr="0013795A">
                        <w:rPr>
                          <w:color w:val="171717" w:themeColor="background2" w:themeShade="1A"/>
                        </w:rPr>
                        <w:t>University of Pittsburgh</w:t>
                      </w:r>
                    </w:p>
                    <w:p w:rsidR="00CA53FB" w:rsidRDefault="00CA53FB" w:rsidP="00030D3B">
                      <w:pPr>
                        <w:spacing w:line="240" w:lineRule="auto"/>
                        <w:ind w:firstLine="0"/>
                      </w:pPr>
                    </w:p>
                    <w:p w:rsidR="00CA53FB" w:rsidRDefault="00CA53FB" w:rsidP="00030D3B">
                      <w:pPr>
                        <w:spacing w:line="240" w:lineRule="auto"/>
                        <w:ind w:firstLine="0"/>
                      </w:pPr>
                    </w:p>
                    <w:p w:rsidR="00CA53FB" w:rsidRPr="00936D40" w:rsidRDefault="00CA53FB" w:rsidP="006B1124">
                      <w:pPr>
                        <w:ind w:firstLine="0"/>
                        <w:jc w:val="center"/>
                      </w:pPr>
                    </w:p>
                  </w:txbxContent>
                </v:textbox>
                <w10:wrap type="square" anchorx="page" anchory="margin"/>
              </v:shape>
            </w:pict>
          </mc:Fallback>
        </mc:AlternateContent>
      </w:r>
      <w:r w:rsidR="00834193" w:rsidRPr="0013795A">
        <w:rPr>
          <w:color w:val="171717" w:themeColor="background2" w:themeShade="1A"/>
        </w:rPr>
        <w:br w:type="page"/>
      </w:r>
      <w:r w:rsidRPr="0013795A">
        <w:rPr>
          <w:noProof/>
          <w:color w:val="171717" w:themeColor="background2" w:themeShade="1A"/>
        </w:rPr>
        <w:lastRenderedPageBreak/>
        <mc:AlternateContent>
          <mc:Choice Requires="wps">
            <w:drawing>
              <wp:anchor distT="0" distB="0" distL="114300" distR="114300" simplePos="0" relativeHeight="251658240" behindDoc="0" locked="0" layoutInCell="1" allowOverlap="1" wp14:anchorId="2D04C36E" wp14:editId="2ACA2D2D">
                <wp:simplePos x="0" y="0"/>
                <wp:positionH relativeFrom="page">
                  <wp:align>center</wp:align>
                </wp:positionH>
                <wp:positionV relativeFrom="page">
                  <wp:posOffset>4648200</wp:posOffset>
                </wp:positionV>
                <wp:extent cx="5943600" cy="1066800"/>
                <wp:effectExtent l="0" t="0" r="0" b="0"/>
                <wp:wrapSquare wrapText="bothSides"/>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A53FB" w:rsidRPr="0013795A" w:rsidRDefault="00CA53FB" w:rsidP="006B1124">
                            <w:pPr>
                              <w:ind w:firstLine="0"/>
                              <w:jc w:val="center"/>
                              <w:rPr>
                                <w:color w:val="171717" w:themeColor="background2" w:themeShade="1A"/>
                              </w:rPr>
                            </w:pPr>
                            <w:r w:rsidRPr="0013795A">
                              <w:rPr>
                                <w:color w:val="171717" w:themeColor="background2" w:themeShade="1A"/>
                              </w:rPr>
                              <w:t>Copyright © by Megan Ziegler</w:t>
                            </w:r>
                          </w:p>
                          <w:p w:rsidR="00CA53FB" w:rsidRPr="0013795A" w:rsidRDefault="00CA53FB" w:rsidP="006B1124">
                            <w:pPr>
                              <w:ind w:firstLine="0"/>
                              <w:jc w:val="center"/>
                              <w:rPr>
                                <w:color w:val="171717" w:themeColor="background2" w:themeShade="1A"/>
                              </w:rPr>
                            </w:pPr>
                            <w:r w:rsidRPr="0013795A">
                              <w:rPr>
                                <w:color w:val="171717" w:themeColor="background2" w:themeShade="1A"/>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4C36E" id="Text Box 30" o:spid="_x0000_s1028" type="#_x0000_t202" style="position:absolute;left:0;text-align:left;margin-left:0;margin-top:366pt;width:468pt;height:84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" stroked="f">
                <v:textbox>
                  <w:txbxContent>
                    <w:p w:rsidR="00CA53FB" w:rsidRPr="0013795A" w:rsidRDefault="00CA53FB" w:rsidP="006B1124">
                      <w:pPr>
                        <w:ind w:firstLine="0"/>
                        <w:jc w:val="center"/>
                        <w:rPr>
                          <w:color w:val="171717" w:themeColor="background2" w:themeShade="1A"/>
                        </w:rPr>
                      </w:pPr>
                      <w:r w:rsidRPr="0013795A">
                        <w:rPr>
                          <w:color w:val="171717" w:themeColor="background2" w:themeShade="1A"/>
                        </w:rPr>
                        <w:t>Copyright © by Megan Ziegler</w:t>
                      </w:r>
                    </w:p>
                    <w:p w:rsidR="00CA53FB" w:rsidRPr="0013795A" w:rsidRDefault="00CA53FB" w:rsidP="006B1124">
                      <w:pPr>
                        <w:ind w:firstLine="0"/>
                        <w:jc w:val="center"/>
                        <w:rPr>
                          <w:color w:val="171717" w:themeColor="background2" w:themeShade="1A"/>
                        </w:rPr>
                      </w:pPr>
                      <w:r w:rsidRPr="0013795A">
                        <w:rPr>
                          <w:color w:val="171717" w:themeColor="background2" w:themeShade="1A"/>
                        </w:rPr>
                        <w:t>2016</w:t>
                      </w:r>
                    </w:p>
                  </w:txbxContent>
                </v:textbox>
                <w10:wrap type="square" anchorx="page" anchory="page"/>
              </v:shape>
            </w:pict>
          </mc:Fallback>
        </mc:AlternateContent>
      </w:r>
      <w:r w:rsidR="002D01B1" w:rsidRPr="0013795A">
        <w:rPr>
          <w:color w:val="171717" w:themeColor="background2" w:themeShade="1A"/>
        </w:rPr>
        <w:br w:type="page"/>
      </w:r>
    </w:p>
    <w:p w:rsidR="006834AA" w:rsidRPr="0013795A" w:rsidRDefault="006834AA" w:rsidP="007F763B">
      <w:pPr>
        <w:pStyle w:val="Noindent"/>
        <w:spacing w:line="240" w:lineRule="auto"/>
        <w:rPr>
          <w:b/>
          <w:color w:val="171717" w:themeColor="background2" w:themeShade="1A"/>
        </w:rPr>
      </w:pPr>
    </w:p>
    <w:p w:rsidR="0028782F" w:rsidRPr="0013795A" w:rsidRDefault="007F763B" w:rsidP="007F763B">
      <w:pPr>
        <w:pStyle w:val="Noindent"/>
        <w:spacing w:line="240" w:lineRule="auto"/>
        <w:rPr>
          <w:b/>
          <w:color w:val="171717" w:themeColor="background2" w:themeShade="1A"/>
        </w:rPr>
      </w:pPr>
      <w:r w:rsidRPr="0013795A">
        <w:rPr>
          <w:b/>
          <w:color w:val="171717" w:themeColor="background2" w:themeShade="1A"/>
        </w:rPr>
        <w:t>ABSTRACT</w:t>
      </w:r>
    </w:p>
    <w:p w:rsidR="007F763B" w:rsidRPr="0013795A" w:rsidRDefault="00383F96" w:rsidP="007F763B">
      <w:pPr>
        <w:pStyle w:val="Noindent"/>
        <w:spacing w:line="240" w:lineRule="auto"/>
        <w:rPr>
          <w:color w:val="171717" w:themeColor="background2" w:themeShade="1A"/>
        </w:rPr>
      </w:pPr>
      <w:r w:rsidRPr="0013795A">
        <w:rPr>
          <w:noProof/>
          <w:color w:val="171717" w:themeColor="background2" w:themeShade="1A"/>
        </w:rPr>
        <mc:AlternateContent>
          <mc:Choice Requires="wps">
            <w:drawing>
              <wp:anchor distT="0" distB="0" distL="114300" distR="114300" simplePos="0" relativeHeight="251659264" behindDoc="0" locked="0" layoutInCell="1" allowOverlap="1" wp14:anchorId="2933E580" wp14:editId="46F82449">
                <wp:simplePos x="0" y="0"/>
                <wp:positionH relativeFrom="column">
                  <wp:posOffset>0</wp:posOffset>
                </wp:positionH>
                <wp:positionV relativeFrom="margin">
                  <wp:posOffset>-215900</wp:posOffset>
                </wp:positionV>
                <wp:extent cx="5943600" cy="2041525"/>
                <wp:effectExtent l="0" t="3175" r="0" b="3175"/>
                <wp:wrapSquare wrapText="bothSides"/>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415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A53FB" w:rsidRPr="0013795A" w:rsidRDefault="00CA53FB" w:rsidP="0075385E">
                            <w:pPr>
                              <w:ind w:firstLine="0"/>
                              <w:jc w:val="right"/>
                              <w:rPr>
                                <w:color w:val="171717" w:themeColor="background2" w:themeShade="1A"/>
                              </w:rPr>
                            </w:pPr>
                            <w:r w:rsidRPr="0013795A">
                              <w:rPr>
                                <w:color w:val="171717" w:themeColor="background2" w:themeShade="1A"/>
                              </w:rPr>
                              <w:t>Elizabeth Van Nostrand, JD</w:t>
                            </w:r>
                          </w:p>
                          <w:p w:rsidR="00CA53FB" w:rsidRPr="0013795A" w:rsidRDefault="00CA53FB" w:rsidP="0072316E">
                            <w:pPr>
                              <w:ind w:firstLine="0"/>
                              <w:jc w:val="center"/>
                              <w:rPr>
                                <w:b/>
                                <w:color w:val="171717" w:themeColor="background2" w:themeShade="1A"/>
                              </w:rPr>
                            </w:pPr>
                            <w:r w:rsidRPr="0013795A">
                              <w:rPr>
                                <w:b/>
                                <w:color w:val="171717" w:themeColor="background2" w:themeShade="1A"/>
                              </w:rPr>
                              <w:t>VACCINES: HOW REQUIREMENTS AND EXEMPTIONS AFFECT VACCINATION RATES, DISEASE PREVALENCE, AND HERD IMMUNITY WITHIN THE UNITED STATES</w:t>
                            </w:r>
                          </w:p>
                          <w:p w:rsidR="00CA53FB" w:rsidRPr="0013795A" w:rsidRDefault="00CA53FB" w:rsidP="006B1124">
                            <w:pPr>
                              <w:ind w:firstLine="0"/>
                              <w:jc w:val="center"/>
                              <w:rPr>
                                <w:color w:val="171717" w:themeColor="background2" w:themeShade="1A"/>
                              </w:rPr>
                            </w:pPr>
                            <w:r w:rsidRPr="0013795A">
                              <w:rPr>
                                <w:color w:val="171717" w:themeColor="background2" w:themeShade="1A"/>
                              </w:rPr>
                              <w:t>Megan Ziegler, MPH</w:t>
                            </w:r>
                          </w:p>
                          <w:p w:rsidR="00CA53FB" w:rsidRDefault="00CA53FB" w:rsidP="006B1124">
                            <w:pPr>
                              <w:ind w:firstLine="0"/>
                              <w:jc w:val="center"/>
                            </w:pPr>
                            <w:r w:rsidRPr="0013795A">
                              <w:rPr>
                                <w:color w:val="171717" w:themeColor="background2" w:themeShade="1A"/>
                              </w:rPr>
                              <w:t>University of Pittsburgh, 2016</w:t>
                            </w:r>
                            <w:r>
                              <w:br w:type="page"/>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3E580" id="Text Box 33" o:spid="_x0000_s1029" type="#_x0000_t202" style="position:absolute;left:0;text-align:left;margin-left:0;margin-top:-17pt;width:468pt;height:160.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" filled="f" stroked="f">
                <v:textbox>
                  <w:txbxContent>
                    <w:p w:rsidR="00CA53FB" w:rsidRPr="0013795A" w:rsidRDefault="00CA53FB" w:rsidP="0075385E">
                      <w:pPr>
                        <w:ind w:firstLine="0"/>
                        <w:jc w:val="right"/>
                        <w:rPr>
                          <w:color w:val="171717" w:themeColor="background2" w:themeShade="1A"/>
                        </w:rPr>
                      </w:pPr>
                      <w:r w:rsidRPr="0013795A">
                        <w:rPr>
                          <w:color w:val="171717" w:themeColor="background2" w:themeShade="1A"/>
                        </w:rPr>
                        <w:t>Elizabeth Van Nostrand, JD</w:t>
                      </w:r>
                    </w:p>
                    <w:p w:rsidR="00CA53FB" w:rsidRPr="0013795A" w:rsidRDefault="00CA53FB" w:rsidP="0072316E">
                      <w:pPr>
                        <w:ind w:firstLine="0"/>
                        <w:jc w:val="center"/>
                        <w:rPr>
                          <w:b/>
                          <w:color w:val="171717" w:themeColor="background2" w:themeShade="1A"/>
                        </w:rPr>
                      </w:pPr>
                      <w:r w:rsidRPr="0013795A">
                        <w:rPr>
                          <w:b/>
                          <w:color w:val="171717" w:themeColor="background2" w:themeShade="1A"/>
                        </w:rPr>
                        <w:t>VACCINES: HOW REQUIREMENTS AND EXEMPTIONS AFFECT VACCINATION RATES, DISEASE PREVALENCE, AND HERD IMMUNITY WITHIN THE UNITED STATES</w:t>
                      </w:r>
                    </w:p>
                    <w:p w:rsidR="00CA53FB" w:rsidRPr="0013795A" w:rsidRDefault="00CA53FB" w:rsidP="006B1124">
                      <w:pPr>
                        <w:ind w:firstLine="0"/>
                        <w:jc w:val="center"/>
                        <w:rPr>
                          <w:color w:val="171717" w:themeColor="background2" w:themeShade="1A"/>
                        </w:rPr>
                      </w:pPr>
                      <w:r w:rsidRPr="0013795A">
                        <w:rPr>
                          <w:color w:val="171717" w:themeColor="background2" w:themeShade="1A"/>
                        </w:rPr>
                        <w:t>Megan Ziegler, MPH</w:t>
                      </w:r>
                    </w:p>
                    <w:p w:rsidR="00CA53FB" w:rsidRDefault="00CA53FB" w:rsidP="006B1124">
                      <w:pPr>
                        <w:ind w:firstLine="0"/>
                        <w:jc w:val="center"/>
                      </w:pPr>
                      <w:r w:rsidRPr="0013795A">
                        <w:rPr>
                          <w:color w:val="171717" w:themeColor="background2" w:themeShade="1A"/>
                        </w:rPr>
                        <w:t>University of Pittsburgh, 2016</w:t>
                      </w:r>
                      <w:r>
                        <w:br w:type="page"/>
                      </w:r>
                    </w:p>
                  </w:txbxContent>
                </v:textbox>
                <w10:wrap type="square" anchory="margin"/>
              </v:shape>
            </w:pict>
          </mc:Fallback>
        </mc:AlternateContent>
      </w:r>
    </w:p>
    <w:p w:rsidR="00AA2C6A" w:rsidRPr="0013795A" w:rsidRDefault="003F40F3" w:rsidP="003F40F3">
      <w:pPr>
        <w:ind w:firstLine="0"/>
        <w:rPr>
          <w:color w:val="171717" w:themeColor="background2" w:themeShade="1A"/>
        </w:rPr>
      </w:pPr>
      <w:r w:rsidRPr="0013795A">
        <w:rPr>
          <w:color w:val="171717" w:themeColor="background2" w:themeShade="1A"/>
        </w:rPr>
        <w:t xml:space="preserve">The aim of this essay is to discuss and examine the vaccine requirements as well as exemptions to those requirements in four selected states: California, Connecticut, Mississippi, and Pennsylvania.  These states were selected based on their varying requirements and exemptions to vaccines.  Exemption types include medical, religious, and philosophical.  California was found to have the least stringent vaccine requirements as of 2015 that was accompanied by the highest exemption rate of the four selected states.  Mississippi was the only state of the selected to just allow for religious exemptions and also had the lowest vaccine exemption rate.  It was determined that the best practice policy </w:t>
      </w:r>
      <w:r w:rsidR="006834AA" w:rsidRPr="0013795A">
        <w:rPr>
          <w:color w:val="171717" w:themeColor="background2" w:themeShade="1A"/>
        </w:rPr>
        <w:t>to stimulate vaccine use</w:t>
      </w:r>
      <w:r w:rsidR="00FD3CC9" w:rsidRPr="0013795A">
        <w:rPr>
          <w:color w:val="171717" w:themeColor="background2" w:themeShade="1A"/>
        </w:rPr>
        <w:t xml:space="preserve">d </w:t>
      </w:r>
      <w:r w:rsidR="006834AA" w:rsidRPr="0013795A">
        <w:rPr>
          <w:color w:val="171717" w:themeColor="background2" w:themeShade="1A"/>
        </w:rPr>
        <w:t>in</w:t>
      </w:r>
      <w:r w:rsidRPr="0013795A">
        <w:rPr>
          <w:color w:val="171717" w:themeColor="background2" w:themeShade="1A"/>
        </w:rPr>
        <w:t xml:space="preserve"> these four states is to only allow for medical exemptions.  Until further research is conducted this statement cannot be generalized to all 50 states.  </w:t>
      </w:r>
      <w:r w:rsidR="00596A2F" w:rsidRPr="0013795A">
        <w:rPr>
          <w:color w:val="171717" w:themeColor="background2" w:themeShade="1A"/>
        </w:rPr>
        <w:t>Vaccinations prove significant to public health because of their contribution to disease prevention and overall contribution to a healthier population.</w:t>
      </w:r>
      <w:r w:rsidRPr="0013795A">
        <w:rPr>
          <w:color w:val="171717" w:themeColor="background2" w:themeShade="1A"/>
        </w:rPr>
        <w:t xml:space="preserve"> </w:t>
      </w:r>
    </w:p>
    <w:p w:rsidR="008A110F" w:rsidRPr="0013795A" w:rsidRDefault="008A110F" w:rsidP="00656EE6">
      <w:pPr>
        <w:pStyle w:val="Preliminary"/>
        <w:rPr>
          <w:color w:val="171717" w:themeColor="background2" w:themeShade="1A"/>
        </w:rPr>
      </w:pPr>
      <w:bookmarkStart w:id="0" w:name="_Toc106717784"/>
      <w:r w:rsidRPr="0013795A">
        <w:rPr>
          <w:color w:val="171717" w:themeColor="background2" w:themeShade="1A"/>
        </w:rPr>
        <w:lastRenderedPageBreak/>
        <w:t>TABLE OF CONTENTS</w:t>
      </w:r>
      <w:bookmarkEnd w:id="0"/>
    </w:p>
    <w:p w:rsidR="009F6EF3" w:rsidRDefault="00367476">
      <w:pPr>
        <w:pStyle w:val="TOC1"/>
        <w:tabs>
          <w:tab w:val="left" w:pos="540"/>
          <w:tab w:val="right" w:leader="dot" w:pos="9350"/>
        </w:tabs>
        <w:rPr>
          <w:rFonts w:asciiTheme="minorHAnsi" w:eastAsiaTheme="minorEastAsia" w:hAnsiTheme="minorHAnsi" w:cstheme="minorBidi"/>
          <w:b w:val="0"/>
          <w:caps w:val="0"/>
          <w:noProof/>
          <w:lang w:eastAsia="ja-JP"/>
        </w:rPr>
      </w:pPr>
      <w:r w:rsidRPr="0013795A">
        <w:rPr>
          <w:color w:val="171717" w:themeColor="background2" w:themeShade="1A"/>
        </w:rPr>
        <w:fldChar w:fldCharType="begin"/>
      </w:r>
      <w:r w:rsidRPr="0013795A">
        <w:rPr>
          <w:color w:val="171717" w:themeColor="background2" w:themeShade="1A"/>
        </w:rPr>
        <w:instrText xml:space="preserve"> TOC \o "2-4" \h \z \t "Heading 1,1,Appendix,1,Heading,1" </w:instrText>
      </w:r>
      <w:r w:rsidRPr="0013795A">
        <w:rPr>
          <w:color w:val="171717" w:themeColor="background2" w:themeShade="1A"/>
        </w:rPr>
        <w:fldChar w:fldCharType="separate"/>
      </w:r>
      <w:r w:rsidR="009F6EF3" w:rsidRPr="00A53A27">
        <w:rPr>
          <w:noProof/>
          <w:color w:val="171717" w:themeColor="background2" w:themeShade="1A"/>
        </w:rPr>
        <w:t>1.0</w:t>
      </w:r>
      <w:r w:rsidR="009F6EF3">
        <w:rPr>
          <w:rFonts w:asciiTheme="minorHAnsi" w:eastAsiaTheme="minorEastAsia" w:hAnsiTheme="minorHAnsi" w:cstheme="minorBidi"/>
          <w:b w:val="0"/>
          <w:caps w:val="0"/>
          <w:noProof/>
          <w:lang w:eastAsia="ja-JP"/>
        </w:rPr>
        <w:tab/>
      </w:r>
      <w:r w:rsidR="009F6EF3" w:rsidRPr="00A53A27">
        <w:rPr>
          <w:noProof/>
          <w:color w:val="171717" w:themeColor="background2" w:themeShade="1A"/>
        </w:rPr>
        <w:t>Introduction</w:t>
      </w:r>
      <w:r w:rsidR="009F6EF3">
        <w:rPr>
          <w:noProof/>
        </w:rPr>
        <w:tab/>
      </w:r>
      <w:r w:rsidR="009F6EF3">
        <w:rPr>
          <w:noProof/>
        </w:rPr>
        <w:fldChar w:fldCharType="begin"/>
      </w:r>
      <w:r w:rsidR="009F6EF3">
        <w:rPr>
          <w:noProof/>
        </w:rPr>
        <w:instrText xml:space="preserve"> PAGEREF _Toc323241438 \h </w:instrText>
      </w:r>
      <w:r w:rsidR="009F6EF3">
        <w:rPr>
          <w:noProof/>
        </w:rPr>
      </w:r>
      <w:r w:rsidR="009F6EF3">
        <w:rPr>
          <w:noProof/>
        </w:rPr>
        <w:fldChar w:fldCharType="separate"/>
      </w:r>
      <w:r w:rsidR="009F6EF3">
        <w:rPr>
          <w:noProof/>
        </w:rPr>
        <w:t>1</w:t>
      </w:r>
      <w:r w:rsidR="009F6EF3">
        <w:rPr>
          <w:noProof/>
        </w:rPr>
        <w:fldChar w:fldCharType="end"/>
      </w:r>
    </w:p>
    <w:p w:rsidR="009F6EF3" w:rsidRDefault="009F6EF3">
      <w:pPr>
        <w:pStyle w:val="TOC2"/>
        <w:tabs>
          <w:tab w:val="left" w:pos="1044"/>
          <w:tab w:val="right" w:leader="dot" w:pos="9350"/>
        </w:tabs>
        <w:rPr>
          <w:rFonts w:asciiTheme="minorHAnsi" w:eastAsiaTheme="minorEastAsia" w:hAnsiTheme="minorHAnsi" w:cstheme="minorBidi"/>
          <w:b w:val="0"/>
          <w:caps w:val="0"/>
          <w:noProof/>
          <w:lang w:eastAsia="ja-JP"/>
        </w:rPr>
      </w:pPr>
      <w:r w:rsidRPr="00A53A27">
        <w:rPr>
          <w:noProof/>
          <w:color w:val="171717" w:themeColor="background2" w:themeShade="1A"/>
        </w:rPr>
        <w:t>1.1</w:t>
      </w:r>
      <w:r>
        <w:rPr>
          <w:rFonts w:asciiTheme="minorHAnsi" w:eastAsiaTheme="minorEastAsia" w:hAnsiTheme="minorHAnsi" w:cstheme="minorBidi"/>
          <w:b w:val="0"/>
          <w:caps w:val="0"/>
          <w:noProof/>
          <w:lang w:eastAsia="ja-JP"/>
        </w:rPr>
        <w:tab/>
      </w:r>
      <w:r w:rsidRPr="00A53A27">
        <w:rPr>
          <w:noProof/>
          <w:color w:val="171717" w:themeColor="background2" w:themeShade="1A"/>
        </w:rPr>
        <w:t>History of vaccines</w:t>
      </w:r>
      <w:r>
        <w:rPr>
          <w:noProof/>
        </w:rPr>
        <w:tab/>
      </w:r>
      <w:r>
        <w:rPr>
          <w:noProof/>
        </w:rPr>
        <w:fldChar w:fldCharType="begin"/>
      </w:r>
      <w:r>
        <w:rPr>
          <w:noProof/>
        </w:rPr>
        <w:instrText xml:space="preserve"> PAGEREF _Toc323241439 \h </w:instrText>
      </w:r>
      <w:r>
        <w:rPr>
          <w:noProof/>
        </w:rPr>
      </w:r>
      <w:r>
        <w:rPr>
          <w:noProof/>
        </w:rPr>
        <w:fldChar w:fldCharType="separate"/>
      </w:r>
      <w:r>
        <w:rPr>
          <w:noProof/>
        </w:rPr>
        <w:t>1</w:t>
      </w:r>
      <w:r>
        <w:rPr>
          <w:noProof/>
        </w:rPr>
        <w:fldChar w:fldCharType="end"/>
      </w:r>
    </w:p>
    <w:p w:rsidR="009F6EF3" w:rsidRDefault="009F6EF3">
      <w:pPr>
        <w:pStyle w:val="TOC2"/>
        <w:tabs>
          <w:tab w:val="left" w:pos="1044"/>
          <w:tab w:val="right" w:leader="dot" w:pos="9350"/>
        </w:tabs>
        <w:rPr>
          <w:rFonts w:asciiTheme="minorHAnsi" w:eastAsiaTheme="minorEastAsia" w:hAnsiTheme="minorHAnsi" w:cstheme="minorBidi"/>
          <w:b w:val="0"/>
          <w:caps w:val="0"/>
          <w:noProof/>
          <w:lang w:eastAsia="ja-JP"/>
        </w:rPr>
      </w:pPr>
      <w:r w:rsidRPr="00A53A27">
        <w:rPr>
          <w:noProof/>
          <w:color w:val="171717" w:themeColor="background2" w:themeShade="1A"/>
        </w:rPr>
        <w:t>1.2</w:t>
      </w:r>
      <w:r>
        <w:rPr>
          <w:rFonts w:asciiTheme="minorHAnsi" w:eastAsiaTheme="minorEastAsia" w:hAnsiTheme="minorHAnsi" w:cstheme="minorBidi"/>
          <w:b w:val="0"/>
          <w:caps w:val="0"/>
          <w:noProof/>
          <w:lang w:eastAsia="ja-JP"/>
        </w:rPr>
        <w:tab/>
      </w:r>
      <w:r w:rsidRPr="00A53A27">
        <w:rPr>
          <w:noProof/>
          <w:color w:val="171717" w:themeColor="background2" w:themeShade="1A"/>
        </w:rPr>
        <w:t>necessary terminology</w:t>
      </w:r>
      <w:r>
        <w:rPr>
          <w:noProof/>
        </w:rPr>
        <w:tab/>
      </w:r>
      <w:r>
        <w:rPr>
          <w:noProof/>
        </w:rPr>
        <w:fldChar w:fldCharType="begin"/>
      </w:r>
      <w:r>
        <w:rPr>
          <w:noProof/>
        </w:rPr>
        <w:instrText xml:space="preserve"> PAGEREF _Toc323241440 \h </w:instrText>
      </w:r>
      <w:r>
        <w:rPr>
          <w:noProof/>
        </w:rPr>
      </w:r>
      <w:r>
        <w:rPr>
          <w:noProof/>
        </w:rPr>
        <w:fldChar w:fldCharType="separate"/>
      </w:r>
      <w:r>
        <w:rPr>
          <w:noProof/>
        </w:rPr>
        <w:t>2</w:t>
      </w:r>
      <w:r>
        <w:rPr>
          <w:noProof/>
        </w:rPr>
        <w:fldChar w:fldCharType="end"/>
      </w:r>
    </w:p>
    <w:p w:rsidR="009F6EF3" w:rsidRDefault="009F6EF3">
      <w:pPr>
        <w:pStyle w:val="TOC3"/>
        <w:tabs>
          <w:tab w:val="left" w:pos="1728"/>
          <w:tab w:val="right" w:leader="dot" w:pos="9350"/>
        </w:tabs>
        <w:rPr>
          <w:rFonts w:asciiTheme="minorHAnsi" w:eastAsiaTheme="minorEastAsia" w:hAnsiTheme="minorHAnsi" w:cstheme="minorBidi"/>
          <w:b w:val="0"/>
          <w:noProof/>
          <w:lang w:eastAsia="ja-JP"/>
        </w:rPr>
      </w:pPr>
      <w:r w:rsidRPr="00A53A27">
        <w:rPr>
          <w:noProof/>
          <w:color w:val="171717" w:themeColor="background2" w:themeShade="1A"/>
        </w:rPr>
        <w:t>1.2.1</w:t>
      </w:r>
      <w:r>
        <w:rPr>
          <w:rFonts w:asciiTheme="minorHAnsi" w:eastAsiaTheme="minorEastAsia" w:hAnsiTheme="minorHAnsi" w:cstheme="minorBidi"/>
          <w:b w:val="0"/>
          <w:noProof/>
          <w:lang w:eastAsia="ja-JP"/>
        </w:rPr>
        <w:tab/>
      </w:r>
      <w:r w:rsidRPr="00A53A27">
        <w:rPr>
          <w:noProof/>
          <w:color w:val="171717" w:themeColor="background2" w:themeShade="1A"/>
        </w:rPr>
        <w:t>Vaccine Exemptions</w:t>
      </w:r>
      <w:r>
        <w:rPr>
          <w:noProof/>
        </w:rPr>
        <w:tab/>
      </w:r>
      <w:r>
        <w:rPr>
          <w:noProof/>
        </w:rPr>
        <w:fldChar w:fldCharType="begin"/>
      </w:r>
      <w:r>
        <w:rPr>
          <w:noProof/>
        </w:rPr>
        <w:instrText xml:space="preserve"> PAGEREF _Toc323241441 \h </w:instrText>
      </w:r>
      <w:r>
        <w:rPr>
          <w:noProof/>
        </w:rPr>
      </w:r>
      <w:r>
        <w:rPr>
          <w:noProof/>
        </w:rPr>
        <w:fldChar w:fldCharType="separate"/>
      </w:r>
      <w:r>
        <w:rPr>
          <w:noProof/>
        </w:rPr>
        <w:t>2</w:t>
      </w:r>
      <w:r>
        <w:rPr>
          <w:noProof/>
        </w:rPr>
        <w:fldChar w:fldCharType="end"/>
      </w:r>
    </w:p>
    <w:p w:rsidR="009F6EF3" w:rsidRDefault="009F6EF3">
      <w:pPr>
        <w:pStyle w:val="TOC3"/>
        <w:tabs>
          <w:tab w:val="left" w:pos="1728"/>
          <w:tab w:val="right" w:leader="dot" w:pos="9350"/>
        </w:tabs>
        <w:rPr>
          <w:rFonts w:asciiTheme="minorHAnsi" w:eastAsiaTheme="minorEastAsia" w:hAnsiTheme="minorHAnsi" w:cstheme="minorBidi"/>
          <w:b w:val="0"/>
          <w:noProof/>
          <w:lang w:eastAsia="ja-JP"/>
        </w:rPr>
      </w:pPr>
      <w:r w:rsidRPr="00A53A27">
        <w:rPr>
          <w:noProof/>
          <w:color w:val="171717" w:themeColor="background2" w:themeShade="1A"/>
        </w:rPr>
        <w:t>1.2.2</w:t>
      </w:r>
      <w:r>
        <w:rPr>
          <w:rFonts w:asciiTheme="minorHAnsi" w:eastAsiaTheme="minorEastAsia" w:hAnsiTheme="minorHAnsi" w:cstheme="minorBidi"/>
          <w:b w:val="0"/>
          <w:noProof/>
          <w:lang w:eastAsia="ja-JP"/>
        </w:rPr>
        <w:tab/>
      </w:r>
      <w:r w:rsidRPr="00A53A27">
        <w:rPr>
          <w:noProof/>
          <w:color w:val="171717" w:themeColor="background2" w:themeShade="1A"/>
        </w:rPr>
        <w:t>Herd Immunity</w:t>
      </w:r>
      <w:r>
        <w:rPr>
          <w:noProof/>
        </w:rPr>
        <w:tab/>
      </w:r>
      <w:r>
        <w:rPr>
          <w:noProof/>
        </w:rPr>
        <w:fldChar w:fldCharType="begin"/>
      </w:r>
      <w:r>
        <w:rPr>
          <w:noProof/>
        </w:rPr>
        <w:instrText xml:space="preserve"> PAGEREF _Toc323241442 \h </w:instrText>
      </w:r>
      <w:r>
        <w:rPr>
          <w:noProof/>
        </w:rPr>
      </w:r>
      <w:r>
        <w:rPr>
          <w:noProof/>
        </w:rPr>
        <w:fldChar w:fldCharType="separate"/>
      </w:r>
      <w:r>
        <w:rPr>
          <w:noProof/>
        </w:rPr>
        <w:t>5</w:t>
      </w:r>
      <w:r>
        <w:rPr>
          <w:noProof/>
        </w:rPr>
        <w:fldChar w:fldCharType="end"/>
      </w:r>
    </w:p>
    <w:p w:rsidR="009F6EF3" w:rsidRDefault="009F6EF3">
      <w:pPr>
        <w:pStyle w:val="TOC1"/>
        <w:tabs>
          <w:tab w:val="left" w:pos="540"/>
          <w:tab w:val="right" w:leader="dot" w:pos="9350"/>
        </w:tabs>
        <w:rPr>
          <w:rFonts w:asciiTheme="minorHAnsi" w:eastAsiaTheme="minorEastAsia" w:hAnsiTheme="minorHAnsi" w:cstheme="minorBidi"/>
          <w:b w:val="0"/>
          <w:caps w:val="0"/>
          <w:noProof/>
          <w:lang w:eastAsia="ja-JP"/>
        </w:rPr>
      </w:pPr>
      <w:r w:rsidRPr="00A53A27">
        <w:rPr>
          <w:noProof/>
          <w:color w:val="171717" w:themeColor="background2" w:themeShade="1A"/>
        </w:rPr>
        <w:t>2.0</w:t>
      </w:r>
      <w:r>
        <w:rPr>
          <w:rFonts w:asciiTheme="minorHAnsi" w:eastAsiaTheme="minorEastAsia" w:hAnsiTheme="minorHAnsi" w:cstheme="minorBidi"/>
          <w:b w:val="0"/>
          <w:caps w:val="0"/>
          <w:noProof/>
          <w:lang w:eastAsia="ja-JP"/>
        </w:rPr>
        <w:tab/>
      </w:r>
      <w:r w:rsidRPr="00A53A27">
        <w:rPr>
          <w:noProof/>
          <w:color w:val="171717" w:themeColor="background2" w:themeShade="1A"/>
        </w:rPr>
        <w:t>literature review</w:t>
      </w:r>
      <w:r>
        <w:rPr>
          <w:noProof/>
        </w:rPr>
        <w:tab/>
      </w:r>
      <w:r>
        <w:rPr>
          <w:noProof/>
        </w:rPr>
        <w:fldChar w:fldCharType="begin"/>
      </w:r>
      <w:r>
        <w:rPr>
          <w:noProof/>
        </w:rPr>
        <w:instrText xml:space="preserve"> PAGEREF _Toc323241443 \h </w:instrText>
      </w:r>
      <w:r>
        <w:rPr>
          <w:noProof/>
        </w:rPr>
      </w:r>
      <w:r>
        <w:rPr>
          <w:noProof/>
        </w:rPr>
        <w:fldChar w:fldCharType="separate"/>
      </w:r>
      <w:r>
        <w:rPr>
          <w:noProof/>
        </w:rPr>
        <w:t>7</w:t>
      </w:r>
      <w:r>
        <w:rPr>
          <w:noProof/>
        </w:rPr>
        <w:fldChar w:fldCharType="end"/>
      </w:r>
    </w:p>
    <w:p w:rsidR="009F6EF3" w:rsidRDefault="009F6EF3">
      <w:pPr>
        <w:pStyle w:val="TOC1"/>
        <w:tabs>
          <w:tab w:val="left" w:pos="540"/>
          <w:tab w:val="right" w:leader="dot" w:pos="9350"/>
        </w:tabs>
        <w:rPr>
          <w:rFonts w:asciiTheme="minorHAnsi" w:eastAsiaTheme="minorEastAsia" w:hAnsiTheme="minorHAnsi" w:cstheme="minorBidi"/>
          <w:b w:val="0"/>
          <w:caps w:val="0"/>
          <w:noProof/>
          <w:lang w:eastAsia="ja-JP"/>
        </w:rPr>
      </w:pPr>
      <w:r w:rsidRPr="00A53A27">
        <w:rPr>
          <w:noProof/>
          <w:color w:val="171717" w:themeColor="background2" w:themeShade="1A"/>
        </w:rPr>
        <w:t>3.0</w:t>
      </w:r>
      <w:r>
        <w:rPr>
          <w:rFonts w:asciiTheme="minorHAnsi" w:eastAsiaTheme="minorEastAsia" w:hAnsiTheme="minorHAnsi" w:cstheme="minorBidi"/>
          <w:b w:val="0"/>
          <w:caps w:val="0"/>
          <w:noProof/>
          <w:lang w:eastAsia="ja-JP"/>
        </w:rPr>
        <w:tab/>
      </w:r>
      <w:r w:rsidRPr="00A53A27">
        <w:rPr>
          <w:noProof/>
          <w:color w:val="171717" w:themeColor="background2" w:themeShade="1A"/>
        </w:rPr>
        <w:t>Policy Analysis: vaccination requirements &amp; Allowable Exemptions</w:t>
      </w:r>
      <w:r>
        <w:rPr>
          <w:noProof/>
        </w:rPr>
        <w:tab/>
      </w:r>
      <w:r>
        <w:rPr>
          <w:noProof/>
        </w:rPr>
        <w:fldChar w:fldCharType="begin"/>
      </w:r>
      <w:r>
        <w:rPr>
          <w:noProof/>
        </w:rPr>
        <w:instrText xml:space="preserve"> PAGEREF _Toc323241444 \h </w:instrText>
      </w:r>
      <w:r>
        <w:rPr>
          <w:noProof/>
        </w:rPr>
      </w:r>
      <w:r>
        <w:rPr>
          <w:noProof/>
        </w:rPr>
        <w:fldChar w:fldCharType="separate"/>
      </w:r>
      <w:r>
        <w:rPr>
          <w:noProof/>
        </w:rPr>
        <w:t>13</w:t>
      </w:r>
      <w:r>
        <w:rPr>
          <w:noProof/>
        </w:rPr>
        <w:fldChar w:fldCharType="end"/>
      </w:r>
    </w:p>
    <w:p w:rsidR="009F6EF3" w:rsidRDefault="009F6EF3">
      <w:pPr>
        <w:pStyle w:val="TOC2"/>
        <w:tabs>
          <w:tab w:val="left" w:pos="1044"/>
          <w:tab w:val="right" w:leader="dot" w:pos="9350"/>
        </w:tabs>
        <w:rPr>
          <w:rFonts w:asciiTheme="minorHAnsi" w:eastAsiaTheme="minorEastAsia" w:hAnsiTheme="minorHAnsi" w:cstheme="minorBidi"/>
          <w:b w:val="0"/>
          <w:caps w:val="0"/>
          <w:noProof/>
          <w:lang w:eastAsia="ja-JP"/>
        </w:rPr>
      </w:pPr>
      <w:r w:rsidRPr="00A53A27">
        <w:rPr>
          <w:noProof/>
          <w:color w:val="171717" w:themeColor="background2" w:themeShade="1A"/>
        </w:rPr>
        <w:t>3.1</w:t>
      </w:r>
      <w:r>
        <w:rPr>
          <w:rFonts w:asciiTheme="minorHAnsi" w:eastAsiaTheme="minorEastAsia" w:hAnsiTheme="minorHAnsi" w:cstheme="minorBidi"/>
          <w:b w:val="0"/>
          <w:caps w:val="0"/>
          <w:noProof/>
          <w:lang w:eastAsia="ja-JP"/>
        </w:rPr>
        <w:tab/>
      </w:r>
      <w:r w:rsidRPr="00A53A27">
        <w:rPr>
          <w:noProof/>
          <w:color w:val="171717" w:themeColor="background2" w:themeShade="1A"/>
        </w:rPr>
        <w:t>State required vaccinations</w:t>
      </w:r>
      <w:r>
        <w:rPr>
          <w:noProof/>
        </w:rPr>
        <w:tab/>
      </w:r>
      <w:r>
        <w:rPr>
          <w:noProof/>
        </w:rPr>
        <w:fldChar w:fldCharType="begin"/>
      </w:r>
      <w:r>
        <w:rPr>
          <w:noProof/>
        </w:rPr>
        <w:instrText xml:space="preserve"> PAGEREF _Toc323241445 \h </w:instrText>
      </w:r>
      <w:r>
        <w:rPr>
          <w:noProof/>
        </w:rPr>
      </w:r>
      <w:r>
        <w:rPr>
          <w:noProof/>
        </w:rPr>
        <w:fldChar w:fldCharType="separate"/>
      </w:r>
      <w:r>
        <w:rPr>
          <w:noProof/>
        </w:rPr>
        <w:t>15</w:t>
      </w:r>
      <w:r>
        <w:rPr>
          <w:noProof/>
        </w:rPr>
        <w:fldChar w:fldCharType="end"/>
      </w:r>
    </w:p>
    <w:p w:rsidR="009F6EF3" w:rsidRDefault="009F6EF3">
      <w:pPr>
        <w:pStyle w:val="TOC2"/>
        <w:tabs>
          <w:tab w:val="left" w:pos="1044"/>
          <w:tab w:val="right" w:leader="dot" w:pos="9350"/>
        </w:tabs>
        <w:rPr>
          <w:rFonts w:asciiTheme="minorHAnsi" w:eastAsiaTheme="minorEastAsia" w:hAnsiTheme="minorHAnsi" w:cstheme="minorBidi"/>
          <w:b w:val="0"/>
          <w:caps w:val="0"/>
          <w:noProof/>
          <w:lang w:eastAsia="ja-JP"/>
        </w:rPr>
      </w:pPr>
      <w:r w:rsidRPr="00A53A27">
        <w:rPr>
          <w:noProof/>
          <w:color w:val="171717" w:themeColor="background2" w:themeShade="1A"/>
        </w:rPr>
        <w:t>3.2</w:t>
      </w:r>
      <w:r>
        <w:rPr>
          <w:rFonts w:asciiTheme="minorHAnsi" w:eastAsiaTheme="minorEastAsia" w:hAnsiTheme="minorHAnsi" w:cstheme="minorBidi"/>
          <w:b w:val="0"/>
          <w:caps w:val="0"/>
          <w:noProof/>
          <w:lang w:eastAsia="ja-JP"/>
        </w:rPr>
        <w:tab/>
      </w:r>
      <w:r w:rsidRPr="00A53A27">
        <w:rPr>
          <w:noProof/>
          <w:color w:val="171717" w:themeColor="background2" w:themeShade="1A"/>
        </w:rPr>
        <w:t>VACCINATION COVERAGE BY STATE</w:t>
      </w:r>
      <w:r>
        <w:rPr>
          <w:noProof/>
        </w:rPr>
        <w:tab/>
      </w:r>
      <w:r>
        <w:rPr>
          <w:noProof/>
        </w:rPr>
        <w:fldChar w:fldCharType="begin"/>
      </w:r>
      <w:r>
        <w:rPr>
          <w:noProof/>
        </w:rPr>
        <w:instrText xml:space="preserve"> PAGEREF _Toc323241446 \h </w:instrText>
      </w:r>
      <w:r>
        <w:rPr>
          <w:noProof/>
        </w:rPr>
      </w:r>
      <w:r>
        <w:rPr>
          <w:noProof/>
        </w:rPr>
        <w:fldChar w:fldCharType="separate"/>
      </w:r>
      <w:r>
        <w:rPr>
          <w:noProof/>
        </w:rPr>
        <w:t>16</w:t>
      </w:r>
      <w:r>
        <w:rPr>
          <w:noProof/>
        </w:rPr>
        <w:fldChar w:fldCharType="end"/>
      </w:r>
    </w:p>
    <w:p w:rsidR="009F6EF3" w:rsidRDefault="009F6EF3">
      <w:pPr>
        <w:pStyle w:val="TOC3"/>
        <w:tabs>
          <w:tab w:val="left" w:pos="1728"/>
          <w:tab w:val="right" w:leader="dot" w:pos="9350"/>
        </w:tabs>
        <w:rPr>
          <w:rFonts w:asciiTheme="minorHAnsi" w:eastAsiaTheme="minorEastAsia" w:hAnsiTheme="minorHAnsi" w:cstheme="minorBidi"/>
          <w:b w:val="0"/>
          <w:noProof/>
          <w:lang w:eastAsia="ja-JP"/>
        </w:rPr>
      </w:pPr>
      <w:r w:rsidRPr="00A53A27">
        <w:rPr>
          <w:noProof/>
          <w:color w:val="171717" w:themeColor="background2" w:themeShade="1A"/>
        </w:rPr>
        <w:t>3.2.1</w:t>
      </w:r>
      <w:r>
        <w:rPr>
          <w:rFonts w:asciiTheme="minorHAnsi" w:eastAsiaTheme="minorEastAsia" w:hAnsiTheme="minorHAnsi" w:cstheme="minorBidi"/>
          <w:b w:val="0"/>
          <w:noProof/>
          <w:lang w:eastAsia="ja-JP"/>
        </w:rPr>
        <w:tab/>
      </w:r>
      <w:r w:rsidRPr="00A53A27">
        <w:rPr>
          <w:noProof/>
          <w:color w:val="171717" w:themeColor="background2" w:themeShade="1A"/>
        </w:rPr>
        <w:t>California</w:t>
      </w:r>
      <w:r>
        <w:rPr>
          <w:noProof/>
        </w:rPr>
        <w:tab/>
      </w:r>
      <w:r>
        <w:rPr>
          <w:noProof/>
        </w:rPr>
        <w:fldChar w:fldCharType="begin"/>
      </w:r>
      <w:r>
        <w:rPr>
          <w:noProof/>
        </w:rPr>
        <w:instrText xml:space="preserve"> PAGEREF _Toc323241447 \h </w:instrText>
      </w:r>
      <w:r>
        <w:rPr>
          <w:noProof/>
        </w:rPr>
      </w:r>
      <w:r>
        <w:rPr>
          <w:noProof/>
        </w:rPr>
        <w:fldChar w:fldCharType="separate"/>
      </w:r>
      <w:r>
        <w:rPr>
          <w:noProof/>
        </w:rPr>
        <w:t>20</w:t>
      </w:r>
      <w:r>
        <w:rPr>
          <w:noProof/>
        </w:rPr>
        <w:fldChar w:fldCharType="end"/>
      </w:r>
    </w:p>
    <w:p w:rsidR="009F6EF3" w:rsidRDefault="009F6EF3">
      <w:pPr>
        <w:pStyle w:val="TOC3"/>
        <w:tabs>
          <w:tab w:val="left" w:pos="1728"/>
          <w:tab w:val="right" w:leader="dot" w:pos="9350"/>
        </w:tabs>
        <w:rPr>
          <w:rFonts w:asciiTheme="minorHAnsi" w:eastAsiaTheme="minorEastAsia" w:hAnsiTheme="minorHAnsi" w:cstheme="minorBidi"/>
          <w:b w:val="0"/>
          <w:noProof/>
          <w:lang w:eastAsia="ja-JP"/>
        </w:rPr>
      </w:pPr>
      <w:r w:rsidRPr="00A53A27">
        <w:rPr>
          <w:noProof/>
          <w:color w:val="171717" w:themeColor="background2" w:themeShade="1A"/>
        </w:rPr>
        <w:t>3.2.2</w:t>
      </w:r>
      <w:r>
        <w:rPr>
          <w:rFonts w:asciiTheme="minorHAnsi" w:eastAsiaTheme="minorEastAsia" w:hAnsiTheme="minorHAnsi" w:cstheme="minorBidi"/>
          <w:b w:val="0"/>
          <w:noProof/>
          <w:lang w:eastAsia="ja-JP"/>
        </w:rPr>
        <w:tab/>
      </w:r>
      <w:r w:rsidRPr="00A53A27">
        <w:rPr>
          <w:noProof/>
          <w:color w:val="171717" w:themeColor="background2" w:themeShade="1A"/>
        </w:rPr>
        <w:t>Connecticut</w:t>
      </w:r>
      <w:r>
        <w:rPr>
          <w:noProof/>
        </w:rPr>
        <w:tab/>
      </w:r>
      <w:r>
        <w:rPr>
          <w:noProof/>
        </w:rPr>
        <w:fldChar w:fldCharType="begin"/>
      </w:r>
      <w:r>
        <w:rPr>
          <w:noProof/>
        </w:rPr>
        <w:instrText xml:space="preserve"> PAGEREF _Toc323241448 \h </w:instrText>
      </w:r>
      <w:r>
        <w:rPr>
          <w:noProof/>
        </w:rPr>
      </w:r>
      <w:r>
        <w:rPr>
          <w:noProof/>
        </w:rPr>
        <w:fldChar w:fldCharType="separate"/>
      </w:r>
      <w:r>
        <w:rPr>
          <w:noProof/>
        </w:rPr>
        <w:t>21</w:t>
      </w:r>
      <w:r>
        <w:rPr>
          <w:noProof/>
        </w:rPr>
        <w:fldChar w:fldCharType="end"/>
      </w:r>
    </w:p>
    <w:p w:rsidR="009F6EF3" w:rsidRDefault="009F6EF3">
      <w:pPr>
        <w:pStyle w:val="TOC3"/>
        <w:tabs>
          <w:tab w:val="left" w:pos="1728"/>
          <w:tab w:val="right" w:leader="dot" w:pos="9350"/>
        </w:tabs>
        <w:rPr>
          <w:rFonts w:asciiTheme="minorHAnsi" w:eastAsiaTheme="minorEastAsia" w:hAnsiTheme="minorHAnsi" w:cstheme="minorBidi"/>
          <w:b w:val="0"/>
          <w:noProof/>
          <w:lang w:eastAsia="ja-JP"/>
        </w:rPr>
      </w:pPr>
      <w:r w:rsidRPr="00A53A27">
        <w:rPr>
          <w:noProof/>
          <w:color w:val="171717" w:themeColor="background2" w:themeShade="1A"/>
        </w:rPr>
        <w:t>3.2.3</w:t>
      </w:r>
      <w:r>
        <w:rPr>
          <w:rFonts w:asciiTheme="minorHAnsi" w:eastAsiaTheme="minorEastAsia" w:hAnsiTheme="minorHAnsi" w:cstheme="minorBidi"/>
          <w:b w:val="0"/>
          <w:noProof/>
          <w:lang w:eastAsia="ja-JP"/>
        </w:rPr>
        <w:tab/>
      </w:r>
      <w:r w:rsidRPr="00A53A27">
        <w:rPr>
          <w:noProof/>
          <w:color w:val="171717" w:themeColor="background2" w:themeShade="1A"/>
        </w:rPr>
        <w:t>Mississippi</w:t>
      </w:r>
      <w:r>
        <w:rPr>
          <w:noProof/>
        </w:rPr>
        <w:tab/>
      </w:r>
      <w:r>
        <w:rPr>
          <w:noProof/>
        </w:rPr>
        <w:fldChar w:fldCharType="begin"/>
      </w:r>
      <w:r>
        <w:rPr>
          <w:noProof/>
        </w:rPr>
        <w:instrText xml:space="preserve"> PAGEREF _Toc323241449 \h </w:instrText>
      </w:r>
      <w:r>
        <w:rPr>
          <w:noProof/>
        </w:rPr>
      </w:r>
      <w:r>
        <w:rPr>
          <w:noProof/>
        </w:rPr>
        <w:fldChar w:fldCharType="separate"/>
      </w:r>
      <w:r>
        <w:rPr>
          <w:noProof/>
        </w:rPr>
        <w:t>21</w:t>
      </w:r>
      <w:r>
        <w:rPr>
          <w:noProof/>
        </w:rPr>
        <w:fldChar w:fldCharType="end"/>
      </w:r>
    </w:p>
    <w:p w:rsidR="009F6EF3" w:rsidRDefault="009F6EF3">
      <w:pPr>
        <w:pStyle w:val="TOC3"/>
        <w:tabs>
          <w:tab w:val="left" w:pos="1728"/>
          <w:tab w:val="right" w:leader="dot" w:pos="9350"/>
        </w:tabs>
        <w:rPr>
          <w:rFonts w:asciiTheme="minorHAnsi" w:eastAsiaTheme="minorEastAsia" w:hAnsiTheme="minorHAnsi" w:cstheme="minorBidi"/>
          <w:b w:val="0"/>
          <w:noProof/>
          <w:lang w:eastAsia="ja-JP"/>
        </w:rPr>
      </w:pPr>
      <w:r w:rsidRPr="00A53A27">
        <w:rPr>
          <w:noProof/>
          <w:color w:val="171717" w:themeColor="background2" w:themeShade="1A"/>
        </w:rPr>
        <w:t>3.2.4</w:t>
      </w:r>
      <w:r>
        <w:rPr>
          <w:rFonts w:asciiTheme="minorHAnsi" w:eastAsiaTheme="minorEastAsia" w:hAnsiTheme="minorHAnsi" w:cstheme="minorBidi"/>
          <w:b w:val="0"/>
          <w:noProof/>
          <w:lang w:eastAsia="ja-JP"/>
        </w:rPr>
        <w:tab/>
      </w:r>
      <w:r w:rsidRPr="00A53A27">
        <w:rPr>
          <w:noProof/>
          <w:color w:val="171717" w:themeColor="background2" w:themeShade="1A"/>
        </w:rPr>
        <w:t>Pennsylvania</w:t>
      </w:r>
      <w:r>
        <w:rPr>
          <w:noProof/>
        </w:rPr>
        <w:tab/>
      </w:r>
      <w:r>
        <w:rPr>
          <w:noProof/>
        </w:rPr>
        <w:fldChar w:fldCharType="begin"/>
      </w:r>
      <w:r>
        <w:rPr>
          <w:noProof/>
        </w:rPr>
        <w:instrText xml:space="preserve"> PAGEREF _Toc323241450 \h </w:instrText>
      </w:r>
      <w:r>
        <w:rPr>
          <w:noProof/>
        </w:rPr>
      </w:r>
      <w:r>
        <w:rPr>
          <w:noProof/>
        </w:rPr>
        <w:fldChar w:fldCharType="separate"/>
      </w:r>
      <w:r>
        <w:rPr>
          <w:noProof/>
        </w:rPr>
        <w:t>22</w:t>
      </w:r>
      <w:r>
        <w:rPr>
          <w:noProof/>
        </w:rPr>
        <w:fldChar w:fldCharType="end"/>
      </w:r>
    </w:p>
    <w:p w:rsidR="009F6EF3" w:rsidRDefault="009F6EF3">
      <w:pPr>
        <w:pStyle w:val="TOC1"/>
        <w:tabs>
          <w:tab w:val="left" w:pos="540"/>
          <w:tab w:val="right" w:leader="dot" w:pos="9350"/>
        </w:tabs>
        <w:rPr>
          <w:rFonts w:asciiTheme="minorHAnsi" w:eastAsiaTheme="minorEastAsia" w:hAnsiTheme="minorHAnsi" w:cstheme="minorBidi"/>
          <w:b w:val="0"/>
          <w:caps w:val="0"/>
          <w:noProof/>
          <w:lang w:eastAsia="ja-JP"/>
        </w:rPr>
      </w:pPr>
      <w:r w:rsidRPr="00A53A27">
        <w:rPr>
          <w:noProof/>
          <w:color w:val="171717" w:themeColor="background2" w:themeShade="1A"/>
        </w:rPr>
        <w:t>4.0</w:t>
      </w:r>
      <w:r>
        <w:rPr>
          <w:rFonts w:asciiTheme="minorHAnsi" w:eastAsiaTheme="minorEastAsia" w:hAnsiTheme="minorHAnsi" w:cstheme="minorBidi"/>
          <w:b w:val="0"/>
          <w:caps w:val="0"/>
          <w:noProof/>
          <w:lang w:eastAsia="ja-JP"/>
        </w:rPr>
        <w:tab/>
      </w:r>
      <w:r w:rsidRPr="00A53A27">
        <w:rPr>
          <w:noProof/>
          <w:color w:val="171717" w:themeColor="background2" w:themeShade="1A"/>
        </w:rPr>
        <w:t>discussion</w:t>
      </w:r>
      <w:r>
        <w:rPr>
          <w:noProof/>
        </w:rPr>
        <w:tab/>
      </w:r>
      <w:r>
        <w:rPr>
          <w:noProof/>
        </w:rPr>
        <w:fldChar w:fldCharType="begin"/>
      </w:r>
      <w:r>
        <w:rPr>
          <w:noProof/>
        </w:rPr>
        <w:instrText xml:space="preserve"> PAGEREF _Toc323241451 \h </w:instrText>
      </w:r>
      <w:r>
        <w:rPr>
          <w:noProof/>
        </w:rPr>
      </w:r>
      <w:r>
        <w:rPr>
          <w:noProof/>
        </w:rPr>
        <w:fldChar w:fldCharType="separate"/>
      </w:r>
      <w:r>
        <w:rPr>
          <w:noProof/>
        </w:rPr>
        <w:t>23</w:t>
      </w:r>
      <w:r>
        <w:rPr>
          <w:noProof/>
        </w:rPr>
        <w:fldChar w:fldCharType="end"/>
      </w:r>
    </w:p>
    <w:p w:rsidR="009F6EF3" w:rsidRDefault="009F6EF3">
      <w:pPr>
        <w:pStyle w:val="TOC2"/>
        <w:tabs>
          <w:tab w:val="left" w:pos="1044"/>
          <w:tab w:val="right" w:leader="dot" w:pos="9350"/>
        </w:tabs>
        <w:rPr>
          <w:rFonts w:asciiTheme="minorHAnsi" w:eastAsiaTheme="minorEastAsia" w:hAnsiTheme="minorHAnsi" w:cstheme="minorBidi"/>
          <w:b w:val="0"/>
          <w:caps w:val="0"/>
          <w:noProof/>
          <w:lang w:eastAsia="ja-JP"/>
        </w:rPr>
      </w:pPr>
      <w:r w:rsidRPr="00A53A27">
        <w:rPr>
          <w:noProof/>
          <w:color w:val="171717" w:themeColor="background2" w:themeShade="1A"/>
        </w:rPr>
        <w:t>4.1</w:t>
      </w:r>
      <w:r>
        <w:rPr>
          <w:rFonts w:asciiTheme="minorHAnsi" w:eastAsiaTheme="minorEastAsia" w:hAnsiTheme="minorHAnsi" w:cstheme="minorBidi"/>
          <w:b w:val="0"/>
          <w:caps w:val="0"/>
          <w:noProof/>
          <w:lang w:eastAsia="ja-JP"/>
        </w:rPr>
        <w:tab/>
      </w:r>
      <w:r w:rsidRPr="00A53A27">
        <w:rPr>
          <w:noProof/>
          <w:color w:val="171717" w:themeColor="background2" w:themeShade="1A"/>
        </w:rPr>
        <w:t>Public Health Relevance</w:t>
      </w:r>
      <w:r>
        <w:rPr>
          <w:noProof/>
        </w:rPr>
        <w:tab/>
      </w:r>
      <w:r>
        <w:rPr>
          <w:noProof/>
        </w:rPr>
        <w:fldChar w:fldCharType="begin"/>
      </w:r>
      <w:r>
        <w:rPr>
          <w:noProof/>
        </w:rPr>
        <w:instrText xml:space="preserve"> PAGEREF _Toc323241452 \h </w:instrText>
      </w:r>
      <w:r>
        <w:rPr>
          <w:noProof/>
        </w:rPr>
      </w:r>
      <w:r>
        <w:rPr>
          <w:noProof/>
        </w:rPr>
        <w:fldChar w:fldCharType="separate"/>
      </w:r>
      <w:r>
        <w:rPr>
          <w:noProof/>
        </w:rPr>
        <w:t>25</w:t>
      </w:r>
      <w:r>
        <w:rPr>
          <w:noProof/>
        </w:rPr>
        <w:fldChar w:fldCharType="end"/>
      </w:r>
    </w:p>
    <w:p w:rsidR="009F6EF3" w:rsidRDefault="009F6EF3">
      <w:pPr>
        <w:pStyle w:val="TOC1"/>
        <w:tabs>
          <w:tab w:val="left" w:pos="540"/>
          <w:tab w:val="right" w:leader="dot" w:pos="9350"/>
        </w:tabs>
        <w:rPr>
          <w:rFonts w:asciiTheme="minorHAnsi" w:eastAsiaTheme="minorEastAsia" w:hAnsiTheme="minorHAnsi" w:cstheme="minorBidi"/>
          <w:b w:val="0"/>
          <w:caps w:val="0"/>
          <w:noProof/>
          <w:lang w:eastAsia="ja-JP"/>
        </w:rPr>
      </w:pPr>
      <w:r w:rsidRPr="00A53A27">
        <w:rPr>
          <w:noProof/>
          <w:color w:val="171717" w:themeColor="background2" w:themeShade="1A"/>
        </w:rPr>
        <w:t>5.0</w:t>
      </w:r>
      <w:r>
        <w:rPr>
          <w:rFonts w:asciiTheme="minorHAnsi" w:eastAsiaTheme="minorEastAsia" w:hAnsiTheme="minorHAnsi" w:cstheme="minorBidi"/>
          <w:b w:val="0"/>
          <w:caps w:val="0"/>
          <w:noProof/>
          <w:lang w:eastAsia="ja-JP"/>
        </w:rPr>
        <w:tab/>
      </w:r>
      <w:r w:rsidRPr="00A53A27">
        <w:rPr>
          <w:noProof/>
          <w:color w:val="171717" w:themeColor="background2" w:themeShade="1A"/>
        </w:rPr>
        <w:t>conclusion</w:t>
      </w:r>
      <w:r>
        <w:rPr>
          <w:noProof/>
        </w:rPr>
        <w:tab/>
      </w:r>
      <w:r>
        <w:rPr>
          <w:noProof/>
        </w:rPr>
        <w:fldChar w:fldCharType="begin"/>
      </w:r>
      <w:r>
        <w:rPr>
          <w:noProof/>
        </w:rPr>
        <w:instrText xml:space="preserve"> PAGEREF _Toc323241453 \h </w:instrText>
      </w:r>
      <w:r>
        <w:rPr>
          <w:noProof/>
        </w:rPr>
      </w:r>
      <w:r>
        <w:rPr>
          <w:noProof/>
        </w:rPr>
        <w:fldChar w:fldCharType="separate"/>
      </w:r>
      <w:r>
        <w:rPr>
          <w:noProof/>
        </w:rPr>
        <w:t>26</w:t>
      </w:r>
      <w:r>
        <w:rPr>
          <w:noProof/>
        </w:rPr>
        <w:fldChar w:fldCharType="end"/>
      </w:r>
    </w:p>
    <w:p w:rsidR="009F6EF3" w:rsidRDefault="009F6EF3">
      <w:pPr>
        <w:pStyle w:val="TOC1"/>
        <w:tabs>
          <w:tab w:val="right" w:leader="dot" w:pos="9350"/>
        </w:tabs>
        <w:rPr>
          <w:rFonts w:asciiTheme="minorHAnsi" w:eastAsiaTheme="minorEastAsia" w:hAnsiTheme="minorHAnsi" w:cstheme="minorBidi"/>
          <w:b w:val="0"/>
          <w:caps w:val="0"/>
          <w:noProof/>
          <w:lang w:eastAsia="ja-JP"/>
        </w:rPr>
      </w:pPr>
      <w:r w:rsidRPr="00A53A27">
        <w:rPr>
          <w:noProof/>
          <w:color w:val="171717" w:themeColor="background2" w:themeShade="1A"/>
        </w:rPr>
        <w:t>bibliography</w:t>
      </w:r>
      <w:r>
        <w:rPr>
          <w:noProof/>
        </w:rPr>
        <w:tab/>
      </w:r>
      <w:r>
        <w:rPr>
          <w:noProof/>
        </w:rPr>
        <w:fldChar w:fldCharType="begin"/>
      </w:r>
      <w:r>
        <w:rPr>
          <w:noProof/>
        </w:rPr>
        <w:instrText xml:space="preserve"> PAGEREF _Toc323241454 \h </w:instrText>
      </w:r>
      <w:r>
        <w:rPr>
          <w:noProof/>
        </w:rPr>
      </w:r>
      <w:r>
        <w:rPr>
          <w:noProof/>
        </w:rPr>
        <w:fldChar w:fldCharType="separate"/>
      </w:r>
      <w:r>
        <w:rPr>
          <w:noProof/>
        </w:rPr>
        <w:t>27</w:t>
      </w:r>
      <w:r>
        <w:rPr>
          <w:noProof/>
        </w:rPr>
        <w:fldChar w:fldCharType="end"/>
      </w:r>
    </w:p>
    <w:p w:rsidR="00CB03F9" w:rsidRPr="0013795A" w:rsidRDefault="00367476" w:rsidP="00035D1E">
      <w:pPr>
        <w:pStyle w:val="Preliminary"/>
        <w:rPr>
          <w:color w:val="171717" w:themeColor="background2" w:themeShade="1A"/>
        </w:rPr>
      </w:pPr>
      <w:r w:rsidRPr="0013795A">
        <w:rPr>
          <w:color w:val="171717" w:themeColor="background2" w:themeShade="1A"/>
        </w:rPr>
        <w:lastRenderedPageBreak/>
        <w:fldChar w:fldCharType="end"/>
      </w:r>
      <w:r w:rsidR="00CB03F9" w:rsidRPr="0013795A">
        <w:rPr>
          <w:color w:val="171717" w:themeColor="background2" w:themeShade="1A"/>
        </w:rPr>
        <w:t>List of tables</w:t>
      </w:r>
    </w:p>
    <w:p w:rsidR="009F6EF3" w:rsidRDefault="00CB03F9">
      <w:pPr>
        <w:pStyle w:val="TableofFigures"/>
        <w:tabs>
          <w:tab w:val="right" w:leader="dot" w:pos="9350"/>
        </w:tabs>
        <w:rPr>
          <w:rFonts w:asciiTheme="minorHAnsi" w:eastAsiaTheme="minorEastAsia" w:hAnsiTheme="minorHAnsi" w:cstheme="minorBidi"/>
          <w:noProof/>
          <w:lang w:eastAsia="ja-JP"/>
        </w:rPr>
      </w:pPr>
      <w:r w:rsidRPr="0013795A">
        <w:rPr>
          <w:color w:val="171717" w:themeColor="background2" w:themeShade="1A"/>
        </w:rPr>
        <w:fldChar w:fldCharType="begin"/>
      </w:r>
      <w:r w:rsidRPr="0013795A">
        <w:rPr>
          <w:color w:val="171717" w:themeColor="background2" w:themeShade="1A"/>
        </w:rPr>
        <w:instrText xml:space="preserve"> TOC \h \z \c "Table" </w:instrText>
      </w:r>
      <w:r w:rsidRPr="0013795A">
        <w:rPr>
          <w:color w:val="171717" w:themeColor="background2" w:themeShade="1A"/>
        </w:rPr>
        <w:fldChar w:fldCharType="separate"/>
      </w:r>
      <w:r w:rsidR="009F6EF3" w:rsidRPr="009E6B03">
        <w:rPr>
          <w:noProof/>
          <w:color w:val="171717" w:themeColor="background2" w:themeShade="1A"/>
        </w:rPr>
        <w:t>Table 1. The Exemptions Allowable in Each of the Selected States of 2015</w:t>
      </w:r>
      <w:r w:rsidR="009F6EF3">
        <w:rPr>
          <w:noProof/>
        </w:rPr>
        <w:tab/>
      </w:r>
      <w:r w:rsidR="009F6EF3">
        <w:rPr>
          <w:noProof/>
        </w:rPr>
        <w:fldChar w:fldCharType="begin"/>
      </w:r>
      <w:r w:rsidR="009F6EF3">
        <w:rPr>
          <w:noProof/>
        </w:rPr>
        <w:instrText xml:space="preserve"> PAGEREF _Toc323241547 \h </w:instrText>
      </w:r>
      <w:r w:rsidR="009F6EF3">
        <w:rPr>
          <w:noProof/>
        </w:rPr>
      </w:r>
      <w:r w:rsidR="009F6EF3">
        <w:rPr>
          <w:noProof/>
        </w:rPr>
        <w:fldChar w:fldCharType="separate"/>
      </w:r>
      <w:r w:rsidR="009F6EF3">
        <w:rPr>
          <w:noProof/>
        </w:rPr>
        <w:t>13</w:t>
      </w:r>
      <w:r w:rsidR="009F6EF3">
        <w:rPr>
          <w:noProof/>
        </w:rPr>
        <w:fldChar w:fldCharType="end"/>
      </w:r>
    </w:p>
    <w:p w:rsidR="009F6EF3" w:rsidRDefault="009F6EF3">
      <w:pPr>
        <w:pStyle w:val="TableofFigures"/>
        <w:tabs>
          <w:tab w:val="right" w:leader="dot" w:pos="9350"/>
        </w:tabs>
        <w:rPr>
          <w:rFonts w:asciiTheme="minorHAnsi" w:eastAsiaTheme="minorEastAsia" w:hAnsiTheme="minorHAnsi" w:cstheme="minorBidi"/>
          <w:noProof/>
          <w:lang w:eastAsia="ja-JP"/>
        </w:rPr>
      </w:pPr>
      <w:r w:rsidRPr="009E6B03">
        <w:rPr>
          <w:noProof/>
          <w:color w:val="171717" w:themeColor="background2" w:themeShade="1A"/>
        </w:rPr>
        <w:t>Table 2. Vaccines Required for Public School Kindergarten</w:t>
      </w:r>
      <w:r>
        <w:rPr>
          <w:noProof/>
        </w:rPr>
        <w:tab/>
      </w:r>
      <w:r>
        <w:rPr>
          <w:noProof/>
        </w:rPr>
        <w:fldChar w:fldCharType="begin"/>
      </w:r>
      <w:r>
        <w:rPr>
          <w:noProof/>
        </w:rPr>
        <w:instrText xml:space="preserve"> PAGEREF _Toc323241548 \h </w:instrText>
      </w:r>
      <w:r>
        <w:rPr>
          <w:noProof/>
        </w:rPr>
      </w:r>
      <w:r>
        <w:rPr>
          <w:noProof/>
        </w:rPr>
        <w:fldChar w:fldCharType="separate"/>
      </w:r>
      <w:r>
        <w:rPr>
          <w:noProof/>
        </w:rPr>
        <w:t>16</w:t>
      </w:r>
      <w:r>
        <w:rPr>
          <w:noProof/>
        </w:rPr>
        <w:fldChar w:fldCharType="end"/>
      </w:r>
    </w:p>
    <w:p w:rsidR="00B424B6" w:rsidRPr="0013795A" w:rsidRDefault="00CB03F9" w:rsidP="00035D1E">
      <w:pPr>
        <w:pStyle w:val="Preliminary"/>
        <w:rPr>
          <w:color w:val="171717" w:themeColor="background2" w:themeShade="1A"/>
        </w:rPr>
      </w:pPr>
      <w:r w:rsidRPr="0013795A">
        <w:rPr>
          <w:color w:val="171717" w:themeColor="background2" w:themeShade="1A"/>
        </w:rPr>
        <w:lastRenderedPageBreak/>
        <w:fldChar w:fldCharType="end"/>
      </w:r>
      <w:r w:rsidR="00B424B6" w:rsidRPr="0013795A">
        <w:rPr>
          <w:color w:val="171717" w:themeColor="background2" w:themeShade="1A"/>
        </w:rPr>
        <w:t>List of figures</w:t>
      </w:r>
    </w:p>
    <w:p w:rsidR="009F6EF3" w:rsidRDefault="00B424B6">
      <w:pPr>
        <w:pStyle w:val="TableofFigures"/>
        <w:tabs>
          <w:tab w:val="right" w:leader="dot" w:pos="9350"/>
        </w:tabs>
        <w:rPr>
          <w:rFonts w:asciiTheme="minorHAnsi" w:eastAsiaTheme="minorEastAsia" w:hAnsiTheme="minorHAnsi" w:cstheme="minorBidi"/>
          <w:noProof/>
          <w:lang w:eastAsia="ja-JP"/>
        </w:rPr>
      </w:pPr>
      <w:r w:rsidRPr="0013795A">
        <w:rPr>
          <w:color w:val="171717" w:themeColor="background2" w:themeShade="1A"/>
        </w:rPr>
        <w:fldChar w:fldCharType="begin"/>
      </w:r>
      <w:r w:rsidRPr="0013795A">
        <w:rPr>
          <w:color w:val="171717" w:themeColor="background2" w:themeShade="1A"/>
        </w:rPr>
        <w:instrText xml:space="preserve"> TOC \h \z \c "Figure" </w:instrText>
      </w:r>
      <w:r w:rsidRPr="0013795A">
        <w:rPr>
          <w:color w:val="171717" w:themeColor="background2" w:themeShade="1A"/>
        </w:rPr>
        <w:fldChar w:fldCharType="separate"/>
      </w:r>
      <w:r w:rsidR="009F6EF3" w:rsidRPr="003D2F29">
        <w:rPr>
          <w:noProof/>
          <w:color w:val="171717" w:themeColor="background2" w:themeShade="1A"/>
        </w:rPr>
        <w:t>Figure 1. States by Quartile of Exemption Law Effectiveness Index, 2012</w:t>
      </w:r>
      <w:r w:rsidR="009F6EF3">
        <w:rPr>
          <w:noProof/>
        </w:rPr>
        <w:tab/>
      </w:r>
      <w:r w:rsidR="009F6EF3">
        <w:rPr>
          <w:noProof/>
        </w:rPr>
        <w:fldChar w:fldCharType="begin"/>
      </w:r>
      <w:r w:rsidR="009F6EF3">
        <w:rPr>
          <w:noProof/>
        </w:rPr>
        <w:instrText xml:space="preserve"> PAGEREF _Toc323241457 \h </w:instrText>
      </w:r>
      <w:r w:rsidR="009F6EF3">
        <w:rPr>
          <w:noProof/>
        </w:rPr>
      </w:r>
      <w:r w:rsidR="009F6EF3">
        <w:rPr>
          <w:noProof/>
        </w:rPr>
        <w:fldChar w:fldCharType="separate"/>
      </w:r>
      <w:r w:rsidR="009F6EF3">
        <w:rPr>
          <w:noProof/>
        </w:rPr>
        <w:t>12</w:t>
      </w:r>
      <w:r w:rsidR="009F6EF3">
        <w:rPr>
          <w:noProof/>
        </w:rPr>
        <w:fldChar w:fldCharType="end"/>
      </w:r>
    </w:p>
    <w:p w:rsidR="009F6EF3" w:rsidRDefault="009F6EF3">
      <w:pPr>
        <w:pStyle w:val="TableofFigures"/>
        <w:tabs>
          <w:tab w:val="right" w:leader="dot" w:pos="9350"/>
        </w:tabs>
        <w:rPr>
          <w:rFonts w:asciiTheme="minorHAnsi" w:eastAsiaTheme="minorEastAsia" w:hAnsiTheme="minorHAnsi" w:cstheme="minorBidi"/>
          <w:noProof/>
          <w:lang w:eastAsia="ja-JP"/>
        </w:rPr>
      </w:pPr>
      <w:r w:rsidRPr="003D2F29">
        <w:rPr>
          <w:noProof/>
          <w:color w:val="171717" w:themeColor="background2" w:themeShade="1A"/>
        </w:rPr>
        <w:t>Figure 2. Exemption Rate (Percentage of School-Aged Children Exemept in each State)</w:t>
      </w:r>
      <w:r>
        <w:rPr>
          <w:noProof/>
        </w:rPr>
        <w:tab/>
      </w:r>
      <w:r>
        <w:rPr>
          <w:noProof/>
        </w:rPr>
        <w:fldChar w:fldCharType="begin"/>
      </w:r>
      <w:r>
        <w:rPr>
          <w:noProof/>
        </w:rPr>
        <w:instrText xml:space="preserve"> PAGEREF _Toc323241458 \h </w:instrText>
      </w:r>
      <w:r>
        <w:rPr>
          <w:noProof/>
        </w:rPr>
      </w:r>
      <w:r>
        <w:rPr>
          <w:noProof/>
        </w:rPr>
        <w:fldChar w:fldCharType="separate"/>
      </w:r>
      <w:r>
        <w:rPr>
          <w:noProof/>
        </w:rPr>
        <w:t>14</w:t>
      </w:r>
      <w:r>
        <w:rPr>
          <w:noProof/>
        </w:rPr>
        <w:fldChar w:fldCharType="end"/>
      </w:r>
    </w:p>
    <w:p w:rsidR="009F6EF3" w:rsidRDefault="009F6EF3">
      <w:pPr>
        <w:pStyle w:val="TableofFigures"/>
        <w:tabs>
          <w:tab w:val="right" w:leader="dot" w:pos="9350"/>
        </w:tabs>
        <w:rPr>
          <w:rFonts w:asciiTheme="minorHAnsi" w:eastAsiaTheme="minorEastAsia" w:hAnsiTheme="minorHAnsi" w:cstheme="minorBidi"/>
          <w:noProof/>
          <w:lang w:eastAsia="ja-JP"/>
        </w:rPr>
      </w:pPr>
      <w:r w:rsidRPr="003D2F29">
        <w:rPr>
          <w:noProof/>
          <w:color w:val="171717" w:themeColor="background2" w:themeShade="1A"/>
        </w:rPr>
        <w:t>Figure 3. Number of People Exempted from Vaccines by Exemption Type and State</w:t>
      </w:r>
      <w:r>
        <w:rPr>
          <w:noProof/>
        </w:rPr>
        <w:tab/>
      </w:r>
      <w:r>
        <w:rPr>
          <w:noProof/>
        </w:rPr>
        <w:fldChar w:fldCharType="begin"/>
      </w:r>
      <w:r>
        <w:rPr>
          <w:noProof/>
        </w:rPr>
        <w:instrText xml:space="preserve"> PAGEREF _Toc323241459 \h </w:instrText>
      </w:r>
      <w:r>
        <w:rPr>
          <w:noProof/>
        </w:rPr>
      </w:r>
      <w:r>
        <w:rPr>
          <w:noProof/>
        </w:rPr>
        <w:fldChar w:fldCharType="separate"/>
      </w:r>
      <w:r>
        <w:rPr>
          <w:noProof/>
        </w:rPr>
        <w:t>15</w:t>
      </w:r>
      <w:r>
        <w:rPr>
          <w:noProof/>
        </w:rPr>
        <w:fldChar w:fldCharType="end"/>
      </w:r>
    </w:p>
    <w:p w:rsidR="009F6EF3" w:rsidRDefault="009F6EF3">
      <w:pPr>
        <w:pStyle w:val="TableofFigures"/>
        <w:tabs>
          <w:tab w:val="right" w:leader="dot" w:pos="9350"/>
        </w:tabs>
        <w:rPr>
          <w:rFonts w:asciiTheme="minorHAnsi" w:eastAsiaTheme="minorEastAsia" w:hAnsiTheme="minorHAnsi" w:cstheme="minorBidi"/>
          <w:noProof/>
          <w:lang w:eastAsia="ja-JP"/>
        </w:rPr>
      </w:pPr>
      <w:r w:rsidRPr="003D2F29">
        <w:rPr>
          <w:noProof/>
          <w:color w:val="171717" w:themeColor="background2" w:themeShade="1A"/>
        </w:rPr>
        <w:t>Figure 4. Estimated Vaccination Coverage of MenACWY</w:t>
      </w:r>
      <w:r>
        <w:rPr>
          <w:noProof/>
        </w:rPr>
        <w:tab/>
      </w:r>
      <w:r>
        <w:rPr>
          <w:noProof/>
        </w:rPr>
        <w:fldChar w:fldCharType="begin"/>
      </w:r>
      <w:r>
        <w:rPr>
          <w:noProof/>
        </w:rPr>
        <w:instrText xml:space="preserve"> PAGEREF _Toc323241460 \h </w:instrText>
      </w:r>
      <w:r>
        <w:rPr>
          <w:noProof/>
        </w:rPr>
      </w:r>
      <w:r>
        <w:rPr>
          <w:noProof/>
        </w:rPr>
        <w:fldChar w:fldCharType="separate"/>
      </w:r>
      <w:r>
        <w:rPr>
          <w:noProof/>
        </w:rPr>
        <w:t>17</w:t>
      </w:r>
      <w:r>
        <w:rPr>
          <w:noProof/>
        </w:rPr>
        <w:fldChar w:fldCharType="end"/>
      </w:r>
    </w:p>
    <w:p w:rsidR="009F6EF3" w:rsidRDefault="009F6EF3">
      <w:pPr>
        <w:pStyle w:val="TableofFigures"/>
        <w:tabs>
          <w:tab w:val="right" w:leader="dot" w:pos="9350"/>
        </w:tabs>
        <w:rPr>
          <w:rFonts w:asciiTheme="minorHAnsi" w:eastAsiaTheme="minorEastAsia" w:hAnsiTheme="minorHAnsi" w:cstheme="minorBidi"/>
          <w:noProof/>
          <w:lang w:eastAsia="ja-JP"/>
        </w:rPr>
      </w:pPr>
      <w:r w:rsidRPr="003D2F29">
        <w:rPr>
          <w:noProof/>
          <w:color w:val="171717" w:themeColor="background2" w:themeShade="1A"/>
        </w:rPr>
        <w:t>Figure 5. Estimated Vaccination Coverage of Varicella Vaccine</w:t>
      </w:r>
      <w:r>
        <w:rPr>
          <w:noProof/>
        </w:rPr>
        <w:tab/>
      </w:r>
      <w:r>
        <w:rPr>
          <w:noProof/>
        </w:rPr>
        <w:fldChar w:fldCharType="begin"/>
      </w:r>
      <w:r>
        <w:rPr>
          <w:noProof/>
        </w:rPr>
        <w:instrText xml:space="preserve"> PAGEREF _Toc323241461 \h </w:instrText>
      </w:r>
      <w:r>
        <w:rPr>
          <w:noProof/>
        </w:rPr>
      </w:r>
      <w:r>
        <w:rPr>
          <w:noProof/>
        </w:rPr>
        <w:fldChar w:fldCharType="separate"/>
      </w:r>
      <w:r>
        <w:rPr>
          <w:noProof/>
        </w:rPr>
        <w:t>18</w:t>
      </w:r>
      <w:r>
        <w:rPr>
          <w:noProof/>
        </w:rPr>
        <w:fldChar w:fldCharType="end"/>
      </w:r>
    </w:p>
    <w:p w:rsidR="009F6EF3" w:rsidRDefault="009F6EF3">
      <w:pPr>
        <w:pStyle w:val="TableofFigures"/>
        <w:tabs>
          <w:tab w:val="right" w:leader="dot" w:pos="9350"/>
        </w:tabs>
        <w:rPr>
          <w:rFonts w:asciiTheme="minorHAnsi" w:eastAsiaTheme="minorEastAsia" w:hAnsiTheme="minorHAnsi" w:cstheme="minorBidi"/>
          <w:noProof/>
          <w:lang w:eastAsia="ja-JP"/>
        </w:rPr>
      </w:pPr>
      <w:r w:rsidRPr="003D2F29">
        <w:rPr>
          <w:noProof/>
          <w:color w:val="171717" w:themeColor="background2" w:themeShade="1A"/>
        </w:rPr>
        <w:t>Figure 6. Estimated Vaccination Coverage of MMR Vaccine</w:t>
      </w:r>
      <w:r>
        <w:rPr>
          <w:noProof/>
        </w:rPr>
        <w:tab/>
      </w:r>
      <w:r>
        <w:rPr>
          <w:noProof/>
        </w:rPr>
        <w:fldChar w:fldCharType="begin"/>
      </w:r>
      <w:r>
        <w:rPr>
          <w:noProof/>
        </w:rPr>
        <w:instrText xml:space="preserve"> PAGEREF _Toc323241462 \h </w:instrText>
      </w:r>
      <w:r>
        <w:rPr>
          <w:noProof/>
        </w:rPr>
      </w:r>
      <w:r>
        <w:rPr>
          <w:noProof/>
        </w:rPr>
        <w:fldChar w:fldCharType="separate"/>
      </w:r>
      <w:r>
        <w:rPr>
          <w:noProof/>
        </w:rPr>
        <w:t>19</w:t>
      </w:r>
      <w:r>
        <w:rPr>
          <w:noProof/>
        </w:rPr>
        <w:fldChar w:fldCharType="end"/>
      </w:r>
    </w:p>
    <w:p w:rsidR="009F6EF3" w:rsidRDefault="009F6EF3">
      <w:pPr>
        <w:pStyle w:val="TableofFigures"/>
        <w:tabs>
          <w:tab w:val="right" w:leader="dot" w:pos="9350"/>
        </w:tabs>
        <w:rPr>
          <w:rFonts w:asciiTheme="minorHAnsi" w:eastAsiaTheme="minorEastAsia" w:hAnsiTheme="minorHAnsi" w:cstheme="minorBidi"/>
          <w:noProof/>
          <w:lang w:eastAsia="ja-JP"/>
        </w:rPr>
      </w:pPr>
      <w:r w:rsidRPr="003D2F29">
        <w:rPr>
          <w:noProof/>
          <w:color w:val="171717" w:themeColor="background2" w:themeShade="1A"/>
        </w:rPr>
        <w:t>Figure 7. Estimated Vaccine Coverage of Tdap Vaccine</w:t>
      </w:r>
      <w:r>
        <w:rPr>
          <w:noProof/>
        </w:rPr>
        <w:tab/>
      </w:r>
      <w:r>
        <w:rPr>
          <w:noProof/>
        </w:rPr>
        <w:fldChar w:fldCharType="begin"/>
      </w:r>
      <w:r>
        <w:rPr>
          <w:noProof/>
        </w:rPr>
        <w:instrText xml:space="preserve"> PAGEREF _Toc323241463 \h </w:instrText>
      </w:r>
      <w:r>
        <w:rPr>
          <w:noProof/>
        </w:rPr>
      </w:r>
      <w:r>
        <w:rPr>
          <w:noProof/>
        </w:rPr>
        <w:fldChar w:fldCharType="separate"/>
      </w:r>
      <w:r>
        <w:rPr>
          <w:noProof/>
        </w:rPr>
        <w:t>20</w:t>
      </w:r>
      <w:r>
        <w:rPr>
          <w:noProof/>
        </w:rPr>
        <w:fldChar w:fldCharType="end"/>
      </w:r>
    </w:p>
    <w:p w:rsidR="00AA2C6A" w:rsidRPr="0013795A" w:rsidRDefault="00B424B6" w:rsidP="000F3CFF">
      <w:pPr>
        <w:rPr>
          <w:color w:val="171717" w:themeColor="background2" w:themeShade="1A"/>
        </w:rPr>
        <w:sectPr w:rsidR="00AA2C6A" w:rsidRPr="0013795A" w:rsidSect="00367476">
          <w:footerReference w:type="default" r:id="rId8"/>
          <w:pgSz w:w="12240" w:h="15840"/>
          <w:pgMar w:top="1440" w:right="1440" w:bottom="1440" w:left="1440" w:header="720" w:footer="720" w:gutter="0"/>
          <w:pgNumType w:fmt="lowerRoman" w:start="1"/>
          <w:cols w:space="720"/>
          <w:titlePg/>
          <w:docGrid w:linePitch="360"/>
        </w:sectPr>
      </w:pPr>
      <w:r w:rsidRPr="0013795A">
        <w:rPr>
          <w:color w:val="171717" w:themeColor="background2" w:themeShade="1A"/>
        </w:rPr>
        <w:fldChar w:fldCharType="end"/>
      </w:r>
    </w:p>
    <w:p w:rsidR="006B1124" w:rsidRPr="0013795A" w:rsidRDefault="006B1124" w:rsidP="006B1124">
      <w:pPr>
        <w:pStyle w:val="Heading1"/>
        <w:rPr>
          <w:color w:val="171717" w:themeColor="background2" w:themeShade="1A"/>
        </w:rPr>
      </w:pPr>
      <w:bookmarkStart w:id="1" w:name="_Toc106513527"/>
      <w:bookmarkStart w:id="2" w:name="_Toc106717785"/>
      <w:bookmarkStart w:id="3" w:name="_Toc323241438"/>
      <w:r w:rsidRPr="0013795A">
        <w:rPr>
          <w:color w:val="171717" w:themeColor="background2" w:themeShade="1A"/>
        </w:rPr>
        <w:lastRenderedPageBreak/>
        <w:t>Introduction</w:t>
      </w:r>
      <w:bookmarkEnd w:id="1"/>
      <w:bookmarkEnd w:id="2"/>
      <w:bookmarkEnd w:id="3"/>
    </w:p>
    <w:p w:rsidR="00F1132E" w:rsidRPr="0013795A" w:rsidRDefault="00F1132E" w:rsidP="00F1132E">
      <w:pPr>
        <w:rPr>
          <w:color w:val="171717" w:themeColor="background2" w:themeShade="1A"/>
        </w:rPr>
      </w:pPr>
      <w:bookmarkStart w:id="4" w:name="_Toc106513528"/>
      <w:bookmarkStart w:id="5" w:name="_Toc106717786"/>
      <w:r w:rsidRPr="0013795A">
        <w:rPr>
          <w:color w:val="171717" w:themeColor="background2" w:themeShade="1A"/>
        </w:rPr>
        <w:t xml:space="preserve">The debate between vaccine requirements and school-aged children within the United States has long been a topic of great interest.  Even </w:t>
      </w:r>
      <w:r w:rsidR="00086CCB" w:rsidRPr="0013795A">
        <w:rPr>
          <w:color w:val="171717" w:themeColor="background2" w:themeShade="1A"/>
        </w:rPr>
        <w:t>after</w:t>
      </w:r>
      <w:r w:rsidR="004619A5" w:rsidRPr="0013795A">
        <w:rPr>
          <w:color w:val="171717" w:themeColor="background2" w:themeShade="1A"/>
        </w:rPr>
        <w:t xml:space="preserve"> </w:t>
      </w:r>
      <w:r w:rsidRPr="0013795A">
        <w:rPr>
          <w:color w:val="171717" w:themeColor="background2" w:themeShade="1A"/>
        </w:rPr>
        <w:t xml:space="preserve">the fear that certain vaccines may cause autism </w:t>
      </w:r>
      <w:r w:rsidR="00086CCB" w:rsidRPr="0013795A">
        <w:rPr>
          <w:color w:val="171717" w:themeColor="background2" w:themeShade="1A"/>
        </w:rPr>
        <w:t>was raised</w:t>
      </w:r>
      <w:r w:rsidR="004619A5" w:rsidRPr="0013795A">
        <w:rPr>
          <w:color w:val="171717" w:themeColor="background2" w:themeShade="1A"/>
        </w:rPr>
        <w:t xml:space="preserve"> </w:t>
      </w:r>
      <w:r w:rsidRPr="0013795A">
        <w:rPr>
          <w:color w:val="171717" w:themeColor="background2" w:themeShade="1A"/>
        </w:rPr>
        <w:t xml:space="preserve">and then </w:t>
      </w:r>
      <w:r w:rsidR="00086CCB" w:rsidRPr="0013795A">
        <w:rPr>
          <w:color w:val="171717" w:themeColor="background2" w:themeShade="1A"/>
        </w:rPr>
        <w:t>discredited,</w:t>
      </w:r>
      <w:r w:rsidR="004619A5" w:rsidRPr="0013795A">
        <w:rPr>
          <w:color w:val="171717" w:themeColor="background2" w:themeShade="1A"/>
        </w:rPr>
        <w:t xml:space="preserve"> </w:t>
      </w:r>
      <w:r w:rsidRPr="0013795A">
        <w:rPr>
          <w:color w:val="171717" w:themeColor="background2" w:themeShade="1A"/>
        </w:rPr>
        <w:t>some people continue to oppose vaccinations</w:t>
      </w:r>
      <w:r w:rsidR="00086CCB" w:rsidRPr="0013795A">
        <w:rPr>
          <w:color w:val="171717" w:themeColor="background2" w:themeShade="1A"/>
        </w:rPr>
        <w:t>.</w:t>
      </w:r>
      <w:r w:rsidRPr="0013795A">
        <w:rPr>
          <w:color w:val="171717" w:themeColor="background2" w:themeShade="1A"/>
        </w:rPr>
        <w:t xml:space="preserve">  Although the US has come a long way in lowering infectious disease rates and </w:t>
      </w:r>
      <w:r w:rsidR="004A404B" w:rsidRPr="0013795A">
        <w:rPr>
          <w:color w:val="171717" w:themeColor="background2" w:themeShade="1A"/>
        </w:rPr>
        <w:t>has even stopped seeing</w:t>
      </w:r>
      <w:r w:rsidRPr="0013795A">
        <w:rPr>
          <w:color w:val="171717" w:themeColor="background2" w:themeShade="1A"/>
        </w:rPr>
        <w:t xml:space="preserve"> some</w:t>
      </w:r>
      <w:r w:rsidR="004A404B" w:rsidRPr="0013795A">
        <w:rPr>
          <w:color w:val="171717" w:themeColor="background2" w:themeShade="1A"/>
        </w:rPr>
        <w:t xml:space="preserve"> diseases</w:t>
      </w:r>
      <w:r w:rsidRPr="0013795A">
        <w:rPr>
          <w:color w:val="171717" w:themeColor="background2" w:themeShade="1A"/>
        </w:rPr>
        <w:t xml:space="preserve"> such as poliomyelitis</w:t>
      </w:r>
      <w:r w:rsidR="00B23E2B" w:rsidRPr="0013795A">
        <w:rPr>
          <w:color w:val="171717" w:themeColor="background2" w:themeShade="1A"/>
        </w:rPr>
        <w:t xml:space="preserve"> which, unlike smallpox that has been eradicated worldwide, is still prominent in other countries such as India,</w:t>
      </w:r>
      <w:r w:rsidRPr="0013795A">
        <w:rPr>
          <w:color w:val="171717" w:themeColor="background2" w:themeShade="1A"/>
        </w:rPr>
        <w:t xml:space="preserve"> the vaccination requirements as well as exemptions to those requirements differ from state to state.  With these </w:t>
      </w:r>
      <w:r w:rsidR="00086CCB" w:rsidRPr="0013795A">
        <w:rPr>
          <w:color w:val="171717" w:themeColor="background2" w:themeShade="1A"/>
        </w:rPr>
        <w:t>interjurisdictional</w:t>
      </w:r>
      <w:r w:rsidR="004619A5" w:rsidRPr="0013795A">
        <w:rPr>
          <w:color w:val="171717" w:themeColor="background2" w:themeShade="1A"/>
        </w:rPr>
        <w:t xml:space="preserve"> </w:t>
      </w:r>
      <w:r w:rsidRPr="0013795A">
        <w:rPr>
          <w:color w:val="171717" w:themeColor="background2" w:themeShade="1A"/>
        </w:rPr>
        <w:t>differences come varying vaccination and disease rates among school-aged children.</w:t>
      </w:r>
    </w:p>
    <w:p w:rsidR="00F1132E" w:rsidRPr="0013795A" w:rsidRDefault="00F1132E" w:rsidP="00F1132E">
      <w:pPr>
        <w:rPr>
          <w:color w:val="171717" w:themeColor="background2" w:themeShade="1A"/>
        </w:rPr>
      </w:pPr>
      <w:r w:rsidRPr="0013795A">
        <w:rPr>
          <w:color w:val="171717" w:themeColor="background2" w:themeShade="1A"/>
        </w:rPr>
        <w:t xml:space="preserve">This paper will address these differences and propose the </w:t>
      </w:r>
      <w:r w:rsidR="00086CCB" w:rsidRPr="0013795A">
        <w:rPr>
          <w:color w:val="171717" w:themeColor="background2" w:themeShade="1A"/>
        </w:rPr>
        <w:t>recommendations</w:t>
      </w:r>
      <w:r w:rsidR="004619A5" w:rsidRPr="0013795A">
        <w:rPr>
          <w:color w:val="171717" w:themeColor="background2" w:themeShade="1A"/>
        </w:rPr>
        <w:t xml:space="preserve"> </w:t>
      </w:r>
      <w:r w:rsidRPr="0013795A">
        <w:rPr>
          <w:color w:val="171717" w:themeColor="background2" w:themeShade="1A"/>
        </w:rPr>
        <w:t xml:space="preserve">for vaccination policies based on the evidence to be discussed in the following sections. Previous literature related to this topic will be summarized.  State vaccination requirements as well as exemptions will be </w:t>
      </w:r>
      <w:r w:rsidR="00086CCB" w:rsidRPr="0013795A">
        <w:rPr>
          <w:color w:val="171717" w:themeColor="background2" w:themeShade="1A"/>
        </w:rPr>
        <w:t>analyzed</w:t>
      </w:r>
      <w:r w:rsidR="004619A5" w:rsidRPr="0013795A">
        <w:rPr>
          <w:color w:val="171717" w:themeColor="background2" w:themeShade="1A"/>
        </w:rPr>
        <w:t xml:space="preserve"> </w:t>
      </w:r>
      <w:r w:rsidRPr="0013795A">
        <w:rPr>
          <w:color w:val="171717" w:themeColor="background2" w:themeShade="1A"/>
        </w:rPr>
        <w:t>to examine how the</w:t>
      </w:r>
      <w:r w:rsidR="00086CCB" w:rsidRPr="0013795A">
        <w:rPr>
          <w:color w:val="171717" w:themeColor="background2" w:themeShade="1A"/>
        </w:rPr>
        <w:t>y</w:t>
      </w:r>
      <w:r w:rsidRPr="0013795A">
        <w:rPr>
          <w:color w:val="171717" w:themeColor="background2" w:themeShade="1A"/>
        </w:rPr>
        <w:t xml:space="preserve"> affect vaccination rates that in turn </w:t>
      </w:r>
      <w:r w:rsidR="00086CCB" w:rsidRPr="0013795A">
        <w:rPr>
          <w:color w:val="171717" w:themeColor="background2" w:themeShade="1A"/>
        </w:rPr>
        <w:t>impact</w:t>
      </w:r>
      <w:r w:rsidR="004619A5" w:rsidRPr="0013795A">
        <w:rPr>
          <w:color w:val="171717" w:themeColor="background2" w:themeShade="1A"/>
        </w:rPr>
        <w:t xml:space="preserve"> </w:t>
      </w:r>
      <w:r w:rsidRPr="0013795A">
        <w:rPr>
          <w:color w:val="171717" w:themeColor="background2" w:themeShade="1A"/>
        </w:rPr>
        <w:t>states</w:t>
      </w:r>
      <w:r w:rsidR="00086CCB" w:rsidRPr="0013795A">
        <w:rPr>
          <w:color w:val="171717" w:themeColor="background2" w:themeShade="1A"/>
        </w:rPr>
        <w:t>’</w:t>
      </w:r>
      <w:r w:rsidRPr="0013795A">
        <w:rPr>
          <w:color w:val="171717" w:themeColor="background2" w:themeShade="1A"/>
        </w:rPr>
        <w:t xml:space="preserve"> disease rates and herd immunity.</w:t>
      </w:r>
    </w:p>
    <w:p w:rsidR="00B917F0" w:rsidRPr="0013795A" w:rsidRDefault="00F1132E" w:rsidP="00B917F0">
      <w:pPr>
        <w:pStyle w:val="Heading2"/>
        <w:rPr>
          <w:color w:val="171717" w:themeColor="background2" w:themeShade="1A"/>
        </w:rPr>
      </w:pPr>
      <w:bookmarkStart w:id="6" w:name="_Toc323241439"/>
      <w:bookmarkEnd w:id="4"/>
      <w:bookmarkEnd w:id="5"/>
      <w:r w:rsidRPr="0013795A">
        <w:rPr>
          <w:color w:val="171717" w:themeColor="background2" w:themeShade="1A"/>
        </w:rPr>
        <w:t>History of vaccines</w:t>
      </w:r>
      <w:bookmarkEnd w:id="6"/>
    </w:p>
    <w:p w:rsidR="00F1132E" w:rsidRPr="0013795A" w:rsidRDefault="00F1132E" w:rsidP="00B23E2B">
      <w:pPr>
        <w:rPr>
          <w:color w:val="171717" w:themeColor="background2" w:themeShade="1A"/>
        </w:rPr>
      </w:pPr>
      <w:bookmarkStart w:id="7" w:name="_Toc106513529"/>
      <w:bookmarkStart w:id="8" w:name="_Toc106717787"/>
      <w:r w:rsidRPr="0013795A">
        <w:rPr>
          <w:color w:val="171717" w:themeColor="background2" w:themeShade="1A"/>
        </w:rPr>
        <w:t xml:space="preserve">Immunizations are considered </w:t>
      </w:r>
      <w:r w:rsidR="00086CCB" w:rsidRPr="0013795A">
        <w:rPr>
          <w:color w:val="171717" w:themeColor="background2" w:themeShade="1A"/>
        </w:rPr>
        <w:t xml:space="preserve">by the Centers for Disease Control and Prevention </w:t>
      </w:r>
      <w:r w:rsidR="00764703" w:rsidRPr="0013795A">
        <w:rPr>
          <w:color w:val="171717" w:themeColor="background2" w:themeShade="1A"/>
        </w:rPr>
        <w:t xml:space="preserve">(CDC) </w:t>
      </w:r>
      <w:r w:rsidR="00086CCB" w:rsidRPr="0013795A">
        <w:rPr>
          <w:color w:val="171717" w:themeColor="background2" w:themeShade="1A"/>
        </w:rPr>
        <w:t xml:space="preserve">to be </w:t>
      </w:r>
      <w:r w:rsidRPr="0013795A">
        <w:rPr>
          <w:color w:val="171717" w:themeColor="background2" w:themeShade="1A"/>
        </w:rPr>
        <w:t>one of the 10 great public health accomplishments of the 20</w:t>
      </w:r>
      <w:r w:rsidRPr="0013795A">
        <w:rPr>
          <w:color w:val="171717" w:themeColor="background2" w:themeShade="1A"/>
          <w:vertAlign w:val="superscript"/>
        </w:rPr>
        <w:t>th</w:t>
      </w:r>
      <w:r w:rsidRPr="0013795A">
        <w:rPr>
          <w:color w:val="171717" w:themeColor="background2" w:themeShade="1A"/>
        </w:rPr>
        <w:t xml:space="preserve"> century </w:t>
      </w:r>
      <w:r w:rsidRPr="0013795A">
        <w:rPr>
          <w:color w:val="171717" w:themeColor="background2" w:themeShade="1A"/>
        </w:rPr>
        <w:fldChar w:fldCharType="begin"/>
      </w:r>
      <w:r w:rsidRPr="0013795A">
        <w:rPr>
          <w:color w:val="171717" w:themeColor="background2" w:themeShade="1A"/>
        </w:rPr>
        <w:instrText xml:space="preserve"> ADDIN EN.CITE &lt;EndNote&gt;&lt;Cite&gt;&lt;Year&gt;2013&lt;/Year&gt;&lt;RecNum&gt;11&lt;/RecNum&gt;&lt;DisplayText&gt;(&amp;quot;Ten Great Public Health Achievements in the 20th Century,&amp;quot; 2013)&lt;/DisplayText&gt;&lt;record&gt;&lt;rec-number&gt;11&lt;/rec-number&gt;&lt;foreign-keys&gt;&lt;key app="EN" db-id="s50wv0fdiwsvs9ewxr65pdzf5ssrp9xr5zar" timestamp="1453858225"&gt;11&lt;/key&gt;&lt;/foreign-keys&gt;&lt;ref-type name="Web Page"&gt;12&lt;/ref-type&gt;&lt;contributors&gt;&lt;/contributors&gt;&lt;titles&gt;&lt;title&gt;Ten Great Public Health Achievements in the 20th Century&lt;/title&gt;&lt;/titles&gt;&lt;volume&gt;2016&lt;/volume&gt;&lt;number&gt;1-26-16&lt;/number&gt;&lt;dates&gt;&lt;year&gt;2013&lt;/year&gt;&lt;pub-dates&gt;&lt;date&gt;April 26, 2013&lt;/date&gt;&lt;/pub-dates&gt;&lt;/dates&gt;&lt;pub-location&gt;Internet&lt;/pub-location&gt;&lt;publisher&gt;Centers for Disease Control and Prevention&lt;/publisher&gt;&lt;urls&gt;&lt;related-urls&gt;&lt;url&gt;http://www.cdc.gov/about/history/tengpha.htm&lt;/url&gt;&lt;/related-urls&gt;&lt;/urls&gt;&lt;/record&gt;&lt;/Cite&gt;&lt;/EndNote&gt;</w:instrText>
      </w:r>
      <w:r w:rsidRPr="0013795A">
        <w:rPr>
          <w:color w:val="171717" w:themeColor="background2" w:themeShade="1A"/>
        </w:rPr>
        <w:fldChar w:fldCharType="separate"/>
      </w:r>
      <w:r w:rsidRPr="0013795A">
        <w:rPr>
          <w:color w:val="171717" w:themeColor="background2" w:themeShade="1A"/>
        </w:rPr>
        <w:t xml:space="preserve">("Ten Great Public </w:t>
      </w:r>
      <w:r w:rsidRPr="0013795A">
        <w:rPr>
          <w:color w:val="171717" w:themeColor="background2" w:themeShade="1A"/>
        </w:rPr>
        <w:lastRenderedPageBreak/>
        <w:t>Health Achievements in the 20th Century," 2013)</w:t>
      </w:r>
      <w:r w:rsidRPr="0013795A">
        <w:rPr>
          <w:color w:val="171717" w:themeColor="background2" w:themeShade="1A"/>
        </w:rPr>
        <w:fldChar w:fldCharType="end"/>
      </w:r>
      <w:r w:rsidRPr="0013795A">
        <w:rPr>
          <w:color w:val="171717" w:themeColor="background2" w:themeShade="1A"/>
        </w:rPr>
        <w:t xml:space="preserve">.  </w:t>
      </w:r>
      <w:r w:rsidR="00B23E2B" w:rsidRPr="0013795A">
        <w:rPr>
          <w:color w:val="171717" w:themeColor="background2" w:themeShade="1A"/>
        </w:rPr>
        <w:t xml:space="preserve">Thanks to this great success of vaccines we no longer live in fear of certain debilitating diseases that used to plague the US and are still prominent in other countries, and yet unfortunately this success has also lead people to overlook the importance of vaccines.  </w:t>
      </w:r>
      <w:r w:rsidRPr="0013795A">
        <w:rPr>
          <w:color w:val="171717" w:themeColor="background2" w:themeShade="1A"/>
        </w:rPr>
        <w:t>Measles, rubella, tetanus, diphtheria and </w:t>
      </w:r>
      <w:proofErr w:type="spellStart"/>
      <w:r w:rsidRPr="0013795A">
        <w:rPr>
          <w:i/>
          <w:iCs/>
          <w:color w:val="171717" w:themeColor="background2" w:themeShade="1A"/>
        </w:rPr>
        <w:t>Haemophilus</w:t>
      </w:r>
      <w:proofErr w:type="spellEnd"/>
      <w:r w:rsidRPr="0013795A">
        <w:rPr>
          <w:i/>
          <w:iCs/>
          <w:color w:val="171717" w:themeColor="background2" w:themeShade="1A"/>
        </w:rPr>
        <w:t xml:space="preserve"> influenza</w:t>
      </w:r>
      <w:r w:rsidRPr="0013795A">
        <w:rPr>
          <w:color w:val="171717" w:themeColor="background2" w:themeShade="1A"/>
        </w:rPr>
        <w:t> type b (HIB) are all among disease</w:t>
      </w:r>
      <w:r w:rsidR="00B23E2B" w:rsidRPr="0013795A">
        <w:rPr>
          <w:color w:val="171717" w:themeColor="background2" w:themeShade="1A"/>
        </w:rPr>
        <w:t>s</w:t>
      </w:r>
      <w:r w:rsidRPr="0013795A">
        <w:rPr>
          <w:color w:val="171717" w:themeColor="background2" w:themeShade="1A"/>
        </w:rPr>
        <w:t xml:space="preserve"> that used to be </w:t>
      </w:r>
      <w:r w:rsidR="004619A5" w:rsidRPr="0013795A">
        <w:rPr>
          <w:color w:val="171717" w:themeColor="background2" w:themeShade="1A"/>
        </w:rPr>
        <w:t xml:space="preserve">prevalent </w:t>
      </w:r>
      <w:r w:rsidRPr="0013795A">
        <w:rPr>
          <w:color w:val="171717" w:themeColor="background2" w:themeShade="1A"/>
        </w:rPr>
        <w:t xml:space="preserve">in the US but are now under control </w:t>
      </w:r>
      <w:r w:rsidR="00086CCB" w:rsidRPr="0013795A">
        <w:rPr>
          <w:color w:val="171717" w:themeColor="background2" w:themeShade="1A"/>
        </w:rPr>
        <w:t>because of</w:t>
      </w:r>
      <w:r w:rsidR="004619A5" w:rsidRPr="0013795A">
        <w:rPr>
          <w:color w:val="171717" w:themeColor="background2" w:themeShade="1A"/>
        </w:rPr>
        <w:t xml:space="preserve"> </w:t>
      </w:r>
      <w:r w:rsidRPr="0013795A">
        <w:rPr>
          <w:color w:val="171717" w:themeColor="background2" w:themeShade="1A"/>
        </w:rPr>
        <w:t xml:space="preserve">vaccinations </w:t>
      </w:r>
      <w:r w:rsidRPr="0013795A">
        <w:rPr>
          <w:color w:val="171717" w:themeColor="background2" w:themeShade="1A"/>
        </w:rPr>
        <w:fldChar w:fldCharType="begin"/>
      </w:r>
      <w:r w:rsidRPr="0013795A">
        <w:rPr>
          <w:color w:val="171717" w:themeColor="background2" w:themeShade="1A"/>
        </w:rPr>
        <w:instrText xml:space="preserve"> ADDIN EN.CITE &lt;EndNote&gt;&lt;Cite&gt;&lt;Year&gt;2013&lt;/Year&gt;&lt;RecNum&gt;11&lt;/RecNum&gt;&lt;DisplayText&gt;(&amp;quot;Ten Great Public Health Achievements in the 20th Century,&amp;quot; 2013)&lt;/DisplayText&gt;&lt;record&gt;&lt;rec-number&gt;11&lt;/rec-number&gt;&lt;foreign-keys&gt;&lt;key app="EN" db-id="s50wv0fdiwsvs9ewxr65pdzf5ssrp9xr5zar" timestamp="1453858225"&gt;11&lt;/key&gt;&lt;/foreign-keys&gt;&lt;ref-type name="Web Page"&gt;12&lt;/ref-type&gt;&lt;contributors&gt;&lt;/contributors&gt;&lt;titles&gt;&lt;title&gt;Ten Great Public Health Achievements in the 20th Century&lt;/title&gt;&lt;/titles&gt;&lt;volume&gt;2016&lt;/volume&gt;&lt;number&gt;1-26-16&lt;/number&gt;&lt;dates&gt;&lt;year&gt;2013&lt;/year&gt;&lt;pub-dates&gt;&lt;date&gt;April 26, 2013&lt;/date&gt;&lt;/pub-dates&gt;&lt;/dates&gt;&lt;pub-location&gt;Internet&lt;/pub-location&gt;&lt;publisher&gt;Centers for Disease Control and Prevention&lt;/publisher&gt;&lt;urls&gt;&lt;related-urls&gt;&lt;url&gt;http://www.cdc.gov/about/history/tengpha.htm&lt;/url&gt;&lt;/related-urls&gt;&lt;/urls&gt;&lt;/record&gt;&lt;/Cite&gt;&lt;/EndNote&gt;</w:instrText>
      </w:r>
      <w:r w:rsidRPr="0013795A">
        <w:rPr>
          <w:color w:val="171717" w:themeColor="background2" w:themeShade="1A"/>
        </w:rPr>
        <w:fldChar w:fldCharType="separate"/>
      </w:r>
      <w:r w:rsidRPr="0013795A">
        <w:rPr>
          <w:color w:val="171717" w:themeColor="background2" w:themeShade="1A"/>
        </w:rPr>
        <w:t>("Ten Great Public Health Achievements in the 20th Century," 2013)</w:t>
      </w:r>
      <w:r w:rsidRPr="0013795A">
        <w:rPr>
          <w:color w:val="171717" w:themeColor="background2" w:themeShade="1A"/>
        </w:rPr>
        <w:fldChar w:fldCharType="end"/>
      </w:r>
      <w:r w:rsidRPr="0013795A">
        <w:rPr>
          <w:color w:val="171717" w:themeColor="background2" w:themeShade="1A"/>
        </w:rPr>
        <w:t xml:space="preserve">.  </w:t>
      </w:r>
    </w:p>
    <w:p w:rsidR="00B917F0" w:rsidRPr="0013795A" w:rsidRDefault="00F1132E" w:rsidP="00B917F0">
      <w:pPr>
        <w:pStyle w:val="Heading2"/>
        <w:rPr>
          <w:color w:val="171717" w:themeColor="background2" w:themeShade="1A"/>
        </w:rPr>
      </w:pPr>
      <w:bookmarkStart w:id="9" w:name="_Toc323241440"/>
      <w:bookmarkEnd w:id="7"/>
      <w:bookmarkEnd w:id="8"/>
      <w:r w:rsidRPr="0013795A">
        <w:rPr>
          <w:color w:val="171717" w:themeColor="background2" w:themeShade="1A"/>
        </w:rPr>
        <w:t>necessary terminology</w:t>
      </w:r>
      <w:bookmarkEnd w:id="9"/>
    </w:p>
    <w:p w:rsidR="00B917F0" w:rsidRPr="0013795A" w:rsidRDefault="004A7452" w:rsidP="004A7452">
      <w:pPr>
        <w:pStyle w:val="Noindent"/>
        <w:ind w:firstLine="720"/>
        <w:rPr>
          <w:color w:val="171717" w:themeColor="background2" w:themeShade="1A"/>
        </w:rPr>
      </w:pPr>
      <w:r w:rsidRPr="0013795A">
        <w:rPr>
          <w:color w:val="171717" w:themeColor="background2" w:themeShade="1A"/>
        </w:rPr>
        <w:t>In order to fully comprehend some of the data and policies that will be covered in this analysis</w:t>
      </w:r>
      <w:r w:rsidR="00764703" w:rsidRPr="0013795A">
        <w:rPr>
          <w:color w:val="171717" w:themeColor="background2" w:themeShade="1A"/>
        </w:rPr>
        <w:t>,</w:t>
      </w:r>
      <w:r w:rsidRPr="0013795A">
        <w:rPr>
          <w:color w:val="171717" w:themeColor="background2" w:themeShade="1A"/>
        </w:rPr>
        <w:t xml:space="preserve"> certain background terminology is needed.  For instance the term “vaccine exemption” can be used broadly or may refer to a specific type of exemption that will be covered below.  Other essential terms will also be explained.</w:t>
      </w:r>
    </w:p>
    <w:p w:rsidR="00B917F0" w:rsidRPr="0013795A" w:rsidRDefault="00F1132E" w:rsidP="00B917F0">
      <w:pPr>
        <w:pStyle w:val="Heading3"/>
        <w:rPr>
          <w:color w:val="171717" w:themeColor="background2" w:themeShade="1A"/>
        </w:rPr>
      </w:pPr>
      <w:bookmarkStart w:id="10" w:name="_Toc323241441"/>
      <w:r w:rsidRPr="0013795A">
        <w:rPr>
          <w:color w:val="171717" w:themeColor="background2" w:themeShade="1A"/>
        </w:rPr>
        <w:t>Vaccine Exemptions</w:t>
      </w:r>
      <w:bookmarkEnd w:id="10"/>
    </w:p>
    <w:p w:rsidR="00F1132E" w:rsidRPr="0013795A" w:rsidRDefault="00F1132E" w:rsidP="00F1132E">
      <w:pPr>
        <w:rPr>
          <w:color w:val="171717" w:themeColor="background2" w:themeShade="1A"/>
        </w:rPr>
      </w:pPr>
      <w:bookmarkStart w:id="11" w:name="_Toc106513531"/>
      <w:bookmarkStart w:id="12" w:name="_Toc106717789"/>
      <w:r w:rsidRPr="0013795A">
        <w:rPr>
          <w:color w:val="171717" w:themeColor="background2" w:themeShade="1A"/>
        </w:rPr>
        <w:t>Medical, religious, and philosophical exemptions differ between each state in both wording and whether or not they are offered.  While all 50 states allowed for medical exemptions in 2014</w:t>
      </w:r>
      <w:r w:rsidR="00764703" w:rsidRPr="0013795A">
        <w:rPr>
          <w:color w:val="171717" w:themeColor="background2" w:themeShade="1A"/>
        </w:rPr>
        <w:t>,</w:t>
      </w:r>
      <w:r w:rsidRPr="0013795A">
        <w:rPr>
          <w:color w:val="171717" w:themeColor="background2" w:themeShade="1A"/>
        </w:rPr>
        <w:t xml:space="preserve"> 48 allowed religious vaccine exemptions and only 17 allowed for philosophical exemptions (“Vaccine Laws," 2016).  In this section each of these exemptions will be discussed in detail along with where they are permissible.</w:t>
      </w:r>
    </w:p>
    <w:p w:rsidR="00F1132E" w:rsidRPr="0013795A" w:rsidRDefault="00F1132E" w:rsidP="00F1132E">
      <w:pPr>
        <w:ind w:firstLine="0"/>
        <w:rPr>
          <w:i/>
          <w:color w:val="171717" w:themeColor="background2" w:themeShade="1A"/>
        </w:rPr>
      </w:pPr>
      <w:r w:rsidRPr="0013795A">
        <w:rPr>
          <w:i/>
          <w:color w:val="171717" w:themeColor="background2" w:themeShade="1A"/>
        </w:rPr>
        <w:t>Medical Exemptions</w:t>
      </w:r>
    </w:p>
    <w:p w:rsidR="00F1132E" w:rsidRPr="0013795A" w:rsidRDefault="00F1132E" w:rsidP="00F1132E">
      <w:pPr>
        <w:rPr>
          <w:color w:val="171717" w:themeColor="background2" w:themeShade="1A"/>
        </w:rPr>
      </w:pPr>
      <w:r w:rsidRPr="0013795A">
        <w:rPr>
          <w:color w:val="171717" w:themeColor="background2" w:themeShade="1A"/>
        </w:rPr>
        <w:lastRenderedPageBreak/>
        <w:t>As previously mentioned</w:t>
      </w:r>
      <w:r w:rsidR="00764703" w:rsidRPr="0013795A">
        <w:rPr>
          <w:color w:val="171717" w:themeColor="background2" w:themeShade="1A"/>
        </w:rPr>
        <w:t>,</w:t>
      </w:r>
      <w:r w:rsidRPr="0013795A">
        <w:rPr>
          <w:color w:val="171717" w:themeColor="background2" w:themeShade="1A"/>
        </w:rPr>
        <w:t xml:space="preserve"> a medical exemption is the only vaccine related exemption allowed in all 50 states.  However obtaining a medical exemption to vaccination is not as simple as claiming you experience adverse reactions to vaccines</w:t>
      </w:r>
      <w:r w:rsidR="00764703" w:rsidRPr="0013795A">
        <w:rPr>
          <w:color w:val="171717" w:themeColor="background2" w:themeShade="1A"/>
        </w:rPr>
        <w:t>.</w:t>
      </w:r>
      <w:r w:rsidRPr="0013795A">
        <w:rPr>
          <w:color w:val="171717" w:themeColor="background2" w:themeShade="1A"/>
        </w:rPr>
        <w:t xml:space="preserve">  According to the National Vaccine Information Center (NVIC)</w:t>
      </w:r>
      <w:r w:rsidR="00764703" w:rsidRPr="0013795A">
        <w:rPr>
          <w:color w:val="171717" w:themeColor="background2" w:themeShade="1A"/>
        </w:rPr>
        <w:t>,</w:t>
      </w:r>
      <w:r w:rsidRPr="0013795A">
        <w:rPr>
          <w:color w:val="171717" w:themeColor="background2" w:themeShade="1A"/>
        </w:rPr>
        <w:t xml:space="preserve"> most states require a medical doctor (M.D.) or doctor of osteopathy (D.O.) </w:t>
      </w:r>
      <w:r w:rsidR="00764703" w:rsidRPr="0013795A">
        <w:rPr>
          <w:color w:val="171717" w:themeColor="background2" w:themeShade="1A"/>
        </w:rPr>
        <w:t>provide</w:t>
      </w:r>
      <w:r w:rsidR="004619A5" w:rsidRPr="0013795A">
        <w:rPr>
          <w:color w:val="171717" w:themeColor="background2" w:themeShade="1A"/>
        </w:rPr>
        <w:t xml:space="preserve"> </w:t>
      </w:r>
      <w:r w:rsidRPr="0013795A">
        <w:rPr>
          <w:color w:val="171717" w:themeColor="background2" w:themeShade="1A"/>
        </w:rPr>
        <w:t>a written medical exemption</w:t>
      </w:r>
      <w:r w:rsidR="00764703" w:rsidRPr="0013795A">
        <w:rPr>
          <w:color w:val="171717" w:themeColor="background2" w:themeShade="1A"/>
        </w:rPr>
        <w:t>;</w:t>
      </w:r>
      <w:r w:rsidRPr="0013795A">
        <w:rPr>
          <w:color w:val="171717" w:themeColor="background2" w:themeShade="1A"/>
        </w:rPr>
        <w:t xml:space="preserve"> </w:t>
      </w:r>
      <w:r w:rsidR="00764703" w:rsidRPr="0013795A">
        <w:rPr>
          <w:color w:val="171717" w:themeColor="background2" w:themeShade="1A"/>
        </w:rPr>
        <w:t>however,</w:t>
      </w:r>
      <w:r w:rsidR="004619A5" w:rsidRPr="0013795A">
        <w:rPr>
          <w:color w:val="171717" w:themeColor="background2" w:themeShade="1A"/>
        </w:rPr>
        <w:t xml:space="preserve"> </w:t>
      </w:r>
      <w:r w:rsidRPr="0013795A">
        <w:rPr>
          <w:color w:val="171717" w:themeColor="background2" w:themeShade="1A"/>
        </w:rPr>
        <w:t>“some states allow other state-designated health care workers to certify that the administration of one or more state mandated vaccines would be detrimental to the health of an individual</w:t>
      </w:r>
      <w:r w:rsidR="00B23E2B" w:rsidRPr="0013795A">
        <w:rPr>
          <w:color w:val="171717" w:themeColor="background2" w:themeShade="1A"/>
        </w:rPr>
        <w:t>”</w:t>
      </w:r>
      <w:r w:rsidRPr="0013795A">
        <w:rPr>
          <w:color w:val="171717" w:themeColor="background2" w:themeShade="1A"/>
        </w:rPr>
        <w:t xml:space="preserve"> (“Vaccine Laws," 2016).</w:t>
      </w:r>
      <w:r w:rsidR="00B23E2B" w:rsidRPr="0013795A">
        <w:rPr>
          <w:color w:val="171717" w:themeColor="background2" w:themeShade="1A"/>
        </w:rPr>
        <w:t xml:space="preserve">  Depending on the state these designated health care workers may be someone from the state or a local health department who specializes in vaccinations and is well learned in all of the related policies.  </w:t>
      </w:r>
    </w:p>
    <w:p w:rsidR="005B24F4" w:rsidRPr="0013795A" w:rsidRDefault="00F1132E" w:rsidP="00626CBA">
      <w:pPr>
        <w:rPr>
          <w:color w:val="171717" w:themeColor="background2" w:themeShade="1A"/>
        </w:rPr>
      </w:pPr>
      <w:r w:rsidRPr="0013795A">
        <w:rPr>
          <w:color w:val="171717" w:themeColor="background2" w:themeShade="1A"/>
        </w:rPr>
        <w:t>Medical exemptions are difficult to obtain because government and medical trade officials have eliminated most medical reasons for delaying or refusing a vaccine.  F</w:t>
      </w:r>
      <w:r w:rsidR="007F316F" w:rsidRPr="0013795A">
        <w:rPr>
          <w:color w:val="171717" w:themeColor="background2" w:themeShade="1A"/>
        </w:rPr>
        <w:t xml:space="preserve">ederal guidelines published by </w:t>
      </w:r>
      <w:r w:rsidR="00764703" w:rsidRPr="0013795A">
        <w:rPr>
          <w:color w:val="171717" w:themeColor="background2" w:themeShade="1A"/>
        </w:rPr>
        <w:t>CDC</w:t>
      </w:r>
      <w:r w:rsidR="004619A5" w:rsidRPr="0013795A">
        <w:rPr>
          <w:color w:val="171717" w:themeColor="background2" w:themeShade="1A"/>
        </w:rPr>
        <w:t xml:space="preserve"> </w:t>
      </w:r>
      <w:r w:rsidRPr="0013795A">
        <w:rPr>
          <w:color w:val="171717" w:themeColor="background2" w:themeShade="1A"/>
        </w:rPr>
        <w:t xml:space="preserve">are used by most medical personnel to identify what is to be considered a medical contraindication to vaccination.  </w:t>
      </w:r>
      <w:r w:rsidR="005B24F4" w:rsidRPr="0013795A">
        <w:rPr>
          <w:color w:val="171717" w:themeColor="background2" w:themeShade="1A"/>
        </w:rPr>
        <w:t xml:space="preserve">For instance many of the contraindications to vaccinations listed on the CDCs web page include a severe allergic reaction to a previous dose of a multi-dose vaccine, such as the Hepatitis A and B vaccines.  Other contraindications include known severe immunodeficiency, pregnancy, or a severe allergic </w:t>
      </w:r>
      <w:r w:rsidR="00626CBA" w:rsidRPr="0013795A">
        <w:rPr>
          <w:color w:val="171717" w:themeColor="background2" w:themeShade="1A"/>
        </w:rPr>
        <w:t xml:space="preserve">reaction to a vaccine component </w:t>
      </w:r>
      <w:r w:rsidR="00626CBA" w:rsidRPr="0013795A">
        <w:rPr>
          <w:color w:val="171717" w:themeColor="background2" w:themeShade="1A"/>
        </w:rPr>
        <w:fldChar w:fldCharType="begin"/>
      </w:r>
      <w:r w:rsidR="00626CBA" w:rsidRPr="0013795A">
        <w:rPr>
          <w:color w:val="171717" w:themeColor="background2" w:themeShade="1A"/>
        </w:rPr>
        <w:instrText xml:space="preserve"> ADDIN EN.CITE &lt;EndNote&gt;&lt;Cite&gt;&lt;Year&gt;2014&lt;/Year&gt;&lt;RecNum&gt;35&lt;/RecNum&gt;&lt;DisplayText&gt;(&amp;quot;Chart of Contraindications and Precautions to Commonly Used Vaccines,&amp;quot; 2014)&lt;/DisplayText&gt;&lt;record&gt;&lt;rec-number&gt;35&lt;/rec-number&gt;&lt;foreign-keys&gt;&lt;key app="EN" db-id="s50wv0fdiwsvs9ewxr65pdzf5ssrp9xr5zar" timestamp="1459711872"&gt;35&lt;/key&gt;&lt;/foreign-keys&gt;&lt;ref-type name="Web Page"&gt;12&lt;/ref-type&gt;&lt;contributors&gt;&lt;/contributors&gt;&lt;titles&gt;&lt;title&gt;Chart of Contraindications and Precautions to Commonly Used Vaccines&lt;/title&gt;&lt;/titles&gt;&lt;volume&gt;2016&lt;/volume&gt;&lt;number&gt;March 23&lt;/number&gt;&lt;dates&gt;&lt;year&gt;2014&lt;/year&gt;&lt;pub-dates&gt;&lt;date&gt;January&lt;/date&gt;&lt;/pub-dates&gt;&lt;/dates&gt;&lt;pub-location&gt;Centers for Disease Control and Prevention&lt;/pub-location&gt;&lt;publisher&gt;Centers for Disease Control and Prevention&lt;/publisher&gt;&lt;urls&gt;&lt;related-urls&gt;&lt;url&gt;http://www.cdc.gov/vaccines/recs/vac-admin/contraindications-vacc.htm&lt;/url&gt;&lt;/related-urls&gt;&lt;/urls&gt;&lt;/record&gt;&lt;/Cite&gt;&lt;/EndNote&gt;</w:instrText>
      </w:r>
      <w:r w:rsidR="00626CBA" w:rsidRPr="0013795A">
        <w:rPr>
          <w:color w:val="171717" w:themeColor="background2" w:themeShade="1A"/>
        </w:rPr>
        <w:fldChar w:fldCharType="separate"/>
      </w:r>
      <w:r w:rsidR="00626CBA" w:rsidRPr="0013795A">
        <w:rPr>
          <w:color w:val="171717" w:themeColor="background2" w:themeShade="1A"/>
        </w:rPr>
        <w:t>("Chart of Contraindications and Precautions to Commonly Used Vaccines," 2014)</w:t>
      </w:r>
      <w:r w:rsidR="00626CBA" w:rsidRPr="0013795A">
        <w:rPr>
          <w:color w:val="171717" w:themeColor="background2" w:themeShade="1A"/>
        </w:rPr>
        <w:fldChar w:fldCharType="end"/>
      </w:r>
      <w:r w:rsidR="00626CBA" w:rsidRPr="0013795A">
        <w:rPr>
          <w:color w:val="171717" w:themeColor="background2" w:themeShade="1A"/>
        </w:rPr>
        <w:t>.</w:t>
      </w:r>
    </w:p>
    <w:p w:rsidR="00F1132E" w:rsidRPr="0013795A" w:rsidRDefault="00F1132E" w:rsidP="00F1132E">
      <w:pPr>
        <w:rPr>
          <w:color w:val="171717" w:themeColor="background2" w:themeShade="1A"/>
        </w:rPr>
      </w:pPr>
      <w:r w:rsidRPr="0013795A">
        <w:rPr>
          <w:color w:val="171717" w:themeColor="background2" w:themeShade="1A"/>
        </w:rPr>
        <w:t xml:space="preserve">Finally, some states allow public health officials to review medical exemptions to determine if the exemption follows the CDC guidelines for vaccine contraindication and to revoke it if it is not </w:t>
      </w:r>
      <w:r w:rsidR="00764703" w:rsidRPr="0013795A">
        <w:rPr>
          <w:color w:val="171717" w:themeColor="background2" w:themeShade="1A"/>
        </w:rPr>
        <w:t>valid</w:t>
      </w:r>
      <w:r w:rsidR="004619A5" w:rsidRPr="0013795A">
        <w:rPr>
          <w:color w:val="171717" w:themeColor="background2" w:themeShade="1A"/>
        </w:rPr>
        <w:t xml:space="preserve"> </w:t>
      </w:r>
      <w:r w:rsidRPr="0013795A">
        <w:rPr>
          <w:color w:val="171717" w:themeColor="background2" w:themeShade="1A"/>
        </w:rPr>
        <w:t>(“Vaccine Laws," 2016).</w:t>
      </w:r>
    </w:p>
    <w:p w:rsidR="00F1132E" w:rsidRPr="0013795A" w:rsidRDefault="00F1132E" w:rsidP="00F1132E">
      <w:pPr>
        <w:ind w:firstLine="0"/>
        <w:rPr>
          <w:i/>
          <w:color w:val="171717" w:themeColor="background2" w:themeShade="1A"/>
        </w:rPr>
      </w:pPr>
      <w:r w:rsidRPr="0013795A">
        <w:rPr>
          <w:i/>
          <w:color w:val="171717" w:themeColor="background2" w:themeShade="1A"/>
        </w:rPr>
        <w:t>Religious Exemptions</w:t>
      </w:r>
    </w:p>
    <w:p w:rsidR="00F1132E" w:rsidRPr="0013795A" w:rsidRDefault="00F1132E" w:rsidP="00626CBA">
      <w:pPr>
        <w:rPr>
          <w:color w:val="171717" w:themeColor="background2" w:themeShade="1A"/>
        </w:rPr>
      </w:pPr>
      <w:r w:rsidRPr="0013795A">
        <w:rPr>
          <w:color w:val="171717" w:themeColor="background2" w:themeShade="1A"/>
        </w:rPr>
        <w:t xml:space="preserve">Mississippi and West Virginia are the only two states that do not allow for religious exemptions to vaccination.  </w:t>
      </w:r>
      <w:r w:rsidR="00626CBA" w:rsidRPr="0013795A">
        <w:rPr>
          <w:color w:val="171717" w:themeColor="background2" w:themeShade="1A"/>
        </w:rPr>
        <w:t>T</w:t>
      </w:r>
      <w:r w:rsidR="00953C1A" w:rsidRPr="0013795A">
        <w:rPr>
          <w:color w:val="171717" w:themeColor="background2" w:themeShade="1A"/>
        </w:rPr>
        <w:t>he “Free Exercise” cla</w:t>
      </w:r>
      <w:r w:rsidR="00626CBA" w:rsidRPr="0013795A">
        <w:rPr>
          <w:color w:val="171717" w:themeColor="background2" w:themeShade="1A"/>
        </w:rPr>
        <w:t>u</w:t>
      </w:r>
      <w:r w:rsidR="00953C1A" w:rsidRPr="0013795A">
        <w:rPr>
          <w:color w:val="171717" w:themeColor="background2" w:themeShade="1A"/>
        </w:rPr>
        <w:t>se of the</w:t>
      </w:r>
      <w:r w:rsidR="004619A5" w:rsidRPr="0013795A">
        <w:rPr>
          <w:color w:val="171717" w:themeColor="background2" w:themeShade="1A"/>
        </w:rPr>
        <w:t xml:space="preserve"> First Amendment</w:t>
      </w:r>
      <w:r w:rsidR="00626CBA" w:rsidRPr="0013795A">
        <w:rPr>
          <w:color w:val="171717" w:themeColor="background2" w:themeShade="1A"/>
        </w:rPr>
        <w:t xml:space="preserve"> states “Congress </w:t>
      </w:r>
      <w:r w:rsidR="00626CBA" w:rsidRPr="0013795A">
        <w:rPr>
          <w:color w:val="171717" w:themeColor="background2" w:themeShade="1A"/>
        </w:rPr>
        <w:lastRenderedPageBreak/>
        <w:t>shall make no law respecting an establishment of religion, or prohibiting the free exercise thereof...” meaning that federal or state laws cannot force someone to go against their religious beliefs</w:t>
      </w:r>
      <w:r w:rsidRPr="0013795A">
        <w:rPr>
          <w:color w:val="171717" w:themeColor="background2" w:themeShade="1A"/>
        </w:rPr>
        <w:t xml:space="preserve">.  </w:t>
      </w:r>
      <w:r w:rsidR="00953C1A" w:rsidRPr="0013795A">
        <w:rPr>
          <w:color w:val="171717" w:themeColor="background2" w:themeShade="1A"/>
        </w:rPr>
        <w:t>However, in certain instances, a compelling state interest can infringe upon an individual’s right to exercise religious beliefs</w:t>
      </w:r>
      <w:r w:rsidRPr="0013795A">
        <w:rPr>
          <w:color w:val="171717" w:themeColor="background2" w:themeShade="1A"/>
        </w:rPr>
        <w:t xml:space="preserve">.  For example, in 1905 in the case of </w:t>
      </w:r>
      <w:r w:rsidRPr="0013795A">
        <w:rPr>
          <w:color w:val="171717" w:themeColor="background2" w:themeShade="1A"/>
          <w:u w:val="single"/>
        </w:rPr>
        <w:t>Jacobson v. Massachusetts</w:t>
      </w:r>
      <w:r w:rsidR="00953C1A" w:rsidRPr="0013795A">
        <w:rPr>
          <w:color w:val="171717" w:themeColor="background2" w:themeShade="1A"/>
          <w:u w:val="single"/>
        </w:rPr>
        <w:t>,</w:t>
      </w:r>
      <w:r w:rsidRPr="0013795A">
        <w:rPr>
          <w:color w:val="171717" w:themeColor="background2" w:themeShade="1A"/>
        </w:rPr>
        <w:t xml:space="preserve"> </w:t>
      </w:r>
      <w:r w:rsidR="00B31967" w:rsidRPr="0013795A">
        <w:rPr>
          <w:color w:val="171717" w:themeColor="background2" w:themeShade="1A"/>
        </w:rPr>
        <w:t xml:space="preserve">Jacobson had claimed that both himself and his son had adverse reactions to earlier vaccinations and that the mandatory vaccine was an invasion of his privacy.  </w:t>
      </w:r>
      <w:r w:rsidRPr="0013795A">
        <w:rPr>
          <w:color w:val="171717" w:themeColor="background2" w:themeShade="1A"/>
        </w:rPr>
        <w:t xml:space="preserve"> </w:t>
      </w:r>
      <w:r w:rsidR="00B31967" w:rsidRPr="0013795A">
        <w:rPr>
          <w:color w:val="171717" w:themeColor="background2" w:themeShade="1A"/>
        </w:rPr>
        <w:t xml:space="preserve">After being fined $5 for refusal of the vaccine Jacobson took his case to the United States Supreme Court where it was ruled that it was within a state’s police power to enact legislation to protect the health, safety, and morals of its citizenry, including requiring vaccinations. </w:t>
      </w:r>
      <w:r w:rsidRPr="0013795A">
        <w:rPr>
          <w:color w:val="171717" w:themeColor="background2" w:themeShade="1A"/>
        </w:rPr>
        <w:fldChar w:fldCharType="begin"/>
      </w:r>
      <w:r w:rsidRPr="0013795A">
        <w:rPr>
          <w:color w:val="171717" w:themeColor="background2" w:themeShade="1A"/>
        </w:rPr>
        <w:instrText xml:space="preserve"> ADDIN EN.CITE &lt;EndNote&gt;&lt;Cite&gt;&lt;Year&gt;1905&lt;/Year&gt;&lt;RecNum&gt;3&lt;/RecNum&gt;&lt;DisplayText&gt;(&amp;quot;Jacobson v. Massachusetts,&amp;quot; 1905)&lt;/DisplayText&gt;&lt;record&gt;&lt;rec-number&gt;3&lt;/rec-number&gt;&lt;foreign-keys&gt;&lt;key app="EN" db-id="s50wv0fdiwsvs9ewxr65pdzf5ssrp9xr5zar" timestamp="1453311373"&gt;3&lt;/key&gt;&lt;/foreign-keys&gt;&lt;ref-type name="Case"&gt;7&lt;/ref-type&gt;&lt;contributors&gt;&lt;/contributors&gt;&lt;titles&gt;&lt;title&gt;Jacobson v. Massachusetts&lt;/title&gt;&lt;secondary-title&gt;197 U.S. 11&lt;/secondary-title&gt;&lt;/titles&gt;&lt;volume&gt;70&lt;/volume&gt;&lt;dates&gt;&lt;year&gt;1905&lt;/year&gt;&lt;pub-dates&gt;&lt;date&gt;February 20, 1905&lt;/date&gt;&lt;/pub-dates&gt;&lt;/dates&gt;&lt;publisher&gt;U.S. Supreme Court&lt;/publisher&gt;&lt;urls&gt;&lt;related-urls&gt;&lt;url&gt;https://supreme.justia.com/cases/federal/us/197/11/case.html)&lt;/url&gt;&lt;/related-urls&gt;&lt;/urls&gt;&lt;remote-database-name&gt;JUSTIA&lt;/remote-database-name&gt;&lt;access-date&gt;1/15/16&lt;/access-date&gt;&lt;/record&gt;&lt;/Cite&gt;&lt;/EndNote&gt;</w:instrText>
      </w:r>
      <w:r w:rsidRPr="0013795A">
        <w:rPr>
          <w:color w:val="171717" w:themeColor="background2" w:themeShade="1A"/>
        </w:rPr>
        <w:fldChar w:fldCharType="separate"/>
      </w:r>
      <w:r w:rsidRPr="0013795A">
        <w:rPr>
          <w:noProof/>
          <w:color w:val="171717" w:themeColor="background2" w:themeShade="1A"/>
        </w:rPr>
        <w:t>("Jacobson v. Massachusetts," 1905)</w:t>
      </w:r>
      <w:r w:rsidRPr="0013795A">
        <w:rPr>
          <w:color w:val="171717" w:themeColor="background2" w:themeShade="1A"/>
        </w:rPr>
        <w:fldChar w:fldCharType="end"/>
      </w:r>
      <w:r w:rsidR="00626CBA" w:rsidRPr="0013795A">
        <w:rPr>
          <w:color w:val="171717" w:themeColor="background2" w:themeShade="1A"/>
        </w:rPr>
        <w:t>.</w:t>
      </w:r>
    </w:p>
    <w:p w:rsidR="00F1132E" w:rsidRPr="0013795A" w:rsidRDefault="00953C1A" w:rsidP="00D60E99">
      <w:pPr>
        <w:rPr>
          <w:color w:val="171717" w:themeColor="background2" w:themeShade="1A"/>
        </w:rPr>
      </w:pPr>
      <w:r w:rsidRPr="0013795A">
        <w:rPr>
          <w:color w:val="171717" w:themeColor="background2" w:themeShade="1A"/>
        </w:rPr>
        <w:t>W</w:t>
      </w:r>
      <w:r w:rsidR="00F1132E" w:rsidRPr="0013795A">
        <w:rPr>
          <w:color w:val="171717" w:themeColor="background2" w:themeShade="1A"/>
        </w:rPr>
        <w:t>hat exactly constitutes a religious exemption?  Must the individual, or parent of the individual, claiming religious exemption be an active member of a religious organization, or does it suffice that they claim a vaccination is against their religious or spiritual beliefs?  While some states define religious exemptions more broadly</w:t>
      </w:r>
      <w:r w:rsidRPr="0013795A">
        <w:rPr>
          <w:color w:val="171717" w:themeColor="background2" w:themeShade="1A"/>
        </w:rPr>
        <w:t>,</w:t>
      </w:r>
      <w:r w:rsidR="00F1132E" w:rsidRPr="0013795A">
        <w:rPr>
          <w:color w:val="171717" w:themeColor="background2" w:themeShade="1A"/>
        </w:rPr>
        <w:t xml:space="preserve"> others require a “written tenet prohibiting vaccination or other invasive medical procedures” from the church from which the individual claiming the exemption is a member of (“Vaccine Laws," 2016).  State laws differ in what proof is necessary to file an exemption for sincerely held religious or spiritual beliefs.  Some allow the parent to sign a notarized statement attesting to their religious beliefs against vaccination while others go a step further by requiring a signed affidavit from the pastor or spiritual advisor (“Vaccine Laws," 2016).</w:t>
      </w:r>
      <w:r w:rsidR="003708FA" w:rsidRPr="0013795A">
        <w:rPr>
          <w:color w:val="171717" w:themeColor="background2" w:themeShade="1A"/>
        </w:rPr>
        <w:t xml:space="preserve">  In the case of </w:t>
      </w:r>
      <w:r w:rsidR="003708FA" w:rsidRPr="0013795A">
        <w:rPr>
          <w:color w:val="171717" w:themeColor="background2" w:themeShade="1A"/>
          <w:u w:val="single"/>
        </w:rPr>
        <w:t>McCarthy v. Boozman</w:t>
      </w:r>
      <w:r w:rsidR="003708FA" w:rsidRPr="0013795A">
        <w:rPr>
          <w:color w:val="171717" w:themeColor="background2" w:themeShade="1A"/>
        </w:rPr>
        <w:t xml:space="preserve"> “the parent sued alleging that the religious exemption scheme unconstitutionally infringed on his First Amendment rights” after his request for a religious exemption for his child was denied because he was not a member of a recognized religious sect.  The Supreme Court had previously upheld that “a law which on its </w:t>
      </w:r>
      <w:r w:rsidR="003708FA" w:rsidRPr="0013795A">
        <w:rPr>
          <w:color w:val="171717" w:themeColor="background2" w:themeShade="1A"/>
        </w:rPr>
        <w:lastRenderedPageBreak/>
        <w:t>face grants a denominational preference may only be justified by a compelling state interest” and because no compelling interest could be found the court struck down</w:t>
      </w:r>
      <w:r w:rsidR="00D60E99" w:rsidRPr="0013795A">
        <w:rPr>
          <w:color w:val="171717" w:themeColor="background2" w:themeShade="1A"/>
        </w:rPr>
        <w:t xml:space="preserve"> the religious exemption scheme </w:t>
      </w:r>
      <w:r w:rsidR="00D60E99" w:rsidRPr="0013795A">
        <w:rPr>
          <w:color w:val="171717" w:themeColor="background2" w:themeShade="1A"/>
        </w:rPr>
        <w:fldChar w:fldCharType="begin"/>
      </w:r>
      <w:r w:rsidR="00D60E99" w:rsidRPr="0013795A">
        <w:rPr>
          <w:color w:val="171717" w:themeColor="background2" w:themeShade="1A"/>
        </w:rPr>
        <w:instrText xml:space="preserve"> ADDIN EN.CITE &lt;EndNote&gt;&lt;Cite&gt;&lt;Year&gt;2002&lt;/Year&gt;&lt;RecNum&gt;36&lt;/RecNum&gt;&lt;DisplayText&gt;(&amp;quot;McCarthy v. Boozman,&amp;quot; 2002)&lt;/DisplayText&gt;&lt;record&gt;&lt;rec-number&gt;36&lt;/rec-number&gt;&lt;foreign-keys&gt;&lt;key app="EN" db-id="s50wv0fdiwsvs9ewxr65pdzf5ssrp9xr5zar" timestamp="1459713723"&gt;36&lt;/key&gt;&lt;/foreign-keys&gt;&lt;ref-type name="Case"&gt;7&lt;/ref-type&gt;&lt;contributors&gt;&lt;/contributors&gt;&lt;titles&gt;&lt;title&gt;McCarthy v. Boozman&lt;/title&gt;&lt;/titles&gt;&lt;volume&gt;Supp. 2d 945&lt;/volume&gt;&lt;num-vols&gt;(W.D. Ark. 2002)&lt;/num-vols&gt;&lt;dates&gt;&lt;year&gt;2002&lt;/year&gt;&lt;pub-dates&gt;&lt;date&gt;July 25&lt;/date&gt;&lt;/pub-dates&gt;&lt;/dates&gt;&lt;publisher&gt;The United States District Court Western District of Arkansas&lt;/publisher&gt;&lt;urls&gt;&lt;/urls&gt;&lt;/record&gt;&lt;/Cite&gt;&lt;/EndNote&gt;</w:instrText>
      </w:r>
      <w:r w:rsidR="00D60E99" w:rsidRPr="0013795A">
        <w:rPr>
          <w:color w:val="171717" w:themeColor="background2" w:themeShade="1A"/>
        </w:rPr>
        <w:fldChar w:fldCharType="separate"/>
      </w:r>
      <w:r w:rsidR="00D60E99" w:rsidRPr="0013795A">
        <w:rPr>
          <w:color w:val="171717" w:themeColor="background2" w:themeShade="1A"/>
        </w:rPr>
        <w:t>("McCarthy v. Boozman," 2002)</w:t>
      </w:r>
      <w:r w:rsidR="00D60E99" w:rsidRPr="0013795A">
        <w:rPr>
          <w:color w:val="171717" w:themeColor="background2" w:themeShade="1A"/>
        </w:rPr>
        <w:fldChar w:fldCharType="end"/>
      </w:r>
      <w:r w:rsidR="00D60E99" w:rsidRPr="0013795A">
        <w:rPr>
          <w:color w:val="171717" w:themeColor="background2" w:themeShade="1A"/>
        </w:rPr>
        <w:t>.</w:t>
      </w:r>
    </w:p>
    <w:p w:rsidR="00F1132E" w:rsidRPr="0013795A" w:rsidRDefault="00F1132E" w:rsidP="00F1132E">
      <w:pPr>
        <w:ind w:firstLine="0"/>
        <w:rPr>
          <w:i/>
          <w:color w:val="171717" w:themeColor="background2" w:themeShade="1A"/>
        </w:rPr>
      </w:pPr>
      <w:r w:rsidRPr="0013795A">
        <w:rPr>
          <w:i/>
          <w:color w:val="171717" w:themeColor="background2" w:themeShade="1A"/>
        </w:rPr>
        <w:t>Philosophical Exemptions</w:t>
      </w:r>
    </w:p>
    <w:p w:rsidR="00D60E99" w:rsidRPr="0013795A" w:rsidRDefault="00F1132E" w:rsidP="00652059">
      <w:pPr>
        <w:ind w:firstLine="360"/>
        <w:rPr>
          <w:color w:val="171717" w:themeColor="background2" w:themeShade="1A"/>
        </w:rPr>
      </w:pPr>
      <w:r w:rsidRPr="0013795A">
        <w:rPr>
          <w:color w:val="171717" w:themeColor="background2" w:themeShade="1A"/>
        </w:rPr>
        <w:t>Philosophical exemptions, often referred to as conscientious or personal belief exemptions, are allowab</w:t>
      </w:r>
      <w:r w:rsidR="00652059" w:rsidRPr="0013795A">
        <w:rPr>
          <w:color w:val="171717" w:themeColor="background2" w:themeShade="1A"/>
        </w:rPr>
        <w:t>le in the following 17 states: Arizona, Arkansas, California, Colorado, Idaho, Louisiana, Maine, Michigan, Minnesota, North Dakota, Ohio, Oklahoma, Texas, Utah, Vermont, Washington, Wisconsin.</w:t>
      </w:r>
    </w:p>
    <w:p w:rsidR="00F1132E" w:rsidRPr="0013795A" w:rsidRDefault="00F1132E" w:rsidP="002E41E9">
      <w:pPr>
        <w:rPr>
          <w:color w:val="171717" w:themeColor="background2" w:themeShade="1A"/>
        </w:rPr>
      </w:pPr>
      <w:r w:rsidRPr="0013795A">
        <w:rPr>
          <w:color w:val="171717" w:themeColor="background2" w:themeShade="1A"/>
        </w:rPr>
        <w:t>Some states</w:t>
      </w:r>
      <w:r w:rsidR="00953C1A" w:rsidRPr="0013795A">
        <w:rPr>
          <w:color w:val="171717" w:themeColor="background2" w:themeShade="1A"/>
        </w:rPr>
        <w:t xml:space="preserve">, </w:t>
      </w:r>
      <w:r w:rsidRPr="0013795A">
        <w:rPr>
          <w:color w:val="171717" w:themeColor="background2" w:themeShade="1A"/>
        </w:rPr>
        <w:t>require parents or children old enough to give consent to object to receiving all vaccines, not just one or two in particular.  Other states</w:t>
      </w:r>
      <w:r w:rsidR="00D60E99" w:rsidRPr="0013795A">
        <w:rPr>
          <w:color w:val="171717" w:themeColor="background2" w:themeShade="1A"/>
        </w:rPr>
        <w:t>, such as Washington and Oregon,</w:t>
      </w:r>
      <w:r w:rsidRPr="0013795A">
        <w:rPr>
          <w:color w:val="171717" w:themeColor="background2" w:themeShade="1A"/>
        </w:rPr>
        <w:t xml:space="preserve"> require a signature from a medical doctor or other state-designated healthcare worker in order to file for an exemption</w:t>
      </w:r>
      <w:r w:rsidR="00D60E99" w:rsidRPr="0013795A">
        <w:rPr>
          <w:color w:val="171717" w:themeColor="background2" w:themeShade="1A"/>
        </w:rPr>
        <w:t>.  Oregon takes it another step further and</w:t>
      </w:r>
      <w:r w:rsidRPr="0013795A">
        <w:rPr>
          <w:color w:val="171717" w:themeColor="background2" w:themeShade="1A"/>
        </w:rPr>
        <w:t xml:space="preserve"> </w:t>
      </w:r>
      <w:r w:rsidR="00D60E99" w:rsidRPr="0013795A">
        <w:rPr>
          <w:color w:val="171717" w:themeColor="background2" w:themeShade="1A"/>
        </w:rPr>
        <w:t>requires those filing for exemption</w:t>
      </w:r>
      <w:r w:rsidRPr="0013795A">
        <w:rPr>
          <w:color w:val="171717" w:themeColor="background2" w:themeShade="1A"/>
        </w:rPr>
        <w:t xml:space="preserve"> to complete a vaccine education program </w:t>
      </w:r>
      <w:r w:rsidRPr="0013795A">
        <w:rPr>
          <w:color w:val="171717" w:themeColor="background2" w:themeShade="1A"/>
        </w:rPr>
        <w:fldChar w:fldCharType="begin"/>
      </w:r>
      <w:r w:rsidRPr="0013795A">
        <w:rPr>
          <w:color w:val="171717" w:themeColor="background2" w:themeShade="1A"/>
        </w:rPr>
        <w:instrText xml:space="preserve"> ADDIN EN.CITE &lt;EndNote&gt;&lt;Cite&gt;&lt;Year&gt;2016&lt;/Year&gt;&lt;RecNum&gt;2&lt;/RecNum&gt;&lt;DisplayText&gt;(&amp;quot;Vaccine Laws,&amp;quot; 2016)&lt;/DisplayText&gt;&lt;record&gt;&lt;rec-number&gt;2&lt;/rec-number&gt;&lt;foreign-keys&gt;&lt;key app="EN" db-id="s50wv0fdiwsvs9ewxr65pdzf5ssrp9xr5zar" timestamp="1453310903"&gt;2&lt;/key&gt;&lt;/foreign-keys&gt;&lt;ref-type name="Web Page"&gt;12&lt;/ref-type&gt;&lt;contributors&gt;&lt;/contributors&gt;&lt;titles&gt;&lt;title&gt;Vaccine Laws&lt;/title&gt;&lt;/titles&gt;&lt;volume&gt;2016&lt;/volume&gt;&lt;number&gt;1/15&lt;/number&gt;&lt;dates&gt;&lt;year&gt;2016&lt;/year&gt;&lt;/dates&gt;&lt;pub-location&gt;Virginia&lt;/pub-location&gt;&lt;publisher&gt;National Vaccine Information Center&lt;/publisher&gt;&lt;urls&gt;&lt;related-urls&gt;&lt;url&gt;http://www.nvic.org/vaccine-laws.aspx&lt;/url&gt;&lt;/related-urls&gt;&lt;/urls&gt;&lt;/record&gt;&lt;/Cite&gt;&lt;/EndNote&gt;</w:instrText>
      </w:r>
      <w:r w:rsidRPr="0013795A">
        <w:rPr>
          <w:color w:val="171717" w:themeColor="background2" w:themeShade="1A"/>
        </w:rPr>
        <w:fldChar w:fldCharType="separate"/>
      </w:r>
      <w:r w:rsidRPr="0013795A">
        <w:rPr>
          <w:color w:val="171717" w:themeColor="background2" w:themeShade="1A"/>
        </w:rPr>
        <w:t>("Vaccine Laws," 2016)</w:t>
      </w:r>
      <w:r w:rsidRPr="0013795A">
        <w:rPr>
          <w:color w:val="171717" w:themeColor="background2" w:themeShade="1A"/>
        </w:rPr>
        <w:fldChar w:fldCharType="end"/>
      </w:r>
      <w:r w:rsidRPr="0013795A">
        <w:rPr>
          <w:color w:val="171717" w:themeColor="background2" w:themeShade="1A"/>
        </w:rPr>
        <w:t>.</w:t>
      </w:r>
      <w:r w:rsidR="00D60E99" w:rsidRPr="0013795A">
        <w:rPr>
          <w:color w:val="171717" w:themeColor="background2" w:themeShade="1A"/>
        </w:rPr>
        <w:t xml:space="preserve">  As of 2015 </w:t>
      </w:r>
      <w:r w:rsidR="002E41E9" w:rsidRPr="0013795A">
        <w:rPr>
          <w:color w:val="171717" w:themeColor="background2" w:themeShade="1A"/>
        </w:rPr>
        <w:t xml:space="preserve">California and Vermont enacted legislation to repeal personal belief or philosophical exemptions, which in California will also include religious exemptions.  The new laws will go into effect on July 1, 2016 </w:t>
      </w:r>
      <w:r w:rsidR="002E41E9" w:rsidRPr="0013795A">
        <w:rPr>
          <w:color w:val="171717" w:themeColor="background2" w:themeShade="1A"/>
        </w:rPr>
        <w:fldChar w:fldCharType="begin"/>
      </w:r>
      <w:r w:rsidR="002E41E9" w:rsidRPr="0013795A">
        <w:rPr>
          <w:color w:val="171717" w:themeColor="background2" w:themeShade="1A"/>
        </w:rPr>
        <w:instrText xml:space="preserve"> ADDIN EN.CITE &lt;EndNote&gt;&lt;Cite&gt;&lt;Author&gt;Legislators&lt;/Author&gt;&lt;Year&gt;2016&lt;/Year&gt;&lt;RecNum&gt;37&lt;/RecNum&gt;&lt;DisplayText&gt;(Legislators, 2016)&lt;/DisplayText&gt;&lt;record&gt;&lt;rec-number&gt;37&lt;/rec-number&gt;&lt;foreign-keys&gt;&lt;key app="EN" db-id="s50wv0fdiwsvs9ewxr65pdzf5ssrp9xr5zar" timestamp="1459714498"&gt;37&lt;/key&gt;&lt;/foreign-keys&gt;&lt;ref-type name="Web Page"&gt;12&lt;/ref-type&gt;&lt;contributors&gt;&lt;authors&gt;&lt;author&gt;National Conference of State Legislators&lt;/author&gt;&lt;/authors&gt;&lt;/contributors&gt;&lt;titles&gt;&lt;title&gt;States with Religious and Philosophical Exemptions from School Immunization Requirements&lt;/title&gt;&lt;/titles&gt;&lt;volume&gt;2016&lt;/volume&gt;&lt;number&gt;March 23&lt;/number&gt;&lt;dates&gt;&lt;year&gt;2016&lt;/year&gt;&lt;pub-dates&gt;&lt;date&gt;January 21&lt;/date&gt;&lt;/pub-dates&gt;&lt;/dates&gt;&lt;publisher&gt;National Conference of State Legislators&lt;/publisher&gt;&lt;urls&gt;&lt;related-urls&gt;&lt;url&gt;http://www.ncsl.org/research/health/school-immunization-exemption-state-laws.aspx&lt;/url&gt;&lt;/related-urls&gt;&lt;/urls&gt;&lt;/record&gt;&lt;/Cite&gt;&lt;/EndNote&gt;</w:instrText>
      </w:r>
      <w:r w:rsidR="002E41E9" w:rsidRPr="0013795A">
        <w:rPr>
          <w:color w:val="171717" w:themeColor="background2" w:themeShade="1A"/>
        </w:rPr>
        <w:fldChar w:fldCharType="separate"/>
      </w:r>
      <w:r w:rsidR="002E41E9" w:rsidRPr="0013795A">
        <w:rPr>
          <w:color w:val="171717" w:themeColor="background2" w:themeShade="1A"/>
        </w:rPr>
        <w:t>(Legislators, 2016)</w:t>
      </w:r>
      <w:r w:rsidR="002E41E9" w:rsidRPr="0013795A">
        <w:rPr>
          <w:color w:val="171717" w:themeColor="background2" w:themeShade="1A"/>
        </w:rPr>
        <w:fldChar w:fldCharType="end"/>
      </w:r>
      <w:r w:rsidR="002E41E9" w:rsidRPr="0013795A">
        <w:rPr>
          <w:color w:val="171717" w:themeColor="background2" w:themeShade="1A"/>
        </w:rPr>
        <w:t>.</w:t>
      </w:r>
    </w:p>
    <w:p w:rsidR="00B917F0" w:rsidRPr="0013795A" w:rsidRDefault="00F1132E" w:rsidP="00B917F0">
      <w:pPr>
        <w:pStyle w:val="Heading3"/>
        <w:rPr>
          <w:color w:val="171717" w:themeColor="background2" w:themeShade="1A"/>
        </w:rPr>
      </w:pPr>
      <w:bookmarkStart w:id="13" w:name="_Toc323241442"/>
      <w:bookmarkEnd w:id="11"/>
      <w:bookmarkEnd w:id="12"/>
      <w:r w:rsidRPr="0013795A">
        <w:rPr>
          <w:color w:val="171717" w:themeColor="background2" w:themeShade="1A"/>
        </w:rPr>
        <w:t>Herd Immunity</w:t>
      </w:r>
      <w:bookmarkEnd w:id="13"/>
      <w:r w:rsidR="00E35361" w:rsidRPr="0013795A">
        <w:rPr>
          <w:color w:val="171717" w:themeColor="background2" w:themeShade="1A"/>
        </w:rPr>
        <w:t xml:space="preserve"> </w:t>
      </w:r>
    </w:p>
    <w:p w:rsidR="00F1132E" w:rsidRPr="0013795A" w:rsidRDefault="00F1132E" w:rsidP="00D127D4">
      <w:pPr>
        <w:rPr>
          <w:color w:val="171717" w:themeColor="background2" w:themeShade="1A"/>
        </w:rPr>
      </w:pPr>
      <w:bookmarkStart w:id="14" w:name="_Toc106513532"/>
      <w:bookmarkStart w:id="15" w:name="_Toc106717790"/>
      <w:r w:rsidRPr="0013795A">
        <w:rPr>
          <w:color w:val="171717" w:themeColor="background2" w:themeShade="1A"/>
        </w:rPr>
        <w:t>When a percentage of a community is vaccinated against a specific disease</w:t>
      </w:r>
      <w:r w:rsidR="00085163" w:rsidRPr="0013795A">
        <w:rPr>
          <w:color w:val="171717" w:themeColor="background2" w:themeShade="1A"/>
        </w:rPr>
        <w:t>,</w:t>
      </w:r>
      <w:r w:rsidRPr="0013795A">
        <w:rPr>
          <w:color w:val="171717" w:themeColor="background2" w:themeShade="1A"/>
        </w:rPr>
        <w:t xml:space="preserve"> herd immunity is created.  </w:t>
      </w:r>
      <w:r w:rsidR="00085163" w:rsidRPr="0013795A">
        <w:rPr>
          <w:color w:val="171717" w:themeColor="background2" w:themeShade="1A"/>
        </w:rPr>
        <w:t>Herd immunity</w:t>
      </w:r>
      <w:r w:rsidR="004619A5" w:rsidRPr="0013795A">
        <w:rPr>
          <w:color w:val="171717" w:themeColor="background2" w:themeShade="1A"/>
        </w:rPr>
        <w:t xml:space="preserve"> </w:t>
      </w:r>
      <w:r w:rsidRPr="0013795A">
        <w:rPr>
          <w:color w:val="171717" w:themeColor="background2" w:themeShade="1A"/>
        </w:rPr>
        <w:t>limit</w:t>
      </w:r>
      <w:r w:rsidR="00085163" w:rsidRPr="0013795A">
        <w:rPr>
          <w:color w:val="171717" w:themeColor="background2" w:themeShade="1A"/>
        </w:rPr>
        <w:t>s</w:t>
      </w:r>
      <w:r w:rsidRPr="0013795A">
        <w:rPr>
          <w:color w:val="171717" w:themeColor="background2" w:themeShade="1A"/>
        </w:rPr>
        <w:t xml:space="preserve"> the spread of the disease and indirectly protects those individuals not vaccinated.  The more people vaccinated in a community the stronger the effect of the herd immunity because it is harder to maintain a chain of infection when </w:t>
      </w:r>
      <w:r w:rsidR="002E41E9" w:rsidRPr="0013795A">
        <w:rPr>
          <w:color w:val="171717" w:themeColor="background2" w:themeShade="1A"/>
        </w:rPr>
        <w:t xml:space="preserve">a certain percentage </w:t>
      </w:r>
      <w:r w:rsidRPr="0013795A">
        <w:rPr>
          <w:color w:val="171717" w:themeColor="background2" w:themeShade="1A"/>
        </w:rPr>
        <w:t xml:space="preserve">of the population is vaccinated.  The necessary percentage of the population </w:t>
      </w:r>
      <w:r w:rsidRPr="0013795A">
        <w:rPr>
          <w:color w:val="171717" w:themeColor="background2" w:themeShade="1A"/>
        </w:rPr>
        <w:lastRenderedPageBreak/>
        <w:t>vaccinated for herd immunity to exist is referred to as the herd immunity threshold.  Like most disease related aspect</w:t>
      </w:r>
      <w:r w:rsidR="00085163" w:rsidRPr="0013795A">
        <w:rPr>
          <w:color w:val="171717" w:themeColor="background2" w:themeShade="1A"/>
        </w:rPr>
        <w:t>s</w:t>
      </w:r>
      <w:r w:rsidRPr="0013795A">
        <w:rPr>
          <w:color w:val="171717" w:themeColor="background2" w:themeShade="1A"/>
        </w:rPr>
        <w:t>, this varies from disease to disease.  For some diseases</w:t>
      </w:r>
      <w:r w:rsidR="00085163" w:rsidRPr="0013795A">
        <w:rPr>
          <w:color w:val="171717" w:themeColor="background2" w:themeShade="1A"/>
        </w:rPr>
        <w:t>,</w:t>
      </w:r>
      <w:r w:rsidRPr="0013795A">
        <w:rPr>
          <w:color w:val="171717" w:themeColor="background2" w:themeShade="1A"/>
        </w:rPr>
        <w:t xml:space="preserve"> herd immunity </w:t>
      </w:r>
      <w:r w:rsidR="00085163" w:rsidRPr="0013795A">
        <w:rPr>
          <w:color w:val="171717" w:themeColor="background2" w:themeShade="1A"/>
        </w:rPr>
        <w:t>occurs when</w:t>
      </w:r>
      <w:r w:rsidR="004619A5" w:rsidRPr="0013795A">
        <w:rPr>
          <w:color w:val="171717" w:themeColor="background2" w:themeShade="1A"/>
        </w:rPr>
        <w:t xml:space="preserve"> </w:t>
      </w:r>
      <w:r w:rsidRPr="0013795A">
        <w:rPr>
          <w:color w:val="171717" w:themeColor="background2" w:themeShade="1A"/>
        </w:rPr>
        <w:t>as little as 40% of the population vaccinated whereas for others vaccination rates may need to be upwards of 80% for herd immunity to exist</w:t>
      </w:r>
      <w:r w:rsidR="00F321F2" w:rsidRPr="0013795A">
        <w:rPr>
          <w:color w:val="171717" w:themeColor="background2" w:themeShade="1A"/>
        </w:rPr>
        <w:t xml:space="preserve">, this depends on the contagiousness of a disease.  </w:t>
      </w:r>
      <w:r w:rsidR="00B75042" w:rsidRPr="0013795A">
        <w:rPr>
          <w:color w:val="171717" w:themeColor="background2" w:themeShade="1A"/>
        </w:rPr>
        <w:t>For instance due to the high infectivity of measles, 19 out of every 20 people need to be vaccinated against it for herd immunity to occur</w:t>
      </w:r>
      <w:r w:rsidR="00D127D4" w:rsidRPr="0013795A">
        <w:rPr>
          <w:color w:val="171717" w:themeColor="background2" w:themeShade="1A"/>
        </w:rPr>
        <w:t xml:space="preserve"> </w:t>
      </w:r>
      <w:r w:rsidR="00D127D4" w:rsidRPr="0013795A">
        <w:rPr>
          <w:color w:val="171717" w:themeColor="background2" w:themeShade="1A"/>
        </w:rPr>
        <w:fldChar w:fldCharType="begin"/>
      </w:r>
      <w:r w:rsidR="00D127D4" w:rsidRPr="0013795A">
        <w:rPr>
          <w:color w:val="171717" w:themeColor="background2" w:themeShade="1A"/>
        </w:rPr>
        <w:instrText xml:space="preserve"> ADDIN EN.CITE &lt;EndNote&gt;&lt;Cite&gt;&lt;Year&gt;2015&lt;/Year&gt;&lt;RecNum&gt;27&lt;/RecNum&gt;&lt;DisplayText&gt;(&amp;quot;Community Immunity,&amp;quot; 2015)&lt;/DisplayText&gt;&lt;record&gt;&lt;rec-number&gt;27&lt;/rec-number&gt;&lt;foreign-keys&gt;&lt;key app="EN" db-id="s50wv0fdiwsvs9ewxr65pdzf5ssrp9xr5zar" timestamp="1455730874"&gt;27&lt;/key&gt;&lt;/foreign-keys&gt;&lt;ref-type name="Web Page"&gt;12&lt;/ref-type&gt;&lt;contributors&gt;&lt;/contributors&gt;&lt;titles&gt;&lt;title&gt;Community Immunity&lt;/title&gt;&lt;/titles&gt;&lt;volume&gt;2016&lt;/volume&gt;&lt;number&gt;January 23&lt;/number&gt;&lt;dates&gt;&lt;year&gt;2015&lt;/year&gt;&lt;pub-dates&gt;&lt;date&gt;April 16&lt;/date&gt;&lt;/pub-dates&gt;&lt;/dates&gt;&lt;publisher&gt;vaccines.gov&lt;/publisher&gt;&lt;urls&gt;&lt;related-urls&gt;&lt;url&gt;http://www.vaccines.gov/basics/protection/&lt;/url&gt;&lt;/related-urls&gt;&lt;/urls&gt;&lt;/record&gt;&lt;/Cite&gt;&lt;/EndNote&gt;</w:instrText>
      </w:r>
      <w:r w:rsidR="00D127D4" w:rsidRPr="0013795A">
        <w:rPr>
          <w:color w:val="171717" w:themeColor="background2" w:themeShade="1A"/>
        </w:rPr>
        <w:fldChar w:fldCharType="separate"/>
      </w:r>
      <w:r w:rsidR="00D127D4" w:rsidRPr="0013795A">
        <w:rPr>
          <w:color w:val="171717" w:themeColor="background2" w:themeShade="1A"/>
        </w:rPr>
        <w:t>("Community Immunity," 2015)</w:t>
      </w:r>
      <w:r w:rsidR="00D127D4" w:rsidRPr="0013795A">
        <w:rPr>
          <w:color w:val="171717" w:themeColor="background2" w:themeShade="1A"/>
        </w:rPr>
        <w:fldChar w:fldCharType="end"/>
      </w:r>
      <w:r w:rsidRPr="0013795A">
        <w:rPr>
          <w:color w:val="171717" w:themeColor="background2" w:themeShade="1A"/>
        </w:rPr>
        <w:t>.</w:t>
      </w:r>
    </w:p>
    <w:p w:rsidR="00F1132E" w:rsidRPr="0013795A" w:rsidRDefault="00F1132E" w:rsidP="00D127D4">
      <w:pPr>
        <w:rPr>
          <w:color w:val="171717" w:themeColor="background2" w:themeShade="1A"/>
        </w:rPr>
      </w:pPr>
      <w:r w:rsidRPr="0013795A">
        <w:rPr>
          <w:color w:val="171717" w:themeColor="background2" w:themeShade="1A"/>
        </w:rPr>
        <w:t>If, on the other hand, a disease enters a community where immunization is lacking many members may become infected</w:t>
      </w:r>
      <w:r w:rsidR="002E41E9" w:rsidRPr="0013795A">
        <w:rPr>
          <w:color w:val="171717" w:themeColor="background2" w:themeShade="1A"/>
        </w:rPr>
        <w:t>, potentially including some of whom had received a vaccination</w:t>
      </w:r>
      <w:r w:rsidRPr="0013795A">
        <w:rPr>
          <w:color w:val="171717" w:themeColor="background2" w:themeShade="1A"/>
        </w:rPr>
        <w:t>.</w:t>
      </w:r>
      <w:r w:rsidR="00B75042" w:rsidRPr="0013795A">
        <w:rPr>
          <w:color w:val="171717" w:themeColor="background2" w:themeShade="1A"/>
        </w:rPr>
        <w:t xml:space="preserve">  Only 99.7% of those who receive the MMR vaccine are immune to measles, meaning there is still a small amount of vaccinated individuals who may still be susceptible to the disease if an outbreak occurs.</w:t>
      </w:r>
      <w:r w:rsidRPr="0013795A">
        <w:rPr>
          <w:color w:val="171717" w:themeColor="background2" w:themeShade="1A"/>
        </w:rPr>
        <w:t xml:space="preserve">  An individual’s immune system largely impacts their susceptibility to disease.  For instance a very young child or the elderly may be more susceptible due to defects in their immune system</w:t>
      </w:r>
      <w:r w:rsidR="00D127D4" w:rsidRPr="0013795A">
        <w:rPr>
          <w:color w:val="171717" w:themeColor="background2" w:themeShade="1A"/>
        </w:rPr>
        <w:t xml:space="preserve"> </w:t>
      </w:r>
      <w:r w:rsidR="00D127D4" w:rsidRPr="0013795A">
        <w:rPr>
          <w:color w:val="171717" w:themeColor="background2" w:themeShade="1A"/>
        </w:rPr>
        <w:fldChar w:fldCharType="begin"/>
      </w:r>
      <w:r w:rsidR="00D127D4" w:rsidRPr="0013795A">
        <w:rPr>
          <w:color w:val="171717" w:themeColor="background2" w:themeShade="1A"/>
        </w:rPr>
        <w:instrText xml:space="preserve"> ADDIN EN.CITE &lt;EndNote&gt;&lt;Cite&gt;&lt;Year&gt;2015&lt;/Year&gt;&lt;RecNum&gt;27&lt;/RecNum&gt;&lt;DisplayText&gt;(&amp;quot;Community Immunity,&amp;quot; 2015)&lt;/DisplayText&gt;&lt;record&gt;&lt;rec-number&gt;27&lt;/rec-number&gt;&lt;foreign-keys&gt;&lt;key app="EN" db-id="s50wv0fdiwsvs9ewxr65pdzf5ssrp9xr5zar" timestamp="1455730874"&gt;27&lt;/key&gt;&lt;/foreign-keys&gt;&lt;ref-type name="Web Page"&gt;12&lt;/ref-type&gt;&lt;contributors&gt;&lt;/contributors&gt;&lt;titles&gt;&lt;title&gt;Community Immunity&lt;/title&gt;&lt;/titles&gt;&lt;volume&gt;2016&lt;/volume&gt;&lt;number&gt;January 23&lt;/number&gt;&lt;dates&gt;&lt;year&gt;2015&lt;/year&gt;&lt;pub-dates&gt;&lt;date&gt;April 16&lt;/date&gt;&lt;/pub-dates&gt;&lt;/dates&gt;&lt;publisher&gt;vaccines.gov&lt;/publisher&gt;&lt;urls&gt;&lt;related-urls&gt;&lt;url&gt;http://www.vaccines.gov/basics/protection/&lt;/url&gt;&lt;/related-urls&gt;&lt;/urls&gt;&lt;/record&gt;&lt;/Cite&gt;&lt;/EndNote&gt;</w:instrText>
      </w:r>
      <w:r w:rsidR="00D127D4" w:rsidRPr="0013795A">
        <w:rPr>
          <w:color w:val="171717" w:themeColor="background2" w:themeShade="1A"/>
        </w:rPr>
        <w:fldChar w:fldCharType="separate"/>
      </w:r>
      <w:r w:rsidR="00D127D4" w:rsidRPr="0013795A">
        <w:rPr>
          <w:color w:val="171717" w:themeColor="background2" w:themeShade="1A"/>
        </w:rPr>
        <w:t>("Community Immunity," 2015)</w:t>
      </w:r>
      <w:r w:rsidR="00D127D4" w:rsidRPr="0013795A">
        <w:rPr>
          <w:color w:val="171717" w:themeColor="background2" w:themeShade="1A"/>
        </w:rPr>
        <w:fldChar w:fldCharType="end"/>
      </w:r>
      <w:r w:rsidRPr="0013795A">
        <w:rPr>
          <w:color w:val="171717" w:themeColor="background2" w:themeShade="1A"/>
        </w:rPr>
        <w:t>.  It is also important to note that not all of those unvaccinated made the choice to do so.  Some individuals may be forced to forgo vaccinations due to medical restrictions</w:t>
      </w:r>
      <w:r w:rsidR="002E41E9" w:rsidRPr="0013795A">
        <w:rPr>
          <w:color w:val="171717" w:themeColor="background2" w:themeShade="1A"/>
        </w:rPr>
        <w:t>, such as compromised immune systems or known allergies,</w:t>
      </w:r>
      <w:r w:rsidRPr="0013795A">
        <w:rPr>
          <w:color w:val="171717" w:themeColor="background2" w:themeShade="1A"/>
        </w:rPr>
        <w:t xml:space="preserve"> and therefore rely on herd immunity to protect them from disease.  If herd immunity does not exist within their community they are not indirectly protected and run a much higher risk of becoming infected.</w:t>
      </w:r>
    </w:p>
    <w:p w:rsidR="00B917F0" w:rsidRPr="0013795A" w:rsidRDefault="00000136" w:rsidP="00B917F0">
      <w:pPr>
        <w:pStyle w:val="Heading1"/>
        <w:rPr>
          <w:color w:val="171717" w:themeColor="background2" w:themeShade="1A"/>
        </w:rPr>
      </w:pPr>
      <w:bookmarkStart w:id="16" w:name="_Toc323241443"/>
      <w:bookmarkEnd w:id="14"/>
      <w:bookmarkEnd w:id="15"/>
      <w:r w:rsidRPr="0013795A">
        <w:rPr>
          <w:color w:val="171717" w:themeColor="background2" w:themeShade="1A"/>
        </w:rPr>
        <w:lastRenderedPageBreak/>
        <w:t>literature review</w:t>
      </w:r>
      <w:bookmarkEnd w:id="16"/>
    </w:p>
    <w:p w:rsidR="008049E1" w:rsidRPr="0013795A" w:rsidRDefault="008049E1" w:rsidP="008049E1">
      <w:pPr>
        <w:rPr>
          <w:color w:val="171717" w:themeColor="background2" w:themeShade="1A"/>
        </w:rPr>
      </w:pPr>
      <w:r w:rsidRPr="0013795A">
        <w:rPr>
          <w:color w:val="171717" w:themeColor="background2" w:themeShade="1A"/>
        </w:rPr>
        <w:t>Many studies have been conducted to test the relationship between vaccination laws, exemptions rates, and disease outbreaks within the US.  Although the findings vary slightly</w:t>
      </w:r>
      <w:r w:rsidR="00085163" w:rsidRPr="0013795A">
        <w:rPr>
          <w:color w:val="171717" w:themeColor="background2" w:themeShade="1A"/>
        </w:rPr>
        <w:t>,</w:t>
      </w:r>
      <w:r w:rsidRPr="0013795A">
        <w:rPr>
          <w:color w:val="171717" w:themeColor="background2" w:themeShade="1A"/>
        </w:rPr>
        <w:t xml:space="preserve"> t</w:t>
      </w:r>
      <w:r w:rsidR="00B75042" w:rsidRPr="0013795A">
        <w:rPr>
          <w:color w:val="171717" w:themeColor="background2" w:themeShade="1A"/>
        </w:rPr>
        <w:t xml:space="preserve">he studies </w:t>
      </w:r>
      <w:r w:rsidRPr="0013795A">
        <w:rPr>
          <w:color w:val="171717" w:themeColor="background2" w:themeShade="1A"/>
        </w:rPr>
        <w:t xml:space="preserve">agree that there is a correlation between </w:t>
      </w:r>
      <w:r w:rsidR="00B75042" w:rsidRPr="0013795A">
        <w:rPr>
          <w:color w:val="171717" w:themeColor="background2" w:themeShade="1A"/>
        </w:rPr>
        <w:t>vaccination and exemption requirements and disease outbreaks.</w:t>
      </w:r>
      <w:r w:rsidRPr="0013795A">
        <w:rPr>
          <w:color w:val="171717" w:themeColor="background2" w:themeShade="1A"/>
        </w:rPr>
        <w:t xml:space="preserve">  This section will address previous studies and provide a detailed account of their findings as well as the methods used to investigate the </w:t>
      </w:r>
      <w:r w:rsidR="00C71319" w:rsidRPr="0013795A">
        <w:rPr>
          <w:color w:val="171717" w:themeColor="background2" w:themeShade="1A"/>
        </w:rPr>
        <w:t>correlations that were found to exist.</w:t>
      </w:r>
    </w:p>
    <w:p w:rsidR="008049E1" w:rsidRPr="0013795A" w:rsidRDefault="008049E1" w:rsidP="008049E1">
      <w:pPr>
        <w:rPr>
          <w:color w:val="171717" w:themeColor="background2" w:themeShade="1A"/>
        </w:rPr>
      </w:pPr>
      <w:r w:rsidRPr="0013795A">
        <w:rPr>
          <w:color w:val="171717" w:themeColor="background2" w:themeShade="1A"/>
        </w:rPr>
        <w:t xml:space="preserve">A systematic review published in the American Journal of Public Health </w:t>
      </w:r>
      <w:r w:rsidR="00085163" w:rsidRPr="0013795A">
        <w:rPr>
          <w:color w:val="171717" w:themeColor="background2" w:themeShade="1A"/>
        </w:rPr>
        <w:t>analyzed</w:t>
      </w:r>
      <w:r w:rsidR="001007F1" w:rsidRPr="0013795A">
        <w:rPr>
          <w:color w:val="171717" w:themeColor="background2" w:themeShade="1A"/>
        </w:rPr>
        <w:t xml:space="preserve"> </w:t>
      </w:r>
      <w:r w:rsidRPr="0013795A">
        <w:rPr>
          <w:color w:val="171717" w:themeColor="background2" w:themeShade="1A"/>
        </w:rPr>
        <w:t xml:space="preserve">school vaccination requirements and </w:t>
      </w:r>
      <w:r w:rsidR="00766954" w:rsidRPr="0013795A">
        <w:rPr>
          <w:color w:val="171717" w:themeColor="background2" w:themeShade="1A"/>
        </w:rPr>
        <w:t xml:space="preserve">the correlation of </w:t>
      </w:r>
      <w:r w:rsidRPr="0013795A">
        <w:rPr>
          <w:color w:val="171717" w:themeColor="background2" w:themeShade="1A"/>
        </w:rPr>
        <w:t xml:space="preserve">non-medical exemptions with higher incidences of vaccine preventable disease.  Four electronic databases were searched for empirical articles published between 1997 and 2013 from which the relevant data was extracted and results were synthesized.  Selected studies suggested that vaccination exemption rates are on the rise and tend to occur in clusters </w:t>
      </w:r>
      <w:r w:rsidRPr="0013795A">
        <w:rPr>
          <w:color w:val="171717" w:themeColor="background2" w:themeShade="1A"/>
        </w:rPr>
        <w:fldChar w:fldCharType="begin"/>
      </w:r>
      <w:r w:rsidRPr="0013795A">
        <w:rPr>
          <w:color w:val="171717" w:themeColor="background2" w:themeShade="1A"/>
        </w:rPr>
        <w:instrText xml:space="preserve"> ADDIN EN.CITE &lt;EndNote&gt;&lt;Cite&gt;&lt;Author&gt;Eileen Wang&lt;/Author&gt;&lt;Year&gt;2014&lt;/Year&gt;&lt;RecNum&gt;19&lt;/RecNum&gt;&lt;DisplayText&gt;(Eileen Wang, 2014)&lt;/DisplayText&gt;&lt;record&gt;&lt;rec-number&gt;19&lt;/rec-number&gt;&lt;foreign-keys&gt;&lt;key app="EN" db-id="s50wv0fdiwsvs9ewxr65pdzf5ssrp9xr5zar" timestamp="1454856309"&gt;19&lt;/key&gt;&lt;/foreign-keys&gt;&lt;ref-type name="Journal Article"&gt;17&lt;/ref-type&gt;&lt;contributors&gt;&lt;authors&gt;&lt;author&gt;Eileen Wang, Jessica Clymer, Cecilia Davis-Hayes and Alison Buttenheim&lt;/author&gt;&lt;/authors&gt;&lt;/contributors&gt;&lt;titles&gt;&lt;title&gt;Nonmedical Exemptions From School Immunization Requirements: A Systematic Review&lt;/title&gt;&lt;secondary-title&gt;American Journal of Public Health&lt;/secondary-title&gt;&lt;/titles&gt;&lt;periodical&gt;&lt;full-title&gt;American Journal of Public Health&lt;/full-title&gt;&lt;/periodical&gt;&lt;pages&gt;62-84&lt;/pages&gt;&lt;volume&gt;104&lt;/volume&gt;&lt;number&gt;11&lt;/number&gt;&lt;edition&gt;November 2014&lt;/edition&gt;&lt;section&gt;62&lt;/section&gt;&lt;dates&gt;&lt;year&gt;2014&lt;/year&gt;&lt;/dates&gt;&lt;isbn&gt;00900036&lt;/isbn&gt;&lt;accession-num&gt;25211732&lt;/accession-num&gt;&lt;work-type&gt;Systematic Review&lt;/work-type&gt;&lt;urls&gt;&lt;related-urls&gt;&lt;url&gt;http://search.proquest.com.pitt.idm.oclc.org/docview/1619995679?pq-origsite=summon&lt;/url&gt;&lt;/related-urls&gt;&lt;/urls&gt;&lt;remote-database-name&gt;PorQuest Psychology Journals&lt;/remote-database-name&gt;&lt;access-date&gt;Febuary 3&lt;/access-date&gt;&lt;/record&gt;&lt;/Cite&gt;&lt;/EndNote&gt;</w:instrText>
      </w:r>
      <w:r w:rsidRPr="0013795A">
        <w:rPr>
          <w:color w:val="171717" w:themeColor="background2" w:themeShade="1A"/>
        </w:rPr>
        <w:fldChar w:fldCharType="separate"/>
      </w:r>
      <w:r w:rsidRPr="0013795A">
        <w:rPr>
          <w:noProof/>
          <w:color w:val="171717" w:themeColor="background2" w:themeShade="1A"/>
        </w:rPr>
        <w:t>(Eileen Wang, 2014)</w:t>
      </w:r>
      <w:r w:rsidRPr="0013795A">
        <w:rPr>
          <w:color w:val="171717" w:themeColor="background2" w:themeShade="1A"/>
        </w:rPr>
        <w:fldChar w:fldCharType="end"/>
      </w:r>
      <w:r w:rsidRPr="0013795A">
        <w:rPr>
          <w:color w:val="171717" w:themeColor="background2" w:themeShade="1A"/>
        </w:rPr>
        <w:t>.   More relaxed state-level exemption mandates had a direct impact on these rates as well as individual and community disease risk.  An example mentioned in the article stated that “pertussis incidence from 1986 to 2004 was 41% higher in the 6 states that accepted parental signature as sufficient proof of immunization than in the 45 states and the District of Columbia that required medical records”</w:t>
      </w:r>
      <w:r w:rsidR="00C71319" w:rsidRPr="0013795A">
        <w:rPr>
          <w:color w:val="171717" w:themeColor="background2" w:themeShade="1A"/>
        </w:rPr>
        <w:t xml:space="preserve"> </w:t>
      </w:r>
      <w:r w:rsidR="00C71319" w:rsidRPr="0013795A">
        <w:rPr>
          <w:color w:val="171717" w:themeColor="background2" w:themeShade="1A"/>
        </w:rPr>
        <w:fldChar w:fldCharType="begin"/>
      </w:r>
      <w:r w:rsidR="00C71319" w:rsidRPr="0013795A">
        <w:rPr>
          <w:color w:val="171717" w:themeColor="background2" w:themeShade="1A"/>
        </w:rPr>
        <w:instrText xml:space="preserve"> ADDIN EN.CITE &lt;EndNote&gt;&lt;Cite&gt;&lt;Author&gt;Eileen Wang&lt;/Author&gt;&lt;Year&gt;2014&lt;/Year&gt;&lt;RecNum&gt;19&lt;/RecNum&gt;&lt;DisplayText&gt;(Eileen Wang, 2014)&lt;/DisplayText&gt;&lt;record&gt;&lt;rec-number&gt;19&lt;/rec-number&gt;&lt;foreign-keys&gt;&lt;key app="EN" db-id="s50wv0fdiwsvs9ewxr65pdzf5ssrp9xr5zar" timestamp="1454856309"&gt;19&lt;/key&gt;&lt;/foreign-keys&gt;&lt;ref-type name="Journal Article"&gt;17&lt;/ref-type&gt;&lt;contributors&gt;&lt;authors&gt;&lt;author&gt;Eileen Wang, Jessica Clymer, Cecilia Davis-Hayes and Alison Buttenheim&lt;/author&gt;&lt;/authors&gt;&lt;/contributors&gt;&lt;titles&gt;&lt;title&gt;Nonmedical Exemptions From School Immunization Requirements: A Systematic Review&lt;/title&gt;&lt;secondary-title&gt;American Journal of Public Health&lt;/secondary-title&gt;&lt;/titles&gt;&lt;periodical&gt;&lt;full-title&gt;American Journal of Public Health&lt;/full-title&gt;&lt;/periodical&gt;&lt;pages&gt;62-84&lt;/pages&gt;&lt;volume&gt;104&lt;/volume&gt;&lt;number&gt;11&lt;/number&gt;&lt;edition&gt;November 2014&lt;/edition&gt;&lt;section&gt;62&lt;/section&gt;&lt;dates&gt;&lt;year&gt;2014&lt;/year&gt;&lt;/dates&gt;&lt;isbn&gt;00900036&lt;/isbn&gt;&lt;accession-num&gt;25211732&lt;/accession-num&gt;&lt;work-type&gt;Systematic Review&lt;/work-type&gt;&lt;urls&gt;&lt;related-urls&gt;&lt;url&gt;http://search.proquest.com.pitt.idm.oclc.org/docview/1619995679?pq-origsite=summon&lt;/url&gt;&lt;/related-urls&gt;&lt;/urls&gt;&lt;remote-database-name&gt;PorQuest Psychology Journals&lt;/remote-database-name&gt;&lt;access-date&gt;Febuary 3&lt;/access-date&gt;&lt;/record&gt;&lt;/Cite&gt;&lt;/EndNote&gt;</w:instrText>
      </w:r>
      <w:r w:rsidR="00C71319" w:rsidRPr="0013795A">
        <w:rPr>
          <w:color w:val="171717" w:themeColor="background2" w:themeShade="1A"/>
        </w:rPr>
        <w:fldChar w:fldCharType="separate"/>
      </w:r>
      <w:r w:rsidR="00C71319" w:rsidRPr="0013795A">
        <w:rPr>
          <w:color w:val="171717" w:themeColor="background2" w:themeShade="1A"/>
        </w:rPr>
        <w:t>(Eileen Wang, 2014)</w:t>
      </w:r>
      <w:r w:rsidR="00C71319" w:rsidRPr="0013795A">
        <w:rPr>
          <w:color w:val="171717" w:themeColor="background2" w:themeShade="1A"/>
        </w:rPr>
        <w:fldChar w:fldCharType="end"/>
      </w:r>
      <w:r w:rsidR="00C71319" w:rsidRPr="0013795A">
        <w:rPr>
          <w:color w:val="171717" w:themeColor="background2" w:themeShade="1A"/>
        </w:rPr>
        <w:t>.</w:t>
      </w:r>
      <w:r w:rsidRPr="0013795A">
        <w:rPr>
          <w:color w:val="171717" w:themeColor="background2" w:themeShade="1A"/>
        </w:rPr>
        <w:t xml:space="preserve">  These findings suggest that exemption policies affect not only vaccination rates but disease incidence as well</w:t>
      </w:r>
      <w:r w:rsidR="00766954" w:rsidRPr="0013795A">
        <w:rPr>
          <w:color w:val="171717" w:themeColor="background2" w:themeShade="1A"/>
        </w:rPr>
        <w:t>;</w:t>
      </w:r>
      <w:r w:rsidRPr="0013795A">
        <w:rPr>
          <w:color w:val="171717" w:themeColor="background2" w:themeShade="1A"/>
        </w:rPr>
        <w:t xml:space="preserve"> however</w:t>
      </w:r>
      <w:r w:rsidR="00766954" w:rsidRPr="0013795A">
        <w:rPr>
          <w:color w:val="171717" w:themeColor="background2" w:themeShade="1A"/>
        </w:rPr>
        <w:t>,</w:t>
      </w:r>
      <w:r w:rsidRPr="0013795A">
        <w:rPr>
          <w:color w:val="171717" w:themeColor="background2" w:themeShade="1A"/>
        </w:rPr>
        <w:t xml:space="preserve"> mean vaccination rates are still above 90%.  The study also showed that while most of those who chose to exempt from vaccines questioned vaccines safety, some did so </w:t>
      </w:r>
      <w:r w:rsidRPr="0013795A">
        <w:rPr>
          <w:color w:val="171717" w:themeColor="background2" w:themeShade="1A"/>
        </w:rPr>
        <w:lastRenderedPageBreak/>
        <w:t xml:space="preserve">simply out of convenience including poor access to immunizations.  Studies were excluded if they did not refer to exemption from school mandate vaccines </w:t>
      </w:r>
      <w:r w:rsidRPr="0013795A">
        <w:rPr>
          <w:color w:val="171717" w:themeColor="background2" w:themeShade="1A"/>
        </w:rPr>
        <w:fldChar w:fldCharType="begin"/>
      </w:r>
      <w:r w:rsidRPr="0013795A">
        <w:rPr>
          <w:color w:val="171717" w:themeColor="background2" w:themeShade="1A"/>
        </w:rPr>
        <w:instrText xml:space="preserve"> ADDIN EN.CITE &lt;EndNote&gt;&lt;Cite&gt;&lt;Author&gt;Eileen Wang&lt;/Author&gt;&lt;Year&gt;2014&lt;/Year&gt;&lt;RecNum&gt;19&lt;/RecNum&gt;&lt;DisplayText&gt;(Eileen Wang, 2014)&lt;/DisplayText&gt;&lt;record&gt;&lt;rec-number&gt;19&lt;/rec-number&gt;&lt;foreign-keys&gt;&lt;key app="EN" db-id="s50wv0fdiwsvs9ewxr65pdzf5ssrp9xr5zar" timestamp="1454856309"&gt;19&lt;/key&gt;&lt;/foreign-keys&gt;&lt;ref-type name="Journal Article"&gt;17&lt;/ref-type&gt;&lt;contributors&gt;&lt;authors&gt;&lt;author&gt;Eileen Wang, Jessica Clymer, Cecilia Davis-Hayes and Alison Buttenheim&lt;/author&gt;&lt;/authors&gt;&lt;/contributors&gt;&lt;titles&gt;&lt;title&gt;Nonmedical Exemptions From School Immunization Requirements: A Systematic Review&lt;/title&gt;&lt;secondary-title&gt;American Journal of Public Health&lt;/secondary-title&gt;&lt;/titles&gt;&lt;periodical&gt;&lt;full-title&gt;American Journal of Public Health&lt;/full-title&gt;&lt;/periodical&gt;&lt;pages&gt;62-84&lt;/pages&gt;&lt;volume&gt;104&lt;/volume&gt;&lt;number&gt;11&lt;/number&gt;&lt;edition&gt;November 2014&lt;/edition&gt;&lt;section&gt;62&lt;/section&gt;&lt;dates&gt;&lt;year&gt;2014&lt;/year&gt;&lt;/dates&gt;&lt;isbn&gt;00900036&lt;/isbn&gt;&lt;accession-num&gt;25211732&lt;/accession-num&gt;&lt;work-type&gt;Systematic Review&lt;/work-type&gt;&lt;urls&gt;&lt;related-urls&gt;&lt;url&gt;http://search.proquest.com.pitt.idm.oclc.org/docview/1619995679?pq-origsite=summon&lt;/url&gt;&lt;/related-urls&gt;&lt;/urls&gt;&lt;remote-database-name&gt;PorQuest Psychology Journals&lt;/remote-database-name&gt;&lt;access-date&gt;Febuary 3&lt;/access-date&gt;&lt;/record&gt;&lt;/Cite&gt;&lt;/EndNote&gt;</w:instrText>
      </w:r>
      <w:r w:rsidRPr="0013795A">
        <w:rPr>
          <w:color w:val="171717" w:themeColor="background2" w:themeShade="1A"/>
        </w:rPr>
        <w:fldChar w:fldCharType="separate"/>
      </w:r>
      <w:r w:rsidRPr="0013795A">
        <w:rPr>
          <w:noProof/>
          <w:color w:val="171717" w:themeColor="background2" w:themeShade="1A"/>
        </w:rPr>
        <w:t>(Eileen Wang, 2014)</w:t>
      </w:r>
      <w:r w:rsidRPr="0013795A">
        <w:rPr>
          <w:color w:val="171717" w:themeColor="background2" w:themeShade="1A"/>
        </w:rPr>
        <w:fldChar w:fldCharType="end"/>
      </w:r>
      <w:r w:rsidRPr="0013795A">
        <w:rPr>
          <w:color w:val="171717" w:themeColor="background2" w:themeShade="1A"/>
        </w:rPr>
        <w:t xml:space="preserve">.  </w:t>
      </w:r>
    </w:p>
    <w:p w:rsidR="008049E1" w:rsidRPr="0013795A" w:rsidRDefault="008049E1" w:rsidP="008049E1">
      <w:pPr>
        <w:rPr>
          <w:color w:val="171717" w:themeColor="background2" w:themeShade="1A"/>
        </w:rPr>
      </w:pPr>
      <w:r w:rsidRPr="0013795A">
        <w:rPr>
          <w:color w:val="171717" w:themeColor="background2" w:themeShade="1A"/>
        </w:rPr>
        <w:t>Since the early 2000</w:t>
      </w:r>
      <w:r w:rsidR="00766954" w:rsidRPr="0013795A">
        <w:rPr>
          <w:color w:val="171717" w:themeColor="background2" w:themeShade="1A"/>
        </w:rPr>
        <w:t>’</w:t>
      </w:r>
      <w:r w:rsidRPr="0013795A">
        <w:rPr>
          <w:color w:val="171717" w:themeColor="background2" w:themeShade="1A"/>
        </w:rPr>
        <w:t>s</w:t>
      </w:r>
      <w:r w:rsidR="00766954" w:rsidRPr="0013795A">
        <w:rPr>
          <w:color w:val="171717" w:themeColor="background2" w:themeShade="1A"/>
        </w:rPr>
        <w:t>,</w:t>
      </w:r>
      <w:r w:rsidRPr="0013795A">
        <w:rPr>
          <w:color w:val="171717" w:themeColor="background2" w:themeShade="1A"/>
        </w:rPr>
        <w:t xml:space="preserve"> concerns about the safety of vaccines have begun to increase and </w:t>
      </w:r>
      <w:r w:rsidR="00766954" w:rsidRPr="0013795A">
        <w:rPr>
          <w:color w:val="171717" w:themeColor="background2" w:themeShade="1A"/>
        </w:rPr>
        <w:t xml:space="preserve">an increasing number of </w:t>
      </w:r>
      <w:r w:rsidRPr="0013795A">
        <w:rPr>
          <w:color w:val="171717" w:themeColor="background2" w:themeShade="1A"/>
        </w:rPr>
        <w:t>parents are choosing to either refuse or delay vaccines.  This hesitancy along with the increase in non-medical exemptions it caused has promoted some states to enact new exemption laws</w:t>
      </w:r>
      <w:r w:rsidR="00C71319" w:rsidRPr="0013795A">
        <w:rPr>
          <w:color w:val="171717" w:themeColor="background2" w:themeShade="1A"/>
        </w:rPr>
        <w:t xml:space="preserve"> to combat the decreasing vaccination rates</w:t>
      </w:r>
      <w:r w:rsidRPr="0013795A">
        <w:rPr>
          <w:color w:val="171717" w:themeColor="background2" w:themeShade="1A"/>
        </w:rPr>
        <w:t>.  For example, some states which previously had lenient exemption policies such as Washington and California recently took the steps to strengthen those policies by requiring a “signed statement from a health care practitioner that the parent had been informed of the risks and benefits of</w:t>
      </w:r>
      <w:r w:rsidR="00C71319" w:rsidRPr="0013795A">
        <w:rPr>
          <w:color w:val="171717" w:themeColor="background2" w:themeShade="1A"/>
        </w:rPr>
        <w:t xml:space="preserve"> immunization</w:t>
      </w:r>
      <w:r w:rsidRPr="0013795A">
        <w:rPr>
          <w:color w:val="171717" w:themeColor="background2" w:themeShade="1A"/>
        </w:rPr>
        <w:t>”</w:t>
      </w:r>
      <w:r w:rsidR="00C71319" w:rsidRPr="0013795A">
        <w:rPr>
          <w:color w:val="171717" w:themeColor="background2" w:themeShade="1A"/>
        </w:rPr>
        <w:t xml:space="preserve"> with the hopes that this new requirement would cause more parents to choose to vaccinate their children, therefore increasing vaccination rates once again </w:t>
      </w:r>
      <w:r w:rsidR="00C71319" w:rsidRPr="0013795A">
        <w:rPr>
          <w:color w:val="171717" w:themeColor="background2" w:themeShade="1A"/>
        </w:rPr>
        <w:fldChar w:fldCharType="begin"/>
      </w:r>
      <w:r w:rsidR="00C71319" w:rsidRPr="0013795A">
        <w:rPr>
          <w:color w:val="171717" w:themeColor="background2" w:themeShade="1A"/>
        </w:rPr>
        <w:instrText xml:space="preserve"> ADDIN EN.CITE &lt;EndNote&gt;&lt;Cite&gt;&lt;Author&gt;Eileen Wang&lt;/Author&gt;&lt;Year&gt;2014&lt;/Year&gt;&lt;RecNum&gt;19&lt;/RecNum&gt;&lt;DisplayText&gt;(Eileen Wang, 2014)&lt;/DisplayText&gt;&lt;record&gt;&lt;rec-number&gt;19&lt;/rec-number&gt;&lt;foreign-keys&gt;&lt;key app="EN" db-id="s50wv0fdiwsvs9ewxr65pdzf5ssrp9xr5zar" timestamp="1454856309"&gt;19&lt;/key&gt;&lt;/foreign-keys&gt;&lt;ref-type name="Journal Article"&gt;17&lt;/ref-type&gt;&lt;contributors&gt;&lt;authors&gt;&lt;author&gt;Eileen Wang, Jessica Clymer, Cecilia Davis-Hayes and Alison Buttenheim&lt;/author&gt;&lt;/authors&gt;&lt;/contributors&gt;&lt;titles&gt;&lt;title&gt;Nonmedical Exemptions From School Immunization Requirements: A Systematic Review&lt;/title&gt;&lt;secondary-title&gt;American Journal of Public Health&lt;/secondary-title&gt;&lt;/titles&gt;&lt;periodical&gt;&lt;full-title&gt;American Journal of Public Health&lt;/full-title&gt;&lt;/periodical&gt;&lt;pages&gt;62-84&lt;/pages&gt;&lt;volume&gt;104&lt;/volume&gt;&lt;number&gt;11&lt;/number&gt;&lt;edition&gt;November 2014&lt;/edition&gt;&lt;section&gt;62&lt;/section&gt;&lt;dates&gt;&lt;year&gt;2014&lt;/year&gt;&lt;/dates&gt;&lt;isbn&gt;00900036&lt;/isbn&gt;&lt;accession-num&gt;25211732&lt;/accession-num&gt;&lt;work-type&gt;Systematic Review&lt;/work-type&gt;&lt;urls&gt;&lt;related-urls&gt;&lt;url&gt;http://search.proquest.com.pitt.idm.oclc.org/docview/1619995679?pq-origsite=summon&lt;/url&gt;&lt;/related-urls&gt;&lt;/urls&gt;&lt;remote-database-name&gt;PorQuest Psychology Journals&lt;/remote-database-name&gt;&lt;access-date&gt;Febuary 3&lt;/access-date&gt;&lt;/record&gt;&lt;/Cite&gt;&lt;/EndNote&gt;</w:instrText>
      </w:r>
      <w:r w:rsidR="00C71319" w:rsidRPr="0013795A">
        <w:rPr>
          <w:color w:val="171717" w:themeColor="background2" w:themeShade="1A"/>
        </w:rPr>
        <w:fldChar w:fldCharType="separate"/>
      </w:r>
      <w:r w:rsidR="00C71319" w:rsidRPr="0013795A">
        <w:rPr>
          <w:color w:val="171717" w:themeColor="background2" w:themeShade="1A"/>
        </w:rPr>
        <w:t>(Eileen Wang, 2014)</w:t>
      </w:r>
      <w:r w:rsidR="00C71319" w:rsidRPr="0013795A">
        <w:rPr>
          <w:color w:val="171717" w:themeColor="background2" w:themeShade="1A"/>
        </w:rPr>
        <w:fldChar w:fldCharType="end"/>
      </w:r>
      <w:r w:rsidR="00C71319" w:rsidRPr="0013795A">
        <w:rPr>
          <w:color w:val="171717" w:themeColor="background2" w:themeShade="1A"/>
        </w:rPr>
        <w:t>.</w:t>
      </w:r>
      <w:r w:rsidRPr="0013795A">
        <w:rPr>
          <w:color w:val="171717" w:themeColor="background2" w:themeShade="1A"/>
        </w:rPr>
        <w:t xml:space="preserve">  Three states proposed bills to abolish or tighten non-medical exemptions in the 2011-2012 legislative cycle while other states were proposing bills to allow or expand non-medical exemptions.  This is not the only case of states expanding upon the non-medical exemptions offered.  In 2003</w:t>
      </w:r>
      <w:r w:rsidR="00766954" w:rsidRPr="0013795A">
        <w:rPr>
          <w:color w:val="171717" w:themeColor="background2" w:themeShade="1A"/>
        </w:rPr>
        <w:t>,</w:t>
      </w:r>
      <w:r w:rsidRPr="0013795A">
        <w:rPr>
          <w:color w:val="171717" w:themeColor="background2" w:themeShade="1A"/>
        </w:rPr>
        <w:t xml:space="preserve"> both Arkansas and Texas began to allow for philosophical exemptions under certain conditions </w:t>
      </w:r>
      <w:r w:rsidRPr="0013795A">
        <w:rPr>
          <w:color w:val="171717" w:themeColor="background2" w:themeShade="1A"/>
        </w:rPr>
        <w:fldChar w:fldCharType="begin"/>
      </w:r>
      <w:r w:rsidRPr="0013795A">
        <w:rPr>
          <w:color w:val="171717" w:themeColor="background2" w:themeShade="1A"/>
        </w:rPr>
        <w:instrText xml:space="preserve"> ADDIN EN.CITE &lt;EndNote&gt;&lt;Cite&gt;&lt;Author&gt;Eileen Wang&lt;/Author&gt;&lt;Year&gt;2014&lt;/Year&gt;&lt;RecNum&gt;19&lt;/RecNum&gt;&lt;DisplayText&gt;(Eileen Wang, 2014)&lt;/DisplayText&gt;&lt;record&gt;&lt;rec-number&gt;19&lt;/rec-number&gt;&lt;foreign-keys&gt;&lt;key app="EN" db-id="s50wv0fdiwsvs9ewxr65pdzf5ssrp9xr5zar" timestamp="1454856309"&gt;19&lt;/key&gt;&lt;/foreign-keys&gt;&lt;ref-type name="Journal Article"&gt;17&lt;/ref-type&gt;&lt;contributors&gt;&lt;authors&gt;&lt;author&gt;Eileen Wang, Jessica Clymer, Cecilia Davis-Hayes and Alison Buttenheim&lt;/author&gt;&lt;/authors&gt;&lt;/contributors&gt;&lt;titles&gt;&lt;title&gt;Nonmedical Exemptions From School Immunization Requirements: A Systematic Review&lt;/title&gt;&lt;secondary-title&gt;American Journal of Public Health&lt;/secondary-title&gt;&lt;/titles&gt;&lt;periodical&gt;&lt;full-title&gt;American Journal of Public Health&lt;/full-title&gt;&lt;/periodical&gt;&lt;pages&gt;62-84&lt;/pages&gt;&lt;volume&gt;104&lt;/volume&gt;&lt;number&gt;11&lt;/number&gt;&lt;edition&gt;November 2014&lt;/edition&gt;&lt;section&gt;62&lt;/section&gt;&lt;dates&gt;&lt;year&gt;2014&lt;/year&gt;&lt;/dates&gt;&lt;isbn&gt;00900036&lt;/isbn&gt;&lt;accession-num&gt;25211732&lt;/accession-num&gt;&lt;work-type&gt;Systematic Review&lt;/work-type&gt;&lt;urls&gt;&lt;related-urls&gt;&lt;url&gt;http://search.proquest.com.pitt.idm.oclc.org/docview/1619995679?pq-origsite=summon&lt;/url&gt;&lt;/related-urls&gt;&lt;/urls&gt;&lt;remote-database-name&gt;PorQuest Psychology Journals&lt;/remote-database-name&gt;&lt;access-date&gt;Febuary 3&lt;/access-date&gt;&lt;/record&gt;&lt;/Cite&gt;&lt;/EndNote&gt;</w:instrText>
      </w:r>
      <w:r w:rsidRPr="0013795A">
        <w:rPr>
          <w:color w:val="171717" w:themeColor="background2" w:themeShade="1A"/>
        </w:rPr>
        <w:fldChar w:fldCharType="separate"/>
      </w:r>
      <w:r w:rsidRPr="0013795A">
        <w:rPr>
          <w:noProof/>
          <w:color w:val="171717" w:themeColor="background2" w:themeShade="1A"/>
        </w:rPr>
        <w:t>(Eileen Wang, 2014)</w:t>
      </w:r>
      <w:r w:rsidRPr="0013795A">
        <w:rPr>
          <w:color w:val="171717" w:themeColor="background2" w:themeShade="1A"/>
        </w:rPr>
        <w:fldChar w:fldCharType="end"/>
      </w:r>
      <w:r w:rsidRPr="0013795A">
        <w:rPr>
          <w:color w:val="171717" w:themeColor="background2" w:themeShade="1A"/>
        </w:rPr>
        <w:t>.</w:t>
      </w:r>
    </w:p>
    <w:p w:rsidR="008049E1" w:rsidRPr="0013795A" w:rsidRDefault="008049E1" w:rsidP="008049E1">
      <w:pPr>
        <w:rPr>
          <w:color w:val="171717" w:themeColor="background2" w:themeShade="1A"/>
        </w:rPr>
      </w:pPr>
      <w:r w:rsidRPr="0013795A">
        <w:rPr>
          <w:color w:val="171717" w:themeColor="background2" w:themeShade="1A"/>
        </w:rPr>
        <w:t>Of the studies selected 19 focused specifically on non-medical</w:t>
      </w:r>
      <w:r w:rsidR="00C71319" w:rsidRPr="0013795A">
        <w:rPr>
          <w:color w:val="171717" w:themeColor="background2" w:themeShade="1A"/>
        </w:rPr>
        <w:t xml:space="preserve"> – religious and philosophical – exemption</w:t>
      </w:r>
      <w:r w:rsidRPr="0013795A">
        <w:rPr>
          <w:color w:val="171717" w:themeColor="background2" w:themeShade="1A"/>
        </w:rPr>
        <w:t xml:space="preserve"> prevalence.  From 2006-2013 many states experienced an approximate doubling of exemption rates, including California even though efforts had been made to strengthen its policies.  </w:t>
      </w:r>
      <w:r w:rsidR="00C71319" w:rsidRPr="0013795A">
        <w:rPr>
          <w:color w:val="171717" w:themeColor="background2" w:themeShade="1A"/>
        </w:rPr>
        <w:t>Non-medical e</w:t>
      </w:r>
      <w:r w:rsidRPr="0013795A">
        <w:rPr>
          <w:color w:val="171717" w:themeColor="background2" w:themeShade="1A"/>
        </w:rPr>
        <w:t xml:space="preserve">xemption rates between states vary greatly, for instance in 2013 they ranged from a low of 0.0% in Delaware to a high of 6.4% in Oregon </w:t>
      </w:r>
      <w:r w:rsidRPr="0013795A">
        <w:rPr>
          <w:color w:val="171717" w:themeColor="background2" w:themeShade="1A"/>
        </w:rPr>
        <w:fldChar w:fldCharType="begin"/>
      </w:r>
      <w:r w:rsidRPr="0013795A">
        <w:rPr>
          <w:color w:val="171717" w:themeColor="background2" w:themeShade="1A"/>
        </w:rPr>
        <w:instrText xml:space="preserve"> ADDIN EN.CITE &lt;EndNote&gt;&lt;Cite&gt;&lt;Author&gt;Eileen Wang&lt;/Author&gt;&lt;Year&gt;2014&lt;/Year&gt;&lt;RecNum&gt;19&lt;/RecNum&gt;&lt;DisplayText&gt;(Eileen Wang, 2014)&lt;/DisplayText&gt;&lt;record&gt;&lt;rec-number&gt;19&lt;/rec-number&gt;&lt;foreign-keys&gt;&lt;key app="EN" db-id="s50wv0fdiwsvs9ewxr65pdzf5ssrp9xr5zar" timestamp="1454856309"&gt;19&lt;/key&gt;&lt;/foreign-keys&gt;&lt;ref-type name="Journal Article"&gt;17&lt;/ref-type&gt;&lt;contributors&gt;&lt;authors&gt;&lt;author&gt;Eileen Wang, Jessica Clymer, Cecilia Davis-Hayes and Alison Buttenheim&lt;/author&gt;&lt;/authors&gt;&lt;/contributors&gt;&lt;titles&gt;&lt;title&gt;Nonmedical Exemptions From School Immunization Requirements: A Systematic Review&lt;/title&gt;&lt;secondary-title&gt;American Journal of Public Health&lt;/secondary-title&gt;&lt;/titles&gt;&lt;periodical&gt;&lt;full-title&gt;American Journal of Public Health&lt;/full-title&gt;&lt;/periodical&gt;&lt;pages&gt;62-84&lt;/pages&gt;&lt;volume&gt;104&lt;/volume&gt;&lt;number&gt;11&lt;/number&gt;&lt;edition&gt;November 2014&lt;/edition&gt;&lt;section&gt;62&lt;/section&gt;&lt;dates&gt;&lt;year&gt;2014&lt;/year&gt;&lt;/dates&gt;&lt;isbn&gt;00900036&lt;/isbn&gt;&lt;accession-num&gt;25211732&lt;/accession-num&gt;&lt;work-type&gt;Systematic Review&lt;/work-type&gt;&lt;urls&gt;&lt;related-urls&gt;&lt;url&gt;http://search.proquest.com.pitt.idm.oclc.org/docview/1619995679?pq-origsite=summon&lt;/url&gt;&lt;/related-urls&gt;&lt;/urls&gt;&lt;remote-database-name&gt;PorQuest Psychology Journals&lt;/remote-database-name&gt;&lt;access-date&gt;Febuary 3&lt;/access-date&gt;&lt;/record&gt;&lt;/Cite&gt;&lt;/EndNote&gt;</w:instrText>
      </w:r>
      <w:r w:rsidRPr="0013795A">
        <w:rPr>
          <w:color w:val="171717" w:themeColor="background2" w:themeShade="1A"/>
        </w:rPr>
        <w:fldChar w:fldCharType="separate"/>
      </w:r>
      <w:r w:rsidRPr="0013795A">
        <w:rPr>
          <w:noProof/>
          <w:color w:val="171717" w:themeColor="background2" w:themeShade="1A"/>
        </w:rPr>
        <w:t>(Eileen Wang, 2014)</w:t>
      </w:r>
      <w:r w:rsidRPr="0013795A">
        <w:rPr>
          <w:color w:val="171717" w:themeColor="background2" w:themeShade="1A"/>
        </w:rPr>
        <w:fldChar w:fldCharType="end"/>
      </w:r>
      <w:r w:rsidRPr="0013795A">
        <w:rPr>
          <w:color w:val="171717" w:themeColor="background2" w:themeShade="1A"/>
        </w:rPr>
        <w:t>.  Within- state variation is even greater and as mentioned earlier exemption rates tend to occur in clusters.  School-level exemption rates ranged from 0% to 68% in Arizona for the 2011-2012 school year</w:t>
      </w:r>
      <w:r w:rsidR="005E608B" w:rsidRPr="0013795A">
        <w:rPr>
          <w:color w:val="171717" w:themeColor="background2" w:themeShade="1A"/>
        </w:rPr>
        <w:t xml:space="preserve">, meaning that while some schools had no children with </w:t>
      </w:r>
      <w:r w:rsidR="005E608B" w:rsidRPr="0013795A">
        <w:rPr>
          <w:color w:val="171717" w:themeColor="background2" w:themeShade="1A"/>
        </w:rPr>
        <w:lastRenderedPageBreak/>
        <w:t>exemptions at least one school had 68% of its population exempt from receiving vaccinations</w:t>
      </w:r>
      <w:r w:rsidRPr="0013795A">
        <w:rPr>
          <w:color w:val="171717" w:themeColor="background2" w:themeShade="1A"/>
        </w:rPr>
        <w:t xml:space="preserve">.  Studies showed that parents who were white, college educated, and had a higher income tended to refuse, exempt, or delay vaccines more often than others.  This statement is supported by another study that found that the clusters were linked with higher socioeconomic status characteristics.  </w:t>
      </w:r>
      <w:r w:rsidR="005E608B" w:rsidRPr="0013795A">
        <w:rPr>
          <w:color w:val="171717" w:themeColor="background2" w:themeShade="1A"/>
        </w:rPr>
        <w:t>Data gathered through surveys also suggest that a</w:t>
      </w:r>
      <w:r w:rsidRPr="0013795A">
        <w:rPr>
          <w:color w:val="171717" w:themeColor="background2" w:themeShade="1A"/>
        </w:rPr>
        <w:t xml:space="preserve">n alternative living lifestyle (i.e. vegetarianism, use of natural healing remedies, etc.…) may also impact whether or not a parent chooses to get their child vaccinated </w:t>
      </w:r>
      <w:r w:rsidRPr="0013795A">
        <w:rPr>
          <w:color w:val="171717" w:themeColor="background2" w:themeShade="1A"/>
        </w:rPr>
        <w:fldChar w:fldCharType="begin"/>
      </w:r>
      <w:r w:rsidRPr="0013795A">
        <w:rPr>
          <w:color w:val="171717" w:themeColor="background2" w:themeShade="1A"/>
        </w:rPr>
        <w:instrText xml:space="preserve"> ADDIN EN.CITE &lt;EndNote&gt;&lt;Cite&gt;&lt;Author&gt;Eileen Wang&lt;/Author&gt;&lt;Year&gt;2014&lt;/Year&gt;&lt;RecNum&gt;19&lt;/RecNum&gt;&lt;DisplayText&gt;(Eileen Wang, 2014)&lt;/DisplayText&gt;&lt;record&gt;&lt;rec-number&gt;19&lt;/rec-number&gt;&lt;foreign-keys&gt;&lt;key app="EN" db-id="s50wv0fdiwsvs9ewxr65pdzf5ssrp9xr5zar" timestamp="1454856309"&gt;19&lt;/key&gt;&lt;/foreign-keys&gt;&lt;ref-type name="Journal Article"&gt;17&lt;/ref-type&gt;&lt;contributors&gt;&lt;authors&gt;&lt;author&gt;Eileen Wang, Jessica Clymer, Cecilia Davis-Hayes and Alison Buttenheim&lt;/author&gt;&lt;/authors&gt;&lt;/contributors&gt;&lt;titles&gt;&lt;title&gt;Nonmedical Exemptions From School Immunization Requirements: A Systematic Review&lt;/title&gt;&lt;secondary-title&gt;American Journal of Public Health&lt;/secondary-title&gt;&lt;/titles&gt;&lt;periodical&gt;&lt;full-title&gt;American Journal of Public Health&lt;/full-title&gt;&lt;/periodical&gt;&lt;pages&gt;62-84&lt;/pages&gt;&lt;volume&gt;104&lt;/volume&gt;&lt;number&gt;11&lt;/number&gt;&lt;edition&gt;November 2014&lt;/edition&gt;&lt;section&gt;62&lt;/section&gt;&lt;dates&gt;&lt;year&gt;2014&lt;/year&gt;&lt;/dates&gt;&lt;isbn&gt;00900036&lt;/isbn&gt;&lt;accession-num&gt;25211732&lt;/accession-num&gt;&lt;work-type&gt;Systematic Review&lt;/work-type&gt;&lt;urls&gt;&lt;related-urls&gt;&lt;url&gt;http://search.proquest.com.pitt.idm.oclc.org/docview/1619995679?pq-origsite=summon&lt;/url&gt;&lt;/related-urls&gt;&lt;/urls&gt;&lt;remote-database-name&gt;PorQuest Psychology Journals&lt;/remote-database-name&gt;&lt;access-date&gt;Febuary 3&lt;/access-date&gt;&lt;/record&gt;&lt;/Cite&gt;&lt;/EndNote&gt;</w:instrText>
      </w:r>
      <w:r w:rsidRPr="0013795A">
        <w:rPr>
          <w:color w:val="171717" w:themeColor="background2" w:themeShade="1A"/>
        </w:rPr>
        <w:fldChar w:fldCharType="separate"/>
      </w:r>
      <w:r w:rsidRPr="0013795A">
        <w:rPr>
          <w:noProof/>
          <w:color w:val="171717" w:themeColor="background2" w:themeShade="1A"/>
        </w:rPr>
        <w:t>(Eileen Wang, 2014)</w:t>
      </w:r>
      <w:r w:rsidRPr="0013795A">
        <w:rPr>
          <w:color w:val="171717" w:themeColor="background2" w:themeShade="1A"/>
        </w:rPr>
        <w:fldChar w:fldCharType="end"/>
      </w:r>
      <w:r w:rsidRPr="0013795A">
        <w:rPr>
          <w:color w:val="171717" w:themeColor="background2" w:themeShade="1A"/>
        </w:rPr>
        <w:t>.</w:t>
      </w:r>
    </w:p>
    <w:p w:rsidR="008049E1" w:rsidRPr="0013795A" w:rsidRDefault="009A0D0F" w:rsidP="008049E1">
      <w:pPr>
        <w:rPr>
          <w:color w:val="171717" w:themeColor="background2" w:themeShade="1A"/>
        </w:rPr>
      </w:pPr>
      <w:r w:rsidRPr="0013795A">
        <w:rPr>
          <w:color w:val="171717" w:themeColor="background2" w:themeShade="1A"/>
        </w:rPr>
        <w:t xml:space="preserve">Individuals exercising exemptions </w:t>
      </w:r>
      <w:r w:rsidR="008049E1" w:rsidRPr="0013795A">
        <w:rPr>
          <w:color w:val="171717" w:themeColor="background2" w:themeShade="1A"/>
        </w:rPr>
        <w:t>are at a 22- to 35-times higher risk for measles and a 6-times higher risk for pertussis than those who are vaccinated</w:t>
      </w:r>
      <w:r w:rsidR="005E608B" w:rsidRPr="0013795A">
        <w:rPr>
          <w:color w:val="171717" w:themeColor="background2" w:themeShade="1A"/>
        </w:rPr>
        <w:t xml:space="preserve"> </w:t>
      </w:r>
      <w:r w:rsidR="005E608B" w:rsidRPr="0013795A">
        <w:rPr>
          <w:color w:val="171717" w:themeColor="background2" w:themeShade="1A"/>
        </w:rPr>
        <w:fldChar w:fldCharType="begin"/>
      </w:r>
      <w:r w:rsidR="005E608B" w:rsidRPr="0013795A">
        <w:rPr>
          <w:color w:val="171717" w:themeColor="background2" w:themeShade="1A"/>
        </w:rPr>
        <w:instrText xml:space="preserve"> ADDIN EN.CITE &lt;EndNote&gt;&lt;Cite&gt;&lt;Author&gt;Eileen Wang&lt;/Author&gt;&lt;Year&gt;2014&lt;/Year&gt;&lt;RecNum&gt;19&lt;/RecNum&gt;&lt;DisplayText&gt;(Eileen Wang, 2014)&lt;/DisplayText&gt;&lt;record&gt;&lt;rec-number&gt;19&lt;/rec-number&gt;&lt;foreign-keys&gt;&lt;key app="EN" db-id="s50wv0fdiwsvs9ewxr65pdzf5ssrp9xr5zar" timestamp="1454856309"&gt;19&lt;/key&gt;&lt;/foreign-keys&gt;&lt;ref-type name="Journal Article"&gt;17&lt;/ref-type&gt;&lt;contributors&gt;&lt;authors&gt;&lt;author&gt;Eileen Wang, Jessica Clymer, Cecilia Davis-Hayes and Alison Buttenheim&lt;/author&gt;&lt;/authors&gt;&lt;/contributors&gt;&lt;titles&gt;&lt;title&gt;Nonmedical Exemptions From School Immunization Requirements: A Systematic Review&lt;/title&gt;&lt;secondary-title&gt;American Journal of Public Health&lt;/secondary-title&gt;&lt;/titles&gt;&lt;periodical&gt;&lt;full-title&gt;American Journal of Public Health&lt;/full-title&gt;&lt;/periodical&gt;&lt;pages&gt;62-84&lt;/pages&gt;&lt;volume&gt;104&lt;/volume&gt;&lt;number&gt;11&lt;/number&gt;&lt;edition&gt;November 2014&lt;/edition&gt;&lt;section&gt;62&lt;/section&gt;&lt;dates&gt;&lt;year&gt;2014&lt;/year&gt;&lt;/dates&gt;&lt;isbn&gt;00900036&lt;/isbn&gt;&lt;accession-num&gt;25211732&lt;/accession-num&gt;&lt;work-type&gt;Systematic Review&lt;/work-type&gt;&lt;urls&gt;&lt;related-urls&gt;&lt;url&gt;http://search.proquest.com.pitt.idm.oclc.org/docview/1619995679?pq-origsite=summon&lt;/url&gt;&lt;/related-urls&gt;&lt;/urls&gt;&lt;remote-database-name&gt;PorQuest Psychology Journals&lt;/remote-database-name&gt;&lt;access-date&gt;Febuary 3&lt;/access-date&gt;&lt;/record&gt;&lt;/Cite&gt;&lt;/EndNote&gt;</w:instrText>
      </w:r>
      <w:r w:rsidR="005E608B" w:rsidRPr="0013795A">
        <w:rPr>
          <w:color w:val="171717" w:themeColor="background2" w:themeShade="1A"/>
        </w:rPr>
        <w:fldChar w:fldCharType="separate"/>
      </w:r>
      <w:r w:rsidR="005E608B" w:rsidRPr="0013795A">
        <w:rPr>
          <w:color w:val="171717" w:themeColor="background2" w:themeShade="1A"/>
        </w:rPr>
        <w:t>(Eileen Wang, 2014)</w:t>
      </w:r>
      <w:r w:rsidR="005E608B" w:rsidRPr="0013795A">
        <w:rPr>
          <w:color w:val="171717" w:themeColor="background2" w:themeShade="1A"/>
        </w:rPr>
        <w:fldChar w:fldCharType="end"/>
      </w:r>
      <w:r w:rsidR="008049E1" w:rsidRPr="0013795A">
        <w:rPr>
          <w:color w:val="171717" w:themeColor="background2" w:themeShade="1A"/>
        </w:rPr>
        <w:t xml:space="preserve">.  In many cases where vaccine preventable diseases occurred in the US the affected children were unvaccinated for one reason or another, whether that be a medical exemption or parental philosophical or religious beliefs.  When the measles outbreak occurred in Utah in 2011 it was discover that 9 of the 13 people infected were unvaccinated due to personal belief exemptions </w:t>
      </w:r>
      <w:r w:rsidR="008049E1" w:rsidRPr="0013795A">
        <w:rPr>
          <w:color w:val="171717" w:themeColor="background2" w:themeShade="1A"/>
        </w:rPr>
        <w:fldChar w:fldCharType="begin"/>
      </w:r>
      <w:r w:rsidR="008049E1" w:rsidRPr="0013795A">
        <w:rPr>
          <w:color w:val="171717" w:themeColor="background2" w:themeShade="1A"/>
        </w:rPr>
        <w:instrText xml:space="preserve"> ADDIN EN.CITE &lt;EndNote&gt;&lt;Cite&gt;&lt;Author&gt;Eileen Wang&lt;/Author&gt;&lt;Year&gt;2014&lt;/Year&gt;&lt;RecNum&gt;19&lt;/RecNum&gt;&lt;DisplayText&gt;(Eileen Wang, 2014)&lt;/DisplayText&gt;&lt;record&gt;&lt;rec-number&gt;19&lt;/rec-number&gt;&lt;foreign-keys&gt;&lt;key app="EN" db-id="s50wv0fdiwsvs9ewxr65pdzf5ssrp9xr5zar" timestamp="1454856309"&gt;19&lt;/key&gt;&lt;/foreign-keys&gt;&lt;ref-type name="Journal Article"&gt;17&lt;/ref-type&gt;&lt;contributors&gt;&lt;authors&gt;&lt;author&gt;Eileen Wang, Jessica Clymer, Cecilia Davis-Hayes and Alison Buttenheim&lt;/author&gt;&lt;/authors&gt;&lt;/contributors&gt;&lt;titles&gt;&lt;title&gt;Nonmedical Exemptions From School Immunization Requirements: A Systematic Review&lt;/title&gt;&lt;secondary-title&gt;American Journal of Public Health&lt;/secondary-title&gt;&lt;/titles&gt;&lt;periodical&gt;&lt;full-title&gt;American Journal of Public Health&lt;/full-title&gt;&lt;/periodical&gt;&lt;pages&gt;62-84&lt;/pages&gt;&lt;volume&gt;104&lt;/volume&gt;&lt;number&gt;11&lt;/number&gt;&lt;edition&gt;November 2014&lt;/edition&gt;&lt;section&gt;62&lt;/section&gt;&lt;dates&gt;&lt;year&gt;2014&lt;/year&gt;&lt;/dates&gt;&lt;isbn&gt;00900036&lt;/isbn&gt;&lt;accession-num&gt;25211732&lt;/accession-num&gt;&lt;work-type&gt;Systematic Review&lt;/work-type&gt;&lt;urls&gt;&lt;related-urls&gt;&lt;url&gt;http://search.proquest.com.pitt.idm.oclc.org/docview/1619995679?pq-origsite=summon&lt;/url&gt;&lt;/related-urls&gt;&lt;/urls&gt;&lt;remote-database-name&gt;PorQuest Psychology Journals&lt;/remote-database-name&gt;&lt;access-date&gt;Febuary 3&lt;/access-date&gt;&lt;/record&gt;&lt;/Cite&gt;&lt;/EndNote&gt;</w:instrText>
      </w:r>
      <w:r w:rsidR="008049E1" w:rsidRPr="0013795A">
        <w:rPr>
          <w:color w:val="171717" w:themeColor="background2" w:themeShade="1A"/>
        </w:rPr>
        <w:fldChar w:fldCharType="separate"/>
      </w:r>
      <w:r w:rsidR="008049E1" w:rsidRPr="0013795A">
        <w:rPr>
          <w:noProof/>
          <w:color w:val="171717" w:themeColor="background2" w:themeShade="1A"/>
        </w:rPr>
        <w:t>(Eileen Wang, 2014)</w:t>
      </w:r>
      <w:r w:rsidR="008049E1" w:rsidRPr="0013795A">
        <w:rPr>
          <w:color w:val="171717" w:themeColor="background2" w:themeShade="1A"/>
        </w:rPr>
        <w:fldChar w:fldCharType="end"/>
      </w:r>
      <w:r w:rsidR="008049E1" w:rsidRPr="0013795A">
        <w:rPr>
          <w:color w:val="171717" w:themeColor="background2" w:themeShade="1A"/>
        </w:rPr>
        <w:t xml:space="preserve">. </w:t>
      </w:r>
    </w:p>
    <w:p w:rsidR="00542FB4" w:rsidRPr="0013795A" w:rsidRDefault="008049E1" w:rsidP="008049E1">
      <w:pPr>
        <w:rPr>
          <w:color w:val="171717" w:themeColor="background2" w:themeShade="1A"/>
        </w:rPr>
      </w:pPr>
      <w:r w:rsidRPr="0013795A">
        <w:rPr>
          <w:color w:val="171717" w:themeColor="background2" w:themeShade="1A"/>
        </w:rPr>
        <w:t>A study conducted to assess procedures for exempting schoolchildren found that nonmedical exemption rates were more than twice as high in states with simpler immunization procedures</w:t>
      </w:r>
      <w:r w:rsidR="00542FB4" w:rsidRPr="0013795A">
        <w:rPr>
          <w:color w:val="171717" w:themeColor="background2" w:themeShade="1A"/>
        </w:rPr>
        <w:t xml:space="preserve"> </w:t>
      </w:r>
      <w:r w:rsidR="00542FB4" w:rsidRPr="0013795A">
        <w:rPr>
          <w:color w:val="171717" w:themeColor="background2" w:themeShade="1A"/>
        </w:rPr>
        <w:fldChar w:fldCharType="begin"/>
      </w:r>
      <w:r w:rsidR="00542FB4" w:rsidRPr="0013795A">
        <w:rPr>
          <w:color w:val="171717" w:themeColor="background2" w:themeShade="1A"/>
        </w:rPr>
        <w:instrText xml:space="preserve"> ADDIN EN.CITE &lt;EndNote&gt;&lt;Cite&gt;&lt;Author&gt;Nina R. Blank&lt;/Author&gt;&lt;Year&gt;2013&lt;/Year&gt;&lt;RecNum&gt;17&lt;/RecNum&gt;&lt;DisplayText&gt;(Nina R. Blank, 2013)&lt;/DisplayText&gt;&lt;record&gt;&lt;rec-number&gt;17&lt;/rec-number&gt;&lt;foreign-keys&gt;&lt;key app="EN" db-id="s50wv0fdiwsvs9ewxr65pdzf5ssrp9xr5zar" timestamp="1454855665"&gt;17&lt;/key&gt;&lt;/foreign-keys&gt;&lt;ref-type name="Journal Article"&gt;17&lt;/ref-type&gt;&lt;contributors&gt;&lt;authors&gt;&lt;author&gt;Nina R. Blank, Arthur L. Caplan and Catherine Constable&lt;/author&gt;&lt;/authors&gt;&lt;/contributors&gt;&lt;titles&gt;&lt;title&gt;Exempting Schoolchildren From Immunizations: State With Few Barriers Had Highest Rates Of Nonmedical Exemptions&lt;/title&gt;&lt;secondary-title&gt;Health Affairs&lt;/secondary-title&gt;&lt;/titles&gt;&lt;periodical&gt;&lt;full-title&gt;Health Affairs&lt;/full-title&gt;&lt;/periodical&gt;&lt;pages&gt;1282-1290&lt;/pages&gt;&lt;volume&gt;32&lt;/volume&gt;&lt;number&gt;7&lt;/number&gt;&lt;edition&gt;2013&lt;/edition&gt;&lt;section&gt;1282&lt;/section&gt;&lt;dates&gt;&lt;year&gt;2013&lt;/year&gt;&lt;/dates&gt;&lt;urls&gt;&lt;related-urls&gt;&lt;url&gt;http://content.healthaffairs.org.pitt.idm.oclc.org/content/32/7/1282&lt;/url&gt;&lt;/related-urls&gt;&lt;/urls&gt;&lt;electronic-resource-num&gt;10.1377/hlthaff.2013.0239&lt;/electronic-resource-num&gt;&lt;access-date&gt;Febuary 7&lt;/access-date&gt;&lt;/record&gt;&lt;/Cite&gt;&lt;/EndNote&gt;</w:instrText>
      </w:r>
      <w:r w:rsidR="00542FB4" w:rsidRPr="0013795A">
        <w:rPr>
          <w:color w:val="171717" w:themeColor="background2" w:themeShade="1A"/>
        </w:rPr>
        <w:fldChar w:fldCharType="separate"/>
      </w:r>
      <w:r w:rsidR="00542FB4" w:rsidRPr="0013795A">
        <w:rPr>
          <w:color w:val="171717" w:themeColor="background2" w:themeShade="1A"/>
        </w:rPr>
        <w:t>(Nina R. Blank, 2013)</w:t>
      </w:r>
      <w:r w:rsidR="00542FB4" w:rsidRPr="0013795A">
        <w:rPr>
          <w:color w:val="171717" w:themeColor="background2" w:themeShade="1A"/>
        </w:rPr>
        <w:fldChar w:fldCharType="end"/>
      </w:r>
      <w:r w:rsidRPr="0013795A">
        <w:rPr>
          <w:color w:val="171717" w:themeColor="background2" w:themeShade="1A"/>
        </w:rPr>
        <w:t>.  The study divided states into three different levels o</w:t>
      </w:r>
      <w:r w:rsidR="009A0D0F" w:rsidRPr="0013795A">
        <w:rPr>
          <w:color w:val="171717" w:themeColor="background2" w:themeShade="1A"/>
        </w:rPr>
        <w:t>f</w:t>
      </w:r>
      <w:r w:rsidRPr="0013795A">
        <w:rPr>
          <w:color w:val="171717" w:themeColor="background2" w:themeShade="1A"/>
        </w:rPr>
        <w:t xml:space="preserve"> complexity</w:t>
      </w:r>
      <w:r w:rsidR="009A0D0F" w:rsidRPr="0013795A">
        <w:rPr>
          <w:color w:val="171717" w:themeColor="background2" w:themeShade="1A"/>
        </w:rPr>
        <w:t xml:space="preserve"> for </w:t>
      </w:r>
      <w:r w:rsidR="00542FB4" w:rsidRPr="0013795A">
        <w:rPr>
          <w:color w:val="171717" w:themeColor="background2" w:themeShade="1A"/>
        </w:rPr>
        <w:t>exemptions</w:t>
      </w:r>
      <w:r w:rsidR="009A0D0F" w:rsidRPr="0013795A">
        <w:rPr>
          <w:color w:val="171717" w:themeColor="background2" w:themeShade="1A"/>
        </w:rPr>
        <w:t>:</w:t>
      </w:r>
      <w:r w:rsidRPr="0013795A">
        <w:rPr>
          <w:color w:val="171717" w:themeColor="background2" w:themeShade="1A"/>
        </w:rPr>
        <w:t xml:space="preserve"> easy, medium, and difficult</w:t>
      </w:r>
      <w:r w:rsidR="009A0D0F" w:rsidRPr="0013795A">
        <w:rPr>
          <w:color w:val="171717" w:themeColor="background2" w:themeShade="1A"/>
        </w:rPr>
        <w:t>.</w:t>
      </w:r>
      <w:r w:rsidRPr="0013795A">
        <w:rPr>
          <w:color w:val="171717" w:themeColor="background2" w:themeShade="1A"/>
        </w:rPr>
        <w:t xml:space="preserve">  </w:t>
      </w:r>
    </w:p>
    <w:p w:rsidR="00542FB4" w:rsidRPr="0013795A" w:rsidRDefault="00542FB4" w:rsidP="00542FB4">
      <w:pPr>
        <w:numPr>
          <w:ilvl w:val="0"/>
          <w:numId w:val="48"/>
        </w:numPr>
        <w:rPr>
          <w:color w:val="171717" w:themeColor="background2" w:themeShade="1A"/>
        </w:rPr>
      </w:pPr>
      <w:r w:rsidRPr="0013795A">
        <w:rPr>
          <w:color w:val="171717" w:themeColor="background2" w:themeShade="1A"/>
        </w:rPr>
        <w:t xml:space="preserve">Easy – “parents were required only to complete a standardized form, available on the state health department’s website or at the child’s school” </w:t>
      </w:r>
      <w:r w:rsidRPr="0013795A">
        <w:rPr>
          <w:color w:val="171717" w:themeColor="background2" w:themeShade="1A"/>
        </w:rPr>
        <w:fldChar w:fldCharType="begin"/>
      </w:r>
      <w:r w:rsidRPr="0013795A">
        <w:rPr>
          <w:color w:val="171717" w:themeColor="background2" w:themeShade="1A"/>
        </w:rPr>
        <w:instrText xml:space="preserve"> ADDIN EN.CITE &lt;EndNote&gt;&lt;Cite&gt;&lt;Author&gt;Nina R. Blank&lt;/Author&gt;&lt;Year&gt;2013&lt;/Year&gt;&lt;RecNum&gt;17&lt;/RecNum&gt;&lt;DisplayText&gt;(Nina R. Blank, 2013)&lt;/DisplayText&gt;&lt;record&gt;&lt;rec-number&gt;17&lt;/rec-number&gt;&lt;foreign-keys&gt;&lt;key app="EN" db-id="s50wv0fdiwsvs9ewxr65pdzf5ssrp9xr5zar" timestamp="1454855665"&gt;17&lt;/key&gt;&lt;/foreign-keys&gt;&lt;ref-type name="Journal Article"&gt;17&lt;/ref-type&gt;&lt;contributors&gt;&lt;authors&gt;&lt;author&gt;Nina R. Blank, Arthur L. Caplan and Catherine Constable&lt;/author&gt;&lt;/authors&gt;&lt;/contributors&gt;&lt;titles&gt;&lt;title&gt;Exempting Schoolchildren From Immunizations: State With Few Barriers Had Highest Rates Of Nonmedical Exemptions&lt;/title&gt;&lt;secondary-title&gt;Health Affairs&lt;/secondary-title&gt;&lt;/titles&gt;&lt;periodical&gt;&lt;full-title&gt;Health Affairs&lt;/full-title&gt;&lt;/periodical&gt;&lt;pages&gt;1282-1290&lt;/pages&gt;&lt;volume&gt;32&lt;/volume&gt;&lt;number&gt;7&lt;/number&gt;&lt;edition&gt;2013&lt;/edition&gt;&lt;section&gt;1282&lt;/section&gt;&lt;dates&gt;&lt;year&gt;2013&lt;/year&gt;&lt;/dates&gt;&lt;urls&gt;&lt;related-urls&gt;&lt;url&gt;http://content.healthaffairs.org.pitt.idm.oclc.org/content/32/7/1282&lt;/url&gt;&lt;/related-urls&gt;&lt;/urls&gt;&lt;electronic-resource-num&gt;10.1377/hlthaff.2013.0239&lt;/electronic-resource-num&gt;&lt;access-date&gt;Febuary 7&lt;/access-date&gt;&lt;/record&gt;&lt;/Cite&gt;&lt;/EndNote&gt;</w:instrText>
      </w:r>
      <w:r w:rsidRPr="0013795A">
        <w:rPr>
          <w:color w:val="171717" w:themeColor="background2" w:themeShade="1A"/>
        </w:rPr>
        <w:fldChar w:fldCharType="separate"/>
      </w:r>
      <w:r w:rsidRPr="0013795A">
        <w:rPr>
          <w:color w:val="171717" w:themeColor="background2" w:themeShade="1A"/>
        </w:rPr>
        <w:t>(Nina R. Blank, 2013)</w:t>
      </w:r>
      <w:r w:rsidRPr="0013795A">
        <w:rPr>
          <w:color w:val="171717" w:themeColor="background2" w:themeShade="1A"/>
        </w:rPr>
        <w:fldChar w:fldCharType="end"/>
      </w:r>
      <w:r w:rsidRPr="0013795A">
        <w:rPr>
          <w:color w:val="171717" w:themeColor="background2" w:themeShade="1A"/>
        </w:rPr>
        <w:t>.</w:t>
      </w:r>
    </w:p>
    <w:p w:rsidR="00542FB4" w:rsidRPr="0013795A" w:rsidRDefault="00542FB4" w:rsidP="00542FB4">
      <w:pPr>
        <w:numPr>
          <w:ilvl w:val="0"/>
          <w:numId w:val="48"/>
        </w:numPr>
        <w:rPr>
          <w:color w:val="171717" w:themeColor="background2" w:themeShade="1A"/>
        </w:rPr>
      </w:pPr>
      <w:r w:rsidRPr="0013795A">
        <w:rPr>
          <w:color w:val="171717" w:themeColor="background2" w:themeShade="1A"/>
        </w:rPr>
        <w:t xml:space="preserve">Medium – “parents had to obtain a standardized form from the local health department, attend a vaccine education session with a school nurse, or compose </w:t>
      </w:r>
      <w:r w:rsidRPr="0013795A">
        <w:rPr>
          <w:color w:val="171717" w:themeColor="background2" w:themeShade="1A"/>
        </w:rPr>
        <w:lastRenderedPageBreak/>
        <w:t xml:space="preserve">an original statement of their objections to immunization on religious or philosophical grounds” </w:t>
      </w:r>
      <w:r w:rsidRPr="0013795A">
        <w:rPr>
          <w:color w:val="171717" w:themeColor="background2" w:themeShade="1A"/>
        </w:rPr>
        <w:fldChar w:fldCharType="begin"/>
      </w:r>
      <w:r w:rsidRPr="0013795A">
        <w:rPr>
          <w:color w:val="171717" w:themeColor="background2" w:themeShade="1A"/>
        </w:rPr>
        <w:instrText xml:space="preserve"> ADDIN EN.CITE &lt;EndNote&gt;&lt;Cite&gt;&lt;Author&gt;Nina R. Blank&lt;/Author&gt;&lt;Year&gt;2013&lt;/Year&gt;&lt;RecNum&gt;17&lt;/RecNum&gt;&lt;DisplayText&gt;(Nina R. Blank, 2013)&lt;/DisplayText&gt;&lt;record&gt;&lt;rec-number&gt;17&lt;/rec-number&gt;&lt;foreign-keys&gt;&lt;key app="EN" db-id="s50wv0fdiwsvs9ewxr65pdzf5ssrp9xr5zar" timestamp="1454855665"&gt;17&lt;/key&gt;&lt;/foreign-keys&gt;&lt;ref-type name="Journal Article"&gt;17&lt;/ref-type&gt;&lt;contributors&gt;&lt;authors&gt;&lt;author&gt;Nina R. Blank, Arthur L. Caplan and Catherine Constable&lt;/author&gt;&lt;/authors&gt;&lt;/contributors&gt;&lt;titles&gt;&lt;title&gt;Exempting Schoolchildren From Immunizations: State With Few Barriers Had Highest Rates Of Nonmedical Exemptions&lt;/title&gt;&lt;secondary-title&gt;Health Affairs&lt;/secondary-title&gt;&lt;/titles&gt;&lt;periodical&gt;&lt;full-title&gt;Health Affairs&lt;/full-title&gt;&lt;/periodical&gt;&lt;pages&gt;1282-1290&lt;/pages&gt;&lt;volume&gt;32&lt;/volume&gt;&lt;number&gt;7&lt;/number&gt;&lt;edition&gt;2013&lt;/edition&gt;&lt;section&gt;1282&lt;/section&gt;&lt;dates&gt;&lt;year&gt;2013&lt;/year&gt;&lt;/dates&gt;&lt;urls&gt;&lt;related-urls&gt;&lt;url&gt;http://content.healthaffairs.org.pitt.idm.oclc.org/content/32/7/1282&lt;/url&gt;&lt;/related-urls&gt;&lt;/urls&gt;&lt;electronic-resource-num&gt;10.1377/hlthaff.2013.0239&lt;/electronic-resource-num&gt;&lt;access-date&gt;Febuary 7&lt;/access-date&gt;&lt;/record&gt;&lt;/Cite&gt;&lt;/EndNote&gt;</w:instrText>
      </w:r>
      <w:r w:rsidRPr="0013795A">
        <w:rPr>
          <w:color w:val="171717" w:themeColor="background2" w:themeShade="1A"/>
        </w:rPr>
        <w:fldChar w:fldCharType="separate"/>
      </w:r>
      <w:r w:rsidRPr="0013795A">
        <w:rPr>
          <w:color w:val="171717" w:themeColor="background2" w:themeShade="1A"/>
        </w:rPr>
        <w:t>(Nina R. Blank, 2013)</w:t>
      </w:r>
      <w:r w:rsidRPr="0013795A">
        <w:rPr>
          <w:color w:val="171717" w:themeColor="background2" w:themeShade="1A"/>
        </w:rPr>
        <w:fldChar w:fldCharType="end"/>
      </w:r>
      <w:r w:rsidRPr="0013795A">
        <w:rPr>
          <w:color w:val="171717" w:themeColor="background2" w:themeShade="1A"/>
        </w:rPr>
        <w:t>.</w:t>
      </w:r>
    </w:p>
    <w:p w:rsidR="00542FB4" w:rsidRPr="0013795A" w:rsidRDefault="00542FB4" w:rsidP="00542FB4">
      <w:pPr>
        <w:numPr>
          <w:ilvl w:val="0"/>
          <w:numId w:val="48"/>
        </w:numPr>
        <w:rPr>
          <w:color w:val="171717" w:themeColor="background2" w:themeShade="1A"/>
        </w:rPr>
      </w:pPr>
      <w:r w:rsidRPr="0013795A">
        <w:rPr>
          <w:color w:val="171717" w:themeColor="background2" w:themeShade="1A"/>
        </w:rPr>
        <w:t xml:space="preserve">Difficult – “at a minimum, parents had to complete a standardized form (obtained from the child’s school, the local health department, or the state health department’s website) or write a letter explaining their opposition to immunization, as well as having the form or letter notarized by a notary public” </w:t>
      </w:r>
      <w:r w:rsidRPr="0013795A">
        <w:rPr>
          <w:color w:val="171717" w:themeColor="background2" w:themeShade="1A"/>
        </w:rPr>
        <w:fldChar w:fldCharType="begin"/>
      </w:r>
      <w:r w:rsidRPr="0013795A">
        <w:rPr>
          <w:color w:val="171717" w:themeColor="background2" w:themeShade="1A"/>
        </w:rPr>
        <w:instrText xml:space="preserve"> ADDIN EN.CITE &lt;EndNote&gt;&lt;Cite&gt;&lt;Author&gt;Nina R. Blank&lt;/Author&gt;&lt;Year&gt;2013&lt;/Year&gt;&lt;RecNum&gt;17&lt;/RecNum&gt;&lt;DisplayText&gt;(Nina R. Blank, 2013)&lt;/DisplayText&gt;&lt;record&gt;&lt;rec-number&gt;17&lt;/rec-number&gt;&lt;foreign-keys&gt;&lt;key app="EN" db-id="s50wv0fdiwsvs9ewxr65pdzf5ssrp9xr5zar" timestamp="1454855665"&gt;17&lt;/key&gt;&lt;/foreign-keys&gt;&lt;ref-type name="Journal Article"&gt;17&lt;/ref-type&gt;&lt;contributors&gt;&lt;authors&gt;&lt;author&gt;Nina R. Blank, Arthur L. Caplan and Catherine Constable&lt;/author&gt;&lt;/authors&gt;&lt;/contributors&gt;&lt;titles&gt;&lt;title&gt;Exempting Schoolchildren From Immunizations: State With Few Barriers Had Highest Rates Of Nonmedical Exemptions&lt;/title&gt;&lt;secondary-title&gt;Health Affairs&lt;/secondary-title&gt;&lt;/titles&gt;&lt;periodical&gt;&lt;full-title&gt;Health Affairs&lt;/full-title&gt;&lt;/periodical&gt;&lt;pages&gt;1282-1290&lt;/pages&gt;&lt;volume&gt;32&lt;/volume&gt;&lt;number&gt;7&lt;/number&gt;&lt;edition&gt;2013&lt;/edition&gt;&lt;section&gt;1282&lt;/section&gt;&lt;dates&gt;&lt;year&gt;2013&lt;/year&gt;&lt;/dates&gt;&lt;urls&gt;&lt;related-urls&gt;&lt;url&gt;http://content.healthaffairs.org.pitt.idm.oclc.org/content/32/7/1282&lt;/url&gt;&lt;/related-urls&gt;&lt;/urls&gt;&lt;electronic-resource-num&gt;10.1377/hlthaff.2013.0239&lt;/electronic-resource-num&gt;&lt;access-date&gt;Febuary 7&lt;/access-date&gt;&lt;/record&gt;&lt;/Cite&gt;&lt;/EndNote&gt;</w:instrText>
      </w:r>
      <w:r w:rsidRPr="0013795A">
        <w:rPr>
          <w:color w:val="171717" w:themeColor="background2" w:themeShade="1A"/>
        </w:rPr>
        <w:fldChar w:fldCharType="separate"/>
      </w:r>
      <w:r w:rsidRPr="0013795A">
        <w:rPr>
          <w:color w:val="171717" w:themeColor="background2" w:themeShade="1A"/>
        </w:rPr>
        <w:t>(Nina R. Blank, 2013)</w:t>
      </w:r>
      <w:r w:rsidRPr="0013795A">
        <w:rPr>
          <w:color w:val="171717" w:themeColor="background2" w:themeShade="1A"/>
        </w:rPr>
        <w:fldChar w:fldCharType="end"/>
      </w:r>
      <w:r w:rsidRPr="0013795A">
        <w:rPr>
          <w:color w:val="171717" w:themeColor="background2" w:themeShade="1A"/>
        </w:rPr>
        <w:t>.</w:t>
      </w:r>
    </w:p>
    <w:p w:rsidR="002706BA" w:rsidRPr="0013795A" w:rsidRDefault="008049E1" w:rsidP="00FC2C46">
      <w:pPr>
        <w:rPr>
          <w:color w:val="171717" w:themeColor="background2" w:themeShade="1A"/>
        </w:rPr>
      </w:pPr>
      <w:r w:rsidRPr="0013795A">
        <w:rPr>
          <w:color w:val="171717" w:themeColor="background2" w:themeShade="1A"/>
        </w:rPr>
        <w:t xml:space="preserve">Those states that could not be categorized were listed as indeterminate.  Fourteen states were categorized as easy, fifteen as medium, and fifteen as difficult.  An inverse pattern was found to exist between the complexity level of obtaining an exemption and exemption rates </w:t>
      </w:r>
      <w:r w:rsidRPr="0013795A">
        <w:rPr>
          <w:color w:val="171717" w:themeColor="background2" w:themeShade="1A"/>
        </w:rPr>
        <w:fldChar w:fldCharType="begin"/>
      </w:r>
      <w:r w:rsidRPr="0013795A">
        <w:rPr>
          <w:color w:val="171717" w:themeColor="background2" w:themeShade="1A"/>
        </w:rPr>
        <w:instrText xml:space="preserve"> ADDIN EN.CITE &lt;EndNote&gt;&lt;Cite&gt;&lt;Author&gt;Nina R. Blank&lt;/Author&gt;&lt;Year&gt;2013&lt;/Year&gt;&lt;RecNum&gt;17&lt;/RecNum&gt;&lt;DisplayText&gt;(Nina R. Blank, 2013)&lt;/DisplayText&gt;&lt;record&gt;&lt;rec-number&gt;17&lt;/rec-number&gt;&lt;foreign-keys&gt;&lt;key app="EN" db-id="s50wv0fdiwsvs9ewxr65pdzf5ssrp9xr5zar" timestamp="1454855665"&gt;17&lt;/key&gt;&lt;/foreign-keys&gt;&lt;ref-type name="Journal Article"&gt;17&lt;/ref-type&gt;&lt;contributors&gt;&lt;authors&gt;&lt;author&gt;Nina R. Blank, Arthur L. Caplan and Catherine Constable&lt;/author&gt;&lt;/authors&gt;&lt;/contributors&gt;&lt;titles&gt;&lt;title&gt;Exempting Schoolchildren From Immunizations: State With Few Barriers Had Highest Rates Of Nonmedical Exemptions&lt;/title&gt;&lt;secondary-title&gt;Health Affairs&lt;/secondary-title&gt;&lt;/titles&gt;&lt;periodical&gt;&lt;full-title&gt;Health Affairs&lt;/full-title&gt;&lt;/periodical&gt;&lt;pages&gt;1282-1290&lt;/pages&gt;&lt;volume&gt;32&lt;/volume&gt;&lt;number&gt;7&lt;/number&gt;&lt;edition&gt;2013&lt;/edition&gt;&lt;section&gt;1282&lt;/section&gt;&lt;dates&gt;&lt;year&gt;2013&lt;/year&gt;&lt;/dates&gt;&lt;urls&gt;&lt;related-urls&gt;&lt;url&gt;http://content.healthaffairs.org.pitt.idm.oclc.org/content/32/7/1282&lt;/url&gt;&lt;/related-urls&gt;&lt;/urls&gt;&lt;electronic-resource-num&gt;10.1377/hlthaff.2013.0239&lt;/electronic-resource-num&gt;&lt;access-date&gt;Febuary 7&lt;/access-date&gt;&lt;/record&gt;&lt;/Cite&gt;&lt;/EndNote&gt;</w:instrText>
      </w:r>
      <w:r w:rsidRPr="0013795A">
        <w:rPr>
          <w:color w:val="171717" w:themeColor="background2" w:themeShade="1A"/>
        </w:rPr>
        <w:fldChar w:fldCharType="separate"/>
      </w:r>
      <w:r w:rsidRPr="0013795A">
        <w:rPr>
          <w:color w:val="171717" w:themeColor="background2" w:themeShade="1A"/>
        </w:rPr>
        <w:t>(Nina R. Blank, 2013)</w:t>
      </w:r>
      <w:r w:rsidRPr="0013795A">
        <w:rPr>
          <w:color w:val="171717" w:themeColor="background2" w:themeShade="1A"/>
        </w:rPr>
        <w:fldChar w:fldCharType="end"/>
      </w:r>
      <w:r w:rsidRPr="0013795A">
        <w:rPr>
          <w:color w:val="171717" w:themeColor="background2" w:themeShade="1A"/>
        </w:rPr>
        <w:t xml:space="preserve">.  </w:t>
      </w:r>
      <w:r w:rsidR="009A0D0F" w:rsidRPr="0013795A">
        <w:rPr>
          <w:color w:val="171717" w:themeColor="background2" w:themeShade="1A"/>
        </w:rPr>
        <w:t>T</w:t>
      </w:r>
      <w:r w:rsidRPr="0013795A">
        <w:rPr>
          <w:color w:val="171717" w:themeColor="background2" w:themeShade="1A"/>
        </w:rPr>
        <w:t xml:space="preserve">he more difficult it was to obtain a vaccine the exemption, the </w:t>
      </w:r>
      <w:r w:rsidR="009A0D0F" w:rsidRPr="0013795A">
        <w:rPr>
          <w:color w:val="171717" w:themeColor="background2" w:themeShade="1A"/>
        </w:rPr>
        <w:t>fewer</w:t>
      </w:r>
      <w:r w:rsidR="004619A5" w:rsidRPr="0013795A">
        <w:rPr>
          <w:color w:val="171717" w:themeColor="background2" w:themeShade="1A"/>
        </w:rPr>
        <w:t xml:space="preserve"> </w:t>
      </w:r>
      <w:r w:rsidRPr="0013795A">
        <w:rPr>
          <w:color w:val="171717" w:themeColor="background2" w:themeShade="1A"/>
        </w:rPr>
        <w:t>e</w:t>
      </w:r>
      <w:r w:rsidR="00FC2C46" w:rsidRPr="0013795A">
        <w:rPr>
          <w:color w:val="171717" w:themeColor="background2" w:themeShade="1A"/>
        </w:rPr>
        <w:t>xemptions were granted.</w:t>
      </w:r>
    </w:p>
    <w:p w:rsidR="008049E1" w:rsidRPr="0013795A" w:rsidRDefault="008049E1" w:rsidP="008049E1">
      <w:pPr>
        <w:rPr>
          <w:color w:val="171717" w:themeColor="background2" w:themeShade="1A"/>
        </w:rPr>
      </w:pPr>
      <w:r w:rsidRPr="0013795A">
        <w:rPr>
          <w:color w:val="171717" w:themeColor="background2" w:themeShade="1A"/>
        </w:rPr>
        <w:t>Because the definition of a religious exemption varies from state to state, the legal definitions were analyzed</w:t>
      </w:r>
      <w:r w:rsidR="009A0D0F" w:rsidRPr="0013795A">
        <w:rPr>
          <w:color w:val="171717" w:themeColor="background2" w:themeShade="1A"/>
        </w:rPr>
        <w:t>.</w:t>
      </w:r>
      <w:r w:rsidR="004619A5" w:rsidRPr="0013795A">
        <w:rPr>
          <w:color w:val="171717" w:themeColor="background2" w:themeShade="1A"/>
        </w:rPr>
        <w:t xml:space="preserve"> </w:t>
      </w:r>
      <w:r w:rsidR="00542FB4" w:rsidRPr="0013795A">
        <w:rPr>
          <w:color w:val="171717" w:themeColor="background2" w:themeShade="1A"/>
        </w:rPr>
        <w:t xml:space="preserve"> </w:t>
      </w:r>
      <w:r w:rsidRPr="0013795A">
        <w:rPr>
          <w:color w:val="171717" w:themeColor="background2" w:themeShade="1A"/>
        </w:rPr>
        <w:t>The article recommends that if a policy maker is interested in controlling exemption rates to achieve public health goals nonmedical exemptions should be made more stringent and vaccine education components should be in some way added to the procedures.  It is evident that government is already working toward lowering exemptions rates judging from the bills passed in 2011-2013 to tighten exemptions</w:t>
      </w:r>
      <w:r w:rsidR="000101CA" w:rsidRPr="0013795A">
        <w:rPr>
          <w:color w:val="171717" w:themeColor="background2" w:themeShade="1A"/>
        </w:rPr>
        <w:t>.  From a previous section we have already discussed that Washington mandated parents who requested a religious or philosophical exemption to be educated on vaccination risks and benefits.  California then passed a similar law that became effective in 2014.  The final piece of legislation that passed was in Vermont and required parents applying for an exemption to first read educational material online</w:t>
      </w:r>
      <w:r w:rsidRPr="0013795A">
        <w:rPr>
          <w:color w:val="171717" w:themeColor="background2" w:themeShade="1A"/>
        </w:rPr>
        <w:t xml:space="preserve"> </w:t>
      </w:r>
      <w:r w:rsidRPr="0013795A">
        <w:rPr>
          <w:color w:val="171717" w:themeColor="background2" w:themeShade="1A"/>
        </w:rPr>
        <w:fldChar w:fldCharType="begin"/>
      </w:r>
      <w:r w:rsidRPr="0013795A">
        <w:rPr>
          <w:color w:val="171717" w:themeColor="background2" w:themeShade="1A"/>
        </w:rPr>
        <w:instrText xml:space="preserve"> ADDIN EN.CITE &lt;EndNote&gt;&lt;Cite&gt;&lt;Author&gt;Nina R. Blank&lt;/Author&gt;&lt;Year&gt;2013&lt;/Year&gt;&lt;RecNum&gt;17&lt;/RecNum&gt;&lt;DisplayText&gt;(Nina R. Blank, 2013)&lt;/DisplayText&gt;&lt;record&gt;&lt;rec-number&gt;17&lt;/rec-number&gt;&lt;foreign-keys&gt;&lt;key app="EN" db-id="s50wv0fdiwsvs9ewxr65pdzf5ssrp9xr5zar" timestamp="1454855665"&gt;17&lt;/key&gt;&lt;/foreign-keys&gt;&lt;ref-type name="Journal Article"&gt;17&lt;/ref-type&gt;&lt;contributors&gt;&lt;authors&gt;&lt;author&gt;Nina R. Blank, Arthur L. Caplan and Catherine Constable&lt;/author&gt;&lt;/authors&gt;&lt;/contributors&gt;&lt;titles&gt;&lt;title&gt;Exempting Schoolchildren From Immunizations: State With Few Barriers Had Highest Rates Of Nonmedical Exemptions&lt;/title&gt;&lt;secondary-title&gt;Health Affairs&lt;/secondary-title&gt;&lt;/titles&gt;&lt;periodical&gt;&lt;full-title&gt;Health Affairs&lt;/full-title&gt;&lt;/periodical&gt;&lt;pages&gt;1282-1290&lt;/pages&gt;&lt;volume&gt;32&lt;/volume&gt;&lt;number&gt;7&lt;/number&gt;&lt;edition&gt;2013&lt;/edition&gt;&lt;section&gt;1282&lt;/section&gt;&lt;dates&gt;&lt;year&gt;2013&lt;/year&gt;&lt;/dates&gt;&lt;urls&gt;&lt;related-urls&gt;&lt;url&gt;http://content.healthaffairs.org.pitt.idm.oclc.org/content/32/7/1282&lt;/url&gt;&lt;/related-urls&gt;&lt;/urls&gt;&lt;electronic-resource-num&gt;10.1377/hlthaff.2013.0239&lt;/electronic-resource-num&gt;&lt;access-date&gt;Febuary 7&lt;/access-date&gt;&lt;/record&gt;&lt;/Cite&gt;&lt;/EndNote&gt;</w:instrText>
      </w:r>
      <w:r w:rsidRPr="0013795A">
        <w:rPr>
          <w:color w:val="171717" w:themeColor="background2" w:themeShade="1A"/>
        </w:rPr>
        <w:fldChar w:fldCharType="separate"/>
      </w:r>
      <w:r w:rsidRPr="0013795A">
        <w:rPr>
          <w:noProof/>
          <w:color w:val="171717" w:themeColor="background2" w:themeShade="1A"/>
        </w:rPr>
        <w:t>(Nina R. Blank, 2013)</w:t>
      </w:r>
      <w:r w:rsidRPr="0013795A">
        <w:rPr>
          <w:color w:val="171717" w:themeColor="background2" w:themeShade="1A"/>
        </w:rPr>
        <w:fldChar w:fldCharType="end"/>
      </w:r>
      <w:r w:rsidRPr="0013795A">
        <w:rPr>
          <w:color w:val="171717" w:themeColor="background2" w:themeShade="1A"/>
        </w:rPr>
        <w:t>.</w:t>
      </w:r>
    </w:p>
    <w:p w:rsidR="008049E1" w:rsidRDefault="008049E1" w:rsidP="008049E1">
      <w:pPr>
        <w:rPr>
          <w:color w:val="171717" w:themeColor="background2" w:themeShade="1A"/>
        </w:rPr>
      </w:pPr>
      <w:r w:rsidRPr="0013795A">
        <w:rPr>
          <w:color w:val="171717" w:themeColor="background2" w:themeShade="1A"/>
        </w:rPr>
        <w:lastRenderedPageBreak/>
        <w:t>A similar study examined not only how state vaccination laws affect exemption rates but also how they contribute to disease outbreaks within the US.  Focused specifically on kindergarten vaccination exemption laws and using the</w:t>
      </w:r>
      <w:r w:rsidR="0072316E" w:rsidRPr="0013795A">
        <w:rPr>
          <w:color w:val="171717" w:themeColor="background2" w:themeShade="1A"/>
        </w:rPr>
        <w:t xml:space="preserve"> </w:t>
      </w:r>
      <w:r w:rsidR="009A0D0F" w:rsidRPr="0013795A">
        <w:rPr>
          <w:color w:val="171717" w:themeColor="background2" w:themeShade="1A"/>
        </w:rPr>
        <w:t>CDC</w:t>
      </w:r>
      <w:r w:rsidRPr="0013795A">
        <w:rPr>
          <w:color w:val="171717" w:themeColor="background2" w:themeShade="1A"/>
        </w:rPr>
        <w:t xml:space="preserve">’s </w:t>
      </w:r>
      <w:r w:rsidR="009A0D0F" w:rsidRPr="0013795A">
        <w:rPr>
          <w:color w:val="171717" w:themeColor="background2" w:themeShade="1A"/>
        </w:rPr>
        <w:t xml:space="preserve">annual </w:t>
      </w:r>
      <w:r w:rsidRPr="0013795A">
        <w:rPr>
          <w:color w:val="171717" w:themeColor="background2" w:themeShade="1A"/>
        </w:rPr>
        <w:t xml:space="preserve">school assessment reports, results </w:t>
      </w:r>
      <w:r w:rsidR="009A0D0F" w:rsidRPr="0013795A">
        <w:rPr>
          <w:color w:val="171717" w:themeColor="background2" w:themeShade="1A"/>
        </w:rPr>
        <w:t xml:space="preserve">suggest </w:t>
      </w:r>
      <w:r w:rsidRPr="0013795A">
        <w:rPr>
          <w:color w:val="171717" w:themeColor="background2" w:themeShade="1A"/>
        </w:rPr>
        <w:t xml:space="preserve">that the more rigorous policies had a substantial role in lowering vaccine exemptions.  These policies included such procedures as requiring a physician to sign approval of nonmedical exemptions and having “criminal or civil punishments for noncompliance with immunization requirements.”  Eighteen states with the most effective policies and nine with the least effective were identified </w:t>
      </w:r>
      <w:r w:rsidRPr="0013795A">
        <w:rPr>
          <w:color w:val="171717" w:themeColor="background2" w:themeShade="1A"/>
        </w:rPr>
        <w:fldChar w:fldCharType="begin"/>
      </w:r>
      <w:r w:rsidRPr="0013795A">
        <w:rPr>
          <w:color w:val="171717" w:themeColor="background2" w:themeShade="1A"/>
        </w:rPr>
        <w:instrText xml:space="preserve"> ADDIN EN.CITE &lt;EndNote&gt;&lt;Cite&gt;&lt;Author&gt;Mandich&lt;/Author&gt;&lt;Year&gt;2014&lt;/Year&gt;&lt;RecNum&gt;16&lt;/RecNum&gt;&lt;DisplayText&gt;(Mandich, 2014)&lt;/DisplayText&gt;&lt;record&gt;&lt;rec-number&gt;16&lt;/rec-number&gt;&lt;foreign-keys&gt;&lt;key app="EN" db-id="s50wv0fdiwsvs9ewxr65pdzf5ssrp9xr5zar" timestamp="1454855436"&gt;16&lt;/key&gt;&lt;/foreign-keys&gt;&lt;ref-type name="Journal Article"&gt;17&lt;/ref-type&gt;&lt;contributors&gt;&lt;authors&gt;&lt;author&gt;W. David Bradford and Anne Mandich&lt;/author&gt;&lt;/authors&gt;&lt;/contributors&gt;&lt;titles&gt;&lt;title&gt;Some State Vaccination Laws Contribute To Greater Exemption Rates And Disease Outbreaks In The United States&lt;/title&gt;&lt;secondary-title&gt;Health Affairs&lt;/secondary-title&gt;&lt;/titles&gt;&lt;periodical&gt;&lt;full-title&gt;Health Affairs&lt;/full-title&gt;&lt;/periodical&gt;&lt;pages&gt;1383-1390&lt;/pages&gt;&lt;volume&gt;34&lt;/volume&gt;&lt;number&gt;8&lt;/number&gt;&lt;edition&gt;August 2015&lt;/edition&gt;&lt;section&gt;1383&lt;/section&gt;&lt;dates&gt;&lt;year&gt;2014&lt;/year&gt;&lt;/dates&gt;&lt;isbn&gt;0278-2715&lt;/isbn&gt;&lt;urls&gt;&lt;related-urls&gt;&lt;url&gt;http://content.healthaffairs.org.pitt.idm.oclc.org/content/34/8/1383&lt;/url&gt;&lt;/related-urls&gt;&lt;/urls&gt;&lt;electronic-resource-num&gt;10.1377/hlthaff.2014.1428&lt;/electronic-resource-num&gt;&lt;access-date&gt;Febuary 7&lt;/access-date&gt;&lt;/record&gt;&lt;/Cite&gt;&lt;/EndNote&gt;</w:instrText>
      </w:r>
      <w:r w:rsidRPr="0013795A">
        <w:rPr>
          <w:color w:val="171717" w:themeColor="background2" w:themeShade="1A"/>
        </w:rPr>
        <w:fldChar w:fldCharType="separate"/>
      </w:r>
      <w:r w:rsidRPr="0013795A">
        <w:rPr>
          <w:noProof/>
          <w:color w:val="171717" w:themeColor="background2" w:themeShade="1A"/>
        </w:rPr>
        <w:t>(Mandich, 2014)</w:t>
      </w:r>
      <w:r w:rsidRPr="0013795A">
        <w:rPr>
          <w:color w:val="171717" w:themeColor="background2" w:themeShade="1A"/>
        </w:rPr>
        <w:fldChar w:fldCharType="end"/>
      </w:r>
      <w:r w:rsidR="00CE7369" w:rsidRPr="0013795A">
        <w:rPr>
          <w:color w:val="171717" w:themeColor="background2" w:themeShade="1A"/>
        </w:rPr>
        <w:t>.  Figure</w:t>
      </w:r>
      <w:r w:rsidRPr="0013795A">
        <w:rPr>
          <w:color w:val="171717" w:themeColor="background2" w:themeShade="1A"/>
        </w:rPr>
        <w:t xml:space="preserve"> 2 illustrates how the states compare</w:t>
      </w:r>
      <w:r w:rsidR="00FC053C" w:rsidRPr="0013795A">
        <w:rPr>
          <w:color w:val="171717" w:themeColor="background2" w:themeShade="1A"/>
        </w:rPr>
        <w:t>, ranging from those that have the least effective vaccination policies in the darkest blue to those with the most effective policies in the lightest shade of blue</w:t>
      </w:r>
      <w:r w:rsidRPr="0013795A">
        <w:rPr>
          <w:color w:val="171717" w:themeColor="background2" w:themeShade="1A"/>
        </w:rPr>
        <w:t>.</w:t>
      </w:r>
      <w:r w:rsidR="00FC053C" w:rsidRPr="0013795A">
        <w:rPr>
          <w:color w:val="171717" w:themeColor="background2" w:themeShade="1A"/>
        </w:rPr>
        <w:t xml:space="preserve">  States with no index ranking in terms of the effectiveness of their vaccination policies are in tan.</w:t>
      </w:r>
    </w:p>
    <w:p w:rsidR="009F6EF3" w:rsidRPr="0013795A" w:rsidRDefault="009F6EF3" w:rsidP="008049E1">
      <w:pPr>
        <w:rPr>
          <w:color w:val="171717" w:themeColor="background2" w:themeShade="1A"/>
        </w:rPr>
      </w:pPr>
    </w:p>
    <w:p w:rsidR="008049E1" w:rsidRPr="0013795A" w:rsidRDefault="008049E1" w:rsidP="008049E1">
      <w:pPr>
        <w:rPr>
          <w:color w:val="171717" w:themeColor="background2" w:themeShade="1A"/>
        </w:rPr>
      </w:pPr>
    </w:p>
    <w:p w:rsidR="00EE690B" w:rsidRPr="0013795A" w:rsidRDefault="00383F96" w:rsidP="00EE690B">
      <w:pPr>
        <w:keepNext/>
        <w:rPr>
          <w:color w:val="171717" w:themeColor="background2" w:themeShade="1A"/>
        </w:rPr>
      </w:pPr>
      <w:r w:rsidRPr="0013795A">
        <w:rPr>
          <w:noProof/>
          <w:color w:val="171717" w:themeColor="background2" w:themeShade="1A"/>
        </w:rPr>
        <w:lastRenderedPageBreak/>
        <w:drawing>
          <wp:inline distT="0" distB="0" distL="0" distR="0" wp14:anchorId="3894D49E" wp14:editId="40AD91E8">
            <wp:extent cx="5591175" cy="3571875"/>
            <wp:effectExtent l="0" t="0" r="0" b="0"/>
            <wp:docPr id="1" name="Picture 1" descr="States By Quartile Of Exemption Law Effectiveness Index,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 By Quartile Of Exemption Law Effectiveness Index, 2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3571875"/>
                    </a:xfrm>
                    <a:prstGeom prst="rect">
                      <a:avLst/>
                    </a:prstGeom>
                    <a:noFill/>
                    <a:ln>
                      <a:noFill/>
                    </a:ln>
                  </pic:spPr>
                </pic:pic>
              </a:graphicData>
            </a:graphic>
          </wp:inline>
        </w:drawing>
      </w:r>
    </w:p>
    <w:p w:rsidR="00EE690B" w:rsidRPr="0013795A" w:rsidRDefault="00F43829" w:rsidP="00EE690B">
      <w:pPr>
        <w:pStyle w:val="Caption"/>
        <w:rPr>
          <w:color w:val="171717" w:themeColor="background2" w:themeShade="1A"/>
        </w:rPr>
      </w:pPr>
      <w:r w:rsidRPr="0013795A">
        <w:rPr>
          <w:color w:val="171717" w:themeColor="background2" w:themeShade="1A"/>
        </w:rPr>
        <w:t>(</w:t>
      </w:r>
      <w:proofErr w:type="spellStart"/>
      <w:r w:rsidRPr="0013795A">
        <w:rPr>
          <w:color w:val="171717" w:themeColor="background2" w:themeShade="1A"/>
        </w:rPr>
        <w:t>Mandich</w:t>
      </w:r>
      <w:proofErr w:type="spellEnd"/>
      <w:r w:rsidRPr="0013795A">
        <w:rPr>
          <w:color w:val="171717" w:themeColor="background2" w:themeShade="1A"/>
        </w:rPr>
        <w:t>, 2014)</w:t>
      </w:r>
    </w:p>
    <w:p w:rsidR="008049E1" w:rsidRPr="0013795A" w:rsidRDefault="00EE690B" w:rsidP="00EE690B">
      <w:pPr>
        <w:pStyle w:val="Caption"/>
        <w:rPr>
          <w:color w:val="171717" w:themeColor="background2" w:themeShade="1A"/>
        </w:rPr>
      </w:pPr>
      <w:bookmarkStart w:id="17" w:name="_Toc323241457"/>
      <w:r w:rsidRPr="0013795A">
        <w:rPr>
          <w:color w:val="171717" w:themeColor="background2" w:themeShade="1A"/>
        </w:rPr>
        <w:t xml:space="preserve">Figure </w:t>
      </w:r>
      <w:r w:rsidRPr="0013795A">
        <w:rPr>
          <w:color w:val="171717" w:themeColor="background2" w:themeShade="1A"/>
        </w:rPr>
        <w:fldChar w:fldCharType="begin"/>
      </w:r>
      <w:r w:rsidRPr="0013795A">
        <w:rPr>
          <w:color w:val="171717" w:themeColor="background2" w:themeShade="1A"/>
        </w:rPr>
        <w:instrText xml:space="preserve"> SEQ Figure \* ARABIC </w:instrText>
      </w:r>
      <w:r w:rsidRPr="0013795A">
        <w:rPr>
          <w:color w:val="171717" w:themeColor="background2" w:themeShade="1A"/>
        </w:rPr>
        <w:fldChar w:fldCharType="separate"/>
      </w:r>
      <w:r w:rsidR="00FC2C46" w:rsidRPr="0013795A">
        <w:rPr>
          <w:noProof/>
          <w:color w:val="171717" w:themeColor="background2" w:themeShade="1A"/>
        </w:rPr>
        <w:t>1</w:t>
      </w:r>
      <w:r w:rsidRPr="0013795A">
        <w:rPr>
          <w:color w:val="171717" w:themeColor="background2" w:themeShade="1A"/>
        </w:rPr>
        <w:fldChar w:fldCharType="end"/>
      </w:r>
      <w:r w:rsidRPr="0013795A">
        <w:rPr>
          <w:color w:val="171717" w:themeColor="background2" w:themeShade="1A"/>
        </w:rPr>
        <w:t>. States by Quartile of Exemption Law Effectiveness Index, 2012</w:t>
      </w:r>
      <w:bookmarkEnd w:id="17"/>
    </w:p>
    <w:p w:rsidR="002706BA" w:rsidRPr="0013795A" w:rsidRDefault="002706BA" w:rsidP="002706BA">
      <w:pPr>
        <w:keepNext/>
        <w:jc w:val="center"/>
        <w:rPr>
          <w:color w:val="171717" w:themeColor="background2" w:themeShade="1A"/>
        </w:rPr>
      </w:pPr>
      <w:bookmarkStart w:id="18" w:name="_Toc106513533"/>
      <w:bookmarkStart w:id="19" w:name="_Toc106717791"/>
    </w:p>
    <w:p w:rsidR="00F43829" w:rsidRPr="0013795A" w:rsidRDefault="00F43829" w:rsidP="002706BA">
      <w:pPr>
        <w:keepNext/>
        <w:jc w:val="center"/>
        <w:rPr>
          <w:color w:val="171717" w:themeColor="background2" w:themeShade="1A"/>
        </w:rPr>
      </w:pPr>
    </w:p>
    <w:p w:rsidR="008049E1" w:rsidRPr="0013795A" w:rsidRDefault="008049E1" w:rsidP="008049E1">
      <w:pPr>
        <w:rPr>
          <w:color w:val="171717" w:themeColor="background2" w:themeShade="1A"/>
        </w:rPr>
      </w:pPr>
      <w:r w:rsidRPr="0013795A">
        <w:rPr>
          <w:color w:val="171717" w:themeColor="background2" w:themeShade="1A"/>
        </w:rPr>
        <w:t xml:space="preserve">Lower incidences of pertussis occurred in states with the most effective vaccine exemptions laws.  This supports the connection between vaccine laws and their influence on disease incidence.  In 2015 a measles outbreak </w:t>
      </w:r>
      <w:r w:rsidR="009A0D0F" w:rsidRPr="0013795A">
        <w:rPr>
          <w:color w:val="171717" w:themeColor="background2" w:themeShade="1A"/>
        </w:rPr>
        <w:t>was</w:t>
      </w:r>
      <w:r w:rsidR="004619A5" w:rsidRPr="0013795A">
        <w:rPr>
          <w:color w:val="171717" w:themeColor="background2" w:themeShade="1A"/>
        </w:rPr>
        <w:t xml:space="preserve"> </w:t>
      </w:r>
      <w:r w:rsidRPr="0013795A">
        <w:rPr>
          <w:color w:val="171717" w:themeColor="background2" w:themeShade="1A"/>
        </w:rPr>
        <w:t xml:space="preserve">raced to Disneyland in California.  California is </w:t>
      </w:r>
      <w:r w:rsidR="009A0D0F" w:rsidRPr="0013795A">
        <w:rPr>
          <w:color w:val="171717" w:themeColor="background2" w:themeShade="1A"/>
        </w:rPr>
        <w:t>classified as enacting</w:t>
      </w:r>
      <w:r w:rsidR="0072316E" w:rsidRPr="0013795A">
        <w:rPr>
          <w:color w:val="171717" w:themeColor="background2" w:themeShade="1A"/>
        </w:rPr>
        <w:t xml:space="preserve"> </w:t>
      </w:r>
      <w:r w:rsidRPr="0013795A">
        <w:rPr>
          <w:color w:val="171717" w:themeColor="background2" w:themeShade="1A"/>
        </w:rPr>
        <w:t xml:space="preserve">less effective exemption laws.  </w:t>
      </w:r>
      <w:r w:rsidR="00FC053C" w:rsidRPr="0013795A">
        <w:rPr>
          <w:color w:val="171717" w:themeColor="background2" w:themeShade="1A"/>
        </w:rPr>
        <w:t>S</w:t>
      </w:r>
      <w:r w:rsidRPr="0013795A">
        <w:rPr>
          <w:color w:val="171717" w:themeColor="background2" w:themeShade="1A"/>
        </w:rPr>
        <w:t xml:space="preserve">even </w:t>
      </w:r>
      <w:r w:rsidR="00FC053C" w:rsidRPr="0013795A">
        <w:rPr>
          <w:color w:val="171717" w:themeColor="background2" w:themeShade="1A"/>
        </w:rPr>
        <w:t xml:space="preserve">total cases </w:t>
      </w:r>
      <w:r w:rsidRPr="0013795A">
        <w:rPr>
          <w:color w:val="171717" w:themeColor="background2" w:themeShade="1A"/>
        </w:rPr>
        <w:t>occurred in California and Utah</w:t>
      </w:r>
      <w:r w:rsidR="00FC053C" w:rsidRPr="0013795A">
        <w:rPr>
          <w:color w:val="171717" w:themeColor="background2" w:themeShade="1A"/>
        </w:rPr>
        <w:t>, six of which occurred in people who</w:t>
      </w:r>
      <w:r w:rsidRPr="0013795A">
        <w:rPr>
          <w:color w:val="171717" w:themeColor="background2" w:themeShade="1A"/>
        </w:rPr>
        <w:t xml:space="preserve"> had not been vaccinated.  By March</w:t>
      </w:r>
      <w:r w:rsidR="00C43850" w:rsidRPr="0013795A">
        <w:rPr>
          <w:color w:val="171717" w:themeColor="background2" w:themeShade="1A"/>
        </w:rPr>
        <w:t xml:space="preserve">, 2015, </w:t>
      </w:r>
      <w:r w:rsidRPr="0013795A">
        <w:rPr>
          <w:color w:val="171717" w:themeColor="background2" w:themeShade="1A"/>
        </w:rPr>
        <w:t xml:space="preserve">the number of confirmed cases totaled 133 in California alone, 57 occurring in unvaccinated patients </w:t>
      </w:r>
      <w:r w:rsidRPr="0013795A">
        <w:rPr>
          <w:color w:val="171717" w:themeColor="background2" w:themeShade="1A"/>
        </w:rPr>
        <w:fldChar w:fldCharType="begin"/>
      </w:r>
      <w:r w:rsidRPr="0013795A">
        <w:rPr>
          <w:color w:val="171717" w:themeColor="background2" w:themeShade="1A"/>
        </w:rPr>
        <w:instrText xml:space="preserve"> ADDIN EN.CITE &lt;EndNote&gt;&lt;Cite&gt;&lt;Author&gt;Mandich&lt;/Author&gt;&lt;Year&gt;2014&lt;/Year&gt;&lt;RecNum&gt;16&lt;/RecNum&gt;&lt;DisplayText&gt;(Mandich, 2014)&lt;/DisplayText&gt;&lt;record&gt;&lt;rec-number&gt;16&lt;/rec-number&gt;&lt;foreign-keys&gt;&lt;key app="EN" db-id="s50wv0fdiwsvs9ewxr65pdzf5ssrp9xr5zar" timestamp="1454855436"&gt;16&lt;/key&gt;&lt;/foreign-keys&gt;&lt;ref-type name="Journal Article"&gt;17&lt;/ref-type&gt;&lt;contributors&gt;&lt;authors&gt;&lt;author&gt;W. David Bradford and Anne Mandich&lt;/author&gt;&lt;/authors&gt;&lt;/contributors&gt;&lt;titles&gt;&lt;title&gt;Some State Vaccination Laws Contribute To Greater Exemption Rates And Disease Outbreaks In The United States&lt;/title&gt;&lt;secondary-title&gt;Health Affairs&lt;/secondary-title&gt;&lt;/titles&gt;&lt;periodical&gt;&lt;full-title&gt;Health Affairs&lt;/full-title&gt;&lt;/periodical&gt;&lt;pages&gt;1383-1390&lt;/pages&gt;&lt;volume&gt;34&lt;/volume&gt;&lt;number&gt;8&lt;/number&gt;&lt;edition&gt;August 2015&lt;/edition&gt;&lt;section&gt;1383&lt;/section&gt;&lt;dates&gt;&lt;year&gt;2014&lt;/year&gt;&lt;/dates&gt;&lt;isbn&gt;0278-2715&lt;/isbn&gt;&lt;urls&gt;&lt;related-urls&gt;&lt;url&gt;http://content.healthaffairs.org.pitt.idm.oclc.org/content/34/8/1383&lt;/url&gt;&lt;/related-urls&gt;&lt;/urls&gt;&lt;electronic-resource-num&gt;10.1377/hlthaff.2014.1428&lt;/electronic-resource-num&gt;&lt;access-date&gt;Febuary 7&lt;/access-date&gt;&lt;/record&gt;&lt;/Cite&gt;&lt;/EndNote&gt;</w:instrText>
      </w:r>
      <w:r w:rsidRPr="0013795A">
        <w:rPr>
          <w:color w:val="171717" w:themeColor="background2" w:themeShade="1A"/>
        </w:rPr>
        <w:fldChar w:fldCharType="separate"/>
      </w:r>
      <w:r w:rsidRPr="0013795A">
        <w:rPr>
          <w:noProof/>
          <w:color w:val="171717" w:themeColor="background2" w:themeShade="1A"/>
        </w:rPr>
        <w:t>(Mandich, 2014)</w:t>
      </w:r>
      <w:r w:rsidRPr="0013795A">
        <w:rPr>
          <w:color w:val="171717" w:themeColor="background2" w:themeShade="1A"/>
        </w:rPr>
        <w:fldChar w:fldCharType="end"/>
      </w:r>
      <w:r w:rsidRPr="0013795A">
        <w:rPr>
          <w:color w:val="171717" w:themeColor="background2" w:themeShade="1A"/>
        </w:rPr>
        <w:t xml:space="preserve">. </w:t>
      </w:r>
    </w:p>
    <w:p w:rsidR="00B917F0" w:rsidRPr="0013795A" w:rsidRDefault="00B82CA8" w:rsidP="00B82CA8">
      <w:pPr>
        <w:pStyle w:val="Heading1"/>
        <w:rPr>
          <w:color w:val="171717" w:themeColor="background2" w:themeShade="1A"/>
        </w:rPr>
      </w:pPr>
      <w:bookmarkStart w:id="20" w:name="_Toc323241444"/>
      <w:bookmarkEnd w:id="18"/>
      <w:bookmarkEnd w:id="19"/>
      <w:r w:rsidRPr="0013795A">
        <w:rPr>
          <w:color w:val="171717" w:themeColor="background2" w:themeShade="1A"/>
        </w:rPr>
        <w:lastRenderedPageBreak/>
        <w:t>Policy Analysis</w:t>
      </w:r>
      <w:r w:rsidR="0072316E" w:rsidRPr="0013795A">
        <w:rPr>
          <w:color w:val="171717" w:themeColor="background2" w:themeShade="1A"/>
        </w:rPr>
        <w:t xml:space="preserve">: </w:t>
      </w:r>
      <w:r w:rsidRPr="0013795A">
        <w:rPr>
          <w:color w:val="171717" w:themeColor="background2" w:themeShade="1A"/>
        </w:rPr>
        <w:t>vaccination requirements</w:t>
      </w:r>
      <w:r w:rsidR="00FC053C" w:rsidRPr="0013795A">
        <w:rPr>
          <w:color w:val="171717" w:themeColor="background2" w:themeShade="1A"/>
        </w:rPr>
        <w:t xml:space="preserve"> &amp; Allowable Exemptions</w:t>
      </w:r>
      <w:bookmarkEnd w:id="20"/>
    </w:p>
    <w:p w:rsidR="00E17CC6" w:rsidRPr="0013795A" w:rsidRDefault="00674EE7" w:rsidP="00E17CC6">
      <w:pPr>
        <w:pStyle w:val="Noindent"/>
        <w:ind w:firstLine="720"/>
        <w:rPr>
          <w:color w:val="171717" w:themeColor="background2" w:themeShade="1A"/>
        </w:rPr>
      </w:pPr>
      <w:r w:rsidRPr="0013795A">
        <w:rPr>
          <w:color w:val="171717" w:themeColor="background2" w:themeShade="1A"/>
        </w:rPr>
        <w:t>Four states were selected to co</w:t>
      </w:r>
      <w:r w:rsidR="00C07CAF" w:rsidRPr="0013795A">
        <w:rPr>
          <w:color w:val="171717" w:themeColor="background2" w:themeShade="1A"/>
        </w:rPr>
        <w:t>mpare and contrast how the type</w:t>
      </w:r>
      <w:r w:rsidRPr="0013795A">
        <w:rPr>
          <w:color w:val="171717" w:themeColor="background2" w:themeShade="1A"/>
        </w:rPr>
        <w:t xml:space="preserve"> of exemptions offered affect exemption rates.  Selected states include California, Connecticut, Mississippi, and Pennsylvania.  These particular states were chosen based on their varying exemption types and differing required vaccines for public school kindergartners.</w:t>
      </w:r>
      <w:r w:rsidR="001C5860" w:rsidRPr="0013795A">
        <w:rPr>
          <w:color w:val="171717" w:themeColor="background2" w:themeShade="1A"/>
        </w:rPr>
        <w:t xml:space="preserve">  </w:t>
      </w:r>
      <w:r w:rsidRPr="0013795A">
        <w:rPr>
          <w:color w:val="171717" w:themeColor="background2" w:themeShade="1A"/>
        </w:rPr>
        <w:t xml:space="preserve">Table 1 shown below displays what exemptions </w:t>
      </w:r>
      <w:r w:rsidR="001C5860" w:rsidRPr="0013795A">
        <w:rPr>
          <w:color w:val="171717" w:themeColor="background2" w:themeShade="1A"/>
        </w:rPr>
        <w:t>are</w:t>
      </w:r>
      <w:r w:rsidRPr="0013795A">
        <w:rPr>
          <w:color w:val="171717" w:themeColor="background2" w:themeShade="1A"/>
        </w:rPr>
        <w:t xml:space="preserve"> </w:t>
      </w:r>
      <w:r w:rsidR="0091430B" w:rsidRPr="0013795A">
        <w:rPr>
          <w:color w:val="171717" w:themeColor="background2" w:themeShade="1A"/>
        </w:rPr>
        <w:t>available</w:t>
      </w:r>
      <w:r w:rsidR="0072316E" w:rsidRPr="0013795A">
        <w:rPr>
          <w:color w:val="171717" w:themeColor="background2" w:themeShade="1A"/>
        </w:rPr>
        <w:t xml:space="preserve"> </w:t>
      </w:r>
      <w:r w:rsidRPr="0013795A">
        <w:rPr>
          <w:color w:val="171717" w:themeColor="background2" w:themeShade="1A"/>
        </w:rPr>
        <w:t>in each of the selected states.</w:t>
      </w:r>
    </w:p>
    <w:p w:rsidR="00F43829" w:rsidRPr="0013795A" w:rsidRDefault="00F43829" w:rsidP="00F43829">
      <w:pPr>
        <w:spacing w:line="240" w:lineRule="auto"/>
        <w:rPr>
          <w:color w:val="171717" w:themeColor="background2" w:themeShade="1A"/>
        </w:rPr>
      </w:pPr>
    </w:p>
    <w:p w:rsidR="00F43829" w:rsidRPr="0013795A" w:rsidRDefault="00F43829" w:rsidP="00F43829">
      <w:pPr>
        <w:pStyle w:val="Caption"/>
        <w:keepNext/>
        <w:ind w:hanging="90"/>
        <w:rPr>
          <w:color w:val="171717" w:themeColor="background2" w:themeShade="1A"/>
        </w:rPr>
      </w:pPr>
      <w:bookmarkStart w:id="21" w:name="_Toc323241547"/>
      <w:r w:rsidRPr="0013795A">
        <w:rPr>
          <w:color w:val="171717" w:themeColor="background2" w:themeShade="1A"/>
        </w:rPr>
        <w:t xml:space="preserve">Table </w:t>
      </w:r>
      <w:r w:rsidRPr="0013795A">
        <w:rPr>
          <w:color w:val="171717" w:themeColor="background2" w:themeShade="1A"/>
        </w:rPr>
        <w:fldChar w:fldCharType="begin"/>
      </w:r>
      <w:r w:rsidRPr="0013795A">
        <w:rPr>
          <w:color w:val="171717" w:themeColor="background2" w:themeShade="1A"/>
        </w:rPr>
        <w:instrText xml:space="preserve"> SEQ Table \* ARABIC </w:instrText>
      </w:r>
      <w:r w:rsidRPr="0013795A">
        <w:rPr>
          <w:color w:val="171717" w:themeColor="background2" w:themeShade="1A"/>
        </w:rPr>
        <w:fldChar w:fldCharType="separate"/>
      </w:r>
      <w:r w:rsidR="00965C9D" w:rsidRPr="0013795A">
        <w:rPr>
          <w:noProof/>
          <w:color w:val="171717" w:themeColor="background2" w:themeShade="1A"/>
        </w:rPr>
        <w:t>1</w:t>
      </w:r>
      <w:r w:rsidRPr="0013795A">
        <w:rPr>
          <w:color w:val="171717" w:themeColor="background2" w:themeShade="1A"/>
        </w:rPr>
        <w:fldChar w:fldCharType="end"/>
      </w:r>
      <w:r w:rsidRPr="0013795A">
        <w:rPr>
          <w:color w:val="171717" w:themeColor="background2" w:themeShade="1A"/>
        </w:rPr>
        <w:t>. The Exemptions Allowable in E</w:t>
      </w:r>
      <w:r w:rsidR="00491B20" w:rsidRPr="0013795A">
        <w:rPr>
          <w:color w:val="171717" w:themeColor="background2" w:themeShade="1A"/>
        </w:rPr>
        <w:t>ach of the Selected States of</w:t>
      </w:r>
      <w:r w:rsidRPr="0013795A">
        <w:rPr>
          <w:color w:val="171717" w:themeColor="background2" w:themeShade="1A"/>
        </w:rPr>
        <w:t xml:space="preserve"> 2015</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13795A" w:rsidRPr="0013795A" w:rsidTr="00367800">
        <w:tc>
          <w:tcPr>
            <w:tcW w:w="2394" w:type="dxa"/>
            <w:shd w:val="solid" w:color="800080" w:fill="FFFFFF"/>
            <w:vAlign w:val="center"/>
          </w:tcPr>
          <w:p w:rsidR="008C6C69" w:rsidRPr="0013795A" w:rsidRDefault="008C6C69" w:rsidP="00367800">
            <w:pPr>
              <w:ind w:firstLine="0"/>
              <w:jc w:val="center"/>
              <w:rPr>
                <w:b/>
                <w:bCs/>
                <w:color w:val="171717" w:themeColor="background2" w:themeShade="1A"/>
              </w:rPr>
            </w:pPr>
          </w:p>
        </w:tc>
        <w:tc>
          <w:tcPr>
            <w:tcW w:w="2394" w:type="dxa"/>
            <w:shd w:val="solid" w:color="800080" w:fill="FFFFFF"/>
            <w:vAlign w:val="center"/>
          </w:tcPr>
          <w:p w:rsidR="008C6C69" w:rsidRPr="0013795A" w:rsidRDefault="008C6C69" w:rsidP="00367800">
            <w:pPr>
              <w:ind w:firstLine="0"/>
              <w:jc w:val="center"/>
              <w:rPr>
                <w:color w:val="171717" w:themeColor="background2" w:themeShade="1A"/>
              </w:rPr>
            </w:pPr>
            <w:r w:rsidRPr="0013795A">
              <w:rPr>
                <w:color w:val="171717" w:themeColor="background2" w:themeShade="1A"/>
              </w:rPr>
              <w:t>Medical</w:t>
            </w:r>
          </w:p>
        </w:tc>
        <w:tc>
          <w:tcPr>
            <w:tcW w:w="2394" w:type="dxa"/>
            <w:shd w:val="solid" w:color="800080" w:fill="FFFFFF"/>
            <w:vAlign w:val="center"/>
          </w:tcPr>
          <w:p w:rsidR="008C6C69" w:rsidRPr="0013795A" w:rsidRDefault="008C6C69" w:rsidP="00367800">
            <w:pPr>
              <w:ind w:firstLine="0"/>
              <w:jc w:val="center"/>
              <w:rPr>
                <w:color w:val="171717" w:themeColor="background2" w:themeShade="1A"/>
              </w:rPr>
            </w:pPr>
            <w:r w:rsidRPr="0013795A">
              <w:rPr>
                <w:color w:val="171717" w:themeColor="background2" w:themeShade="1A"/>
              </w:rPr>
              <w:t>Religious</w:t>
            </w:r>
          </w:p>
        </w:tc>
        <w:tc>
          <w:tcPr>
            <w:tcW w:w="2394" w:type="dxa"/>
            <w:shd w:val="solid" w:color="800080" w:fill="FFFFFF"/>
            <w:vAlign w:val="center"/>
          </w:tcPr>
          <w:p w:rsidR="008C6C69" w:rsidRPr="0013795A" w:rsidRDefault="008C6C69" w:rsidP="00367800">
            <w:pPr>
              <w:ind w:firstLine="0"/>
              <w:jc w:val="center"/>
              <w:rPr>
                <w:color w:val="171717" w:themeColor="background2" w:themeShade="1A"/>
              </w:rPr>
            </w:pPr>
            <w:r w:rsidRPr="0013795A">
              <w:rPr>
                <w:color w:val="171717" w:themeColor="background2" w:themeShade="1A"/>
              </w:rPr>
              <w:t>Philosophical</w:t>
            </w:r>
          </w:p>
        </w:tc>
      </w:tr>
      <w:tr w:rsidR="0013795A" w:rsidRPr="0013795A" w:rsidTr="00367800">
        <w:tc>
          <w:tcPr>
            <w:tcW w:w="2394" w:type="dxa"/>
            <w:shd w:val="solid" w:color="C0C0C0" w:fill="FFFFFF"/>
            <w:vAlign w:val="center"/>
          </w:tcPr>
          <w:p w:rsidR="008C6C69" w:rsidRPr="0013795A" w:rsidRDefault="008C6C69" w:rsidP="00367800">
            <w:pPr>
              <w:ind w:firstLine="0"/>
              <w:jc w:val="center"/>
              <w:rPr>
                <w:b/>
                <w:bCs/>
                <w:color w:val="171717" w:themeColor="background2" w:themeShade="1A"/>
              </w:rPr>
            </w:pPr>
            <w:r w:rsidRPr="0013795A">
              <w:rPr>
                <w:b/>
                <w:bCs/>
                <w:color w:val="171717" w:themeColor="background2" w:themeShade="1A"/>
              </w:rPr>
              <w:t>California</w:t>
            </w:r>
          </w:p>
        </w:tc>
        <w:tc>
          <w:tcPr>
            <w:tcW w:w="2394" w:type="dxa"/>
            <w:shd w:val="clear" w:color="auto" w:fill="auto"/>
            <w:vAlign w:val="center"/>
          </w:tcPr>
          <w:p w:rsidR="008C6C69" w:rsidRPr="00E706AB" w:rsidRDefault="00A31D26" w:rsidP="00367800">
            <w:pPr>
              <w:ind w:firstLine="0"/>
              <w:jc w:val="center"/>
              <w:rPr>
                <w:color w:val="00B050"/>
              </w:rPr>
            </w:pPr>
            <w:r w:rsidRPr="00E706AB">
              <w:rPr>
                <w:rFonts w:ascii="Zapf Dingbats" w:hAnsi="Zapf Dingbats"/>
                <w:color w:val="00B050"/>
              </w:rPr>
              <w:sym w:font="Wingdings 2" w:char="F050"/>
            </w:r>
          </w:p>
        </w:tc>
        <w:tc>
          <w:tcPr>
            <w:tcW w:w="2394" w:type="dxa"/>
            <w:shd w:val="clear" w:color="auto" w:fill="auto"/>
            <w:vAlign w:val="center"/>
          </w:tcPr>
          <w:p w:rsidR="008C6C69" w:rsidRPr="00E706AB" w:rsidRDefault="00A31D26" w:rsidP="00367800">
            <w:pPr>
              <w:ind w:firstLine="0"/>
              <w:jc w:val="center"/>
              <w:rPr>
                <w:color w:val="00B050"/>
              </w:rPr>
            </w:pPr>
            <w:r w:rsidRPr="00E706AB">
              <w:rPr>
                <w:rFonts w:ascii="Zapf Dingbats" w:hAnsi="Zapf Dingbats"/>
                <w:color w:val="00B050"/>
              </w:rPr>
              <w:sym w:font="Wingdings 2" w:char="F050"/>
            </w:r>
          </w:p>
        </w:tc>
        <w:tc>
          <w:tcPr>
            <w:tcW w:w="2394" w:type="dxa"/>
            <w:shd w:val="clear" w:color="auto" w:fill="auto"/>
            <w:vAlign w:val="center"/>
          </w:tcPr>
          <w:p w:rsidR="008C6C69" w:rsidRPr="00E706AB" w:rsidRDefault="00A31D26" w:rsidP="00367800">
            <w:pPr>
              <w:ind w:firstLine="0"/>
              <w:jc w:val="center"/>
              <w:rPr>
                <w:color w:val="00B050"/>
              </w:rPr>
            </w:pPr>
            <w:r w:rsidRPr="00E706AB">
              <w:rPr>
                <w:rFonts w:ascii="Zapf Dingbats" w:hAnsi="Zapf Dingbats"/>
                <w:color w:val="00B050"/>
              </w:rPr>
              <w:sym w:font="Wingdings 2" w:char="F050"/>
            </w:r>
          </w:p>
        </w:tc>
      </w:tr>
      <w:tr w:rsidR="0013795A" w:rsidRPr="0013795A" w:rsidTr="00367800">
        <w:tc>
          <w:tcPr>
            <w:tcW w:w="2394" w:type="dxa"/>
            <w:shd w:val="solid" w:color="C0C0C0" w:fill="FFFFFF"/>
            <w:vAlign w:val="center"/>
          </w:tcPr>
          <w:p w:rsidR="008C6C69" w:rsidRPr="0013795A" w:rsidRDefault="008C6C69" w:rsidP="00367800">
            <w:pPr>
              <w:ind w:firstLine="0"/>
              <w:jc w:val="center"/>
              <w:rPr>
                <w:b/>
                <w:bCs/>
                <w:color w:val="171717" w:themeColor="background2" w:themeShade="1A"/>
              </w:rPr>
            </w:pPr>
            <w:r w:rsidRPr="0013795A">
              <w:rPr>
                <w:b/>
                <w:bCs/>
                <w:color w:val="171717" w:themeColor="background2" w:themeShade="1A"/>
              </w:rPr>
              <w:t>Connecticut</w:t>
            </w:r>
          </w:p>
        </w:tc>
        <w:tc>
          <w:tcPr>
            <w:tcW w:w="2394" w:type="dxa"/>
            <w:shd w:val="clear" w:color="auto" w:fill="auto"/>
            <w:vAlign w:val="center"/>
          </w:tcPr>
          <w:p w:rsidR="008C6C69" w:rsidRPr="00E706AB" w:rsidRDefault="00A31D26" w:rsidP="00367800">
            <w:pPr>
              <w:ind w:firstLine="0"/>
              <w:jc w:val="center"/>
              <w:rPr>
                <w:color w:val="00B050"/>
              </w:rPr>
            </w:pPr>
            <w:r w:rsidRPr="00E706AB">
              <w:rPr>
                <w:rFonts w:ascii="Zapf Dingbats" w:hAnsi="Zapf Dingbats"/>
                <w:color w:val="00B050"/>
              </w:rPr>
              <w:sym w:font="Wingdings 2" w:char="F050"/>
            </w:r>
          </w:p>
        </w:tc>
        <w:tc>
          <w:tcPr>
            <w:tcW w:w="2394" w:type="dxa"/>
            <w:shd w:val="clear" w:color="auto" w:fill="auto"/>
            <w:vAlign w:val="center"/>
          </w:tcPr>
          <w:p w:rsidR="008C6C69" w:rsidRPr="00E706AB" w:rsidRDefault="00A31D26" w:rsidP="00367800">
            <w:pPr>
              <w:ind w:firstLine="0"/>
              <w:jc w:val="center"/>
              <w:rPr>
                <w:color w:val="00B050"/>
              </w:rPr>
            </w:pPr>
            <w:r w:rsidRPr="00E706AB">
              <w:rPr>
                <w:rFonts w:ascii="Zapf Dingbats" w:hAnsi="Zapf Dingbats"/>
                <w:color w:val="00B050"/>
              </w:rPr>
              <w:sym w:font="Wingdings 2" w:char="F050"/>
            </w:r>
          </w:p>
        </w:tc>
        <w:tc>
          <w:tcPr>
            <w:tcW w:w="2394" w:type="dxa"/>
            <w:shd w:val="clear" w:color="auto" w:fill="auto"/>
            <w:vAlign w:val="center"/>
          </w:tcPr>
          <w:p w:rsidR="008C6C69" w:rsidRPr="00E706AB" w:rsidRDefault="008C6C69" w:rsidP="00367800">
            <w:pPr>
              <w:ind w:firstLine="0"/>
              <w:jc w:val="center"/>
              <w:rPr>
                <w:color w:val="00B050"/>
              </w:rPr>
            </w:pPr>
          </w:p>
        </w:tc>
      </w:tr>
      <w:tr w:rsidR="0013795A" w:rsidRPr="0013795A" w:rsidTr="00367800">
        <w:tc>
          <w:tcPr>
            <w:tcW w:w="2394" w:type="dxa"/>
            <w:shd w:val="solid" w:color="C0C0C0" w:fill="FFFFFF"/>
            <w:vAlign w:val="center"/>
          </w:tcPr>
          <w:p w:rsidR="008C6C69" w:rsidRPr="0013795A" w:rsidRDefault="008C6C69" w:rsidP="00367800">
            <w:pPr>
              <w:ind w:firstLine="0"/>
              <w:jc w:val="center"/>
              <w:rPr>
                <w:b/>
                <w:bCs/>
                <w:color w:val="171717" w:themeColor="background2" w:themeShade="1A"/>
              </w:rPr>
            </w:pPr>
            <w:r w:rsidRPr="0013795A">
              <w:rPr>
                <w:b/>
                <w:bCs/>
                <w:color w:val="171717" w:themeColor="background2" w:themeShade="1A"/>
              </w:rPr>
              <w:t>Mississippi</w:t>
            </w:r>
          </w:p>
        </w:tc>
        <w:tc>
          <w:tcPr>
            <w:tcW w:w="2394" w:type="dxa"/>
            <w:shd w:val="clear" w:color="auto" w:fill="auto"/>
            <w:vAlign w:val="center"/>
          </w:tcPr>
          <w:p w:rsidR="008C6C69" w:rsidRPr="00E706AB" w:rsidRDefault="00A31D26" w:rsidP="00367800">
            <w:pPr>
              <w:ind w:firstLine="0"/>
              <w:jc w:val="center"/>
              <w:rPr>
                <w:color w:val="00B050"/>
              </w:rPr>
            </w:pPr>
            <w:r w:rsidRPr="00E706AB">
              <w:rPr>
                <w:rFonts w:ascii="Zapf Dingbats" w:hAnsi="Zapf Dingbats"/>
                <w:color w:val="00B050"/>
              </w:rPr>
              <w:sym w:font="Wingdings 2" w:char="F050"/>
            </w:r>
          </w:p>
        </w:tc>
        <w:tc>
          <w:tcPr>
            <w:tcW w:w="2394" w:type="dxa"/>
            <w:shd w:val="clear" w:color="auto" w:fill="auto"/>
            <w:vAlign w:val="center"/>
          </w:tcPr>
          <w:p w:rsidR="008C6C69" w:rsidRPr="00E706AB" w:rsidRDefault="008C6C69" w:rsidP="00367800">
            <w:pPr>
              <w:ind w:firstLine="0"/>
              <w:jc w:val="center"/>
              <w:rPr>
                <w:color w:val="00B050"/>
              </w:rPr>
            </w:pPr>
          </w:p>
        </w:tc>
        <w:tc>
          <w:tcPr>
            <w:tcW w:w="2394" w:type="dxa"/>
            <w:shd w:val="clear" w:color="auto" w:fill="auto"/>
            <w:vAlign w:val="center"/>
          </w:tcPr>
          <w:p w:rsidR="008C6C69" w:rsidRPr="00E706AB" w:rsidRDefault="008C6C69" w:rsidP="00367800">
            <w:pPr>
              <w:ind w:firstLine="0"/>
              <w:jc w:val="center"/>
              <w:rPr>
                <w:color w:val="00B050"/>
              </w:rPr>
            </w:pPr>
          </w:p>
        </w:tc>
      </w:tr>
      <w:tr w:rsidR="0013795A" w:rsidRPr="0013795A" w:rsidTr="00367800">
        <w:tc>
          <w:tcPr>
            <w:tcW w:w="2394" w:type="dxa"/>
            <w:shd w:val="solid" w:color="C0C0C0" w:fill="FFFFFF"/>
            <w:vAlign w:val="center"/>
          </w:tcPr>
          <w:p w:rsidR="008C6C69" w:rsidRPr="0013795A" w:rsidRDefault="008C6C69" w:rsidP="00367800">
            <w:pPr>
              <w:ind w:firstLine="0"/>
              <w:jc w:val="center"/>
              <w:rPr>
                <w:b/>
                <w:bCs/>
                <w:color w:val="171717" w:themeColor="background2" w:themeShade="1A"/>
              </w:rPr>
            </w:pPr>
            <w:r w:rsidRPr="0013795A">
              <w:rPr>
                <w:b/>
                <w:bCs/>
                <w:color w:val="171717" w:themeColor="background2" w:themeShade="1A"/>
              </w:rPr>
              <w:t>Pennsylvania</w:t>
            </w:r>
          </w:p>
        </w:tc>
        <w:tc>
          <w:tcPr>
            <w:tcW w:w="2394" w:type="dxa"/>
            <w:shd w:val="clear" w:color="auto" w:fill="auto"/>
            <w:vAlign w:val="center"/>
          </w:tcPr>
          <w:p w:rsidR="008C6C69" w:rsidRPr="00E706AB" w:rsidRDefault="00A31D26" w:rsidP="00367800">
            <w:pPr>
              <w:ind w:firstLine="0"/>
              <w:jc w:val="center"/>
              <w:rPr>
                <w:color w:val="00B050"/>
              </w:rPr>
            </w:pPr>
            <w:r w:rsidRPr="00E706AB">
              <w:rPr>
                <w:rFonts w:ascii="Zapf Dingbats" w:hAnsi="Zapf Dingbats"/>
                <w:color w:val="00B050"/>
              </w:rPr>
              <w:sym w:font="Wingdings 2" w:char="F050"/>
            </w:r>
          </w:p>
        </w:tc>
        <w:tc>
          <w:tcPr>
            <w:tcW w:w="2394" w:type="dxa"/>
            <w:shd w:val="clear" w:color="auto" w:fill="auto"/>
            <w:vAlign w:val="center"/>
          </w:tcPr>
          <w:p w:rsidR="008C6C69" w:rsidRPr="00E706AB" w:rsidRDefault="00A31D26" w:rsidP="00367800">
            <w:pPr>
              <w:ind w:firstLine="0"/>
              <w:jc w:val="center"/>
              <w:rPr>
                <w:color w:val="00B050"/>
              </w:rPr>
            </w:pPr>
            <w:r w:rsidRPr="00E706AB">
              <w:rPr>
                <w:rFonts w:ascii="Zapf Dingbats" w:hAnsi="Zapf Dingbats"/>
                <w:color w:val="00B050"/>
              </w:rPr>
              <w:sym w:font="Wingdings 2" w:char="F050"/>
            </w:r>
          </w:p>
        </w:tc>
        <w:tc>
          <w:tcPr>
            <w:tcW w:w="2394" w:type="dxa"/>
            <w:shd w:val="clear" w:color="auto" w:fill="auto"/>
            <w:vAlign w:val="center"/>
          </w:tcPr>
          <w:p w:rsidR="008C6C69" w:rsidRPr="00E706AB" w:rsidRDefault="00A31D26" w:rsidP="00367800">
            <w:pPr>
              <w:ind w:firstLine="0"/>
              <w:jc w:val="center"/>
              <w:rPr>
                <w:color w:val="00B050"/>
              </w:rPr>
            </w:pPr>
            <w:r w:rsidRPr="00E706AB">
              <w:rPr>
                <w:rFonts w:ascii="Zapf Dingbats" w:hAnsi="Zapf Dingbats"/>
                <w:color w:val="00B050"/>
              </w:rPr>
              <w:sym w:font="Wingdings 2" w:char="F050"/>
            </w:r>
          </w:p>
        </w:tc>
      </w:tr>
    </w:tbl>
    <w:p w:rsidR="008C6C69" w:rsidRPr="0013795A" w:rsidRDefault="00F43829" w:rsidP="00F43829">
      <w:pPr>
        <w:ind w:firstLine="0"/>
        <w:rPr>
          <w:b/>
          <w:color w:val="171717" w:themeColor="background2" w:themeShade="1A"/>
          <w:sz w:val="20"/>
          <w:szCs w:val="20"/>
        </w:rPr>
      </w:pPr>
      <w:r w:rsidRPr="0013795A">
        <w:rPr>
          <w:b/>
          <w:color w:val="171717" w:themeColor="background2" w:themeShade="1A"/>
          <w:sz w:val="20"/>
          <w:szCs w:val="20"/>
        </w:rPr>
        <w:t>(Legislators, 2016)</w:t>
      </w:r>
    </w:p>
    <w:p w:rsidR="00F43829" w:rsidRPr="0013795A" w:rsidRDefault="00F43829" w:rsidP="00F43829">
      <w:pPr>
        <w:spacing w:line="240" w:lineRule="auto"/>
        <w:rPr>
          <w:color w:val="171717" w:themeColor="background2" w:themeShade="1A"/>
        </w:rPr>
      </w:pPr>
    </w:p>
    <w:p w:rsidR="001C5860" w:rsidRPr="0013795A" w:rsidRDefault="001C5860" w:rsidP="00D127D4">
      <w:pPr>
        <w:rPr>
          <w:color w:val="171717" w:themeColor="background2" w:themeShade="1A"/>
        </w:rPr>
      </w:pPr>
      <w:r w:rsidRPr="0013795A">
        <w:rPr>
          <w:color w:val="171717" w:themeColor="background2" w:themeShade="1A"/>
        </w:rPr>
        <w:t>California allows all three types of exemptions and also has the highest exemption rate (3.3)</w:t>
      </w:r>
      <w:r w:rsidR="00C07CAF" w:rsidRPr="0013795A">
        <w:rPr>
          <w:color w:val="171717" w:themeColor="background2" w:themeShade="1A"/>
        </w:rPr>
        <w:t xml:space="preserve"> of all the selected states as</w:t>
      </w:r>
      <w:r w:rsidRPr="0013795A">
        <w:rPr>
          <w:color w:val="171717" w:themeColor="background2" w:themeShade="1A"/>
        </w:rPr>
        <w:t xml:space="preserve"> can be seen in Figure 3 below.  Mississippi</w:t>
      </w:r>
      <w:r w:rsidR="0091430B" w:rsidRPr="0013795A">
        <w:rPr>
          <w:color w:val="171717" w:themeColor="background2" w:themeShade="1A"/>
        </w:rPr>
        <w:t xml:space="preserve"> is</w:t>
      </w:r>
      <w:r w:rsidRPr="0013795A">
        <w:rPr>
          <w:color w:val="171717" w:themeColor="background2" w:themeShade="1A"/>
        </w:rPr>
        <w:t xml:space="preserve"> the only selected state that allows </w:t>
      </w:r>
      <w:r w:rsidR="00FC053C" w:rsidRPr="0013795A">
        <w:rPr>
          <w:color w:val="171717" w:themeColor="background2" w:themeShade="1A"/>
        </w:rPr>
        <w:t xml:space="preserve">only </w:t>
      </w:r>
      <w:r w:rsidRPr="0013795A">
        <w:rPr>
          <w:color w:val="171717" w:themeColor="background2" w:themeShade="1A"/>
        </w:rPr>
        <w:t>for medical exemptions and has a virtually nonexistent exemption rate of 0.1</w:t>
      </w:r>
      <w:r w:rsidR="00D127D4" w:rsidRPr="0013795A">
        <w:rPr>
          <w:color w:val="171717" w:themeColor="background2" w:themeShade="1A"/>
        </w:rPr>
        <w:t xml:space="preserve"> </w:t>
      </w:r>
      <w:r w:rsidR="00D127D4" w:rsidRPr="0013795A">
        <w:rPr>
          <w:color w:val="171717" w:themeColor="background2" w:themeShade="1A"/>
        </w:rPr>
        <w:fldChar w:fldCharType="begin"/>
      </w:r>
      <w:r w:rsidR="00D127D4" w:rsidRPr="0013795A">
        <w:rPr>
          <w:color w:val="171717" w:themeColor="background2" w:themeShade="1A"/>
        </w:rPr>
        <w:instrText xml:space="preserve"> ADDIN EN.CITE &lt;EndNote&gt;&lt;Cite&gt;&lt;Author&gt;Frankel&lt;/Author&gt;&lt;Year&gt;2015&lt;/Year&gt;&lt;RecNum&gt;20&lt;/RecNum&gt;&lt;DisplayText&gt;(Frankel, 2015)&lt;/DisplayText&gt;&lt;record&gt;&lt;rec-number&gt;20&lt;/rec-number&gt;&lt;foreign-keys&gt;&lt;key app="EN" db-id="s50wv0fdiwsvs9ewxr65pdzf5ssrp9xr5zar" timestamp="1455122794"&gt;20&lt;/key&gt;&lt;/foreign-keys&gt;&lt;ref-type name="Newspaper Article"&gt;23&lt;/ref-type&gt;&lt;contributors&gt;&lt;authors&gt;&lt;author&gt;Todd C. Frankel&lt;/author&gt;&lt;/authors&gt;&lt;/contributors&gt;&lt;titles&gt;&lt;title&gt;Mississippi - yes , Mississippi - has the nation&amp;apos;s best child vaccination rate. Here&amp;apos;s why.&lt;/title&gt;&lt;secondary-title&gt;The Washington Post&lt;/secondary-title&gt;&lt;/titles&gt;&lt;dates&gt;&lt;year&gt;2015&lt;/year&gt;&lt;pub-dates&gt;&lt;date&gt;January 30, 2015&lt;/date&gt;&lt;/pub-dates&gt;&lt;/dates&gt;&lt;pub-location&gt;Online&lt;/pub-location&gt;&lt;urls&gt;&lt;related-urls&gt;&lt;url&gt;https://www.washingtonpost.com/news/storyline/wp/2015/01/30/mississippi-yes-mississippi-has-the-nations-best-child-vaccination-rate-heres-why/&lt;/url&gt;&lt;/related-urls&gt;&lt;/urls&gt;&lt;access-date&gt;January 13, 2016&lt;/access-date&gt;&lt;/record&gt;&lt;/Cite&gt;&lt;/EndNote&gt;</w:instrText>
      </w:r>
      <w:r w:rsidR="00D127D4" w:rsidRPr="0013795A">
        <w:rPr>
          <w:color w:val="171717" w:themeColor="background2" w:themeShade="1A"/>
        </w:rPr>
        <w:fldChar w:fldCharType="separate"/>
      </w:r>
      <w:r w:rsidR="00D127D4" w:rsidRPr="0013795A">
        <w:rPr>
          <w:color w:val="171717" w:themeColor="background2" w:themeShade="1A"/>
        </w:rPr>
        <w:t>(Frankel, 2015)</w:t>
      </w:r>
      <w:r w:rsidR="00D127D4" w:rsidRPr="0013795A">
        <w:rPr>
          <w:color w:val="171717" w:themeColor="background2" w:themeShade="1A"/>
        </w:rPr>
        <w:fldChar w:fldCharType="end"/>
      </w:r>
      <w:r w:rsidRPr="0013795A">
        <w:rPr>
          <w:color w:val="171717" w:themeColor="background2" w:themeShade="1A"/>
        </w:rPr>
        <w:t xml:space="preserve">.  </w:t>
      </w:r>
      <w:r w:rsidR="000265E9" w:rsidRPr="0013795A">
        <w:rPr>
          <w:color w:val="171717" w:themeColor="background2" w:themeShade="1A"/>
        </w:rPr>
        <w:t>Figure 3 below illustrates the exemption rates.  It is</w:t>
      </w:r>
      <w:r w:rsidRPr="0013795A">
        <w:rPr>
          <w:color w:val="171717" w:themeColor="background2" w:themeShade="1A"/>
        </w:rPr>
        <w:t xml:space="preserve"> important to note here </w:t>
      </w:r>
      <w:r w:rsidRPr="0013795A">
        <w:rPr>
          <w:color w:val="171717" w:themeColor="background2" w:themeShade="1A"/>
        </w:rPr>
        <w:lastRenderedPageBreak/>
        <w:t>the pronounced difference in population si</w:t>
      </w:r>
      <w:r w:rsidR="00C07CAF" w:rsidRPr="0013795A">
        <w:rPr>
          <w:color w:val="171717" w:themeColor="background2" w:themeShade="1A"/>
        </w:rPr>
        <w:t>ze between the two states</w:t>
      </w:r>
      <w:r w:rsidRPr="0013795A">
        <w:rPr>
          <w:color w:val="171717" w:themeColor="background2" w:themeShade="1A"/>
        </w:rPr>
        <w:t>.  As of 2014 Califo</w:t>
      </w:r>
      <w:r w:rsidR="00485728" w:rsidRPr="0013795A">
        <w:rPr>
          <w:color w:val="171717" w:themeColor="background2" w:themeShade="1A"/>
        </w:rPr>
        <w:t>rnia had a population of</w:t>
      </w:r>
      <w:r w:rsidRPr="0013795A">
        <w:rPr>
          <w:color w:val="171717" w:themeColor="background2" w:themeShade="1A"/>
        </w:rPr>
        <w:t xml:space="preserve"> 38.8 million whereas Mississipp</w:t>
      </w:r>
      <w:r w:rsidR="00485728" w:rsidRPr="0013795A">
        <w:rPr>
          <w:color w:val="171717" w:themeColor="background2" w:themeShade="1A"/>
        </w:rPr>
        <w:t>i had 2.99</w:t>
      </w:r>
      <w:r w:rsidRPr="0013795A">
        <w:rPr>
          <w:color w:val="171717" w:themeColor="background2" w:themeShade="1A"/>
        </w:rPr>
        <w:t xml:space="preserve"> million people</w:t>
      </w:r>
      <w:r w:rsidR="00D127D4" w:rsidRPr="0013795A">
        <w:rPr>
          <w:color w:val="171717" w:themeColor="background2" w:themeShade="1A"/>
        </w:rPr>
        <w:t xml:space="preserve"> </w:t>
      </w:r>
      <w:r w:rsidR="00D127D4" w:rsidRPr="0013795A">
        <w:rPr>
          <w:color w:val="171717" w:themeColor="background2" w:themeShade="1A"/>
        </w:rPr>
        <w:fldChar w:fldCharType="begin"/>
      </w:r>
      <w:r w:rsidR="00D127D4" w:rsidRPr="0013795A">
        <w:rPr>
          <w:color w:val="171717" w:themeColor="background2" w:themeShade="1A"/>
        </w:rPr>
        <w:instrText xml:space="preserve"> ADDIN EN.CITE &lt;EndNote&gt;&lt;Cite&gt;&lt;Year&gt;2015&lt;/Year&gt;&lt;RecNum&gt;28&lt;/RecNum&gt;&lt;DisplayText&gt;(&amp;quot;Population Estimates,&amp;quot; 2015)&lt;/DisplayText&gt;&lt;record&gt;&lt;rec-number&gt;28&lt;/rec-number&gt;&lt;foreign-keys&gt;&lt;key app="EN" db-id="s50wv0fdiwsvs9ewxr65pdzf5ssrp9xr5zar" timestamp="1455731450"&gt;28&lt;/key&gt;&lt;/foreign-keys&gt;&lt;ref-type name="Report"&gt;27&lt;/ref-type&gt;&lt;contributors&gt;&lt;tertiary-authors&gt;&lt;author&gt;United States Census Bureau&lt;/author&gt;&lt;/tertiary-authors&gt;&lt;subsidiary-authors&gt;&lt;author&gt;United States Census Bureau&lt;/author&gt;&lt;/subsidiary-authors&gt;&lt;/contributors&gt;&lt;titles&gt;&lt;title&gt;Population Estimates&lt;/title&gt;&lt;/titles&gt;&lt;dates&gt;&lt;year&gt;2015&lt;/year&gt;&lt;pub-dates&gt;&lt;date&gt;December 01&lt;/date&gt;&lt;/pub-dates&gt;&lt;/dates&gt;&lt;urls&gt;&lt;related-urls&gt;&lt;url&gt;https://www.census.gov/popest/data/state/totals/2014/&lt;/url&gt;&lt;/related-urls&gt;&lt;/urls&gt;&lt;access-date&gt;January 23&lt;/access-date&gt;&lt;/record&gt;&lt;/Cite&gt;&lt;/EndNote&gt;</w:instrText>
      </w:r>
      <w:r w:rsidR="00D127D4" w:rsidRPr="0013795A">
        <w:rPr>
          <w:color w:val="171717" w:themeColor="background2" w:themeShade="1A"/>
        </w:rPr>
        <w:fldChar w:fldCharType="separate"/>
      </w:r>
      <w:r w:rsidR="00D127D4" w:rsidRPr="0013795A">
        <w:rPr>
          <w:color w:val="171717" w:themeColor="background2" w:themeShade="1A"/>
        </w:rPr>
        <w:t>("Population Estimates," 2015)</w:t>
      </w:r>
      <w:r w:rsidR="00D127D4" w:rsidRPr="0013795A">
        <w:rPr>
          <w:color w:val="171717" w:themeColor="background2" w:themeShade="1A"/>
        </w:rPr>
        <w:fldChar w:fldCharType="end"/>
      </w:r>
      <w:r w:rsidRPr="0013795A">
        <w:rPr>
          <w:color w:val="171717" w:themeColor="background2" w:themeShade="1A"/>
        </w:rPr>
        <w:t xml:space="preserve">.  This means that while it does not seem to be that big of a jump from an exemption rate of 0.1 to 3.3 the difference in the number of people exempt from receiving vaccines </w:t>
      </w:r>
      <w:r w:rsidR="00AC0937" w:rsidRPr="0013795A">
        <w:rPr>
          <w:color w:val="171717" w:themeColor="background2" w:themeShade="1A"/>
        </w:rPr>
        <w:t>is a difference of thousands.</w:t>
      </w:r>
    </w:p>
    <w:p w:rsidR="00AC0937" w:rsidRPr="0013795A" w:rsidRDefault="00FF3423" w:rsidP="00D127D4">
      <w:pPr>
        <w:rPr>
          <w:color w:val="171717" w:themeColor="background2" w:themeShade="1A"/>
        </w:rPr>
      </w:pPr>
      <w:r w:rsidRPr="0013795A">
        <w:rPr>
          <w:color w:val="171717" w:themeColor="background2" w:themeShade="1A"/>
        </w:rPr>
        <w:t>Pennsylvania also allows for all three types of exemptions whereas C</w:t>
      </w:r>
      <w:r w:rsidR="00AC0937" w:rsidRPr="0013795A">
        <w:rPr>
          <w:color w:val="171717" w:themeColor="background2" w:themeShade="1A"/>
        </w:rPr>
        <w:t>onnecticut allow</w:t>
      </w:r>
      <w:r w:rsidRPr="0013795A">
        <w:rPr>
          <w:color w:val="171717" w:themeColor="background2" w:themeShade="1A"/>
        </w:rPr>
        <w:t>s</w:t>
      </w:r>
      <w:r w:rsidR="00AC0937" w:rsidRPr="0013795A">
        <w:rPr>
          <w:color w:val="171717" w:themeColor="background2" w:themeShade="1A"/>
        </w:rPr>
        <w:t xml:space="preserve"> for Medi</w:t>
      </w:r>
      <w:r w:rsidR="000265E9" w:rsidRPr="0013795A">
        <w:rPr>
          <w:color w:val="171717" w:themeColor="background2" w:themeShade="1A"/>
        </w:rPr>
        <w:t>cal and Religious exemptions yet</w:t>
      </w:r>
      <w:r w:rsidRPr="0013795A">
        <w:rPr>
          <w:color w:val="171717" w:themeColor="background2" w:themeShade="1A"/>
        </w:rPr>
        <w:t xml:space="preserve"> both</w:t>
      </w:r>
      <w:r w:rsidR="00AC0937" w:rsidRPr="0013795A">
        <w:rPr>
          <w:color w:val="171717" w:themeColor="background2" w:themeShade="1A"/>
        </w:rPr>
        <w:t xml:space="preserve"> h</w:t>
      </w:r>
      <w:r w:rsidRPr="0013795A">
        <w:rPr>
          <w:color w:val="171717" w:themeColor="background2" w:themeShade="1A"/>
        </w:rPr>
        <w:t>ave similar exemption rates, 2 and 1.9</w:t>
      </w:r>
      <w:r w:rsidR="00AC0937" w:rsidRPr="0013795A">
        <w:rPr>
          <w:color w:val="171717" w:themeColor="background2" w:themeShade="1A"/>
        </w:rPr>
        <w:t xml:space="preserve"> respectively</w:t>
      </w:r>
      <w:r w:rsidR="00D127D4" w:rsidRPr="0013795A">
        <w:rPr>
          <w:color w:val="171717" w:themeColor="background2" w:themeShade="1A"/>
        </w:rPr>
        <w:t xml:space="preserve"> </w:t>
      </w:r>
      <w:r w:rsidR="00D127D4" w:rsidRPr="0013795A">
        <w:rPr>
          <w:color w:val="171717" w:themeColor="background2" w:themeShade="1A"/>
        </w:rPr>
        <w:fldChar w:fldCharType="begin"/>
      </w:r>
      <w:r w:rsidR="00D127D4" w:rsidRPr="0013795A">
        <w:rPr>
          <w:color w:val="171717" w:themeColor="background2" w:themeShade="1A"/>
        </w:rPr>
        <w:instrText xml:space="preserve"> ADDIN EN.CITE &lt;EndNote&gt;&lt;Cite&gt;&lt;Author&gt;Frankel&lt;/Author&gt;&lt;Year&gt;2015&lt;/Year&gt;&lt;RecNum&gt;20&lt;/RecNum&gt;&lt;DisplayText&gt;(Frankel, 2015)&lt;/DisplayText&gt;&lt;record&gt;&lt;rec-number&gt;20&lt;/rec-number&gt;&lt;foreign-keys&gt;&lt;key app="EN" db-id="s50wv0fdiwsvs9ewxr65pdzf5ssrp9xr5zar" timestamp="1455122794"&gt;20&lt;/key&gt;&lt;/foreign-keys&gt;&lt;ref-type name="Newspaper Article"&gt;23&lt;/ref-type&gt;&lt;contributors&gt;&lt;authors&gt;&lt;author&gt;Todd C. Frankel&lt;/author&gt;&lt;/authors&gt;&lt;/contributors&gt;&lt;titles&gt;&lt;title&gt;Mississippi - yes , Mississippi - has the nation&amp;apos;s best child vaccination rate. Here&amp;apos;s why.&lt;/title&gt;&lt;secondary-title&gt;The Washington Post&lt;/secondary-title&gt;&lt;/titles&gt;&lt;dates&gt;&lt;year&gt;2015&lt;/year&gt;&lt;pub-dates&gt;&lt;date&gt;January 30, 2015&lt;/date&gt;&lt;/pub-dates&gt;&lt;/dates&gt;&lt;pub-location&gt;Online&lt;/pub-location&gt;&lt;urls&gt;&lt;related-urls&gt;&lt;url&gt;https://www.washingtonpost.com/news/storyline/wp/2015/01/30/mississippi-yes-mississippi-has-the-nations-best-child-vaccination-rate-heres-why/&lt;/url&gt;&lt;/related-urls&gt;&lt;/urls&gt;&lt;access-date&gt;January 13, 2016&lt;/access-date&gt;&lt;/record&gt;&lt;/Cite&gt;&lt;/EndNote&gt;</w:instrText>
      </w:r>
      <w:r w:rsidR="00D127D4" w:rsidRPr="0013795A">
        <w:rPr>
          <w:color w:val="171717" w:themeColor="background2" w:themeShade="1A"/>
        </w:rPr>
        <w:fldChar w:fldCharType="separate"/>
      </w:r>
      <w:r w:rsidR="00D127D4" w:rsidRPr="0013795A">
        <w:rPr>
          <w:color w:val="171717" w:themeColor="background2" w:themeShade="1A"/>
        </w:rPr>
        <w:t>(Frankel, 2015)</w:t>
      </w:r>
      <w:r w:rsidR="00D127D4" w:rsidRPr="0013795A">
        <w:rPr>
          <w:color w:val="171717" w:themeColor="background2" w:themeShade="1A"/>
        </w:rPr>
        <w:fldChar w:fldCharType="end"/>
      </w:r>
      <w:r w:rsidR="009F2DC6" w:rsidRPr="0013795A">
        <w:rPr>
          <w:color w:val="171717" w:themeColor="background2" w:themeShade="1A"/>
        </w:rPr>
        <w:t xml:space="preserve">.  </w:t>
      </w:r>
      <w:r w:rsidR="000265E9" w:rsidRPr="0013795A">
        <w:rPr>
          <w:color w:val="171717" w:themeColor="background2" w:themeShade="1A"/>
        </w:rPr>
        <w:t xml:space="preserve">The state of Connecticut had 3.59 million people in 2014 and Pennsylvania had 12.8 million </w:t>
      </w:r>
      <w:r w:rsidR="000265E9" w:rsidRPr="0013795A">
        <w:rPr>
          <w:color w:val="171717" w:themeColor="background2" w:themeShade="1A"/>
        </w:rPr>
        <w:fldChar w:fldCharType="begin"/>
      </w:r>
      <w:r w:rsidR="000265E9" w:rsidRPr="0013795A">
        <w:rPr>
          <w:color w:val="171717" w:themeColor="background2" w:themeShade="1A"/>
        </w:rPr>
        <w:instrText xml:space="preserve"> ADDIN EN.CITE &lt;EndNote&gt;&lt;Cite&gt;&lt;Year&gt;2015&lt;/Year&gt;&lt;RecNum&gt;28&lt;/RecNum&gt;&lt;DisplayText&gt;(&amp;quot;Population Estimates,&amp;quot; 2015)&lt;/DisplayText&gt;&lt;record&gt;&lt;rec-number&gt;28&lt;/rec-number&gt;&lt;foreign-keys&gt;&lt;key app="EN" db-id="s50wv0fdiwsvs9ewxr65pdzf5ssrp9xr5zar" timestamp="1455731450"&gt;28&lt;/key&gt;&lt;/foreign-keys&gt;&lt;ref-type name="Report"&gt;27&lt;/ref-type&gt;&lt;contributors&gt;&lt;tertiary-authors&gt;&lt;author&gt;United States Census Bureau&lt;/author&gt;&lt;/tertiary-authors&gt;&lt;subsidiary-authors&gt;&lt;author&gt;United States Census Bureau&lt;/author&gt;&lt;/subsidiary-authors&gt;&lt;/contributors&gt;&lt;titles&gt;&lt;title&gt;Population Estimates&lt;/title&gt;&lt;/titles&gt;&lt;dates&gt;&lt;year&gt;2015&lt;/year&gt;&lt;pub-dates&gt;&lt;date&gt;December 01&lt;/date&gt;&lt;/pub-dates&gt;&lt;/dates&gt;&lt;urls&gt;&lt;related-urls&gt;&lt;url&gt;https://www.census.gov/popest/data/state/totals/2014/&lt;/url&gt;&lt;/related-urls&gt;&lt;/urls&gt;&lt;access-date&gt;January 23&lt;/access-date&gt;&lt;/record&gt;&lt;/Cite&gt;&lt;/EndNote&gt;</w:instrText>
      </w:r>
      <w:r w:rsidR="000265E9" w:rsidRPr="0013795A">
        <w:rPr>
          <w:color w:val="171717" w:themeColor="background2" w:themeShade="1A"/>
        </w:rPr>
        <w:fldChar w:fldCharType="separate"/>
      </w:r>
      <w:r w:rsidR="000265E9" w:rsidRPr="0013795A">
        <w:rPr>
          <w:color w:val="171717" w:themeColor="background2" w:themeShade="1A"/>
        </w:rPr>
        <w:t>("Population Estimates," 2015)</w:t>
      </w:r>
      <w:r w:rsidR="000265E9" w:rsidRPr="0013795A">
        <w:rPr>
          <w:color w:val="171717" w:themeColor="background2" w:themeShade="1A"/>
        </w:rPr>
        <w:fldChar w:fldCharType="end"/>
      </w:r>
      <w:r w:rsidR="000265E9" w:rsidRPr="0013795A">
        <w:rPr>
          <w:color w:val="171717" w:themeColor="background2" w:themeShade="1A"/>
        </w:rPr>
        <w:t>.  Due to the difference in population size</w:t>
      </w:r>
      <w:r w:rsidR="009F2DC6" w:rsidRPr="0013795A">
        <w:rPr>
          <w:color w:val="171717" w:themeColor="background2" w:themeShade="1A"/>
        </w:rPr>
        <w:t xml:space="preserve"> </w:t>
      </w:r>
      <w:r w:rsidR="00AC0937" w:rsidRPr="0013795A">
        <w:rPr>
          <w:color w:val="171717" w:themeColor="background2" w:themeShade="1A"/>
        </w:rPr>
        <w:t>a disparity still exists</w:t>
      </w:r>
      <w:r w:rsidR="009F2DC6" w:rsidRPr="0013795A">
        <w:rPr>
          <w:color w:val="171717" w:themeColor="background2" w:themeShade="1A"/>
        </w:rPr>
        <w:t xml:space="preserve"> </w:t>
      </w:r>
      <w:r w:rsidR="000265E9" w:rsidRPr="0013795A">
        <w:rPr>
          <w:color w:val="171717" w:themeColor="background2" w:themeShade="1A"/>
        </w:rPr>
        <w:t>in the shear amount of people exempt in each of the specific states and is demonstrated in Figure 4</w:t>
      </w:r>
      <w:r w:rsidR="00AC0937" w:rsidRPr="0013795A">
        <w:rPr>
          <w:color w:val="171717" w:themeColor="background2" w:themeShade="1A"/>
        </w:rPr>
        <w:t xml:space="preserve">.  </w:t>
      </w:r>
    </w:p>
    <w:p w:rsidR="00F43829" w:rsidRPr="0013795A" w:rsidRDefault="00F43829" w:rsidP="00D127D4">
      <w:pPr>
        <w:rPr>
          <w:color w:val="171717" w:themeColor="background2" w:themeShade="1A"/>
        </w:rPr>
      </w:pPr>
    </w:p>
    <w:p w:rsidR="00F43829" w:rsidRPr="0013795A" w:rsidRDefault="00383F96" w:rsidP="00F43829">
      <w:pPr>
        <w:keepNext/>
        <w:rPr>
          <w:color w:val="171717" w:themeColor="background2" w:themeShade="1A"/>
        </w:rPr>
      </w:pPr>
      <w:r w:rsidRPr="0013795A">
        <w:rPr>
          <w:noProof/>
          <w:color w:val="171717" w:themeColor="background2" w:themeShade="1A"/>
        </w:rPr>
        <w:drawing>
          <wp:inline distT="0" distB="0" distL="0" distR="0" wp14:anchorId="5DC34952" wp14:editId="27E0B90A">
            <wp:extent cx="4572000" cy="2800350"/>
            <wp:effectExtent l="0" t="0" r="0" b="0"/>
            <wp:docPr id="2" name="Picture 2" descr="Exemp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emption R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800350"/>
                    </a:xfrm>
                    <a:prstGeom prst="rect">
                      <a:avLst/>
                    </a:prstGeom>
                    <a:noFill/>
                    <a:ln>
                      <a:noFill/>
                    </a:ln>
                  </pic:spPr>
                </pic:pic>
              </a:graphicData>
            </a:graphic>
          </wp:inline>
        </w:drawing>
      </w:r>
    </w:p>
    <w:p w:rsidR="00F43829" w:rsidRPr="0013795A" w:rsidRDefault="00F43829" w:rsidP="00F43829">
      <w:pPr>
        <w:pStyle w:val="Caption"/>
        <w:rPr>
          <w:color w:val="171717" w:themeColor="background2" w:themeShade="1A"/>
        </w:rPr>
      </w:pPr>
      <w:r w:rsidRPr="0013795A">
        <w:rPr>
          <w:color w:val="171717" w:themeColor="background2" w:themeShade="1A"/>
        </w:rPr>
        <w:fldChar w:fldCharType="begin"/>
      </w:r>
      <w:r w:rsidRPr="0013795A">
        <w:rPr>
          <w:color w:val="171717" w:themeColor="background2" w:themeShade="1A"/>
        </w:rPr>
        <w:instrText xml:space="preserve"> ADDIN EN.CITE &lt;EndNote&gt;&lt;Cite&gt;&lt;Author&gt;Frankel&lt;/Author&gt;&lt;Year&gt;2015&lt;/Year&gt;&lt;RecNum&gt;20&lt;/RecNum&gt;&lt;DisplayText&gt;(Frankel, 2015)&lt;/DisplayText&gt;&lt;record&gt;&lt;rec-number&gt;20&lt;/rec-number&gt;&lt;foreign-keys&gt;&lt;key app="EN" db-id="s50wv0fdiwsvs9ewxr65pdzf5ssrp9xr5zar" timestamp="1455122794"&gt;20&lt;/key&gt;&lt;/foreign-keys&gt;&lt;ref-type name="Newspaper Article"&gt;23&lt;/ref-type&gt;&lt;contributors&gt;&lt;authors&gt;&lt;author&gt;Todd C. Frankel&lt;/author&gt;&lt;/authors&gt;&lt;/contributors&gt;&lt;titles&gt;&lt;title&gt;Mississippi - yes , Mississippi - has the nation&amp;apos;s best child vaccination rate. Here&amp;apos;s why.&lt;/title&gt;&lt;secondary-title&gt;The Washington Post&lt;/secondary-title&gt;&lt;/titles&gt;&lt;dates&gt;&lt;year&gt;2015&lt;/year&gt;&lt;pub-dates&gt;&lt;date&gt;January 30, 2015&lt;/date&gt;&lt;/pub-dates&gt;&lt;/dates&gt;&lt;pub-location&gt;Online&lt;/pub-location&gt;&lt;urls&gt;&lt;related-urls&gt;&lt;url&gt;https://www.washingtonpost.com/news/storyline/wp/2015/01/30/mississippi-yes-mississippi-has-the-nations-best-child-vaccination-rate-heres-why/&lt;/url&gt;&lt;/related-urls&gt;&lt;/urls&gt;&lt;access-date&gt;January 13, 2016&lt;/access-date&gt;&lt;/record&gt;&lt;/Cite&gt;&lt;/EndNote&gt;</w:instrText>
      </w:r>
      <w:r w:rsidRPr="0013795A">
        <w:rPr>
          <w:color w:val="171717" w:themeColor="background2" w:themeShade="1A"/>
        </w:rPr>
        <w:fldChar w:fldCharType="separate"/>
      </w:r>
      <w:r w:rsidRPr="0013795A">
        <w:rPr>
          <w:color w:val="171717" w:themeColor="background2" w:themeShade="1A"/>
        </w:rPr>
        <w:t>(Frankel, 2015)</w:t>
      </w:r>
      <w:r w:rsidRPr="0013795A">
        <w:rPr>
          <w:color w:val="171717" w:themeColor="background2" w:themeShade="1A"/>
        </w:rPr>
        <w:fldChar w:fldCharType="end"/>
      </w:r>
    </w:p>
    <w:p w:rsidR="008C6C69" w:rsidRPr="0013795A" w:rsidRDefault="00F43829" w:rsidP="00F43829">
      <w:pPr>
        <w:pStyle w:val="Caption"/>
        <w:rPr>
          <w:color w:val="171717" w:themeColor="background2" w:themeShade="1A"/>
        </w:rPr>
      </w:pPr>
      <w:bookmarkStart w:id="22" w:name="_Toc323241458"/>
      <w:r w:rsidRPr="0013795A">
        <w:rPr>
          <w:color w:val="171717" w:themeColor="background2" w:themeShade="1A"/>
        </w:rPr>
        <w:t xml:space="preserve">Figure </w:t>
      </w:r>
      <w:r w:rsidRPr="0013795A">
        <w:rPr>
          <w:color w:val="171717" w:themeColor="background2" w:themeShade="1A"/>
        </w:rPr>
        <w:fldChar w:fldCharType="begin"/>
      </w:r>
      <w:r w:rsidRPr="0013795A">
        <w:rPr>
          <w:color w:val="171717" w:themeColor="background2" w:themeShade="1A"/>
        </w:rPr>
        <w:instrText xml:space="preserve"> SEQ Figure \* ARABIC </w:instrText>
      </w:r>
      <w:r w:rsidRPr="0013795A">
        <w:rPr>
          <w:color w:val="171717" w:themeColor="background2" w:themeShade="1A"/>
        </w:rPr>
        <w:fldChar w:fldCharType="separate"/>
      </w:r>
      <w:r w:rsidR="00FC2C46" w:rsidRPr="0013795A">
        <w:rPr>
          <w:noProof/>
          <w:color w:val="171717" w:themeColor="background2" w:themeShade="1A"/>
        </w:rPr>
        <w:t>2</w:t>
      </w:r>
      <w:r w:rsidRPr="0013795A">
        <w:rPr>
          <w:color w:val="171717" w:themeColor="background2" w:themeShade="1A"/>
        </w:rPr>
        <w:fldChar w:fldCharType="end"/>
      </w:r>
      <w:r w:rsidRPr="0013795A">
        <w:rPr>
          <w:noProof/>
          <w:color w:val="171717" w:themeColor="background2" w:themeShade="1A"/>
        </w:rPr>
        <w:t>. Exemption Rate</w:t>
      </w:r>
      <w:r w:rsidR="000F3945" w:rsidRPr="0013795A">
        <w:rPr>
          <w:noProof/>
          <w:color w:val="171717" w:themeColor="background2" w:themeShade="1A"/>
        </w:rPr>
        <w:t xml:space="preserve"> (Percentage of School-Aged Children Exemept in each State)</w:t>
      </w:r>
      <w:bookmarkEnd w:id="22"/>
    </w:p>
    <w:p w:rsidR="00C07CAF" w:rsidRPr="0013795A" w:rsidRDefault="0091430B" w:rsidP="00C07CAF">
      <w:pPr>
        <w:rPr>
          <w:color w:val="171717" w:themeColor="background2" w:themeShade="1A"/>
        </w:rPr>
      </w:pPr>
      <w:r w:rsidRPr="0013795A">
        <w:rPr>
          <w:color w:val="171717" w:themeColor="background2" w:themeShade="1A"/>
        </w:rPr>
        <w:lastRenderedPageBreak/>
        <w:t>As is illustrated in F</w:t>
      </w:r>
      <w:r w:rsidR="00D26259" w:rsidRPr="0013795A">
        <w:rPr>
          <w:color w:val="171717" w:themeColor="background2" w:themeShade="1A"/>
        </w:rPr>
        <w:t>igure 3</w:t>
      </w:r>
      <w:r w:rsidRPr="0013795A">
        <w:rPr>
          <w:color w:val="171717" w:themeColor="background2" w:themeShade="1A"/>
        </w:rPr>
        <w:t>, t</w:t>
      </w:r>
      <w:r w:rsidR="00C07CAF" w:rsidRPr="0013795A">
        <w:rPr>
          <w:color w:val="171717" w:themeColor="background2" w:themeShade="1A"/>
        </w:rPr>
        <w:t>here are approximately 15,000 more people exempt from receiving vaccines in California than any of the other selected states.  A large proportion of this number comes from religious and philosophical exemptions</w:t>
      </w:r>
      <w:r w:rsidR="004619A5" w:rsidRPr="0013795A">
        <w:rPr>
          <w:color w:val="171717" w:themeColor="background2" w:themeShade="1A"/>
        </w:rPr>
        <w:t xml:space="preserve">.  </w:t>
      </w:r>
      <w:r w:rsidR="00C07CAF" w:rsidRPr="0013795A">
        <w:rPr>
          <w:color w:val="171717" w:themeColor="background2" w:themeShade="1A"/>
        </w:rPr>
        <w:t>This disparity could have contributed to the passing of a bi</w:t>
      </w:r>
      <w:r w:rsidR="00FC053C" w:rsidRPr="0013795A">
        <w:rPr>
          <w:color w:val="171717" w:themeColor="background2" w:themeShade="1A"/>
        </w:rPr>
        <w:t>ll at the end of last year that</w:t>
      </w:r>
      <w:r w:rsidR="00C07CAF" w:rsidRPr="0013795A">
        <w:rPr>
          <w:color w:val="171717" w:themeColor="background2" w:themeShade="1A"/>
        </w:rPr>
        <w:t xml:space="preserve"> abolish</w:t>
      </w:r>
      <w:r w:rsidR="00FC053C" w:rsidRPr="0013795A">
        <w:rPr>
          <w:color w:val="171717" w:themeColor="background2" w:themeShade="1A"/>
        </w:rPr>
        <w:t>ed</w:t>
      </w:r>
      <w:r w:rsidR="00C07CAF" w:rsidRPr="0013795A">
        <w:rPr>
          <w:color w:val="171717" w:themeColor="background2" w:themeShade="1A"/>
        </w:rPr>
        <w:t xml:space="preserve"> religious and philosophical exemptions in said state.  This figure also demonstrates how few of vaccine exemptions are for medical reasons.</w:t>
      </w:r>
    </w:p>
    <w:p w:rsidR="00F43829" w:rsidRPr="0013795A" w:rsidRDefault="00F43829" w:rsidP="00C07CAF">
      <w:pPr>
        <w:rPr>
          <w:color w:val="171717" w:themeColor="background2" w:themeShade="1A"/>
        </w:rPr>
      </w:pPr>
    </w:p>
    <w:p w:rsidR="00F43829" w:rsidRPr="0013795A" w:rsidRDefault="00383F96" w:rsidP="00F43829">
      <w:pPr>
        <w:keepNext/>
        <w:jc w:val="center"/>
        <w:rPr>
          <w:color w:val="171717" w:themeColor="background2" w:themeShade="1A"/>
        </w:rPr>
      </w:pPr>
      <w:r w:rsidRPr="0013795A">
        <w:rPr>
          <w:noProof/>
          <w:color w:val="171717" w:themeColor="background2" w:themeShade="1A"/>
        </w:rPr>
        <w:drawing>
          <wp:inline distT="0" distB="0" distL="0" distR="0" wp14:anchorId="73277DD6" wp14:editId="4D136657">
            <wp:extent cx="4914900" cy="2952750"/>
            <wp:effectExtent l="0" t="0" r="0" b="0"/>
            <wp:docPr id="3" name="Picture 3" descr="# of immunizations by type and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of immunizations by type and sta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4900" cy="2952750"/>
                    </a:xfrm>
                    <a:prstGeom prst="rect">
                      <a:avLst/>
                    </a:prstGeom>
                    <a:noFill/>
                    <a:ln>
                      <a:noFill/>
                    </a:ln>
                  </pic:spPr>
                </pic:pic>
              </a:graphicData>
            </a:graphic>
          </wp:inline>
        </w:drawing>
      </w:r>
    </w:p>
    <w:p w:rsidR="00F43829" w:rsidRPr="0013795A" w:rsidRDefault="00F43829" w:rsidP="00F43829">
      <w:pPr>
        <w:keepNext/>
        <w:ind w:firstLine="1170"/>
        <w:jc w:val="left"/>
        <w:rPr>
          <w:b/>
          <w:color w:val="171717" w:themeColor="background2" w:themeShade="1A"/>
        </w:rPr>
      </w:pPr>
      <w:r w:rsidRPr="0013795A">
        <w:rPr>
          <w:b/>
          <w:color w:val="171717" w:themeColor="background2" w:themeShade="1A"/>
          <w:sz w:val="20"/>
          <w:szCs w:val="20"/>
        </w:rPr>
        <w:fldChar w:fldCharType="begin"/>
      </w:r>
      <w:r w:rsidRPr="0013795A">
        <w:rPr>
          <w:b/>
          <w:color w:val="171717" w:themeColor="background2" w:themeShade="1A"/>
          <w:sz w:val="20"/>
          <w:szCs w:val="20"/>
        </w:rPr>
        <w:instrText xml:space="preserve"> ADDIN EN.CITE &lt;EndNote&gt;&lt;Cite&gt;&lt;Author&gt;Frankel&lt;/Author&gt;&lt;Year&gt;2015&lt;/Year&gt;&lt;RecNum&gt;20&lt;/RecNum&gt;&lt;DisplayText&gt;(Frankel, 2015)&lt;/DisplayText&gt;&lt;record&gt;&lt;rec-number&gt;20&lt;/rec-number&gt;&lt;foreign-keys&gt;&lt;key app="EN" db-id="s50wv0fdiwsvs9ewxr65pdzf5ssrp9xr5zar" timestamp="1455122794"&gt;20&lt;/key&gt;&lt;/foreign-keys&gt;&lt;ref-type name="Newspaper Article"&gt;23&lt;/ref-type&gt;&lt;contributors&gt;&lt;authors&gt;&lt;author&gt;Todd C. Frankel&lt;/author&gt;&lt;/authors&gt;&lt;/contributors&gt;&lt;titles&gt;&lt;title&gt;Mississippi - yes , Mississippi - has the nation&amp;apos;s best child vaccination rate. Here&amp;apos;s why.&lt;/title&gt;&lt;secondary-title&gt;The Washington Post&lt;/secondary-title&gt;&lt;/titles&gt;&lt;dates&gt;&lt;year&gt;2015&lt;/year&gt;&lt;pub-dates&gt;&lt;date&gt;January 30, 2015&lt;/date&gt;&lt;/pub-dates&gt;&lt;/dates&gt;&lt;pub-location&gt;Online&lt;/pub-location&gt;&lt;urls&gt;&lt;related-urls&gt;&lt;url&gt;https://www.washingtonpost.com/news/storyline/wp/2015/01/30/mississippi-yes-mississippi-has-the-nations-best-child-vaccination-rate-heres-why/&lt;/url&gt;&lt;/related-urls&gt;&lt;/urls&gt;&lt;access-date&gt;January 13, 2016&lt;/access-date&gt;&lt;/record&gt;&lt;/Cite&gt;&lt;/EndNote&gt;</w:instrText>
      </w:r>
      <w:r w:rsidRPr="0013795A">
        <w:rPr>
          <w:b/>
          <w:color w:val="171717" w:themeColor="background2" w:themeShade="1A"/>
          <w:sz w:val="20"/>
          <w:szCs w:val="20"/>
        </w:rPr>
        <w:fldChar w:fldCharType="separate"/>
      </w:r>
      <w:r w:rsidRPr="0013795A">
        <w:rPr>
          <w:b/>
          <w:color w:val="171717" w:themeColor="background2" w:themeShade="1A"/>
          <w:sz w:val="20"/>
          <w:szCs w:val="20"/>
        </w:rPr>
        <w:t>(Frankel, 2015)</w:t>
      </w:r>
      <w:r w:rsidRPr="0013795A">
        <w:rPr>
          <w:b/>
          <w:color w:val="171717" w:themeColor="background2" w:themeShade="1A"/>
          <w:sz w:val="20"/>
          <w:szCs w:val="20"/>
        </w:rPr>
        <w:fldChar w:fldCharType="end"/>
      </w:r>
    </w:p>
    <w:p w:rsidR="008C6C69" w:rsidRPr="0013795A" w:rsidRDefault="00F43829" w:rsidP="00F43829">
      <w:pPr>
        <w:pStyle w:val="Caption"/>
        <w:ind w:firstLine="180"/>
        <w:jc w:val="center"/>
        <w:rPr>
          <w:color w:val="171717" w:themeColor="background2" w:themeShade="1A"/>
        </w:rPr>
      </w:pPr>
      <w:bookmarkStart w:id="23" w:name="_Toc323241459"/>
      <w:r w:rsidRPr="0013795A">
        <w:rPr>
          <w:color w:val="171717" w:themeColor="background2" w:themeShade="1A"/>
        </w:rPr>
        <w:t xml:space="preserve">Figure </w:t>
      </w:r>
      <w:r w:rsidRPr="0013795A">
        <w:rPr>
          <w:color w:val="171717" w:themeColor="background2" w:themeShade="1A"/>
        </w:rPr>
        <w:fldChar w:fldCharType="begin"/>
      </w:r>
      <w:r w:rsidRPr="0013795A">
        <w:rPr>
          <w:color w:val="171717" w:themeColor="background2" w:themeShade="1A"/>
        </w:rPr>
        <w:instrText xml:space="preserve"> SEQ Figure \* ARABIC </w:instrText>
      </w:r>
      <w:r w:rsidRPr="0013795A">
        <w:rPr>
          <w:color w:val="171717" w:themeColor="background2" w:themeShade="1A"/>
        </w:rPr>
        <w:fldChar w:fldCharType="separate"/>
      </w:r>
      <w:r w:rsidR="00FC2C46" w:rsidRPr="0013795A">
        <w:rPr>
          <w:noProof/>
          <w:color w:val="171717" w:themeColor="background2" w:themeShade="1A"/>
        </w:rPr>
        <w:t>3</w:t>
      </w:r>
      <w:r w:rsidRPr="0013795A">
        <w:rPr>
          <w:color w:val="171717" w:themeColor="background2" w:themeShade="1A"/>
        </w:rPr>
        <w:fldChar w:fldCharType="end"/>
      </w:r>
      <w:r w:rsidRPr="0013795A">
        <w:rPr>
          <w:color w:val="171717" w:themeColor="background2" w:themeShade="1A"/>
        </w:rPr>
        <w:t>. Number of People Exempted from Vaccines by Exemption Type and State</w:t>
      </w:r>
      <w:bookmarkEnd w:id="23"/>
    </w:p>
    <w:p w:rsidR="00B82CA8" w:rsidRPr="0013795A" w:rsidRDefault="00C07CAF" w:rsidP="00B82CA8">
      <w:pPr>
        <w:pStyle w:val="Heading2"/>
        <w:rPr>
          <w:color w:val="171717" w:themeColor="background2" w:themeShade="1A"/>
        </w:rPr>
      </w:pPr>
      <w:bookmarkStart w:id="24" w:name="_Toc323241445"/>
      <w:bookmarkStart w:id="25" w:name="_Toc106513534"/>
      <w:bookmarkStart w:id="26" w:name="_Toc106717792"/>
      <w:r w:rsidRPr="0013795A">
        <w:rPr>
          <w:color w:val="171717" w:themeColor="background2" w:themeShade="1A"/>
        </w:rPr>
        <w:t>State required vaccinations</w:t>
      </w:r>
      <w:bookmarkEnd w:id="24"/>
    </w:p>
    <w:p w:rsidR="00E413FF" w:rsidRPr="0013795A" w:rsidRDefault="0091430B" w:rsidP="00E413FF">
      <w:pPr>
        <w:rPr>
          <w:color w:val="171717" w:themeColor="background2" w:themeShade="1A"/>
        </w:rPr>
      </w:pPr>
      <w:r w:rsidRPr="0013795A">
        <w:rPr>
          <w:color w:val="171717" w:themeColor="background2" w:themeShade="1A"/>
        </w:rPr>
        <w:t>Not only do</w:t>
      </w:r>
      <w:r w:rsidR="004619A5" w:rsidRPr="0013795A">
        <w:rPr>
          <w:color w:val="171717" w:themeColor="background2" w:themeShade="1A"/>
        </w:rPr>
        <w:t xml:space="preserve"> exe</w:t>
      </w:r>
      <w:r w:rsidR="00E413FF" w:rsidRPr="0013795A">
        <w:rPr>
          <w:color w:val="171717" w:themeColor="background2" w:themeShade="1A"/>
        </w:rPr>
        <w:t>mptions vary from state to state</w:t>
      </w:r>
      <w:r w:rsidRPr="0013795A">
        <w:rPr>
          <w:color w:val="171717" w:themeColor="background2" w:themeShade="1A"/>
        </w:rPr>
        <w:t>,</w:t>
      </w:r>
      <w:r w:rsidR="00E413FF" w:rsidRPr="0013795A">
        <w:rPr>
          <w:color w:val="171717" w:themeColor="background2" w:themeShade="1A"/>
        </w:rPr>
        <w:t xml:space="preserve"> but the type and dosage amount of vaccinations required differ as well.  Connecticut is the only state</w:t>
      </w:r>
      <w:r w:rsidR="00FC053C" w:rsidRPr="0013795A">
        <w:rPr>
          <w:color w:val="171717" w:themeColor="background2" w:themeShade="1A"/>
        </w:rPr>
        <w:t xml:space="preserve"> in the US</w:t>
      </w:r>
      <w:r w:rsidR="00E413FF" w:rsidRPr="0013795A">
        <w:rPr>
          <w:color w:val="171717" w:themeColor="background2" w:themeShade="1A"/>
        </w:rPr>
        <w:t xml:space="preserve"> to require ten </w:t>
      </w:r>
      <w:r w:rsidR="00E413FF" w:rsidRPr="0013795A">
        <w:rPr>
          <w:color w:val="171717" w:themeColor="background2" w:themeShade="1A"/>
        </w:rPr>
        <w:lastRenderedPageBreak/>
        <w:t xml:space="preserve">different vaccines including the flu vaccine whereas that state of Pennsylvania only requires four.  The immunizations required for school entry for each state will be discussed along with incidences of specific diseases. </w:t>
      </w:r>
    </w:p>
    <w:p w:rsidR="00E413FF" w:rsidRPr="0013795A" w:rsidRDefault="00E413FF" w:rsidP="00E413FF">
      <w:pPr>
        <w:rPr>
          <w:color w:val="171717" w:themeColor="background2" w:themeShade="1A"/>
        </w:rPr>
      </w:pPr>
    </w:p>
    <w:p w:rsidR="00965C9D" w:rsidRPr="0013795A" w:rsidRDefault="00965C9D" w:rsidP="00965C9D">
      <w:pPr>
        <w:pStyle w:val="Caption"/>
        <w:keepNext/>
        <w:rPr>
          <w:color w:val="171717" w:themeColor="background2" w:themeShade="1A"/>
        </w:rPr>
      </w:pPr>
      <w:bookmarkStart w:id="27" w:name="_Toc323241548"/>
      <w:r w:rsidRPr="0013795A">
        <w:rPr>
          <w:color w:val="171717" w:themeColor="background2" w:themeShade="1A"/>
        </w:rPr>
        <w:t xml:space="preserve">Table </w:t>
      </w:r>
      <w:r w:rsidRPr="0013795A">
        <w:rPr>
          <w:color w:val="171717" w:themeColor="background2" w:themeShade="1A"/>
        </w:rPr>
        <w:fldChar w:fldCharType="begin"/>
      </w:r>
      <w:r w:rsidRPr="0013795A">
        <w:rPr>
          <w:color w:val="171717" w:themeColor="background2" w:themeShade="1A"/>
        </w:rPr>
        <w:instrText xml:space="preserve"> SEQ Table \* ARABIC </w:instrText>
      </w:r>
      <w:r w:rsidRPr="0013795A">
        <w:rPr>
          <w:color w:val="171717" w:themeColor="background2" w:themeShade="1A"/>
        </w:rPr>
        <w:fldChar w:fldCharType="separate"/>
      </w:r>
      <w:r w:rsidRPr="0013795A">
        <w:rPr>
          <w:noProof/>
          <w:color w:val="171717" w:themeColor="background2" w:themeShade="1A"/>
        </w:rPr>
        <w:t>2</w:t>
      </w:r>
      <w:r w:rsidRPr="0013795A">
        <w:rPr>
          <w:color w:val="171717" w:themeColor="background2" w:themeShade="1A"/>
        </w:rPr>
        <w:fldChar w:fldCharType="end"/>
      </w:r>
      <w:r w:rsidRPr="0013795A">
        <w:rPr>
          <w:color w:val="171717" w:themeColor="background2" w:themeShade="1A"/>
        </w:rPr>
        <w:t>. Vaccines Required for Public School Kindergarten</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802"/>
        <w:gridCol w:w="830"/>
        <w:gridCol w:w="794"/>
        <w:gridCol w:w="814"/>
        <w:gridCol w:w="800"/>
        <w:gridCol w:w="788"/>
        <w:gridCol w:w="836"/>
        <w:gridCol w:w="949"/>
        <w:gridCol w:w="803"/>
        <w:gridCol w:w="810"/>
      </w:tblGrid>
      <w:tr w:rsidR="0013795A" w:rsidRPr="0013795A" w:rsidTr="00965C9D">
        <w:tc>
          <w:tcPr>
            <w:tcW w:w="1350" w:type="dxa"/>
            <w:shd w:val="solid" w:color="800080" w:fill="FFFFFF"/>
            <w:vAlign w:val="center"/>
          </w:tcPr>
          <w:p w:rsidR="00E413FF" w:rsidRPr="0013795A" w:rsidRDefault="00E413FF" w:rsidP="00367800">
            <w:pPr>
              <w:ind w:firstLine="0"/>
              <w:jc w:val="center"/>
              <w:rPr>
                <w:b/>
                <w:bCs/>
                <w:color w:val="171717" w:themeColor="background2" w:themeShade="1A"/>
                <w:sz w:val="20"/>
                <w:szCs w:val="20"/>
              </w:rPr>
            </w:pPr>
          </w:p>
        </w:tc>
        <w:tc>
          <w:tcPr>
            <w:tcW w:w="802" w:type="dxa"/>
            <w:shd w:val="solid" w:color="800080" w:fill="FFFFFF"/>
            <w:vAlign w:val="center"/>
          </w:tcPr>
          <w:p w:rsidR="00E413FF" w:rsidRPr="0013795A" w:rsidRDefault="00E413FF" w:rsidP="00367800">
            <w:pPr>
              <w:ind w:firstLine="0"/>
              <w:jc w:val="center"/>
              <w:rPr>
                <w:color w:val="171717" w:themeColor="background2" w:themeShade="1A"/>
                <w:sz w:val="20"/>
                <w:szCs w:val="20"/>
              </w:rPr>
            </w:pPr>
            <w:proofErr w:type="spellStart"/>
            <w:r w:rsidRPr="0013795A">
              <w:rPr>
                <w:color w:val="171717" w:themeColor="background2" w:themeShade="1A"/>
                <w:sz w:val="20"/>
                <w:szCs w:val="20"/>
              </w:rPr>
              <w:t>Hep</w:t>
            </w:r>
            <w:proofErr w:type="spellEnd"/>
            <w:r w:rsidRPr="0013795A">
              <w:rPr>
                <w:color w:val="171717" w:themeColor="background2" w:themeShade="1A"/>
                <w:sz w:val="20"/>
                <w:szCs w:val="20"/>
              </w:rPr>
              <w:t xml:space="preserve"> B</w:t>
            </w:r>
          </w:p>
        </w:tc>
        <w:tc>
          <w:tcPr>
            <w:tcW w:w="830" w:type="dxa"/>
            <w:shd w:val="solid" w:color="800080" w:fill="FFFFFF"/>
            <w:vAlign w:val="center"/>
          </w:tcPr>
          <w:p w:rsidR="00E413FF" w:rsidRPr="0013795A" w:rsidRDefault="00E413FF" w:rsidP="00367800">
            <w:pPr>
              <w:ind w:firstLine="0"/>
              <w:jc w:val="center"/>
              <w:rPr>
                <w:color w:val="171717" w:themeColor="background2" w:themeShade="1A"/>
                <w:sz w:val="20"/>
                <w:szCs w:val="20"/>
              </w:rPr>
            </w:pPr>
            <w:proofErr w:type="spellStart"/>
            <w:r w:rsidRPr="0013795A">
              <w:rPr>
                <w:color w:val="171717" w:themeColor="background2" w:themeShade="1A"/>
                <w:sz w:val="20"/>
                <w:szCs w:val="20"/>
              </w:rPr>
              <w:t>DTaP</w:t>
            </w:r>
            <w:proofErr w:type="spellEnd"/>
          </w:p>
        </w:tc>
        <w:tc>
          <w:tcPr>
            <w:tcW w:w="794" w:type="dxa"/>
            <w:shd w:val="solid" w:color="800080" w:fill="FFFFFF"/>
            <w:vAlign w:val="center"/>
          </w:tcPr>
          <w:p w:rsidR="00E413FF" w:rsidRPr="0013795A" w:rsidRDefault="00E413FF" w:rsidP="00367800">
            <w:pPr>
              <w:ind w:firstLine="0"/>
              <w:jc w:val="center"/>
              <w:rPr>
                <w:color w:val="171717" w:themeColor="background2" w:themeShade="1A"/>
                <w:sz w:val="20"/>
                <w:szCs w:val="20"/>
              </w:rPr>
            </w:pPr>
            <w:r w:rsidRPr="0013795A">
              <w:rPr>
                <w:color w:val="171717" w:themeColor="background2" w:themeShade="1A"/>
                <w:sz w:val="20"/>
                <w:szCs w:val="20"/>
              </w:rPr>
              <w:t>Hib</w:t>
            </w:r>
          </w:p>
        </w:tc>
        <w:tc>
          <w:tcPr>
            <w:tcW w:w="814" w:type="dxa"/>
            <w:shd w:val="solid" w:color="800080" w:fill="FFFFFF"/>
            <w:vAlign w:val="center"/>
          </w:tcPr>
          <w:p w:rsidR="00E413FF" w:rsidRPr="0013795A" w:rsidRDefault="00E413FF" w:rsidP="00367800">
            <w:pPr>
              <w:ind w:firstLine="0"/>
              <w:jc w:val="center"/>
              <w:rPr>
                <w:color w:val="171717" w:themeColor="background2" w:themeShade="1A"/>
                <w:sz w:val="20"/>
                <w:szCs w:val="20"/>
              </w:rPr>
            </w:pPr>
            <w:r w:rsidRPr="0013795A">
              <w:rPr>
                <w:color w:val="171717" w:themeColor="background2" w:themeShade="1A"/>
                <w:sz w:val="20"/>
                <w:szCs w:val="20"/>
              </w:rPr>
              <w:t>PCV</w:t>
            </w:r>
          </w:p>
        </w:tc>
        <w:tc>
          <w:tcPr>
            <w:tcW w:w="800" w:type="dxa"/>
            <w:shd w:val="solid" w:color="800080" w:fill="FFFFFF"/>
            <w:vAlign w:val="center"/>
          </w:tcPr>
          <w:p w:rsidR="00E413FF" w:rsidRPr="0013795A" w:rsidRDefault="00E413FF" w:rsidP="00367800">
            <w:pPr>
              <w:ind w:firstLine="0"/>
              <w:jc w:val="center"/>
              <w:rPr>
                <w:color w:val="171717" w:themeColor="background2" w:themeShade="1A"/>
                <w:sz w:val="20"/>
                <w:szCs w:val="20"/>
              </w:rPr>
            </w:pPr>
            <w:r w:rsidRPr="0013795A">
              <w:rPr>
                <w:color w:val="171717" w:themeColor="background2" w:themeShade="1A"/>
                <w:sz w:val="20"/>
                <w:szCs w:val="20"/>
              </w:rPr>
              <w:t>IPV</w:t>
            </w:r>
          </w:p>
        </w:tc>
        <w:tc>
          <w:tcPr>
            <w:tcW w:w="788" w:type="dxa"/>
            <w:shd w:val="solid" w:color="800080" w:fill="FFFFFF"/>
            <w:vAlign w:val="center"/>
          </w:tcPr>
          <w:p w:rsidR="00E413FF" w:rsidRPr="0013795A" w:rsidRDefault="00E413FF" w:rsidP="00367800">
            <w:pPr>
              <w:ind w:firstLine="0"/>
              <w:jc w:val="center"/>
              <w:rPr>
                <w:color w:val="171717" w:themeColor="background2" w:themeShade="1A"/>
                <w:sz w:val="20"/>
                <w:szCs w:val="20"/>
              </w:rPr>
            </w:pPr>
            <w:r w:rsidRPr="0013795A">
              <w:rPr>
                <w:color w:val="171717" w:themeColor="background2" w:themeShade="1A"/>
                <w:sz w:val="20"/>
                <w:szCs w:val="20"/>
              </w:rPr>
              <w:t>Flu</w:t>
            </w:r>
          </w:p>
        </w:tc>
        <w:tc>
          <w:tcPr>
            <w:tcW w:w="836" w:type="dxa"/>
            <w:shd w:val="solid" w:color="800080" w:fill="FFFFFF"/>
            <w:vAlign w:val="center"/>
          </w:tcPr>
          <w:p w:rsidR="00E413FF" w:rsidRPr="0013795A" w:rsidRDefault="00E413FF" w:rsidP="00367800">
            <w:pPr>
              <w:ind w:firstLine="0"/>
              <w:jc w:val="center"/>
              <w:rPr>
                <w:color w:val="171717" w:themeColor="background2" w:themeShade="1A"/>
                <w:sz w:val="20"/>
                <w:szCs w:val="20"/>
              </w:rPr>
            </w:pPr>
            <w:r w:rsidRPr="0013795A">
              <w:rPr>
                <w:color w:val="171717" w:themeColor="background2" w:themeShade="1A"/>
                <w:sz w:val="20"/>
                <w:szCs w:val="20"/>
              </w:rPr>
              <w:t>MMR</w:t>
            </w:r>
          </w:p>
        </w:tc>
        <w:tc>
          <w:tcPr>
            <w:tcW w:w="949" w:type="dxa"/>
            <w:shd w:val="solid" w:color="800080" w:fill="FFFFFF"/>
            <w:vAlign w:val="center"/>
          </w:tcPr>
          <w:p w:rsidR="00E413FF" w:rsidRPr="0013795A" w:rsidRDefault="00E413FF" w:rsidP="00367800">
            <w:pPr>
              <w:ind w:firstLine="0"/>
              <w:jc w:val="center"/>
              <w:rPr>
                <w:color w:val="171717" w:themeColor="background2" w:themeShade="1A"/>
                <w:sz w:val="20"/>
                <w:szCs w:val="20"/>
              </w:rPr>
            </w:pPr>
            <w:r w:rsidRPr="0013795A">
              <w:rPr>
                <w:color w:val="171717" w:themeColor="background2" w:themeShade="1A"/>
                <w:sz w:val="20"/>
                <w:szCs w:val="20"/>
              </w:rPr>
              <w:t>Varicella</w:t>
            </w:r>
          </w:p>
        </w:tc>
        <w:tc>
          <w:tcPr>
            <w:tcW w:w="803" w:type="dxa"/>
            <w:shd w:val="solid" w:color="800080" w:fill="FFFFFF"/>
            <w:vAlign w:val="center"/>
          </w:tcPr>
          <w:p w:rsidR="00E413FF" w:rsidRPr="0013795A" w:rsidRDefault="00E413FF" w:rsidP="00367800">
            <w:pPr>
              <w:ind w:firstLine="0"/>
              <w:jc w:val="center"/>
              <w:rPr>
                <w:color w:val="171717" w:themeColor="background2" w:themeShade="1A"/>
                <w:sz w:val="20"/>
                <w:szCs w:val="20"/>
              </w:rPr>
            </w:pPr>
            <w:proofErr w:type="spellStart"/>
            <w:r w:rsidRPr="0013795A">
              <w:rPr>
                <w:color w:val="171717" w:themeColor="background2" w:themeShade="1A"/>
                <w:sz w:val="20"/>
                <w:szCs w:val="20"/>
              </w:rPr>
              <w:t>Hep</w:t>
            </w:r>
            <w:proofErr w:type="spellEnd"/>
            <w:r w:rsidRPr="0013795A">
              <w:rPr>
                <w:color w:val="171717" w:themeColor="background2" w:themeShade="1A"/>
                <w:sz w:val="20"/>
                <w:szCs w:val="20"/>
              </w:rPr>
              <w:t xml:space="preserve"> A</w:t>
            </w:r>
          </w:p>
        </w:tc>
        <w:tc>
          <w:tcPr>
            <w:tcW w:w="810" w:type="dxa"/>
            <w:shd w:val="solid" w:color="800080" w:fill="FFFFFF"/>
            <w:vAlign w:val="center"/>
          </w:tcPr>
          <w:p w:rsidR="00E413FF" w:rsidRPr="0013795A" w:rsidRDefault="00E413FF" w:rsidP="00367800">
            <w:pPr>
              <w:ind w:firstLine="0"/>
              <w:jc w:val="center"/>
              <w:rPr>
                <w:color w:val="171717" w:themeColor="background2" w:themeShade="1A"/>
                <w:sz w:val="20"/>
                <w:szCs w:val="20"/>
              </w:rPr>
            </w:pPr>
            <w:r w:rsidRPr="0013795A">
              <w:rPr>
                <w:color w:val="171717" w:themeColor="background2" w:themeShade="1A"/>
                <w:sz w:val="20"/>
                <w:szCs w:val="20"/>
              </w:rPr>
              <w:t>Men</w:t>
            </w:r>
          </w:p>
        </w:tc>
      </w:tr>
      <w:tr w:rsidR="0013795A" w:rsidRPr="0013795A" w:rsidTr="00965C9D">
        <w:tc>
          <w:tcPr>
            <w:tcW w:w="1350" w:type="dxa"/>
            <w:shd w:val="solid" w:color="C0C0C0" w:fill="FFFFFF"/>
            <w:vAlign w:val="center"/>
          </w:tcPr>
          <w:p w:rsidR="00E413FF" w:rsidRPr="0013795A" w:rsidRDefault="00E413FF" w:rsidP="00367800">
            <w:pPr>
              <w:ind w:firstLine="0"/>
              <w:jc w:val="center"/>
              <w:rPr>
                <w:b/>
                <w:bCs/>
                <w:color w:val="171717" w:themeColor="background2" w:themeShade="1A"/>
                <w:sz w:val="20"/>
                <w:szCs w:val="20"/>
              </w:rPr>
            </w:pPr>
            <w:r w:rsidRPr="0013795A">
              <w:rPr>
                <w:b/>
                <w:bCs/>
                <w:color w:val="171717" w:themeColor="background2" w:themeShade="1A"/>
                <w:sz w:val="20"/>
                <w:szCs w:val="20"/>
              </w:rPr>
              <w:t>California</w:t>
            </w:r>
          </w:p>
        </w:tc>
        <w:tc>
          <w:tcPr>
            <w:tcW w:w="802"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830"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794" w:type="dxa"/>
            <w:shd w:val="clear" w:color="auto" w:fill="auto"/>
            <w:vAlign w:val="center"/>
          </w:tcPr>
          <w:p w:rsidR="00E413FF" w:rsidRPr="00E706AB" w:rsidRDefault="00E413FF" w:rsidP="00367800">
            <w:pPr>
              <w:ind w:firstLine="0"/>
              <w:jc w:val="center"/>
              <w:rPr>
                <w:color w:val="00B050"/>
                <w:sz w:val="20"/>
                <w:szCs w:val="20"/>
              </w:rPr>
            </w:pPr>
          </w:p>
        </w:tc>
        <w:tc>
          <w:tcPr>
            <w:tcW w:w="814" w:type="dxa"/>
            <w:shd w:val="clear" w:color="auto" w:fill="auto"/>
            <w:vAlign w:val="center"/>
          </w:tcPr>
          <w:p w:rsidR="00E413FF" w:rsidRPr="00E706AB" w:rsidRDefault="00E413FF" w:rsidP="00367800">
            <w:pPr>
              <w:ind w:firstLine="0"/>
              <w:jc w:val="center"/>
              <w:rPr>
                <w:color w:val="00B050"/>
                <w:sz w:val="20"/>
                <w:szCs w:val="20"/>
              </w:rPr>
            </w:pPr>
          </w:p>
        </w:tc>
        <w:tc>
          <w:tcPr>
            <w:tcW w:w="800"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788" w:type="dxa"/>
            <w:shd w:val="clear" w:color="auto" w:fill="auto"/>
            <w:vAlign w:val="center"/>
          </w:tcPr>
          <w:p w:rsidR="00E413FF" w:rsidRPr="00E706AB" w:rsidRDefault="00E413FF" w:rsidP="00367800">
            <w:pPr>
              <w:ind w:firstLine="0"/>
              <w:jc w:val="center"/>
              <w:rPr>
                <w:color w:val="00B050"/>
                <w:sz w:val="20"/>
                <w:szCs w:val="20"/>
              </w:rPr>
            </w:pPr>
          </w:p>
        </w:tc>
        <w:tc>
          <w:tcPr>
            <w:tcW w:w="836"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949"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803" w:type="dxa"/>
            <w:shd w:val="clear" w:color="auto" w:fill="auto"/>
            <w:vAlign w:val="center"/>
          </w:tcPr>
          <w:p w:rsidR="00E413FF" w:rsidRPr="00E706AB" w:rsidRDefault="00E413FF" w:rsidP="00367800">
            <w:pPr>
              <w:ind w:firstLine="0"/>
              <w:jc w:val="center"/>
              <w:rPr>
                <w:color w:val="00B050"/>
                <w:sz w:val="20"/>
                <w:szCs w:val="20"/>
              </w:rPr>
            </w:pPr>
          </w:p>
        </w:tc>
        <w:tc>
          <w:tcPr>
            <w:tcW w:w="810" w:type="dxa"/>
            <w:shd w:val="clear" w:color="auto" w:fill="auto"/>
            <w:vAlign w:val="center"/>
          </w:tcPr>
          <w:p w:rsidR="00E413FF" w:rsidRPr="00E706AB" w:rsidRDefault="00E413FF" w:rsidP="00367800">
            <w:pPr>
              <w:ind w:firstLine="0"/>
              <w:jc w:val="center"/>
              <w:rPr>
                <w:color w:val="00B050"/>
                <w:sz w:val="20"/>
                <w:szCs w:val="20"/>
              </w:rPr>
            </w:pPr>
          </w:p>
        </w:tc>
      </w:tr>
      <w:tr w:rsidR="0013795A" w:rsidRPr="0013795A" w:rsidTr="00965C9D">
        <w:tc>
          <w:tcPr>
            <w:tcW w:w="1350" w:type="dxa"/>
            <w:shd w:val="solid" w:color="C0C0C0" w:fill="FFFFFF"/>
            <w:vAlign w:val="center"/>
          </w:tcPr>
          <w:p w:rsidR="00E413FF" w:rsidRPr="0013795A" w:rsidRDefault="00E413FF" w:rsidP="00367800">
            <w:pPr>
              <w:ind w:firstLine="0"/>
              <w:jc w:val="center"/>
              <w:rPr>
                <w:b/>
                <w:bCs/>
                <w:color w:val="171717" w:themeColor="background2" w:themeShade="1A"/>
                <w:sz w:val="20"/>
                <w:szCs w:val="20"/>
              </w:rPr>
            </w:pPr>
            <w:r w:rsidRPr="0013795A">
              <w:rPr>
                <w:b/>
                <w:bCs/>
                <w:color w:val="171717" w:themeColor="background2" w:themeShade="1A"/>
                <w:sz w:val="20"/>
                <w:szCs w:val="20"/>
              </w:rPr>
              <w:t>Connecticut</w:t>
            </w:r>
          </w:p>
        </w:tc>
        <w:tc>
          <w:tcPr>
            <w:tcW w:w="802"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830" w:type="dxa"/>
            <w:shd w:val="clear" w:color="auto" w:fill="auto"/>
            <w:vAlign w:val="center"/>
          </w:tcPr>
          <w:p w:rsidR="00E413FF" w:rsidRPr="00E706AB" w:rsidRDefault="00DB7854" w:rsidP="00367800">
            <w:pPr>
              <w:ind w:firstLine="0"/>
              <w:jc w:val="center"/>
              <w:rPr>
                <w:color w:val="00B050"/>
                <w:sz w:val="20"/>
                <w:szCs w:val="20"/>
              </w:rPr>
            </w:pPr>
            <w:r w:rsidRPr="00E706AB">
              <w:rPr>
                <w:color w:val="00B050"/>
                <w:sz w:val="20"/>
                <w:szCs w:val="20"/>
              </w:rPr>
              <w:sym w:font="Wingdings 2" w:char="F050"/>
            </w:r>
          </w:p>
        </w:tc>
        <w:tc>
          <w:tcPr>
            <w:tcW w:w="794"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814"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800"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788"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836"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949"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803"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810"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r>
      <w:tr w:rsidR="0013795A" w:rsidRPr="0013795A" w:rsidTr="00965C9D">
        <w:tc>
          <w:tcPr>
            <w:tcW w:w="1350" w:type="dxa"/>
            <w:shd w:val="solid" w:color="C0C0C0" w:fill="FFFFFF"/>
            <w:vAlign w:val="center"/>
          </w:tcPr>
          <w:p w:rsidR="00E413FF" w:rsidRPr="0013795A" w:rsidRDefault="00E413FF" w:rsidP="00367800">
            <w:pPr>
              <w:ind w:firstLine="0"/>
              <w:jc w:val="center"/>
              <w:rPr>
                <w:b/>
                <w:bCs/>
                <w:color w:val="171717" w:themeColor="background2" w:themeShade="1A"/>
                <w:sz w:val="20"/>
                <w:szCs w:val="20"/>
              </w:rPr>
            </w:pPr>
            <w:r w:rsidRPr="0013795A">
              <w:rPr>
                <w:b/>
                <w:bCs/>
                <w:color w:val="171717" w:themeColor="background2" w:themeShade="1A"/>
                <w:sz w:val="20"/>
                <w:szCs w:val="20"/>
              </w:rPr>
              <w:t>Mississippi</w:t>
            </w:r>
          </w:p>
        </w:tc>
        <w:tc>
          <w:tcPr>
            <w:tcW w:w="802"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830"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794" w:type="dxa"/>
            <w:shd w:val="clear" w:color="auto" w:fill="auto"/>
            <w:vAlign w:val="center"/>
          </w:tcPr>
          <w:p w:rsidR="00E413FF" w:rsidRPr="00E706AB" w:rsidRDefault="00E413FF" w:rsidP="00367800">
            <w:pPr>
              <w:ind w:firstLine="0"/>
              <w:jc w:val="center"/>
              <w:rPr>
                <w:color w:val="00B050"/>
                <w:sz w:val="20"/>
                <w:szCs w:val="20"/>
              </w:rPr>
            </w:pPr>
          </w:p>
        </w:tc>
        <w:tc>
          <w:tcPr>
            <w:tcW w:w="814" w:type="dxa"/>
            <w:shd w:val="clear" w:color="auto" w:fill="auto"/>
            <w:vAlign w:val="center"/>
          </w:tcPr>
          <w:p w:rsidR="00E413FF" w:rsidRPr="00E706AB" w:rsidRDefault="00E413FF" w:rsidP="00367800">
            <w:pPr>
              <w:ind w:firstLine="0"/>
              <w:jc w:val="center"/>
              <w:rPr>
                <w:color w:val="00B050"/>
                <w:sz w:val="20"/>
                <w:szCs w:val="20"/>
              </w:rPr>
            </w:pPr>
          </w:p>
        </w:tc>
        <w:tc>
          <w:tcPr>
            <w:tcW w:w="800"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788" w:type="dxa"/>
            <w:shd w:val="clear" w:color="auto" w:fill="auto"/>
            <w:vAlign w:val="center"/>
          </w:tcPr>
          <w:p w:rsidR="00E413FF" w:rsidRPr="00E706AB" w:rsidRDefault="00E413FF" w:rsidP="00367800">
            <w:pPr>
              <w:ind w:firstLine="0"/>
              <w:jc w:val="center"/>
              <w:rPr>
                <w:color w:val="00B050"/>
                <w:sz w:val="20"/>
                <w:szCs w:val="20"/>
              </w:rPr>
            </w:pPr>
          </w:p>
        </w:tc>
        <w:tc>
          <w:tcPr>
            <w:tcW w:w="836"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949"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803" w:type="dxa"/>
            <w:shd w:val="clear" w:color="auto" w:fill="auto"/>
            <w:vAlign w:val="center"/>
          </w:tcPr>
          <w:p w:rsidR="00E413FF" w:rsidRPr="00E706AB" w:rsidRDefault="00E413FF" w:rsidP="00367800">
            <w:pPr>
              <w:ind w:firstLine="0"/>
              <w:jc w:val="center"/>
              <w:rPr>
                <w:color w:val="00B050"/>
                <w:sz w:val="20"/>
                <w:szCs w:val="20"/>
              </w:rPr>
            </w:pPr>
          </w:p>
        </w:tc>
        <w:tc>
          <w:tcPr>
            <w:tcW w:w="810" w:type="dxa"/>
            <w:shd w:val="clear" w:color="auto" w:fill="auto"/>
            <w:vAlign w:val="center"/>
          </w:tcPr>
          <w:p w:rsidR="00E413FF" w:rsidRPr="00E706AB" w:rsidRDefault="00E413FF" w:rsidP="00367800">
            <w:pPr>
              <w:ind w:firstLine="0"/>
              <w:jc w:val="center"/>
              <w:rPr>
                <w:color w:val="00B050"/>
                <w:sz w:val="20"/>
                <w:szCs w:val="20"/>
              </w:rPr>
            </w:pPr>
          </w:p>
        </w:tc>
      </w:tr>
      <w:tr w:rsidR="0013795A" w:rsidRPr="0013795A" w:rsidTr="00965C9D">
        <w:tc>
          <w:tcPr>
            <w:tcW w:w="1350" w:type="dxa"/>
            <w:shd w:val="solid" w:color="C0C0C0" w:fill="FFFFFF"/>
            <w:vAlign w:val="center"/>
          </w:tcPr>
          <w:p w:rsidR="00E413FF" w:rsidRPr="0013795A" w:rsidRDefault="00E413FF" w:rsidP="00367800">
            <w:pPr>
              <w:ind w:firstLine="0"/>
              <w:jc w:val="center"/>
              <w:rPr>
                <w:b/>
                <w:bCs/>
                <w:color w:val="171717" w:themeColor="background2" w:themeShade="1A"/>
                <w:sz w:val="20"/>
                <w:szCs w:val="20"/>
              </w:rPr>
            </w:pPr>
            <w:r w:rsidRPr="0013795A">
              <w:rPr>
                <w:b/>
                <w:bCs/>
                <w:color w:val="171717" w:themeColor="background2" w:themeShade="1A"/>
                <w:sz w:val="20"/>
                <w:szCs w:val="20"/>
              </w:rPr>
              <w:t>Pennsylvania</w:t>
            </w:r>
          </w:p>
        </w:tc>
        <w:tc>
          <w:tcPr>
            <w:tcW w:w="802"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830"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794" w:type="dxa"/>
            <w:shd w:val="clear" w:color="auto" w:fill="auto"/>
            <w:vAlign w:val="center"/>
          </w:tcPr>
          <w:p w:rsidR="00E413FF" w:rsidRPr="00E706AB" w:rsidRDefault="00E413FF" w:rsidP="00367800">
            <w:pPr>
              <w:ind w:firstLine="0"/>
              <w:jc w:val="center"/>
              <w:rPr>
                <w:color w:val="00B050"/>
                <w:sz w:val="20"/>
                <w:szCs w:val="20"/>
              </w:rPr>
            </w:pPr>
          </w:p>
        </w:tc>
        <w:tc>
          <w:tcPr>
            <w:tcW w:w="814" w:type="dxa"/>
            <w:shd w:val="clear" w:color="auto" w:fill="auto"/>
            <w:vAlign w:val="center"/>
          </w:tcPr>
          <w:p w:rsidR="00E413FF" w:rsidRPr="00E706AB" w:rsidRDefault="00E413FF" w:rsidP="00367800">
            <w:pPr>
              <w:ind w:firstLine="0"/>
              <w:jc w:val="center"/>
              <w:rPr>
                <w:color w:val="00B050"/>
                <w:sz w:val="20"/>
                <w:szCs w:val="20"/>
              </w:rPr>
            </w:pPr>
          </w:p>
        </w:tc>
        <w:tc>
          <w:tcPr>
            <w:tcW w:w="800"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788" w:type="dxa"/>
            <w:shd w:val="clear" w:color="auto" w:fill="auto"/>
            <w:vAlign w:val="center"/>
          </w:tcPr>
          <w:p w:rsidR="00E413FF" w:rsidRPr="00E706AB" w:rsidRDefault="00E413FF" w:rsidP="00367800">
            <w:pPr>
              <w:ind w:firstLine="0"/>
              <w:jc w:val="center"/>
              <w:rPr>
                <w:color w:val="00B050"/>
                <w:sz w:val="20"/>
                <w:szCs w:val="20"/>
              </w:rPr>
            </w:pPr>
          </w:p>
        </w:tc>
        <w:tc>
          <w:tcPr>
            <w:tcW w:w="836" w:type="dxa"/>
            <w:shd w:val="clear" w:color="auto" w:fill="auto"/>
            <w:vAlign w:val="center"/>
          </w:tcPr>
          <w:p w:rsidR="00E413FF" w:rsidRPr="00E706AB" w:rsidRDefault="00DB7854" w:rsidP="00367800">
            <w:pPr>
              <w:ind w:firstLine="0"/>
              <w:jc w:val="center"/>
              <w:rPr>
                <w:color w:val="00B050"/>
                <w:sz w:val="20"/>
                <w:szCs w:val="20"/>
              </w:rPr>
            </w:pPr>
            <w:r w:rsidRPr="00E706AB">
              <w:rPr>
                <w:rFonts w:ascii="Zapf Dingbats" w:hAnsi="Zapf Dingbats"/>
                <w:color w:val="00B050"/>
                <w:sz w:val="20"/>
                <w:szCs w:val="20"/>
              </w:rPr>
              <w:sym w:font="Wingdings 2" w:char="F050"/>
            </w:r>
          </w:p>
        </w:tc>
        <w:tc>
          <w:tcPr>
            <w:tcW w:w="949" w:type="dxa"/>
            <w:shd w:val="clear" w:color="auto" w:fill="auto"/>
            <w:vAlign w:val="center"/>
          </w:tcPr>
          <w:p w:rsidR="00E413FF" w:rsidRPr="00E706AB" w:rsidRDefault="00E413FF" w:rsidP="00367800">
            <w:pPr>
              <w:ind w:firstLine="0"/>
              <w:jc w:val="center"/>
              <w:rPr>
                <w:color w:val="00B050"/>
                <w:sz w:val="20"/>
                <w:szCs w:val="20"/>
              </w:rPr>
            </w:pPr>
          </w:p>
        </w:tc>
        <w:tc>
          <w:tcPr>
            <w:tcW w:w="803" w:type="dxa"/>
            <w:shd w:val="clear" w:color="auto" w:fill="auto"/>
            <w:vAlign w:val="center"/>
          </w:tcPr>
          <w:p w:rsidR="00E413FF" w:rsidRPr="00E706AB" w:rsidRDefault="00E413FF" w:rsidP="00367800">
            <w:pPr>
              <w:ind w:firstLine="0"/>
              <w:jc w:val="center"/>
              <w:rPr>
                <w:color w:val="00B050"/>
                <w:sz w:val="20"/>
                <w:szCs w:val="20"/>
              </w:rPr>
            </w:pPr>
          </w:p>
        </w:tc>
        <w:tc>
          <w:tcPr>
            <w:tcW w:w="810" w:type="dxa"/>
            <w:shd w:val="clear" w:color="auto" w:fill="auto"/>
            <w:vAlign w:val="center"/>
          </w:tcPr>
          <w:p w:rsidR="00E413FF" w:rsidRPr="00E706AB" w:rsidRDefault="00E413FF" w:rsidP="00367800">
            <w:pPr>
              <w:ind w:firstLine="0"/>
              <w:jc w:val="center"/>
              <w:rPr>
                <w:color w:val="00B050"/>
                <w:sz w:val="20"/>
                <w:szCs w:val="20"/>
              </w:rPr>
            </w:pPr>
          </w:p>
        </w:tc>
      </w:tr>
    </w:tbl>
    <w:p w:rsidR="00965C9D" w:rsidRPr="0013795A" w:rsidRDefault="00965C9D" w:rsidP="00965C9D">
      <w:pPr>
        <w:spacing w:line="240" w:lineRule="auto"/>
        <w:ind w:firstLine="0"/>
        <w:rPr>
          <w:color w:val="171717" w:themeColor="background2" w:themeShade="1A"/>
          <w:sz w:val="20"/>
          <w:szCs w:val="20"/>
        </w:rPr>
      </w:pPr>
    </w:p>
    <w:p w:rsidR="00E413FF" w:rsidRPr="0013795A" w:rsidRDefault="00965C9D" w:rsidP="00E413FF">
      <w:pPr>
        <w:ind w:firstLine="0"/>
        <w:rPr>
          <w:b/>
          <w:color w:val="171717" w:themeColor="background2" w:themeShade="1A"/>
        </w:rPr>
      </w:pPr>
      <w:r w:rsidRPr="0013795A">
        <w:rPr>
          <w:b/>
          <w:color w:val="171717" w:themeColor="background2" w:themeShade="1A"/>
          <w:sz w:val="20"/>
          <w:szCs w:val="20"/>
        </w:rPr>
        <w:fldChar w:fldCharType="begin"/>
      </w:r>
      <w:r w:rsidRPr="0013795A">
        <w:rPr>
          <w:b/>
          <w:color w:val="171717" w:themeColor="background2" w:themeShade="1A"/>
          <w:sz w:val="20"/>
          <w:szCs w:val="20"/>
        </w:rPr>
        <w:instrText xml:space="preserve"> ADDIN EN.CITE &lt;EndNote&gt;&lt;Cite&gt;&lt;Year&gt;2014&lt;/Year&gt;&lt;RecNum&gt;38&lt;/RecNum&gt;&lt;DisplayText&gt;(&amp;quot;State-by-State: Vaccinations Required for Public School Kindergarten,&amp;quot; 2014)&lt;/DisplayText&gt;&lt;record&gt;&lt;rec-number&gt;38&lt;/rec-number&gt;&lt;foreign-keys&gt;&lt;key app="EN" db-id="s50wv0fdiwsvs9ewxr65pdzf5ssrp9xr5zar" timestamp="1460484081"&gt;38&lt;/key&gt;&lt;/foreign-keys&gt;&lt;ref-type name="Web Page"&gt;12&lt;/ref-type&gt;&lt;contributors&gt;&lt;/contributors&gt;&lt;titles&gt;&lt;title&gt;State-by-State: Vaccinations Required for Public School Kindergarten&lt;/title&gt;&lt;/titles&gt;&lt;volume&gt;2016&lt;/volume&gt;&lt;number&gt;February 16&lt;/number&gt;&lt;dates&gt;&lt;year&gt;2014&lt;/year&gt;&lt;pub-dates&gt;&lt;date&gt;September 3&lt;/date&gt;&lt;/pub-dates&gt;&lt;/dates&gt;&lt;publisher&gt;ProCon.org&lt;/publisher&gt;&lt;urls&gt;&lt;related-urls&gt;&lt;url&gt;http://vaccines.procon.org/view.resource.php?resourceID=005979&lt;/url&gt;&lt;/related-urls&gt;&lt;/urls&gt;&lt;/record&gt;&lt;/Cite&gt;&lt;/EndNote&gt;</w:instrText>
      </w:r>
      <w:r w:rsidRPr="0013795A">
        <w:rPr>
          <w:b/>
          <w:color w:val="171717" w:themeColor="background2" w:themeShade="1A"/>
          <w:sz w:val="20"/>
          <w:szCs w:val="20"/>
        </w:rPr>
        <w:fldChar w:fldCharType="separate"/>
      </w:r>
      <w:r w:rsidRPr="0013795A">
        <w:rPr>
          <w:b/>
          <w:color w:val="171717" w:themeColor="background2" w:themeShade="1A"/>
          <w:sz w:val="20"/>
          <w:szCs w:val="20"/>
        </w:rPr>
        <w:t>("State-by-State: Vaccinations Required for Public School Kindergarten," 2014)</w:t>
      </w:r>
      <w:r w:rsidRPr="0013795A">
        <w:rPr>
          <w:b/>
          <w:color w:val="171717" w:themeColor="background2" w:themeShade="1A"/>
          <w:sz w:val="20"/>
          <w:szCs w:val="20"/>
        </w:rPr>
        <w:fldChar w:fldCharType="end"/>
      </w:r>
    </w:p>
    <w:p w:rsidR="00E413FF" w:rsidRPr="0013795A" w:rsidRDefault="00895C3F" w:rsidP="00895C3F">
      <w:pPr>
        <w:pStyle w:val="Heading2"/>
        <w:rPr>
          <w:color w:val="171717" w:themeColor="background2" w:themeShade="1A"/>
        </w:rPr>
      </w:pPr>
      <w:bookmarkStart w:id="28" w:name="_Toc323241446"/>
      <w:r w:rsidRPr="0013795A">
        <w:rPr>
          <w:color w:val="171717" w:themeColor="background2" w:themeShade="1A"/>
        </w:rPr>
        <w:t>VACCINATION COVERAGE BY STATE</w:t>
      </w:r>
      <w:bookmarkEnd w:id="28"/>
    </w:p>
    <w:p w:rsidR="00100848" w:rsidRPr="0013795A" w:rsidRDefault="00895C3F" w:rsidP="00474FFE">
      <w:pPr>
        <w:rPr>
          <w:b/>
          <w:bCs/>
          <w:color w:val="171717" w:themeColor="background2" w:themeShade="1A"/>
        </w:rPr>
      </w:pPr>
      <w:r w:rsidRPr="0013795A">
        <w:rPr>
          <w:color w:val="171717" w:themeColor="background2" w:themeShade="1A"/>
        </w:rPr>
        <w:t xml:space="preserve">How big of an impact on </w:t>
      </w:r>
      <w:r w:rsidR="00621E55" w:rsidRPr="0013795A">
        <w:rPr>
          <w:color w:val="171717" w:themeColor="background2" w:themeShade="1A"/>
        </w:rPr>
        <w:t>vaccination coverage do the state requirements actually have?  The figures below published by the CDC show estimated vaccination coverage by state of adolescents aged 13-17 years in 2014.</w:t>
      </w:r>
      <w:r w:rsidR="009D35C6" w:rsidRPr="0013795A">
        <w:rPr>
          <w:color w:val="171717" w:themeColor="background2" w:themeShade="1A"/>
        </w:rPr>
        <w:t xml:space="preserve">  The first map shows vaccination coverage percentages of </w:t>
      </w:r>
      <w:r w:rsidR="00100848" w:rsidRPr="0013795A">
        <w:rPr>
          <w:color w:val="171717" w:themeColor="background2" w:themeShade="1A"/>
        </w:rPr>
        <w:t>≥1 d</w:t>
      </w:r>
      <w:r w:rsidR="009D35C6" w:rsidRPr="0013795A">
        <w:rPr>
          <w:color w:val="171717" w:themeColor="background2" w:themeShade="1A"/>
        </w:rPr>
        <w:t>oses of MenACWY.  Connecticut is the only of the four selected states to require this vaccine for entry to school and yet Pennsylvania has the equal estimated coverage to Connecticut at 95%.  California and Mississippi have estimated coverage’s of 79% and 46% respectively</w:t>
      </w:r>
      <w:r w:rsidR="00474FFE" w:rsidRPr="0013795A">
        <w:rPr>
          <w:color w:val="171717" w:themeColor="background2" w:themeShade="1A"/>
        </w:rPr>
        <w:t xml:space="preserve"> </w:t>
      </w:r>
      <w:r w:rsidR="00474FFE" w:rsidRPr="0013795A">
        <w:rPr>
          <w:bCs/>
          <w:color w:val="171717" w:themeColor="background2" w:themeShade="1A"/>
        </w:rPr>
        <w:fldChar w:fldCharType="begin"/>
      </w:r>
      <w:r w:rsidR="00474FFE" w:rsidRPr="0013795A">
        <w:rPr>
          <w:bCs/>
          <w:color w:val="171717" w:themeColor="background2" w:themeShade="1A"/>
        </w:rPr>
        <w:instrText xml:space="preserve"> ADDIN EN.CITE &lt;EndNote&gt;&lt;Cite&gt;&lt;Author&gt;Prevention&lt;/Author&gt;&lt;Year&gt;2014&lt;/Year&gt;&lt;RecNum&gt;39&lt;/RecNum&gt;&lt;DisplayText&gt;(Prevention, 2014)&lt;/DisplayText&gt;&lt;record&gt;&lt;rec-number&gt;39&lt;/rec-number&gt;&lt;foreign-keys&gt;&lt;key app="EN" db-id="s50wv0fdiwsvs9ewxr65pdzf5ssrp9xr5zar" timestamp="1460986619"&gt;39&lt;/key&gt;&lt;/foreign-keys&gt;&lt;ref-type name="Figure"&gt;37&lt;/ref-type&gt;&lt;contributors&gt;&lt;authors&gt;&lt;author&gt;Centers for Disease Control and Prevention&lt;/author&gt;&lt;/authors&gt;&lt;/contributors&gt;&lt;titles&gt;&lt;title&gt;Maps/Figures 2014 Estimated Coverage by State&lt;/title&gt;&lt;/titles&gt;&lt;dates&gt;&lt;year&gt;2014&lt;/year&gt;&lt;/dates&gt;&lt;urls&gt;&lt;related-urls&gt;&lt;url&gt;http://www.cdc.gov/vaccines/imz-managers/coverage/nis/teen/figures/2014-map.html&lt;/url&gt;&lt;/related-urls&gt;&lt;/urls&gt;&lt;access-date&gt;April 16&lt;/access-date&gt;&lt;/record&gt;&lt;/Cite&gt;&lt;/EndNote&gt;</w:instrText>
      </w:r>
      <w:r w:rsidR="00474FFE" w:rsidRPr="0013795A">
        <w:rPr>
          <w:bCs/>
          <w:color w:val="171717" w:themeColor="background2" w:themeShade="1A"/>
        </w:rPr>
        <w:fldChar w:fldCharType="separate"/>
      </w:r>
      <w:r w:rsidR="00474FFE" w:rsidRPr="0013795A">
        <w:rPr>
          <w:bCs/>
          <w:color w:val="171717" w:themeColor="background2" w:themeShade="1A"/>
        </w:rPr>
        <w:t>(Prevention, 2014)</w:t>
      </w:r>
      <w:r w:rsidR="00474FFE" w:rsidRPr="0013795A">
        <w:rPr>
          <w:color w:val="171717" w:themeColor="background2" w:themeShade="1A"/>
        </w:rPr>
        <w:fldChar w:fldCharType="end"/>
      </w:r>
      <w:r w:rsidR="009D35C6" w:rsidRPr="0013795A">
        <w:rPr>
          <w:color w:val="171717" w:themeColor="background2" w:themeShade="1A"/>
        </w:rPr>
        <w:t xml:space="preserve">. </w:t>
      </w:r>
    </w:p>
    <w:p w:rsidR="00100848" w:rsidRPr="0013795A" w:rsidRDefault="00100848" w:rsidP="00100848">
      <w:pPr>
        <w:rPr>
          <w:color w:val="171717" w:themeColor="background2" w:themeShade="1A"/>
        </w:rPr>
      </w:pPr>
    </w:p>
    <w:p w:rsidR="00621E55" w:rsidRPr="0013795A" w:rsidRDefault="00383F96" w:rsidP="000F3945">
      <w:pPr>
        <w:ind w:firstLine="0"/>
        <w:rPr>
          <w:color w:val="171717" w:themeColor="background2" w:themeShade="1A"/>
        </w:rPr>
      </w:pPr>
      <w:r w:rsidRPr="0013795A">
        <w:rPr>
          <w:noProof/>
          <w:color w:val="171717" w:themeColor="background2" w:themeShade="1A"/>
        </w:rPr>
        <w:lastRenderedPageBreak/>
        <w:drawing>
          <wp:inline distT="0" distB="0" distL="0" distR="0" wp14:anchorId="7C49EB26" wp14:editId="3ACEFEF3">
            <wp:extent cx="5694829" cy="44005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1-menacwy"/>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94829" cy="4400550"/>
                    </a:xfrm>
                    <a:prstGeom prst="rect">
                      <a:avLst/>
                    </a:prstGeom>
                    <a:noFill/>
                    <a:ln>
                      <a:noFill/>
                    </a:ln>
                  </pic:spPr>
                </pic:pic>
              </a:graphicData>
            </a:graphic>
          </wp:inline>
        </w:drawing>
      </w:r>
    </w:p>
    <w:p w:rsidR="00FC2C46" w:rsidRPr="0013795A" w:rsidRDefault="00FC2C46" w:rsidP="000F3945">
      <w:pPr>
        <w:spacing w:line="240" w:lineRule="auto"/>
        <w:ind w:firstLine="180"/>
        <w:jc w:val="left"/>
        <w:rPr>
          <w:b/>
          <w:bCs/>
          <w:color w:val="171717" w:themeColor="background2" w:themeShade="1A"/>
          <w:sz w:val="20"/>
          <w:szCs w:val="20"/>
        </w:rPr>
      </w:pPr>
      <w:r w:rsidRPr="0013795A">
        <w:rPr>
          <w:b/>
          <w:bCs/>
          <w:color w:val="171717" w:themeColor="background2" w:themeShade="1A"/>
          <w:sz w:val="20"/>
          <w:szCs w:val="20"/>
        </w:rPr>
        <w:t>(</w:t>
      </w:r>
      <w:r w:rsidRPr="0013795A">
        <w:rPr>
          <w:b/>
          <w:bCs/>
          <w:color w:val="171717" w:themeColor="background2" w:themeShade="1A"/>
          <w:sz w:val="20"/>
          <w:szCs w:val="20"/>
        </w:rPr>
        <w:fldChar w:fldCharType="begin"/>
      </w:r>
      <w:r w:rsidRPr="0013795A">
        <w:rPr>
          <w:b/>
          <w:bCs/>
          <w:color w:val="171717" w:themeColor="background2" w:themeShade="1A"/>
          <w:sz w:val="20"/>
          <w:szCs w:val="20"/>
        </w:rPr>
        <w:instrText xml:space="preserve"> ADDIN EN.CITE &lt;EndNote&gt;&lt;Cite&gt;&lt;Author&gt;Prevention&lt;/Author&gt;&lt;Year&gt;2014&lt;/Year&gt;&lt;RecNum&gt;39&lt;/RecNum&gt;&lt;DisplayText&gt;(Prevention, 2014)&lt;/DisplayText&gt;&lt;record&gt;&lt;rec-number&gt;39&lt;/rec-number&gt;&lt;foreign-keys&gt;&lt;key app="EN" db-id="s50wv0fdiwsvs9ewxr65pdzf5ssrp9xr5zar" timestamp="1460986619"&gt;39&lt;/key&gt;&lt;/foreign-keys&gt;&lt;ref-type name="Figure"&gt;37&lt;/ref-type&gt;&lt;contributors&gt;&lt;authors&gt;&lt;author&gt;Centers for Disease Control and Prevention&lt;/author&gt;&lt;/authors&gt;&lt;/contributors&gt;&lt;titles&gt;&lt;title&gt;Maps/Figures 2014 Estimated Coverage by State&lt;/title&gt;&lt;/titles&gt;&lt;dates&gt;&lt;year&gt;2014&lt;/year&gt;&lt;/dates&gt;&lt;urls&gt;&lt;related-urls&gt;&lt;url&gt;http://www.cdc.gov/vaccines/imz-managers/coverage/nis/teen/figures/2014-map.html&lt;/url&gt;&lt;/related-urls&gt;&lt;/urls&gt;&lt;access-date&gt;April 16&lt;/access-date&gt;&lt;/record&gt;&lt;/Cite&gt;&lt;/EndNote&gt;</w:instrText>
      </w:r>
      <w:r w:rsidRPr="0013795A">
        <w:rPr>
          <w:b/>
          <w:bCs/>
          <w:color w:val="171717" w:themeColor="background2" w:themeShade="1A"/>
          <w:sz w:val="20"/>
          <w:szCs w:val="20"/>
        </w:rPr>
        <w:fldChar w:fldCharType="separate"/>
      </w:r>
      <w:r w:rsidRPr="0013795A">
        <w:rPr>
          <w:b/>
          <w:bCs/>
          <w:color w:val="171717" w:themeColor="background2" w:themeShade="1A"/>
          <w:sz w:val="20"/>
          <w:szCs w:val="20"/>
        </w:rPr>
        <w:t>Prevention, 2014)</w:t>
      </w:r>
      <w:r w:rsidRPr="0013795A">
        <w:rPr>
          <w:b/>
          <w:color w:val="171717" w:themeColor="background2" w:themeShade="1A"/>
          <w:sz w:val="20"/>
          <w:szCs w:val="20"/>
        </w:rPr>
        <w:fldChar w:fldCharType="end"/>
      </w:r>
    </w:p>
    <w:p w:rsidR="00FC2C46" w:rsidRPr="0013795A" w:rsidRDefault="00FC2C46" w:rsidP="000F3945">
      <w:pPr>
        <w:pStyle w:val="Caption"/>
        <w:spacing w:line="240" w:lineRule="auto"/>
        <w:ind w:firstLine="180"/>
        <w:rPr>
          <w:color w:val="171717" w:themeColor="background2" w:themeShade="1A"/>
        </w:rPr>
      </w:pPr>
      <w:bookmarkStart w:id="29" w:name="_Toc323241460"/>
      <w:r w:rsidRPr="0013795A">
        <w:rPr>
          <w:color w:val="171717" w:themeColor="background2" w:themeShade="1A"/>
        </w:rPr>
        <w:t xml:space="preserve">Figure </w:t>
      </w:r>
      <w:r w:rsidRPr="0013795A">
        <w:rPr>
          <w:color w:val="171717" w:themeColor="background2" w:themeShade="1A"/>
        </w:rPr>
        <w:fldChar w:fldCharType="begin"/>
      </w:r>
      <w:r w:rsidRPr="0013795A">
        <w:rPr>
          <w:color w:val="171717" w:themeColor="background2" w:themeShade="1A"/>
        </w:rPr>
        <w:instrText xml:space="preserve"> SEQ Figure \* ARABIC </w:instrText>
      </w:r>
      <w:r w:rsidRPr="0013795A">
        <w:rPr>
          <w:color w:val="171717" w:themeColor="background2" w:themeShade="1A"/>
        </w:rPr>
        <w:fldChar w:fldCharType="separate"/>
      </w:r>
      <w:r w:rsidRPr="0013795A">
        <w:rPr>
          <w:noProof/>
          <w:color w:val="171717" w:themeColor="background2" w:themeShade="1A"/>
        </w:rPr>
        <w:t>4</w:t>
      </w:r>
      <w:r w:rsidRPr="0013795A">
        <w:rPr>
          <w:color w:val="171717" w:themeColor="background2" w:themeShade="1A"/>
        </w:rPr>
        <w:fldChar w:fldCharType="end"/>
      </w:r>
      <w:r w:rsidRPr="0013795A">
        <w:rPr>
          <w:color w:val="171717" w:themeColor="background2" w:themeShade="1A"/>
        </w:rPr>
        <w:t>. Estimated Vaccination Coverage of MenACWY</w:t>
      </w:r>
      <w:bookmarkEnd w:id="29"/>
    </w:p>
    <w:p w:rsidR="00FC2C46" w:rsidRPr="0013795A" w:rsidRDefault="00FC2C46" w:rsidP="00FC2C46">
      <w:pPr>
        <w:rPr>
          <w:color w:val="171717" w:themeColor="background2" w:themeShade="1A"/>
        </w:rPr>
      </w:pPr>
    </w:p>
    <w:p w:rsidR="00FC2C46" w:rsidRPr="0013795A" w:rsidRDefault="00FC2C46" w:rsidP="00FC2C46">
      <w:pPr>
        <w:rPr>
          <w:color w:val="171717" w:themeColor="background2" w:themeShade="1A"/>
        </w:rPr>
      </w:pPr>
      <w:r w:rsidRPr="0013795A">
        <w:rPr>
          <w:color w:val="171717" w:themeColor="background2" w:themeShade="1A"/>
        </w:rPr>
        <w:t xml:space="preserve">The second map illustrates the estimated vaccination coverage of ≥ 2 Doses of Varicella vaccine.  Although Pennsylvania is the only one of the four selected states to not require this vaccine it once again has a high estimated coverage at 94%, falling behind Connecticut at 95%.  California and Mississippi had estimated coverage’s 82% and 57% respectively </w:t>
      </w:r>
      <w:r w:rsidRPr="0013795A">
        <w:rPr>
          <w:bCs/>
          <w:color w:val="171717" w:themeColor="background2" w:themeShade="1A"/>
        </w:rPr>
        <w:fldChar w:fldCharType="begin"/>
      </w:r>
      <w:r w:rsidRPr="0013795A">
        <w:rPr>
          <w:bCs/>
          <w:color w:val="171717" w:themeColor="background2" w:themeShade="1A"/>
        </w:rPr>
        <w:instrText xml:space="preserve"> ADDIN EN.CITE &lt;EndNote&gt;&lt;Cite&gt;&lt;Author&gt;Prevention&lt;/Author&gt;&lt;Year&gt;2014&lt;/Year&gt;&lt;RecNum&gt;39&lt;/RecNum&gt;&lt;DisplayText&gt;(Prevention, 2014)&lt;/DisplayText&gt;&lt;record&gt;&lt;rec-number&gt;39&lt;/rec-number&gt;&lt;foreign-keys&gt;&lt;key app="EN" db-id="s50wv0fdiwsvs9ewxr65pdzf5ssrp9xr5zar" timestamp="1460986619"&gt;39&lt;/key&gt;&lt;/foreign-keys&gt;&lt;ref-type name="Figure"&gt;37&lt;/ref-type&gt;&lt;contributors&gt;&lt;authors&gt;&lt;author&gt;Centers for Disease Control and Prevention&lt;/author&gt;&lt;/authors&gt;&lt;/contributors&gt;&lt;titles&gt;&lt;title&gt;Maps/Figures 2014 Estimated Coverage by State&lt;/title&gt;&lt;/titles&gt;&lt;dates&gt;&lt;year&gt;2014&lt;/year&gt;&lt;/dates&gt;&lt;urls&gt;&lt;related-urls&gt;&lt;url&gt;http://www.cdc.gov/vaccines/imz-managers/coverage/nis/teen/figures/2014-map.html&lt;/url&gt;&lt;/related-urls&gt;&lt;/urls&gt;&lt;access-date&gt;April 16&lt;/access-date&gt;&lt;/record&gt;&lt;/Cite&gt;&lt;/EndNote&gt;</w:instrText>
      </w:r>
      <w:r w:rsidRPr="0013795A">
        <w:rPr>
          <w:bCs/>
          <w:color w:val="171717" w:themeColor="background2" w:themeShade="1A"/>
        </w:rPr>
        <w:fldChar w:fldCharType="separate"/>
      </w:r>
      <w:r w:rsidRPr="0013795A">
        <w:rPr>
          <w:bCs/>
          <w:color w:val="171717" w:themeColor="background2" w:themeShade="1A"/>
        </w:rPr>
        <w:t>(Prevention, 2014)</w:t>
      </w:r>
      <w:r w:rsidRPr="0013795A">
        <w:rPr>
          <w:color w:val="171717" w:themeColor="background2" w:themeShade="1A"/>
        </w:rPr>
        <w:fldChar w:fldCharType="end"/>
      </w:r>
      <w:r w:rsidRPr="0013795A">
        <w:rPr>
          <w:color w:val="171717" w:themeColor="background2" w:themeShade="1A"/>
        </w:rPr>
        <w:t xml:space="preserve">.  </w:t>
      </w:r>
    </w:p>
    <w:p w:rsidR="00100848" w:rsidRPr="0013795A" w:rsidRDefault="00383F96" w:rsidP="000F3945">
      <w:pPr>
        <w:ind w:firstLine="0"/>
        <w:rPr>
          <w:color w:val="171717" w:themeColor="background2" w:themeShade="1A"/>
        </w:rPr>
      </w:pPr>
      <w:r w:rsidRPr="0013795A">
        <w:rPr>
          <w:noProof/>
          <w:color w:val="171717" w:themeColor="background2" w:themeShade="1A"/>
        </w:rPr>
        <w:lastRenderedPageBreak/>
        <w:drawing>
          <wp:inline distT="0" distB="0" distL="0" distR="0" wp14:anchorId="32178AB8" wp14:editId="4C317189">
            <wp:extent cx="5829300" cy="45044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2-va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29300" cy="4504459"/>
                    </a:xfrm>
                    <a:prstGeom prst="rect">
                      <a:avLst/>
                    </a:prstGeom>
                    <a:noFill/>
                    <a:ln>
                      <a:noFill/>
                    </a:ln>
                  </pic:spPr>
                </pic:pic>
              </a:graphicData>
            </a:graphic>
          </wp:inline>
        </w:drawing>
      </w:r>
    </w:p>
    <w:p w:rsidR="00FC2C46" w:rsidRPr="0013795A" w:rsidRDefault="00FC2C46" w:rsidP="000F3945">
      <w:pPr>
        <w:spacing w:line="240" w:lineRule="auto"/>
        <w:ind w:firstLine="180"/>
        <w:jc w:val="left"/>
        <w:rPr>
          <w:b/>
          <w:bCs/>
          <w:color w:val="171717" w:themeColor="background2" w:themeShade="1A"/>
          <w:sz w:val="20"/>
          <w:szCs w:val="20"/>
        </w:rPr>
      </w:pPr>
      <w:r w:rsidRPr="0013795A">
        <w:rPr>
          <w:b/>
          <w:bCs/>
          <w:color w:val="171717" w:themeColor="background2" w:themeShade="1A"/>
          <w:sz w:val="20"/>
          <w:szCs w:val="20"/>
        </w:rPr>
        <w:t>(</w:t>
      </w:r>
      <w:r w:rsidRPr="0013795A">
        <w:rPr>
          <w:b/>
          <w:bCs/>
          <w:color w:val="171717" w:themeColor="background2" w:themeShade="1A"/>
          <w:sz w:val="20"/>
          <w:szCs w:val="20"/>
        </w:rPr>
        <w:fldChar w:fldCharType="begin"/>
      </w:r>
      <w:r w:rsidRPr="0013795A">
        <w:rPr>
          <w:b/>
          <w:bCs/>
          <w:color w:val="171717" w:themeColor="background2" w:themeShade="1A"/>
          <w:sz w:val="20"/>
          <w:szCs w:val="20"/>
        </w:rPr>
        <w:instrText xml:space="preserve"> ADDIN EN.CITE &lt;EndNote&gt;&lt;Cite&gt;&lt;Author&gt;Prevention&lt;/Author&gt;&lt;Year&gt;2014&lt;/Year&gt;&lt;RecNum&gt;39&lt;/RecNum&gt;&lt;DisplayText&gt;(Prevention, 2014)&lt;/DisplayText&gt;&lt;record&gt;&lt;rec-number&gt;39&lt;/rec-number&gt;&lt;foreign-keys&gt;&lt;key app="EN" db-id="s50wv0fdiwsvs9ewxr65pdzf5ssrp9xr5zar" timestamp="1460986619"&gt;39&lt;/key&gt;&lt;/foreign-keys&gt;&lt;ref-type name="Figure"&gt;37&lt;/ref-type&gt;&lt;contributors&gt;&lt;authors&gt;&lt;author&gt;Centers for Disease Control and Prevention&lt;/author&gt;&lt;/authors&gt;&lt;/contributors&gt;&lt;titles&gt;&lt;title&gt;Maps/Figures 2014 Estimated Coverage by State&lt;/title&gt;&lt;/titles&gt;&lt;dates&gt;&lt;year&gt;2014&lt;/year&gt;&lt;/dates&gt;&lt;urls&gt;&lt;related-urls&gt;&lt;url&gt;http://www.cdc.gov/vaccines/imz-managers/coverage/nis/teen/figures/2014-map.html&lt;/url&gt;&lt;/related-urls&gt;&lt;/urls&gt;&lt;access-date&gt;April 16&lt;/access-date&gt;&lt;/record&gt;&lt;/Cite&gt;&lt;/EndNote&gt;</w:instrText>
      </w:r>
      <w:r w:rsidRPr="0013795A">
        <w:rPr>
          <w:b/>
          <w:bCs/>
          <w:color w:val="171717" w:themeColor="background2" w:themeShade="1A"/>
          <w:sz w:val="20"/>
          <w:szCs w:val="20"/>
        </w:rPr>
        <w:fldChar w:fldCharType="separate"/>
      </w:r>
      <w:r w:rsidRPr="0013795A">
        <w:rPr>
          <w:b/>
          <w:bCs/>
          <w:color w:val="171717" w:themeColor="background2" w:themeShade="1A"/>
          <w:sz w:val="20"/>
          <w:szCs w:val="20"/>
        </w:rPr>
        <w:t>Prevention, 2014)</w:t>
      </w:r>
      <w:r w:rsidRPr="0013795A">
        <w:rPr>
          <w:b/>
          <w:color w:val="171717" w:themeColor="background2" w:themeShade="1A"/>
          <w:sz w:val="20"/>
          <w:szCs w:val="20"/>
        </w:rPr>
        <w:fldChar w:fldCharType="end"/>
      </w:r>
    </w:p>
    <w:p w:rsidR="00FC2C46" w:rsidRPr="0013795A" w:rsidRDefault="00FC2C46" w:rsidP="00E206BA">
      <w:pPr>
        <w:pStyle w:val="Caption"/>
        <w:spacing w:line="240" w:lineRule="auto"/>
        <w:ind w:firstLine="180"/>
        <w:rPr>
          <w:color w:val="171717" w:themeColor="background2" w:themeShade="1A"/>
        </w:rPr>
      </w:pPr>
      <w:bookmarkStart w:id="30" w:name="_Toc323241461"/>
      <w:r w:rsidRPr="0013795A">
        <w:rPr>
          <w:color w:val="171717" w:themeColor="background2" w:themeShade="1A"/>
        </w:rPr>
        <w:t xml:space="preserve">Figure </w:t>
      </w:r>
      <w:r w:rsidRPr="0013795A">
        <w:rPr>
          <w:color w:val="171717" w:themeColor="background2" w:themeShade="1A"/>
        </w:rPr>
        <w:fldChar w:fldCharType="begin"/>
      </w:r>
      <w:r w:rsidRPr="0013795A">
        <w:rPr>
          <w:color w:val="171717" w:themeColor="background2" w:themeShade="1A"/>
        </w:rPr>
        <w:instrText xml:space="preserve"> SEQ Figure \* ARABIC </w:instrText>
      </w:r>
      <w:r w:rsidRPr="0013795A">
        <w:rPr>
          <w:color w:val="171717" w:themeColor="background2" w:themeShade="1A"/>
        </w:rPr>
        <w:fldChar w:fldCharType="separate"/>
      </w:r>
      <w:r w:rsidRPr="0013795A">
        <w:rPr>
          <w:noProof/>
          <w:color w:val="171717" w:themeColor="background2" w:themeShade="1A"/>
        </w:rPr>
        <w:t>5</w:t>
      </w:r>
      <w:r w:rsidRPr="0013795A">
        <w:rPr>
          <w:color w:val="171717" w:themeColor="background2" w:themeShade="1A"/>
        </w:rPr>
        <w:fldChar w:fldCharType="end"/>
      </w:r>
      <w:r w:rsidRPr="0013795A">
        <w:rPr>
          <w:color w:val="171717" w:themeColor="background2" w:themeShade="1A"/>
        </w:rPr>
        <w:t>. Estimated Vaccination Coverage of Varicella Vaccine</w:t>
      </w:r>
      <w:bookmarkEnd w:id="30"/>
    </w:p>
    <w:p w:rsidR="00FC2C46" w:rsidRPr="0013795A" w:rsidRDefault="00FC2C46" w:rsidP="00FC2C46">
      <w:pPr>
        <w:rPr>
          <w:color w:val="171717" w:themeColor="background2" w:themeShade="1A"/>
        </w:rPr>
      </w:pPr>
    </w:p>
    <w:p w:rsidR="00FC2C46" w:rsidRPr="0013795A" w:rsidRDefault="00746FD3" w:rsidP="00FC2C46">
      <w:pPr>
        <w:rPr>
          <w:color w:val="171717" w:themeColor="background2" w:themeShade="1A"/>
        </w:rPr>
      </w:pPr>
      <w:r w:rsidRPr="0013795A">
        <w:rPr>
          <w:color w:val="171717" w:themeColor="background2" w:themeShade="1A"/>
        </w:rPr>
        <w:t xml:space="preserve">The final two maps </w:t>
      </w:r>
      <w:r w:rsidR="00FC2C46" w:rsidRPr="0013795A">
        <w:rPr>
          <w:color w:val="171717" w:themeColor="background2" w:themeShade="1A"/>
        </w:rPr>
        <w:t xml:space="preserve">show estimated vaccination coverage percentages for ≥ 2 doses of MMR vaccine and ≥ 1 doses of </w:t>
      </w:r>
      <w:proofErr w:type="spellStart"/>
      <w:r w:rsidR="00FC2C46" w:rsidRPr="0013795A">
        <w:rPr>
          <w:color w:val="171717" w:themeColor="background2" w:themeShade="1A"/>
        </w:rPr>
        <w:t>Tdap</w:t>
      </w:r>
      <w:proofErr w:type="spellEnd"/>
      <w:r w:rsidR="00FC2C46" w:rsidRPr="0013795A">
        <w:rPr>
          <w:color w:val="171717" w:themeColor="background2" w:themeShade="1A"/>
        </w:rPr>
        <w:t xml:space="preserve"> vaccine.  Both of these vaccines are required for school entry in all four of the selected states.  MMR vaccine had the highest estimated coverage in Connecticut at 98%, Mississippi and Pennsylvania 93%, and California 91%.  </w:t>
      </w:r>
      <w:proofErr w:type="spellStart"/>
      <w:r w:rsidR="00FC2C46" w:rsidRPr="0013795A">
        <w:rPr>
          <w:color w:val="171717" w:themeColor="background2" w:themeShade="1A"/>
        </w:rPr>
        <w:t>Tdap</w:t>
      </w:r>
      <w:proofErr w:type="spellEnd"/>
      <w:r w:rsidR="00FC2C46" w:rsidRPr="0013795A">
        <w:rPr>
          <w:color w:val="171717" w:themeColor="background2" w:themeShade="1A"/>
        </w:rPr>
        <w:t xml:space="preserve"> vaccine had an estimated coverage of 95% in Connecticut, 93% in Pennsylvania, 88% in California, and 71% in Mississippi </w:t>
      </w:r>
      <w:r w:rsidR="00FC2C46" w:rsidRPr="0013795A">
        <w:rPr>
          <w:bCs/>
          <w:color w:val="171717" w:themeColor="background2" w:themeShade="1A"/>
        </w:rPr>
        <w:fldChar w:fldCharType="begin"/>
      </w:r>
      <w:r w:rsidR="00FC2C46" w:rsidRPr="0013795A">
        <w:rPr>
          <w:bCs/>
          <w:color w:val="171717" w:themeColor="background2" w:themeShade="1A"/>
        </w:rPr>
        <w:instrText xml:space="preserve"> ADDIN EN.CITE &lt;EndNote&gt;&lt;Cite&gt;&lt;Author&gt;Prevention&lt;/Author&gt;&lt;Year&gt;2014&lt;/Year&gt;&lt;RecNum&gt;39&lt;/RecNum&gt;&lt;DisplayText&gt;(Prevention, 2014)&lt;/DisplayText&gt;&lt;record&gt;&lt;rec-number&gt;39&lt;/rec-number&gt;&lt;foreign-keys&gt;&lt;key app="EN" db-id="s50wv0fdiwsvs9ewxr65pdzf5ssrp9xr5zar" timestamp="1460986619"&gt;39&lt;/key&gt;&lt;/foreign-keys&gt;&lt;ref-type name="Figure"&gt;37&lt;/ref-type&gt;&lt;contributors&gt;&lt;authors&gt;&lt;author&gt;Centers for Disease Control and Prevention&lt;/author&gt;&lt;/authors&gt;&lt;/contributors&gt;&lt;titles&gt;&lt;title&gt;Maps/Figures 2014 Estimated Coverage by State&lt;/title&gt;&lt;/titles&gt;&lt;dates&gt;&lt;year&gt;2014&lt;/year&gt;&lt;/dates&gt;&lt;urls&gt;&lt;related-urls&gt;&lt;url&gt;http://www.cdc.gov/vaccines/imz-managers/coverage/nis/teen/figures/2014-map.html&lt;/url&gt;&lt;/related-urls&gt;&lt;/urls&gt;&lt;access-date&gt;April 16&lt;/access-date&gt;&lt;/record&gt;&lt;/Cite&gt;&lt;/EndNote&gt;</w:instrText>
      </w:r>
      <w:r w:rsidR="00FC2C46" w:rsidRPr="0013795A">
        <w:rPr>
          <w:bCs/>
          <w:color w:val="171717" w:themeColor="background2" w:themeShade="1A"/>
        </w:rPr>
        <w:fldChar w:fldCharType="separate"/>
      </w:r>
      <w:r w:rsidR="00FC2C46" w:rsidRPr="0013795A">
        <w:rPr>
          <w:bCs/>
          <w:color w:val="171717" w:themeColor="background2" w:themeShade="1A"/>
        </w:rPr>
        <w:t>(Prevention, 2014)</w:t>
      </w:r>
      <w:r w:rsidR="00FC2C46" w:rsidRPr="0013795A">
        <w:rPr>
          <w:color w:val="171717" w:themeColor="background2" w:themeShade="1A"/>
        </w:rPr>
        <w:fldChar w:fldCharType="end"/>
      </w:r>
      <w:r w:rsidR="00FC2C46" w:rsidRPr="0013795A">
        <w:rPr>
          <w:color w:val="171717" w:themeColor="background2" w:themeShade="1A"/>
        </w:rPr>
        <w:t>.</w:t>
      </w:r>
    </w:p>
    <w:p w:rsidR="00746FD3" w:rsidRPr="0013795A" w:rsidRDefault="00383F96" w:rsidP="000F3945">
      <w:pPr>
        <w:spacing w:line="240" w:lineRule="auto"/>
        <w:ind w:firstLine="90"/>
        <w:rPr>
          <w:color w:val="171717" w:themeColor="background2" w:themeShade="1A"/>
        </w:rPr>
      </w:pPr>
      <w:r w:rsidRPr="0013795A">
        <w:rPr>
          <w:noProof/>
          <w:color w:val="171717" w:themeColor="background2" w:themeShade="1A"/>
        </w:rPr>
        <w:lastRenderedPageBreak/>
        <w:drawing>
          <wp:inline distT="0" distB="0" distL="0" distR="0" wp14:anchorId="1FDD738E" wp14:editId="0DA6DFD0">
            <wp:extent cx="5756461" cy="4448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2-mm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56461" cy="4448175"/>
                    </a:xfrm>
                    <a:prstGeom prst="rect">
                      <a:avLst/>
                    </a:prstGeom>
                    <a:noFill/>
                    <a:ln>
                      <a:noFill/>
                    </a:ln>
                  </pic:spPr>
                </pic:pic>
              </a:graphicData>
            </a:graphic>
          </wp:inline>
        </w:drawing>
      </w:r>
    </w:p>
    <w:p w:rsidR="00FC2C46" w:rsidRPr="0013795A" w:rsidRDefault="00FC2C46" w:rsidP="000F3945">
      <w:pPr>
        <w:spacing w:line="240" w:lineRule="auto"/>
        <w:ind w:firstLine="270"/>
        <w:rPr>
          <w:color w:val="171717" w:themeColor="background2" w:themeShade="1A"/>
        </w:rPr>
      </w:pPr>
      <w:r w:rsidRPr="0013795A">
        <w:rPr>
          <w:b/>
          <w:bCs/>
          <w:color w:val="171717" w:themeColor="background2" w:themeShade="1A"/>
          <w:sz w:val="20"/>
          <w:szCs w:val="20"/>
        </w:rPr>
        <w:t>(</w:t>
      </w:r>
      <w:r w:rsidRPr="0013795A">
        <w:rPr>
          <w:b/>
          <w:bCs/>
          <w:color w:val="171717" w:themeColor="background2" w:themeShade="1A"/>
          <w:sz w:val="20"/>
          <w:szCs w:val="20"/>
        </w:rPr>
        <w:fldChar w:fldCharType="begin"/>
      </w:r>
      <w:r w:rsidRPr="0013795A">
        <w:rPr>
          <w:b/>
          <w:bCs/>
          <w:color w:val="171717" w:themeColor="background2" w:themeShade="1A"/>
          <w:sz w:val="20"/>
          <w:szCs w:val="20"/>
        </w:rPr>
        <w:instrText xml:space="preserve"> ADDIN EN.CITE &lt;EndNote&gt;&lt;Cite&gt;&lt;Author&gt;Prevention&lt;/Author&gt;&lt;Year&gt;2014&lt;/Year&gt;&lt;RecNum&gt;39&lt;/RecNum&gt;&lt;DisplayText&gt;(Prevention, 2014)&lt;/DisplayText&gt;&lt;record&gt;&lt;rec-number&gt;39&lt;/rec-number&gt;&lt;foreign-keys&gt;&lt;key app="EN" db-id="s50wv0fdiwsvs9ewxr65pdzf5ssrp9xr5zar" timestamp="1460986619"&gt;39&lt;/key&gt;&lt;/foreign-keys&gt;&lt;ref-type name="Figure"&gt;37&lt;/ref-type&gt;&lt;contributors&gt;&lt;authors&gt;&lt;author&gt;Centers for Disease Control and Prevention&lt;/author&gt;&lt;/authors&gt;&lt;/contributors&gt;&lt;titles&gt;&lt;title&gt;Maps/Figures 2014 Estimated Coverage by State&lt;/title&gt;&lt;/titles&gt;&lt;dates&gt;&lt;year&gt;2014&lt;/year&gt;&lt;/dates&gt;&lt;urls&gt;&lt;related-urls&gt;&lt;url&gt;http://www.cdc.gov/vaccines/imz-managers/coverage/nis/teen/figures/2014-map.html&lt;/url&gt;&lt;/related-urls&gt;&lt;/urls&gt;&lt;access-date&gt;April 16&lt;/access-date&gt;&lt;/record&gt;&lt;/Cite&gt;&lt;/EndNote&gt;</w:instrText>
      </w:r>
      <w:r w:rsidRPr="0013795A">
        <w:rPr>
          <w:b/>
          <w:bCs/>
          <w:color w:val="171717" w:themeColor="background2" w:themeShade="1A"/>
          <w:sz w:val="20"/>
          <w:szCs w:val="20"/>
        </w:rPr>
        <w:fldChar w:fldCharType="separate"/>
      </w:r>
      <w:r w:rsidRPr="0013795A">
        <w:rPr>
          <w:b/>
          <w:bCs/>
          <w:color w:val="171717" w:themeColor="background2" w:themeShade="1A"/>
          <w:sz w:val="20"/>
          <w:szCs w:val="20"/>
        </w:rPr>
        <w:t>Prevention, 2014)</w:t>
      </w:r>
      <w:r w:rsidRPr="0013795A">
        <w:rPr>
          <w:b/>
          <w:color w:val="171717" w:themeColor="background2" w:themeShade="1A"/>
          <w:sz w:val="20"/>
          <w:szCs w:val="20"/>
        </w:rPr>
        <w:fldChar w:fldCharType="end"/>
      </w:r>
    </w:p>
    <w:p w:rsidR="00FC2C46" w:rsidRPr="0013795A" w:rsidRDefault="00FC2C46" w:rsidP="000F3945">
      <w:pPr>
        <w:pStyle w:val="Caption"/>
        <w:spacing w:line="240" w:lineRule="auto"/>
        <w:ind w:firstLine="270"/>
        <w:rPr>
          <w:color w:val="171717" w:themeColor="background2" w:themeShade="1A"/>
        </w:rPr>
      </w:pPr>
      <w:bookmarkStart w:id="31" w:name="_Toc323241462"/>
      <w:r w:rsidRPr="0013795A">
        <w:rPr>
          <w:color w:val="171717" w:themeColor="background2" w:themeShade="1A"/>
        </w:rPr>
        <w:t xml:space="preserve">Figure </w:t>
      </w:r>
      <w:r w:rsidRPr="0013795A">
        <w:rPr>
          <w:color w:val="171717" w:themeColor="background2" w:themeShade="1A"/>
        </w:rPr>
        <w:fldChar w:fldCharType="begin"/>
      </w:r>
      <w:r w:rsidRPr="0013795A">
        <w:rPr>
          <w:color w:val="171717" w:themeColor="background2" w:themeShade="1A"/>
        </w:rPr>
        <w:instrText xml:space="preserve"> SEQ Figure \* ARABIC </w:instrText>
      </w:r>
      <w:r w:rsidRPr="0013795A">
        <w:rPr>
          <w:color w:val="171717" w:themeColor="background2" w:themeShade="1A"/>
        </w:rPr>
        <w:fldChar w:fldCharType="separate"/>
      </w:r>
      <w:r w:rsidRPr="0013795A">
        <w:rPr>
          <w:noProof/>
          <w:color w:val="171717" w:themeColor="background2" w:themeShade="1A"/>
        </w:rPr>
        <w:t>6</w:t>
      </w:r>
      <w:r w:rsidRPr="0013795A">
        <w:rPr>
          <w:color w:val="171717" w:themeColor="background2" w:themeShade="1A"/>
        </w:rPr>
        <w:fldChar w:fldCharType="end"/>
      </w:r>
      <w:r w:rsidRPr="0013795A">
        <w:rPr>
          <w:color w:val="171717" w:themeColor="background2" w:themeShade="1A"/>
        </w:rPr>
        <w:t>. Estimated Vaccination Coverage of MMR Vaccine</w:t>
      </w:r>
      <w:bookmarkEnd w:id="31"/>
    </w:p>
    <w:p w:rsidR="00746FD3" w:rsidRPr="0013795A" w:rsidRDefault="00383F96" w:rsidP="000F3945">
      <w:pPr>
        <w:ind w:firstLine="0"/>
        <w:rPr>
          <w:color w:val="171717" w:themeColor="background2" w:themeShade="1A"/>
        </w:rPr>
      </w:pPr>
      <w:r w:rsidRPr="0013795A">
        <w:rPr>
          <w:noProof/>
          <w:color w:val="171717" w:themeColor="background2" w:themeShade="1A"/>
        </w:rPr>
        <w:lastRenderedPageBreak/>
        <w:drawing>
          <wp:inline distT="0" distB="0" distL="0" distR="0" wp14:anchorId="55E4DE24" wp14:editId="482AF208">
            <wp:extent cx="5818094" cy="449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1-tdap-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18094" cy="4495800"/>
                    </a:xfrm>
                    <a:prstGeom prst="rect">
                      <a:avLst/>
                    </a:prstGeom>
                    <a:noFill/>
                    <a:ln>
                      <a:noFill/>
                    </a:ln>
                  </pic:spPr>
                </pic:pic>
              </a:graphicData>
            </a:graphic>
          </wp:inline>
        </w:drawing>
      </w:r>
    </w:p>
    <w:p w:rsidR="00596B17" w:rsidRPr="0013795A" w:rsidRDefault="00596B17" w:rsidP="000F3945">
      <w:pPr>
        <w:spacing w:line="240" w:lineRule="auto"/>
        <w:ind w:firstLine="180"/>
        <w:rPr>
          <w:color w:val="171717" w:themeColor="background2" w:themeShade="1A"/>
        </w:rPr>
      </w:pPr>
      <w:r w:rsidRPr="0013795A">
        <w:rPr>
          <w:b/>
          <w:bCs/>
          <w:color w:val="171717" w:themeColor="background2" w:themeShade="1A"/>
          <w:sz w:val="20"/>
          <w:szCs w:val="20"/>
        </w:rPr>
        <w:t>(</w:t>
      </w:r>
      <w:r w:rsidRPr="0013795A">
        <w:rPr>
          <w:b/>
          <w:bCs/>
          <w:color w:val="171717" w:themeColor="background2" w:themeShade="1A"/>
          <w:sz w:val="20"/>
          <w:szCs w:val="20"/>
        </w:rPr>
        <w:fldChar w:fldCharType="begin"/>
      </w:r>
      <w:r w:rsidRPr="0013795A">
        <w:rPr>
          <w:b/>
          <w:bCs/>
          <w:color w:val="171717" w:themeColor="background2" w:themeShade="1A"/>
          <w:sz w:val="20"/>
          <w:szCs w:val="20"/>
        </w:rPr>
        <w:instrText xml:space="preserve"> ADDIN EN.CITE &lt;EndNote&gt;&lt;Cite&gt;&lt;Author&gt;Prevention&lt;/Author&gt;&lt;Year&gt;2014&lt;/Year&gt;&lt;RecNum&gt;39&lt;/RecNum&gt;&lt;DisplayText&gt;(Prevention, 2014)&lt;/DisplayText&gt;&lt;record&gt;&lt;rec-number&gt;39&lt;/rec-number&gt;&lt;foreign-keys&gt;&lt;key app="EN" db-id="s50wv0fdiwsvs9ewxr65pdzf5ssrp9xr5zar" timestamp="1460986619"&gt;39&lt;/key&gt;&lt;/foreign-keys&gt;&lt;ref-type name="Figure"&gt;37&lt;/ref-type&gt;&lt;contributors&gt;&lt;authors&gt;&lt;author&gt;Centers for Disease Control and Prevention&lt;/author&gt;&lt;/authors&gt;&lt;/contributors&gt;&lt;titles&gt;&lt;title&gt;Maps/Figures 2014 Estimated Coverage by State&lt;/title&gt;&lt;/titles&gt;&lt;dates&gt;&lt;year&gt;2014&lt;/year&gt;&lt;/dates&gt;&lt;urls&gt;&lt;related-urls&gt;&lt;url&gt;http://www.cdc.gov/vaccines/imz-managers/coverage/nis/teen/figures/2014-map.html&lt;/url&gt;&lt;/related-urls&gt;&lt;/urls&gt;&lt;access-date&gt;April 16&lt;/access-date&gt;&lt;/record&gt;&lt;/Cite&gt;&lt;/EndNote&gt;</w:instrText>
      </w:r>
      <w:r w:rsidRPr="0013795A">
        <w:rPr>
          <w:b/>
          <w:bCs/>
          <w:color w:val="171717" w:themeColor="background2" w:themeShade="1A"/>
          <w:sz w:val="20"/>
          <w:szCs w:val="20"/>
        </w:rPr>
        <w:fldChar w:fldCharType="separate"/>
      </w:r>
      <w:r w:rsidRPr="0013795A">
        <w:rPr>
          <w:b/>
          <w:bCs/>
          <w:color w:val="171717" w:themeColor="background2" w:themeShade="1A"/>
          <w:sz w:val="20"/>
          <w:szCs w:val="20"/>
        </w:rPr>
        <w:t>Prevention, 2014)</w:t>
      </w:r>
      <w:r w:rsidRPr="0013795A">
        <w:rPr>
          <w:b/>
          <w:color w:val="171717" w:themeColor="background2" w:themeShade="1A"/>
          <w:sz w:val="20"/>
          <w:szCs w:val="20"/>
        </w:rPr>
        <w:fldChar w:fldCharType="end"/>
      </w:r>
    </w:p>
    <w:p w:rsidR="00596B17" w:rsidRPr="0013795A" w:rsidRDefault="00596B17" w:rsidP="000F3945">
      <w:pPr>
        <w:pStyle w:val="Caption"/>
        <w:spacing w:line="240" w:lineRule="auto"/>
        <w:ind w:firstLine="180"/>
        <w:rPr>
          <w:color w:val="171717" w:themeColor="background2" w:themeShade="1A"/>
        </w:rPr>
      </w:pPr>
      <w:bookmarkStart w:id="32" w:name="_Toc323241463"/>
      <w:r w:rsidRPr="0013795A">
        <w:rPr>
          <w:color w:val="171717" w:themeColor="background2" w:themeShade="1A"/>
        </w:rPr>
        <w:t xml:space="preserve">Figure </w:t>
      </w:r>
      <w:r w:rsidRPr="0013795A">
        <w:rPr>
          <w:color w:val="171717" w:themeColor="background2" w:themeShade="1A"/>
        </w:rPr>
        <w:fldChar w:fldCharType="begin"/>
      </w:r>
      <w:r w:rsidRPr="0013795A">
        <w:rPr>
          <w:color w:val="171717" w:themeColor="background2" w:themeShade="1A"/>
        </w:rPr>
        <w:instrText xml:space="preserve"> SEQ Figure \* ARABIC </w:instrText>
      </w:r>
      <w:r w:rsidRPr="0013795A">
        <w:rPr>
          <w:color w:val="171717" w:themeColor="background2" w:themeShade="1A"/>
        </w:rPr>
        <w:fldChar w:fldCharType="separate"/>
      </w:r>
      <w:r w:rsidR="00FC2C46" w:rsidRPr="0013795A">
        <w:rPr>
          <w:noProof/>
          <w:color w:val="171717" w:themeColor="background2" w:themeShade="1A"/>
        </w:rPr>
        <w:t>7</w:t>
      </w:r>
      <w:r w:rsidRPr="0013795A">
        <w:rPr>
          <w:color w:val="171717" w:themeColor="background2" w:themeShade="1A"/>
        </w:rPr>
        <w:fldChar w:fldCharType="end"/>
      </w:r>
      <w:r w:rsidRPr="0013795A">
        <w:rPr>
          <w:color w:val="171717" w:themeColor="background2" w:themeShade="1A"/>
        </w:rPr>
        <w:t xml:space="preserve">. Estimated Vaccine Coverage </w:t>
      </w:r>
      <w:r w:rsidR="00FC2C46" w:rsidRPr="0013795A">
        <w:rPr>
          <w:color w:val="171717" w:themeColor="background2" w:themeShade="1A"/>
        </w:rPr>
        <w:t xml:space="preserve">of </w:t>
      </w:r>
      <w:proofErr w:type="spellStart"/>
      <w:r w:rsidR="00FC2C46" w:rsidRPr="0013795A">
        <w:rPr>
          <w:color w:val="171717" w:themeColor="background2" w:themeShade="1A"/>
        </w:rPr>
        <w:t>Tdap</w:t>
      </w:r>
      <w:proofErr w:type="spellEnd"/>
      <w:r w:rsidR="00FC2C46" w:rsidRPr="0013795A">
        <w:rPr>
          <w:color w:val="171717" w:themeColor="background2" w:themeShade="1A"/>
        </w:rPr>
        <w:t xml:space="preserve"> Vaccine</w:t>
      </w:r>
      <w:bookmarkEnd w:id="32"/>
    </w:p>
    <w:p w:rsidR="00C07CAF" w:rsidRPr="0013795A" w:rsidRDefault="00E413FF" w:rsidP="009E7545">
      <w:pPr>
        <w:pStyle w:val="Heading3"/>
        <w:rPr>
          <w:color w:val="171717" w:themeColor="background2" w:themeShade="1A"/>
        </w:rPr>
      </w:pPr>
      <w:bookmarkStart w:id="33" w:name="_Toc323241447"/>
      <w:r w:rsidRPr="0013795A">
        <w:rPr>
          <w:color w:val="171717" w:themeColor="background2" w:themeShade="1A"/>
        </w:rPr>
        <w:t>California</w:t>
      </w:r>
      <w:bookmarkEnd w:id="33"/>
    </w:p>
    <w:p w:rsidR="009E7545" w:rsidRPr="0013795A" w:rsidRDefault="009E7545" w:rsidP="00D2359E">
      <w:pPr>
        <w:rPr>
          <w:color w:val="171717" w:themeColor="background2" w:themeShade="1A"/>
        </w:rPr>
      </w:pPr>
      <w:r w:rsidRPr="0013795A">
        <w:rPr>
          <w:color w:val="171717" w:themeColor="background2" w:themeShade="1A"/>
        </w:rPr>
        <w:t xml:space="preserve">The California Department of Public Health requires that all parents submit a physician’s written statement of a </w:t>
      </w:r>
      <w:r w:rsidRPr="0013795A">
        <w:rPr>
          <w:bCs/>
          <w:color w:val="171717" w:themeColor="background2" w:themeShade="1A"/>
        </w:rPr>
        <w:t>medical exemption</w:t>
      </w:r>
      <w:r w:rsidRPr="0013795A">
        <w:rPr>
          <w:b/>
          <w:bCs/>
          <w:color w:val="171717" w:themeColor="background2" w:themeShade="1A"/>
        </w:rPr>
        <w:t xml:space="preserve"> </w:t>
      </w:r>
      <w:r w:rsidRPr="0013795A">
        <w:rPr>
          <w:color w:val="171717" w:themeColor="background2" w:themeShade="1A"/>
        </w:rPr>
        <w:t xml:space="preserve">for missing </w:t>
      </w:r>
      <w:r w:rsidR="00BD2FBB" w:rsidRPr="0013795A">
        <w:rPr>
          <w:color w:val="171717" w:themeColor="background2" w:themeShade="1A"/>
        </w:rPr>
        <w:t>vaccination (doses)</w:t>
      </w:r>
      <w:r w:rsidRPr="0013795A">
        <w:rPr>
          <w:color w:val="171717" w:themeColor="background2" w:themeShade="1A"/>
        </w:rPr>
        <w:t>.  It also allows a child to be conditionally admitted to school if he/she is missing a dose in a vaccine series but the dose is not yet due.  However, once the deadline for the next dose has passed a child may no longer be admitted</w:t>
      </w:r>
      <w:r w:rsidR="00D2359E" w:rsidRPr="0013795A">
        <w:rPr>
          <w:color w:val="171717" w:themeColor="background2" w:themeShade="1A"/>
        </w:rPr>
        <w:t xml:space="preserve"> </w:t>
      </w:r>
      <w:r w:rsidR="00D2359E" w:rsidRPr="0013795A">
        <w:rPr>
          <w:color w:val="171717" w:themeColor="background2" w:themeShade="1A"/>
        </w:rPr>
        <w:fldChar w:fldCharType="begin"/>
      </w:r>
      <w:r w:rsidR="00D2359E" w:rsidRPr="0013795A">
        <w:rPr>
          <w:color w:val="171717" w:themeColor="background2" w:themeShade="1A"/>
        </w:rPr>
        <w:instrText xml:space="preserve"> ADDIN EN.CITE &lt;EndNote&gt;&lt;Cite&gt;&lt;Year&gt;2015&lt;/Year&gt;&lt;RecNum&gt;23&lt;/RecNum&gt;&lt;DisplayText&gt;(&amp;quot;Guide To Immunizations Required For School Entry,&amp;quot; 2015)&lt;/DisplayText&gt;&lt;record&gt;&lt;rec-number&gt;23&lt;/rec-number&gt;&lt;foreign-keys&gt;&lt;key app="EN" db-id="s50wv0fdiwsvs9ewxr65pdzf5ssrp9xr5zar" timestamp="1455719701"&gt;23&lt;/key&gt;&lt;/foreign-keys&gt;&lt;ref-type name="Web Page"&gt;12&lt;/ref-type&gt;&lt;contributors&gt;&lt;/contributors&gt;&lt;titles&gt;&lt;title&gt;Guide To Immunizations Required For School Entry&lt;/title&gt;&lt;/titles&gt;&lt;volume&gt;2016&lt;/volume&gt;&lt;number&gt;February 7&lt;/number&gt;&lt;dates&gt;&lt;year&gt;2015&lt;/year&gt;&lt;pub-dates&gt;&lt;date&gt;November 2016&lt;/date&gt;&lt;/pub-dates&gt;&lt;/dates&gt;&lt;publisher&gt;California Department of Public Health- Immunization Branch&lt;/publisher&gt;&lt;urls&gt;&lt;related-urls&gt;&lt;url&gt;http://eziz.org/assets/docs/IMM-231.pdf&lt;/url&gt;&lt;/related-urls&gt;&lt;/urls&gt;&lt;/record&gt;&lt;/Cite&gt;&lt;/EndNote&gt;</w:instrText>
      </w:r>
      <w:r w:rsidR="00D2359E" w:rsidRPr="0013795A">
        <w:rPr>
          <w:color w:val="171717" w:themeColor="background2" w:themeShade="1A"/>
        </w:rPr>
        <w:fldChar w:fldCharType="separate"/>
      </w:r>
      <w:r w:rsidR="00D2359E" w:rsidRPr="0013795A">
        <w:rPr>
          <w:color w:val="171717" w:themeColor="background2" w:themeShade="1A"/>
        </w:rPr>
        <w:t>("Guide To Immunizations Required For School Entry," 2015)</w:t>
      </w:r>
      <w:r w:rsidR="00D2359E" w:rsidRPr="0013795A">
        <w:rPr>
          <w:color w:val="171717" w:themeColor="background2" w:themeShade="1A"/>
        </w:rPr>
        <w:fldChar w:fldCharType="end"/>
      </w:r>
      <w:r w:rsidRPr="0013795A">
        <w:rPr>
          <w:color w:val="171717" w:themeColor="background2" w:themeShade="1A"/>
        </w:rPr>
        <w:t>.</w:t>
      </w:r>
    </w:p>
    <w:p w:rsidR="00C07CAF" w:rsidRPr="0013795A" w:rsidRDefault="00661654" w:rsidP="009E7545">
      <w:pPr>
        <w:pStyle w:val="Heading3"/>
        <w:rPr>
          <w:color w:val="171717" w:themeColor="background2" w:themeShade="1A"/>
        </w:rPr>
      </w:pPr>
      <w:bookmarkStart w:id="34" w:name="_Toc323241448"/>
      <w:r w:rsidRPr="0013795A">
        <w:rPr>
          <w:color w:val="171717" w:themeColor="background2" w:themeShade="1A"/>
        </w:rPr>
        <w:lastRenderedPageBreak/>
        <w:t>Connecticut</w:t>
      </w:r>
      <w:bookmarkEnd w:id="34"/>
    </w:p>
    <w:p w:rsidR="00661654" w:rsidRPr="0013795A" w:rsidRDefault="00661654" w:rsidP="00D2359E">
      <w:pPr>
        <w:rPr>
          <w:color w:val="171717" w:themeColor="background2" w:themeShade="1A"/>
        </w:rPr>
      </w:pPr>
      <w:r w:rsidRPr="0013795A">
        <w:rPr>
          <w:color w:val="171717" w:themeColor="background2" w:themeShade="1A"/>
        </w:rPr>
        <w:t xml:space="preserve">Although </w:t>
      </w:r>
      <w:r w:rsidR="0091430B" w:rsidRPr="0013795A">
        <w:rPr>
          <w:color w:val="171717" w:themeColor="background2" w:themeShade="1A"/>
        </w:rPr>
        <w:t>Table 2 identifies</w:t>
      </w:r>
      <w:r w:rsidR="004619A5" w:rsidRPr="0013795A">
        <w:rPr>
          <w:color w:val="171717" w:themeColor="background2" w:themeShade="1A"/>
        </w:rPr>
        <w:t xml:space="preserve"> </w:t>
      </w:r>
      <w:r w:rsidRPr="0013795A">
        <w:rPr>
          <w:color w:val="171717" w:themeColor="background2" w:themeShade="1A"/>
        </w:rPr>
        <w:t xml:space="preserve">the </w:t>
      </w:r>
      <w:r w:rsidR="0091430B" w:rsidRPr="0013795A">
        <w:rPr>
          <w:color w:val="171717" w:themeColor="background2" w:themeShade="1A"/>
        </w:rPr>
        <w:t>influenza</w:t>
      </w:r>
      <w:r w:rsidR="004619A5" w:rsidRPr="0013795A">
        <w:rPr>
          <w:color w:val="171717" w:themeColor="background2" w:themeShade="1A"/>
        </w:rPr>
        <w:t xml:space="preserve"> </w:t>
      </w:r>
      <w:r w:rsidRPr="0013795A">
        <w:rPr>
          <w:color w:val="171717" w:themeColor="background2" w:themeShade="1A"/>
        </w:rPr>
        <w:t xml:space="preserve">vaccine as required for entrance to public school kindergarten </w:t>
      </w:r>
      <w:r w:rsidR="0091430B" w:rsidRPr="0013795A">
        <w:rPr>
          <w:color w:val="171717" w:themeColor="background2" w:themeShade="1A"/>
        </w:rPr>
        <w:t>in</w:t>
      </w:r>
      <w:r w:rsidR="004619A5" w:rsidRPr="0013795A">
        <w:rPr>
          <w:color w:val="171717" w:themeColor="background2" w:themeShade="1A"/>
        </w:rPr>
        <w:t xml:space="preserve"> </w:t>
      </w:r>
      <w:r w:rsidRPr="0013795A">
        <w:rPr>
          <w:color w:val="171717" w:themeColor="background2" w:themeShade="1A"/>
        </w:rPr>
        <w:t xml:space="preserve">Connecticut, </w:t>
      </w:r>
      <w:r w:rsidR="0091430B" w:rsidRPr="0013795A">
        <w:rPr>
          <w:color w:val="171717" w:themeColor="background2" w:themeShade="1A"/>
        </w:rPr>
        <w:t>it</w:t>
      </w:r>
      <w:r w:rsidR="004619A5" w:rsidRPr="0013795A">
        <w:rPr>
          <w:color w:val="171717" w:themeColor="background2" w:themeShade="1A"/>
        </w:rPr>
        <w:t xml:space="preserve"> </w:t>
      </w:r>
      <w:r w:rsidRPr="0013795A">
        <w:rPr>
          <w:color w:val="171717" w:themeColor="background2" w:themeShade="1A"/>
        </w:rPr>
        <w:t xml:space="preserve">is only required for </w:t>
      </w:r>
      <w:r w:rsidR="0091430B" w:rsidRPr="0013795A">
        <w:rPr>
          <w:color w:val="171717" w:themeColor="background2" w:themeShade="1A"/>
        </w:rPr>
        <w:t>p</w:t>
      </w:r>
      <w:r w:rsidRPr="0013795A">
        <w:rPr>
          <w:color w:val="171717" w:themeColor="background2" w:themeShade="1A"/>
        </w:rPr>
        <w:t xml:space="preserve">reschool </w:t>
      </w:r>
      <w:r w:rsidR="00D2359E" w:rsidRPr="0013795A">
        <w:rPr>
          <w:color w:val="171717" w:themeColor="background2" w:themeShade="1A"/>
        </w:rPr>
        <w:fldChar w:fldCharType="begin"/>
      </w:r>
      <w:r w:rsidR="00D2359E" w:rsidRPr="0013795A">
        <w:rPr>
          <w:color w:val="171717" w:themeColor="background2" w:themeShade="1A"/>
        </w:rPr>
        <w:instrText xml:space="preserve"> ADDIN EN.CITE &lt;EndNote&gt;&lt;Cite&gt;&lt;Year&gt;2016&lt;/Year&gt;&lt;RecNum&gt;24&lt;/RecNum&gt;&lt;DisplayText&gt;(&amp;quot;Immunization Requirements of Enrolled Students in Connecticut Schools,&amp;quot; 2016)&lt;/DisplayText&gt;&lt;record&gt;&lt;rec-number&gt;24&lt;/rec-number&gt;&lt;foreign-keys&gt;&lt;key app="EN" db-id="s50wv0fdiwsvs9ewxr65pdzf5ssrp9xr5zar" timestamp="1455719911"&gt;24&lt;/key&gt;&lt;/foreign-keys&gt;&lt;ref-type name="Web Page"&gt;12&lt;/ref-type&gt;&lt;contributors&gt;&lt;/contributors&gt;&lt;titles&gt;&lt;title&gt;Immunization Requirements of Enrolled Students in Connecticut Schools&lt;/title&gt;&lt;/titles&gt;&lt;volume&gt;2016&lt;/volume&gt;&lt;number&gt;February 7&lt;/number&gt;&lt;dates&gt;&lt;year&gt;2016&lt;/year&gt;&lt;/dates&gt;&lt;publisher&gt;State of Connecticut Department of Public Health&lt;/publisher&gt;&lt;urls&gt;&lt;related-urls&gt;&lt;url&gt;http://www.bridgeportedu.com/health/docs/2015-2016/School_Immunizations-2015-16.pdf&lt;/url&gt;&lt;/related-urls&gt;&lt;/urls&gt;&lt;/record&gt;&lt;/Cite&gt;&lt;/EndNote&gt;</w:instrText>
      </w:r>
      <w:r w:rsidR="00D2359E" w:rsidRPr="0013795A">
        <w:rPr>
          <w:color w:val="171717" w:themeColor="background2" w:themeShade="1A"/>
        </w:rPr>
        <w:fldChar w:fldCharType="separate"/>
      </w:r>
      <w:r w:rsidR="00D2359E" w:rsidRPr="0013795A">
        <w:rPr>
          <w:noProof/>
          <w:color w:val="171717" w:themeColor="background2" w:themeShade="1A"/>
        </w:rPr>
        <w:t>("Immunization Requirements of Enrolled Students in Connecticut Schools," 2016)</w:t>
      </w:r>
      <w:r w:rsidR="00D2359E" w:rsidRPr="0013795A">
        <w:rPr>
          <w:color w:val="171717" w:themeColor="background2" w:themeShade="1A"/>
        </w:rPr>
        <w:fldChar w:fldCharType="end"/>
      </w:r>
      <w:r w:rsidRPr="0013795A">
        <w:rPr>
          <w:color w:val="171717" w:themeColor="background2" w:themeShade="1A"/>
        </w:rPr>
        <w:t>.  For the 2014-2015 influenza season 7,879 positive cases for reported for Connecticut</w:t>
      </w:r>
      <w:r w:rsidR="001628DD" w:rsidRPr="0013795A">
        <w:rPr>
          <w:color w:val="171717" w:themeColor="background2" w:themeShade="1A"/>
        </w:rPr>
        <w:t xml:space="preserve"> </w:t>
      </w:r>
      <w:r w:rsidR="001628DD" w:rsidRPr="0013795A">
        <w:rPr>
          <w:color w:val="171717" w:themeColor="background2" w:themeShade="1A"/>
        </w:rPr>
        <w:fldChar w:fldCharType="begin"/>
      </w:r>
      <w:r w:rsidR="009E7545" w:rsidRPr="0013795A">
        <w:rPr>
          <w:color w:val="171717" w:themeColor="background2" w:themeShade="1A"/>
        </w:rPr>
        <w:instrText xml:space="preserve"> ADDIN EN.CITE &lt;EndNote&gt;&lt;Cite&gt;&lt;Year&gt;2015&lt;/Year&gt;&lt;RecNum&gt;21&lt;/RecNum&gt;&lt;DisplayText&gt;(&amp;quot;Influenza Final Surveillance Summary for 2014-2015 Influenza Season,&amp;quot; 2015)&lt;/DisplayText&gt;&lt;record&gt;&lt;rec-number&gt;21&lt;/rec-number&gt;&lt;foreign-keys&gt;&lt;key app="EN" db-id="s50wv0fdiwsvs9ewxr65pdzf5ssrp9xr5zar" timestamp="1455718607"&gt;21&lt;/key&gt;&lt;/foreign-keys&gt;&lt;ref-type name="Web Page"&gt;12&lt;/ref-type&gt;&lt;contributors&gt;&lt;/contributors&gt;&lt;titles&gt;&lt;title&gt;Influenza Final Surveillance Summary for 2014-2015 Influenza Season&lt;/title&gt;&lt;/titles&gt;&lt;volume&gt;2016&lt;/volume&gt;&lt;number&gt;February 7&lt;/number&gt;&lt;dates&gt;&lt;year&gt;2015&lt;/year&gt;&lt;pub-dates&gt;&lt;date&gt;October 15&lt;/date&gt;&lt;/pub-dates&gt;&lt;/dates&gt;&lt;publisher&gt;Connecticut Department of Public Health&lt;/publisher&gt;&lt;urls&gt;&lt;related-urls&gt;&lt;url&gt;http://www.ct.gov/dph/lib/dph/infectious_diseases/flu/stats/2014-2015_flu_season_summary.pdf&lt;/url&gt;&lt;/related-urls&gt;&lt;/urls&gt;&lt;/record&gt;&lt;/Cite&gt;&lt;/EndNote&gt;</w:instrText>
      </w:r>
      <w:r w:rsidR="001628DD" w:rsidRPr="0013795A">
        <w:rPr>
          <w:color w:val="171717" w:themeColor="background2" w:themeShade="1A"/>
        </w:rPr>
        <w:fldChar w:fldCharType="separate"/>
      </w:r>
      <w:r w:rsidR="009E7545" w:rsidRPr="0013795A">
        <w:rPr>
          <w:noProof/>
          <w:color w:val="171717" w:themeColor="background2" w:themeShade="1A"/>
        </w:rPr>
        <w:t>("Influenza Final Surveillance Summary for 2014-2015 Influenza Season," 2015)</w:t>
      </w:r>
      <w:r w:rsidR="001628DD" w:rsidRPr="0013795A">
        <w:rPr>
          <w:color w:val="171717" w:themeColor="background2" w:themeShade="1A"/>
        </w:rPr>
        <w:fldChar w:fldCharType="end"/>
      </w:r>
      <w:r w:rsidR="00DD7FE3" w:rsidRPr="0013795A">
        <w:rPr>
          <w:color w:val="171717" w:themeColor="background2" w:themeShade="1A"/>
        </w:rPr>
        <w:t>.  This is more than the number of cases reported in Pennsylvania for the same year and shows that just because those children who attend kindergarten in Connecticut are required to get the influenza vaccine that has no impact on whether or not parents choose to continue to vaccinate against the flu in future years.</w:t>
      </w:r>
    </w:p>
    <w:p w:rsidR="00C07CAF" w:rsidRPr="0013795A" w:rsidRDefault="00D2359E" w:rsidP="00D2359E">
      <w:pPr>
        <w:pStyle w:val="Heading3"/>
        <w:rPr>
          <w:color w:val="171717" w:themeColor="background2" w:themeShade="1A"/>
        </w:rPr>
      </w:pPr>
      <w:bookmarkStart w:id="35" w:name="_Toc323241449"/>
      <w:r w:rsidRPr="0013795A">
        <w:rPr>
          <w:color w:val="171717" w:themeColor="background2" w:themeShade="1A"/>
        </w:rPr>
        <w:t>Mississippi</w:t>
      </w:r>
      <w:bookmarkEnd w:id="35"/>
    </w:p>
    <w:p w:rsidR="00D2359E" w:rsidRPr="0013795A" w:rsidRDefault="003453B8" w:rsidP="003453B8">
      <w:pPr>
        <w:rPr>
          <w:color w:val="171717" w:themeColor="background2" w:themeShade="1A"/>
        </w:rPr>
      </w:pPr>
      <w:r w:rsidRPr="0013795A">
        <w:rPr>
          <w:color w:val="171717" w:themeColor="background2" w:themeShade="1A"/>
        </w:rPr>
        <w:t>Mississippi has what are arguably the most stringent vaccinations requirements of all the 50 states.  In order for a child to enroll in public or private school at any grade</w:t>
      </w:r>
      <w:r w:rsidR="0091430B" w:rsidRPr="0013795A">
        <w:rPr>
          <w:color w:val="171717" w:themeColor="background2" w:themeShade="1A"/>
        </w:rPr>
        <w:t>,</w:t>
      </w:r>
      <w:r w:rsidRPr="0013795A">
        <w:rPr>
          <w:color w:val="171717" w:themeColor="background2" w:themeShade="1A"/>
        </w:rPr>
        <w:t xml:space="preserve"> a District Health Officer, physician, or nurse must sign a Certificate of Immunization Compliance Form.  </w:t>
      </w:r>
      <w:r w:rsidR="00DD7FE3" w:rsidRPr="0013795A">
        <w:rPr>
          <w:color w:val="171717" w:themeColor="background2" w:themeShade="1A"/>
        </w:rPr>
        <w:t>This form is only required for school enrollment and is not ne</w:t>
      </w:r>
      <w:r w:rsidR="00907A8C" w:rsidRPr="0013795A">
        <w:rPr>
          <w:color w:val="171717" w:themeColor="background2" w:themeShade="1A"/>
        </w:rPr>
        <w:t xml:space="preserve">cessary on a </w:t>
      </w:r>
      <w:r w:rsidR="00DD7FE3" w:rsidRPr="0013795A">
        <w:rPr>
          <w:color w:val="171717" w:themeColor="background2" w:themeShade="1A"/>
        </w:rPr>
        <w:t xml:space="preserve">yearly basis unless a child transfers schools.  </w:t>
      </w:r>
      <w:r w:rsidRPr="0013795A">
        <w:rPr>
          <w:color w:val="171717" w:themeColor="background2" w:themeShade="1A"/>
        </w:rPr>
        <w:t xml:space="preserve">If the child is medically exempt from one or more vaccines they must present a Certificate of Medical Exemption signed by the District Health Officer </w:t>
      </w:r>
      <w:r w:rsidRPr="0013795A">
        <w:rPr>
          <w:color w:val="171717" w:themeColor="background2" w:themeShade="1A"/>
        </w:rPr>
        <w:fldChar w:fldCharType="begin"/>
      </w:r>
      <w:r w:rsidRPr="0013795A">
        <w:rPr>
          <w:color w:val="171717" w:themeColor="background2" w:themeShade="1A"/>
        </w:rPr>
        <w:instrText xml:space="preserve"> ADDIN EN.CITE &lt;EndNote&gt;&lt;Cite&gt;&lt;Year&gt;2015&lt;/Year&gt;&lt;RecNum&gt;25&lt;/RecNum&gt;&lt;DisplayText&gt;(&amp;quot;Mississippi School Immunization Requirements,&amp;quot; 2015)&lt;/DisplayText&gt;&lt;record&gt;&lt;rec-number&gt;25&lt;/rec-number&gt;&lt;foreign-keys&gt;&lt;key app="EN" db-id="s50wv0fdiwsvs9ewxr65pdzf5ssrp9xr5zar" timestamp="1455720206"&gt;25&lt;/key&gt;&lt;/foreign-keys&gt;&lt;ref-type name="Web Page"&gt;12&lt;/ref-type&gt;&lt;contributors&gt;&lt;/contributors&gt;&lt;titles&gt;&lt;title&gt;Mississippi School Immunization Requirements&lt;/title&gt;&lt;/titles&gt;&lt;volume&gt;2016&lt;/volume&gt;&lt;number&gt;February 7&lt;/number&gt;&lt;dates&gt;&lt;year&gt;2015&lt;/year&gt;&lt;pub-dates&gt;&lt;date&gt;January 12&lt;/date&gt;&lt;/pub-dates&gt;&lt;/dates&gt;&lt;publisher&gt;Mississippi Department of Health&lt;/publisher&gt;&lt;urls&gt;&lt;related-urls&gt;&lt;url&gt;http://msdh.ms.gov/msdhsite/_static/resources/2029.pdf&lt;/url&gt;&lt;/related-urls&gt;&lt;/urls&gt;&lt;/record&gt;&lt;/Cite&gt;&lt;/EndNote&gt;</w:instrText>
      </w:r>
      <w:r w:rsidRPr="0013795A">
        <w:rPr>
          <w:color w:val="171717" w:themeColor="background2" w:themeShade="1A"/>
        </w:rPr>
        <w:fldChar w:fldCharType="separate"/>
      </w:r>
      <w:r w:rsidRPr="0013795A">
        <w:rPr>
          <w:color w:val="171717" w:themeColor="background2" w:themeShade="1A"/>
        </w:rPr>
        <w:t>("Mississippi School Immunization Requirements," 2015)</w:t>
      </w:r>
      <w:r w:rsidRPr="0013795A">
        <w:rPr>
          <w:color w:val="171717" w:themeColor="background2" w:themeShade="1A"/>
        </w:rPr>
        <w:fldChar w:fldCharType="end"/>
      </w:r>
      <w:r w:rsidRPr="0013795A">
        <w:rPr>
          <w:color w:val="171717" w:themeColor="background2" w:themeShade="1A"/>
        </w:rPr>
        <w:t>.</w:t>
      </w:r>
    </w:p>
    <w:p w:rsidR="00C07CAF" w:rsidRPr="0013795A" w:rsidRDefault="00D2359E" w:rsidP="00D2359E">
      <w:pPr>
        <w:pStyle w:val="Heading3"/>
        <w:rPr>
          <w:color w:val="171717" w:themeColor="background2" w:themeShade="1A"/>
        </w:rPr>
      </w:pPr>
      <w:bookmarkStart w:id="36" w:name="_Toc323241450"/>
      <w:r w:rsidRPr="0013795A">
        <w:rPr>
          <w:color w:val="171717" w:themeColor="background2" w:themeShade="1A"/>
        </w:rPr>
        <w:lastRenderedPageBreak/>
        <w:t>Pennsylvania</w:t>
      </w:r>
      <w:bookmarkEnd w:id="36"/>
    </w:p>
    <w:p w:rsidR="00C07CAF" w:rsidRPr="0013795A" w:rsidRDefault="00BC3878" w:rsidP="00BE1FD8">
      <w:pPr>
        <w:rPr>
          <w:color w:val="171717" w:themeColor="background2" w:themeShade="1A"/>
        </w:rPr>
      </w:pPr>
      <w:r w:rsidRPr="0013795A">
        <w:rPr>
          <w:color w:val="171717" w:themeColor="background2" w:themeShade="1A"/>
        </w:rPr>
        <w:t>The State of Pennsylvania allows</w:t>
      </w:r>
      <w:r w:rsidR="00AE3CB2" w:rsidRPr="0013795A">
        <w:rPr>
          <w:color w:val="171717" w:themeColor="background2" w:themeShade="1A"/>
        </w:rPr>
        <w:t xml:space="preserve"> for</w:t>
      </w:r>
      <w:r w:rsidRPr="0013795A">
        <w:rPr>
          <w:color w:val="171717" w:themeColor="background2" w:themeShade="1A"/>
        </w:rPr>
        <w:t xml:space="preserve"> provisional </w:t>
      </w:r>
      <w:r w:rsidR="00AE3CB2" w:rsidRPr="0013795A">
        <w:rPr>
          <w:color w:val="171717" w:themeColor="background2" w:themeShade="1A"/>
        </w:rPr>
        <w:t>admittance to school</w:t>
      </w:r>
      <w:r w:rsidR="00DD7FE3" w:rsidRPr="0013795A">
        <w:rPr>
          <w:color w:val="171717" w:themeColor="background2" w:themeShade="1A"/>
        </w:rPr>
        <w:t xml:space="preserve"> for kindergarten through 12</w:t>
      </w:r>
      <w:r w:rsidR="00DD7FE3" w:rsidRPr="0013795A">
        <w:rPr>
          <w:color w:val="171717" w:themeColor="background2" w:themeShade="1A"/>
          <w:vertAlign w:val="superscript"/>
        </w:rPr>
        <w:t>th</w:t>
      </w:r>
      <w:r w:rsidR="00DD7FE3" w:rsidRPr="0013795A">
        <w:rPr>
          <w:color w:val="171717" w:themeColor="background2" w:themeShade="1A"/>
        </w:rPr>
        <w:t xml:space="preserve"> grade</w:t>
      </w:r>
      <w:r w:rsidR="00AE3CB2" w:rsidRPr="0013795A">
        <w:rPr>
          <w:color w:val="171717" w:themeColor="background2" w:themeShade="1A"/>
        </w:rPr>
        <w:t xml:space="preserve"> if a child has received at least one dose of each antigen for a multiple dose vaccine series and evidence of this is presented along with a parents or guardians plan for completion of immunizations to be made part of the child’s health record.  The same plan for completion is required for single dose vaccines as well.  This plan will be periodically reviewed (every 60 days) until the 8-month provisional period for receiving the required vaccines is up.  If at this time requirements are still not met the school administrator may choose whether or not to admit the child to school</w:t>
      </w:r>
      <w:r w:rsidR="00BE1FD8" w:rsidRPr="0013795A">
        <w:rPr>
          <w:color w:val="171717" w:themeColor="background2" w:themeShade="1A"/>
        </w:rPr>
        <w:t xml:space="preserve"> </w:t>
      </w:r>
      <w:r w:rsidR="00BE1FD8" w:rsidRPr="0013795A">
        <w:rPr>
          <w:color w:val="171717" w:themeColor="background2" w:themeShade="1A"/>
        </w:rPr>
        <w:fldChar w:fldCharType="begin"/>
      </w:r>
      <w:r w:rsidR="00BE1FD8" w:rsidRPr="0013795A">
        <w:rPr>
          <w:color w:val="171717" w:themeColor="background2" w:themeShade="1A"/>
        </w:rPr>
        <w:instrText xml:space="preserve"> ADDIN EN.CITE &lt;EndNote&gt;&lt;Cite&gt;&lt;RecNum&gt;26&lt;/RecNum&gt;&lt;DisplayText&gt;(&amp;quot;Subchapter C. IMMUNIZATION,&amp;quot;)&lt;/DisplayText&gt;&lt;record&gt;&lt;rec-number&gt;26&lt;/rec-number&gt;&lt;foreign-keys&gt;&lt;key app="EN" db-id="s50wv0fdiwsvs9ewxr65pdzf5ssrp9xr5zar" timestamp="1455722647"&gt;26&lt;/key&gt;&lt;/foreign-keys&gt;&lt;ref-type name="Online Database"&gt;45&lt;/ref-type&gt;&lt;contributors&gt;&lt;/contributors&gt;&lt;titles&gt;&lt;title&gt;Subchapter C. IMMUNIZATION&lt;/title&gt;&lt;/titles&gt;&lt;dates&gt;&lt;pub-dates&gt;&lt;date&gt;February 7&lt;/date&gt;&lt;/pub-dates&gt;&lt;/dates&gt;&lt;pub-location&gt;Pennsylvania Code&lt;/pub-location&gt;&lt;urls&gt;&lt;related-urls&gt;&lt;url&gt;http://www.pacode.com/secure/data/028/chapter23/subchapCtoc.html&lt;/url&gt;&lt;/related-urls&gt;&lt;/urls&gt;&lt;/record&gt;&lt;/Cite&gt;&lt;/EndNote&gt;</w:instrText>
      </w:r>
      <w:r w:rsidR="00BE1FD8" w:rsidRPr="0013795A">
        <w:rPr>
          <w:color w:val="171717" w:themeColor="background2" w:themeShade="1A"/>
        </w:rPr>
        <w:fldChar w:fldCharType="separate"/>
      </w:r>
      <w:r w:rsidR="00BE1FD8" w:rsidRPr="0013795A">
        <w:rPr>
          <w:color w:val="171717" w:themeColor="background2" w:themeShade="1A"/>
        </w:rPr>
        <w:t>("Subchapter C. IMMUNIZATION,")</w:t>
      </w:r>
      <w:r w:rsidR="00BE1FD8" w:rsidRPr="0013795A">
        <w:rPr>
          <w:color w:val="171717" w:themeColor="background2" w:themeShade="1A"/>
        </w:rPr>
        <w:fldChar w:fldCharType="end"/>
      </w:r>
      <w:r w:rsidR="00AE3CB2" w:rsidRPr="0013795A">
        <w:rPr>
          <w:color w:val="171717" w:themeColor="background2" w:themeShade="1A"/>
        </w:rPr>
        <w:t>.</w:t>
      </w:r>
      <w:r w:rsidR="00BE1FD8" w:rsidRPr="0013795A">
        <w:rPr>
          <w:color w:val="171717" w:themeColor="background2" w:themeShade="1A"/>
        </w:rPr>
        <w:t xml:space="preserve">  </w:t>
      </w:r>
    </w:p>
    <w:p w:rsidR="00B917F0" w:rsidRPr="0013795A" w:rsidRDefault="00B82CA8" w:rsidP="00B82CA8">
      <w:pPr>
        <w:pStyle w:val="Heading1"/>
        <w:rPr>
          <w:color w:val="171717" w:themeColor="background2" w:themeShade="1A"/>
        </w:rPr>
      </w:pPr>
      <w:bookmarkStart w:id="37" w:name="_Toc323241451"/>
      <w:bookmarkEnd w:id="25"/>
      <w:bookmarkEnd w:id="26"/>
      <w:r w:rsidRPr="0013795A">
        <w:rPr>
          <w:color w:val="171717" w:themeColor="background2" w:themeShade="1A"/>
        </w:rPr>
        <w:lastRenderedPageBreak/>
        <w:t>discussion</w:t>
      </w:r>
      <w:bookmarkEnd w:id="37"/>
    </w:p>
    <w:p w:rsidR="005D1B74" w:rsidRPr="0013795A" w:rsidRDefault="005D1B74" w:rsidP="005D1B74">
      <w:pPr>
        <w:pStyle w:val="Noindent"/>
        <w:ind w:firstLine="720"/>
        <w:rPr>
          <w:color w:val="171717" w:themeColor="background2" w:themeShade="1A"/>
        </w:rPr>
      </w:pPr>
      <w:r w:rsidRPr="0013795A">
        <w:rPr>
          <w:color w:val="171717" w:themeColor="background2" w:themeShade="1A"/>
        </w:rPr>
        <w:t>There are so many factors that contribute to a state</w:t>
      </w:r>
      <w:r w:rsidR="00D256D8" w:rsidRPr="0013795A">
        <w:rPr>
          <w:color w:val="171717" w:themeColor="background2" w:themeShade="1A"/>
        </w:rPr>
        <w:t>’</w:t>
      </w:r>
      <w:r w:rsidRPr="0013795A">
        <w:rPr>
          <w:color w:val="171717" w:themeColor="background2" w:themeShade="1A"/>
        </w:rPr>
        <w:t xml:space="preserve">s disease prevalence rate that it is hard to pinpoint what, if any, factors have a bigger impact than others.  Using all the information presented here however it is possible to come to some </w:t>
      </w:r>
      <w:r w:rsidR="004619A5" w:rsidRPr="0013795A">
        <w:rPr>
          <w:color w:val="171717" w:themeColor="background2" w:themeShade="1A"/>
        </w:rPr>
        <w:t>conclusions.</w:t>
      </w:r>
    </w:p>
    <w:p w:rsidR="005D1B74" w:rsidRPr="0013795A" w:rsidRDefault="005D1B74" w:rsidP="005744AD">
      <w:pPr>
        <w:rPr>
          <w:color w:val="171717" w:themeColor="background2" w:themeShade="1A"/>
        </w:rPr>
      </w:pPr>
      <w:r w:rsidRPr="0013795A">
        <w:rPr>
          <w:color w:val="171717" w:themeColor="background2" w:themeShade="1A"/>
        </w:rPr>
        <w:t xml:space="preserve">Mississippi is the only one of the four states explicitly studied that only allowed for medical exemptions from vaccinations.  Mississippi also happens to be the state with </w:t>
      </w:r>
      <w:r w:rsidR="00D256D8" w:rsidRPr="0013795A">
        <w:rPr>
          <w:color w:val="171717" w:themeColor="background2" w:themeShade="1A"/>
        </w:rPr>
        <w:t>fewest number</w:t>
      </w:r>
      <w:r w:rsidR="004619A5" w:rsidRPr="0013795A">
        <w:rPr>
          <w:color w:val="171717" w:themeColor="background2" w:themeShade="1A"/>
        </w:rPr>
        <w:t xml:space="preserve"> </w:t>
      </w:r>
      <w:r w:rsidRPr="0013795A">
        <w:rPr>
          <w:color w:val="171717" w:themeColor="background2" w:themeShade="1A"/>
        </w:rPr>
        <w:t>of unvaccinated peopl</w:t>
      </w:r>
      <w:r w:rsidR="000265E9" w:rsidRPr="0013795A">
        <w:rPr>
          <w:color w:val="171717" w:themeColor="background2" w:themeShade="1A"/>
        </w:rPr>
        <w:t>e and the lowest exemption rate</w:t>
      </w:r>
      <w:r w:rsidRPr="0013795A">
        <w:rPr>
          <w:color w:val="171717" w:themeColor="background2" w:themeShade="1A"/>
        </w:rPr>
        <w:t xml:space="preserve"> </w:t>
      </w:r>
      <w:r w:rsidR="00452EAF" w:rsidRPr="0013795A">
        <w:rPr>
          <w:color w:val="171717" w:themeColor="background2" w:themeShade="1A"/>
        </w:rPr>
        <w:t xml:space="preserve">at only 0.1 </w:t>
      </w:r>
      <w:r w:rsidRPr="0013795A">
        <w:rPr>
          <w:color w:val="171717" w:themeColor="background2" w:themeShade="1A"/>
        </w:rPr>
        <w:t xml:space="preserve">between the four states.  </w:t>
      </w:r>
      <w:r w:rsidR="000265E9" w:rsidRPr="0013795A">
        <w:rPr>
          <w:color w:val="171717" w:themeColor="background2" w:themeShade="1A"/>
        </w:rPr>
        <w:t>For the 2013-14 school year a total of 17 students in Mississippi had medical exemptions from receiving vaccinations</w:t>
      </w:r>
      <w:r w:rsidR="005744AD" w:rsidRPr="0013795A">
        <w:rPr>
          <w:color w:val="171717" w:themeColor="background2" w:themeShade="1A"/>
        </w:rPr>
        <w:t xml:space="preserve"> </w:t>
      </w:r>
      <w:r w:rsidR="005744AD" w:rsidRPr="0013795A">
        <w:rPr>
          <w:color w:val="171717" w:themeColor="background2" w:themeShade="1A"/>
        </w:rPr>
        <w:fldChar w:fldCharType="begin"/>
      </w:r>
      <w:r w:rsidR="005744AD" w:rsidRPr="0013795A">
        <w:rPr>
          <w:color w:val="171717" w:themeColor="background2" w:themeShade="1A"/>
        </w:rPr>
        <w:instrText xml:space="preserve"> ADDIN EN.CITE &lt;EndNote&gt;&lt;Cite&gt;&lt;Author&gt;Frankel&lt;/Author&gt;&lt;Year&gt;2015&lt;/Year&gt;&lt;RecNum&gt;20&lt;/RecNum&gt;&lt;DisplayText&gt;(Frankel, 2015)&lt;/DisplayText&gt;&lt;record&gt;&lt;rec-number&gt;20&lt;/rec-number&gt;&lt;foreign-keys&gt;&lt;key app="EN" db-id="s50wv0fdiwsvs9ewxr65pdzf5ssrp9xr5zar" timestamp="1455122794"&gt;20&lt;/key&gt;&lt;/foreign-keys&gt;&lt;ref-type name="Newspaper Article"&gt;23&lt;/ref-type&gt;&lt;contributors&gt;&lt;authors&gt;&lt;author&gt;Todd C. Frankel&lt;/author&gt;&lt;/authors&gt;&lt;/contributors&gt;&lt;titles&gt;&lt;title&gt;Mississippi - yes , Mississippi - has the nation&amp;apos;s best child vaccination rate. Here&amp;apos;s why.&lt;/title&gt;&lt;secondary-title&gt;The Washington Post&lt;/secondary-title&gt;&lt;/titles&gt;&lt;dates&gt;&lt;year&gt;2015&lt;/year&gt;&lt;pub-dates&gt;&lt;date&gt;January 30, 2015&lt;/date&gt;&lt;/pub-dates&gt;&lt;/dates&gt;&lt;pub-location&gt;Online&lt;/pub-location&gt;&lt;urls&gt;&lt;related-urls&gt;&lt;url&gt;https://www.washingtonpost.com/news/storyline/wp/2015/01/30/mississippi-yes-mississippi-has-the-nations-best-child-vaccination-rate-heres-why/&lt;/url&gt;&lt;/related-urls&gt;&lt;/urls&gt;&lt;access-date&gt;January 13, 2016&lt;/access-date&gt;&lt;/record&gt;&lt;/Cite&gt;&lt;/EndNote&gt;</w:instrText>
      </w:r>
      <w:r w:rsidR="005744AD" w:rsidRPr="0013795A">
        <w:rPr>
          <w:color w:val="171717" w:themeColor="background2" w:themeShade="1A"/>
        </w:rPr>
        <w:fldChar w:fldCharType="separate"/>
      </w:r>
      <w:r w:rsidR="005744AD" w:rsidRPr="0013795A">
        <w:rPr>
          <w:color w:val="171717" w:themeColor="background2" w:themeShade="1A"/>
        </w:rPr>
        <w:t>(Frankel, 2015)</w:t>
      </w:r>
      <w:r w:rsidR="005744AD" w:rsidRPr="0013795A">
        <w:rPr>
          <w:color w:val="171717" w:themeColor="background2" w:themeShade="1A"/>
        </w:rPr>
        <w:fldChar w:fldCharType="end"/>
      </w:r>
      <w:r w:rsidR="000265E9" w:rsidRPr="0013795A">
        <w:rPr>
          <w:color w:val="171717" w:themeColor="background2" w:themeShade="1A"/>
        </w:rPr>
        <w:t xml:space="preserve">.  </w:t>
      </w:r>
      <w:r w:rsidR="005744AD" w:rsidRPr="0013795A">
        <w:rPr>
          <w:color w:val="171717" w:themeColor="background2" w:themeShade="1A"/>
        </w:rPr>
        <w:t>California, one of two</w:t>
      </w:r>
      <w:r w:rsidRPr="0013795A">
        <w:rPr>
          <w:color w:val="171717" w:themeColor="background2" w:themeShade="1A"/>
        </w:rPr>
        <w:t xml:space="preserve"> of the four states that allowed for all three types of exemptions as of 2015 – medical, religious, and philosophical – had the highest exemption rates by a landslide compared to the other three.  </w:t>
      </w:r>
      <w:r w:rsidR="005744AD" w:rsidRPr="0013795A">
        <w:rPr>
          <w:color w:val="171717" w:themeColor="background2" w:themeShade="1A"/>
        </w:rPr>
        <w:t xml:space="preserve">In California 1,017 students had medical exemptions and another 17,253 had either a religious or philosophical exemption, making it the state with the greatest number of students exempt in the entire country </w:t>
      </w:r>
      <w:r w:rsidR="005744AD" w:rsidRPr="0013795A">
        <w:rPr>
          <w:color w:val="171717" w:themeColor="background2" w:themeShade="1A"/>
        </w:rPr>
        <w:fldChar w:fldCharType="begin"/>
      </w:r>
      <w:r w:rsidR="005744AD" w:rsidRPr="0013795A">
        <w:rPr>
          <w:color w:val="171717" w:themeColor="background2" w:themeShade="1A"/>
        </w:rPr>
        <w:instrText xml:space="preserve"> ADDIN EN.CITE &lt;EndNote&gt;&lt;Cite&gt;&lt;Author&gt;Frankel&lt;/Author&gt;&lt;Year&gt;2015&lt;/Year&gt;&lt;RecNum&gt;20&lt;/RecNum&gt;&lt;DisplayText&gt;(Frankel, 2015)&lt;/DisplayText&gt;&lt;record&gt;&lt;rec-number&gt;20&lt;/rec-number&gt;&lt;foreign-keys&gt;&lt;key app="EN" db-id="s50wv0fdiwsvs9ewxr65pdzf5ssrp9xr5zar" timestamp="1455122794"&gt;20&lt;/key&gt;&lt;/foreign-keys&gt;&lt;ref-type name="Newspaper Article"&gt;23&lt;/ref-type&gt;&lt;contributors&gt;&lt;authors&gt;&lt;author&gt;Todd C. Frankel&lt;/author&gt;&lt;/authors&gt;&lt;/contributors&gt;&lt;titles&gt;&lt;title&gt;Mississippi - yes , Mississippi - has the nation&amp;apos;s best child vaccination rate. Here&amp;apos;s why.&lt;/title&gt;&lt;secondary-title&gt;The Washington Post&lt;/secondary-title&gt;&lt;/titles&gt;&lt;dates&gt;&lt;year&gt;2015&lt;/year&gt;&lt;pub-dates&gt;&lt;date&gt;January 30, 2015&lt;/date&gt;&lt;/pub-dates&gt;&lt;/dates&gt;&lt;pub-location&gt;Online&lt;/pub-location&gt;&lt;urls&gt;&lt;related-urls&gt;&lt;url&gt;https://www.washingtonpost.com/news/storyline/wp/2015/01/30/mississippi-yes-mississippi-has-the-nations-best-child-vaccination-rate-heres-why/&lt;/url&gt;&lt;/related-urls&gt;&lt;/urls&gt;&lt;access-date&gt;January 13, 2016&lt;/access-date&gt;&lt;/record&gt;&lt;/Cite&gt;&lt;/EndNote&gt;</w:instrText>
      </w:r>
      <w:r w:rsidR="005744AD" w:rsidRPr="0013795A">
        <w:rPr>
          <w:color w:val="171717" w:themeColor="background2" w:themeShade="1A"/>
        </w:rPr>
        <w:fldChar w:fldCharType="separate"/>
      </w:r>
      <w:r w:rsidR="005744AD" w:rsidRPr="0013795A">
        <w:rPr>
          <w:color w:val="171717" w:themeColor="background2" w:themeShade="1A"/>
        </w:rPr>
        <w:t>(Frankel, 2015)</w:t>
      </w:r>
      <w:r w:rsidR="005744AD" w:rsidRPr="0013795A">
        <w:rPr>
          <w:color w:val="171717" w:themeColor="background2" w:themeShade="1A"/>
        </w:rPr>
        <w:fldChar w:fldCharType="end"/>
      </w:r>
      <w:r w:rsidR="005744AD" w:rsidRPr="0013795A">
        <w:rPr>
          <w:color w:val="171717" w:themeColor="background2" w:themeShade="1A"/>
        </w:rPr>
        <w:t xml:space="preserve">.  </w:t>
      </w:r>
      <w:r w:rsidRPr="0013795A">
        <w:rPr>
          <w:color w:val="171717" w:themeColor="background2" w:themeShade="1A"/>
        </w:rPr>
        <w:t>This data shows that a state that offers multiple exemption types will also have higher exemption rates, proving that people are keen to take advantage of such options</w:t>
      </w:r>
      <w:r w:rsidR="0090193F" w:rsidRPr="0013795A">
        <w:rPr>
          <w:color w:val="171717" w:themeColor="background2" w:themeShade="1A"/>
        </w:rPr>
        <w:t xml:space="preserve"> when available</w:t>
      </w:r>
      <w:r w:rsidRPr="0013795A">
        <w:rPr>
          <w:color w:val="171717" w:themeColor="background2" w:themeShade="1A"/>
        </w:rPr>
        <w:t>.</w:t>
      </w:r>
    </w:p>
    <w:p w:rsidR="00491B20" w:rsidRPr="0013795A" w:rsidRDefault="0090193F" w:rsidP="005D1B74">
      <w:pPr>
        <w:rPr>
          <w:color w:val="171717" w:themeColor="background2" w:themeShade="1A"/>
        </w:rPr>
      </w:pPr>
      <w:r w:rsidRPr="0013795A">
        <w:rPr>
          <w:color w:val="171717" w:themeColor="background2" w:themeShade="1A"/>
        </w:rPr>
        <w:t xml:space="preserve">A higher incidence of exemptions from vaccines leads us into how this affects disease prevalence and herd immunity.  Judging from the measles outbreak that began in Disney World and then quickly spread within California as well as in other states we can conclude that lenient </w:t>
      </w:r>
      <w:r w:rsidRPr="0013795A">
        <w:rPr>
          <w:color w:val="171717" w:themeColor="background2" w:themeShade="1A"/>
        </w:rPr>
        <w:lastRenderedPageBreak/>
        <w:t>exemption policies directly effects herd immunity and therefore can impact disease prevalence.  Some may argue that because this did not happen in Mississippi where exemption policies are strict, or even in Connecticut or Pennsylvania that we cannot predict how the disease woul</w:t>
      </w:r>
      <w:r w:rsidR="00D26259" w:rsidRPr="0013795A">
        <w:rPr>
          <w:color w:val="171717" w:themeColor="background2" w:themeShade="1A"/>
        </w:rPr>
        <w:t>d have spread in these states</w:t>
      </w:r>
      <w:r w:rsidR="00F0702C" w:rsidRPr="0013795A">
        <w:rPr>
          <w:color w:val="171717" w:themeColor="background2" w:themeShade="1A"/>
        </w:rPr>
        <w:t>.  Althou</w:t>
      </w:r>
      <w:r w:rsidR="00491B20" w:rsidRPr="0013795A">
        <w:rPr>
          <w:color w:val="171717" w:themeColor="background2" w:themeShade="1A"/>
        </w:rPr>
        <w:t>gh their vaccination policies</w:t>
      </w:r>
      <w:r w:rsidR="00F0702C" w:rsidRPr="0013795A">
        <w:rPr>
          <w:color w:val="171717" w:themeColor="background2" w:themeShade="1A"/>
        </w:rPr>
        <w:t xml:space="preserve"> vary, M</w:t>
      </w:r>
      <w:r w:rsidRPr="0013795A">
        <w:rPr>
          <w:color w:val="171717" w:themeColor="background2" w:themeShade="1A"/>
        </w:rPr>
        <w:t>ississippi, Connectic</w:t>
      </w:r>
      <w:r w:rsidR="00F0702C" w:rsidRPr="0013795A">
        <w:rPr>
          <w:color w:val="171717" w:themeColor="background2" w:themeShade="1A"/>
        </w:rPr>
        <w:t>ut, and Pennsylvania all</w:t>
      </w:r>
      <w:r w:rsidR="00491B20" w:rsidRPr="0013795A">
        <w:rPr>
          <w:color w:val="171717" w:themeColor="background2" w:themeShade="1A"/>
        </w:rPr>
        <w:t xml:space="preserve"> have comparable vaccination coverage percentages, meaning that an outbreak such as the one that occurred in California could have occurred in any of the four specified states.</w:t>
      </w:r>
      <w:r w:rsidR="00F0702C" w:rsidRPr="0013795A">
        <w:rPr>
          <w:color w:val="171717" w:themeColor="background2" w:themeShade="1A"/>
        </w:rPr>
        <w:t xml:space="preserve"> </w:t>
      </w:r>
    </w:p>
    <w:p w:rsidR="00F0702C" w:rsidRPr="0013795A" w:rsidRDefault="00F0702C" w:rsidP="005D1B74">
      <w:pPr>
        <w:rPr>
          <w:color w:val="171717" w:themeColor="background2" w:themeShade="1A"/>
        </w:rPr>
      </w:pPr>
      <w:r w:rsidRPr="0013795A">
        <w:rPr>
          <w:color w:val="171717" w:themeColor="background2" w:themeShade="1A"/>
        </w:rPr>
        <w:t>Finally there is the matter of Connecticut being the only one of fifty states to require ten different vaccinations including the flu vaccine for those entering kindergarten.  While disease prevalence rates were not specifically examined in this paper, confirmed cases of the flu in 2014 for Connecticut and Pennsylvania were reported.  Connecticut requiring the flu vaccine for those entering preschool and kindergarten did not impact whether or not parents choose to vaccinate their children against the flu in later years.  Pennsylvania, who never required the flu vaccine for any stage of school children, had much lower flu incidence rates</w:t>
      </w:r>
      <w:r w:rsidR="00DD7FE3" w:rsidRPr="0013795A">
        <w:rPr>
          <w:color w:val="171717" w:themeColor="background2" w:themeShade="1A"/>
        </w:rPr>
        <w:t xml:space="preserve"> across the state</w:t>
      </w:r>
      <w:r w:rsidRPr="0013795A">
        <w:rPr>
          <w:color w:val="171717" w:themeColor="background2" w:themeShade="1A"/>
        </w:rPr>
        <w:t xml:space="preserve"> in 2014 compared to Connecticut.</w:t>
      </w:r>
    </w:p>
    <w:p w:rsidR="00907A8C" w:rsidRPr="0013795A" w:rsidRDefault="00907A8C" w:rsidP="005D1B74">
      <w:pPr>
        <w:rPr>
          <w:color w:val="171717" w:themeColor="background2" w:themeShade="1A"/>
        </w:rPr>
      </w:pPr>
      <w:r w:rsidRPr="0013795A">
        <w:rPr>
          <w:color w:val="171717" w:themeColor="background2" w:themeShade="1A"/>
        </w:rPr>
        <w:t xml:space="preserve">Whether or not a vaccination is required for school entry within a selected state does not seem to be indicative of vaccination coverage within that state.  Mississippi had one of the lowest vaccination coverage percentages for the </w:t>
      </w:r>
      <w:proofErr w:type="spellStart"/>
      <w:r w:rsidRPr="0013795A">
        <w:rPr>
          <w:color w:val="171717" w:themeColor="background2" w:themeShade="1A"/>
        </w:rPr>
        <w:t>Tdap</w:t>
      </w:r>
      <w:proofErr w:type="spellEnd"/>
      <w:r w:rsidRPr="0013795A">
        <w:rPr>
          <w:color w:val="171717" w:themeColor="background2" w:themeShade="1A"/>
        </w:rPr>
        <w:t xml:space="preserve"> vaccine that was required for school entry within the state whereas Pennsylvania had high vaccination coverage for MenACWY, even though it was not </w:t>
      </w:r>
      <w:r w:rsidR="00491B20" w:rsidRPr="0013795A">
        <w:rPr>
          <w:color w:val="171717" w:themeColor="background2" w:themeShade="1A"/>
        </w:rPr>
        <w:t>required for school entry.  The cause of this</w:t>
      </w:r>
      <w:r w:rsidRPr="0013795A">
        <w:rPr>
          <w:color w:val="171717" w:themeColor="background2" w:themeShade="1A"/>
        </w:rPr>
        <w:t xml:space="preserve"> discrepancy </w:t>
      </w:r>
      <w:r w:rsidR="00491B20" w:rsidRPr="0013795A">
        <w:rPr>
          <w:color w:val="171717" w:themeColor="background2" w:themeShade="1A"/>
        </w:rPr>
        <w:t>cannot be concluded without further research.</w:t>
      </w:r>
    </w:p>
    <w:p w:rsidR="001F39E6" w:rsidRPr="0013795A" w:rsidRDefault="00DD7FE3" w:rsidP="005D1B74">
      <w:pPr>
        <w:rPr>
          <w:color w:val="171717" w:themeColor="background2" w:themeShade="1A"/>
        </w:rPr>
      </w:pPr>
      <w:r w:rsidRPr="0013795A">
        <w:rPr>
          <w:color w:val="171717" w:themeColor="background2" w:themeShade="1A"/>
        </w:rPr>
        <w:t>For the four states discussed specifically in this paper it can be concluded that t</w:t>
      </w:r>
      <w:r w:rsidR="001F39E6" w:rsidRPr="0013795A">
        <w:rPr>
          <w:color w:val="171717" w:themeColor="background2" w:themeShade="1A"/>
        </w:rPr>
        <w:t xml:space="preserve">he best vaccination policies for school age children seem not to be those that require a greater </w:t>
      </w:r>
      <w:r w:rsidR="00491B20" w:rsidRPr="0013795A">
        <w:rPr>
          <w:color w:val="171717" w:themeColor="background2" w:themeShade="1A"/>
        </w:rPr>
        <w:t>number</w:t>
      </w:r>
      <w:r w:rsidR="001F39E6" w:rsidRPr="0013795A">
        <w:rPr>
          <w:color w:val="171717" w:themeColor="background2" w:themeShade="1A"/>
        </w:rPr>
        <w:t xml:space="preserve"> of</w:t>
      </w:r>
      <w:r w:rsidR="00491B20" w:rsidRPr="0013795A">
        <w:rPr>
          <w:color w:val="171717" w:themeColor="background2" w:themeShade="1A"/>
        </w:rPr>
        <w:t xml:space="preserve"> </w:t>
      </w:r>
      <w:r w:rsidR="00491B20" w:rsidRPr="0013795A">
        <w:rPr>
          <w:color w:val="171717" w:themeColor="background2" w:themeShade="1A"/>
        </w:rPr>
        <w:lastRenderedPageBreak/>
        <w:t>different types of</w:t>
      </w:r>
      <w:r w:rsidR="001F39E6" w:rsidRPr="0013795A">
        <w:rPr>
          <w:color w:val="171717" w:themeColor="background2" w:themeShade="1A"/>
        </w:rPr>
        <w:t xml:space="preserve"> vaccinations, but those that have strict policies with few exemptions.  The harder </w:t>
      </w:r>
      <w:r w:rsidR="00A3025E" w:rsidRPr="0013795A">
        <w:rPr>
          <w:color w:val="171717" w:themeColor="background2" w:themeShade="1A"/>
        </w:rPr>
        <w:t>it is to</w:t>
      </w:r>
      <w:r w:rsidR="001F39E6" w:rsidRPr="0013795A">
        <w:rPr>
          <w:color w:val="171717" w:themeColor="background2" w:themeShade="1A"/>
        </w:rPr>
        <w:t xml:space="preserve"> obtain a vaccine exemption in a state the less </w:t>
      </w:r>
      <w:r w:rsidR="00A3025E" w:rsidRPr="0013795A">
        <w:rPr>
          <w:color w:val="171717" w:themeColor="background2" w:themeShade="1A"/>
        </w:rPr>
        <w:t>likely parents are to do so, resulting in lower vaccine exemption rates in states with stringent exemption policies.</w:t>
      </w:r>
      <w:r w:rsidRPr="0013795A">
        <w:rPr>
          <w:color w:val="171717" w:themeColor="background2" w:themeShade="1A"/>
        </w:rPr>
        <w:t xml:space="preserve">  Whether or not the</w:t>
      </w:r>
      <w:r w:rsidR="00485728" w:rsidRPr="0013795A">
        <w:rPr>
          <w:color w:val="171717" w:themeColor="background2" w:themeShade="1A"/>
        </w:rPr>
        <w:t xml:space="preserve"> same can be said for every state more thorough research would need to be conducted and examined.</w:t>
      </w:r>
    </w:p>
    <w:p w:rsidR="00F0702C" w:rsidRPr="0013795A" w:rsidRDefault="00F0702C" w:rsidP="00F0702C">
      <w:pPr>
        <w:pStyle w:val="Heading2"/>
        <w:rPr>
          <w:color w:val="171717" w:themeColor="background2" w:themeShade="1A"/>
        </w:rPr>
      </w:pPr>
      <w:bookmarkStart w:id="38" w:name="_Toc323241452"/>
      <w:r w:rsidRPr="0013795A">
        <w:rPr>
          <w:color w:val="171717" w:themeColor="background2" w:themeShade="1A"/>
        </w:rPr>
        <w:t>Public Health Relevance</w:t>
      </w:r>
      <w:bookmarkEnd w:id="38"/>
    </w:p>
    <w:p w:rsidR="000866DD" w:rsidRPr="0013795A" w:rsidRDefault="000866DD" w:rsidP="000866DD">
      <w:pPr>
        <w:pStyle w:val="Noindent"/>
        <w:ind w:firstLine="720"/>
        <w:rPr>
          <w:color w:val="171717" w:themeColor="background2" w:themeShade="1A"/>
        </w:rPr>
      </w:pPr>
      <w:r w:rsidRPr="0013795A">
        <w:rPr>
          <w:color w:val="171717" w:themeColor="background2" w:themeShade="1A"/>
        </w:rPr>
        <w:t>Public health’s most important goal is focused on prevention: the prevention of catastrophes, the prevention of injuries, and the prevention of infectious disease through the use of vaccines.  The prevention of these things, among others, allows public health to protect and promote the health and wellbeing of people and communities.  Vaccines prove significant because they do just that.  Thanks to vaccines the risk of becoming infected with smallpox is nonexistent and the risk of many other infectious disease has decreases drastically as well.  Therefore vaccines requirements and their exemptions prove relevant to public health because the more people vaccinated against a disease, the safer the community as a whole.</w:t>
      </w:r>
    </w:p>
    <w:p w:rsidR="00B917F0" w:rsidRPr="0013795A" w:rsidRDefault="00B82CA8" w:rsidP="00B82CA8">
      <w:pPr>
        <w:pStyle w:val="Heading1"/>
        <w:rPr>
          <w:color w:val="171717" w:themeColor="background2" w:themeShade="1A"/>
        </w:rPr>
      </w:pPr>
      <w:bookmarkStart w:id="39" w:name="_Toc323241453"/>
      <w:r w:rsidRPr="0013795A">
        <w:rPr>
          <w:color w:val="171717" w:themeColor="background2" w:themeShade="1A"/>
        </w:rPr>
        <w:lastRenderedPageBreak/>
        <w:t>conclusion</w:t>
      </w:r>
      <w:bookmarkEnd w:id="39"/>
    </w:p>
    <w:p w:rsidR="00E35361" w:rsidRPr="0013795A" w:rsidRDefault="00E10C35" w:rsidP="000866DD">
      <w:pPr>
        <w:rPr>
          <w:color w:val="171717" w:themeColor="background2" w:themeShade="1A"/>
        </w:rPr>
      </w:pPr>
      <w:r w:rsidRPr="0013795A">
        <w:rPr>
          <w:color w:val="171717" w:themeColor="background2" w:themeShade="1A"/>
        </w:rPr>
        <w:t xml:space="preserve">It is unrealistic to think that every state would be willing to alter their vaccine policies in an attempt to increase vaccination rates and improve the safety of the general public simply because a large portion of the general </w:t>
      </w:r>
      <w:r w:rsidR="000866DD" w:rsidRPr="0013795A">
        <w:rPr>
          <w:color w:val="171717" w:themeColor="background2" w:themeShade="1A"/>
        </w:rPr>
        <w:t xml:space="preserve">public may be opposed to this.  Some parents may still wrongly fear the risk of autism; others make the claim that a natural immune system should be enough to ward off infectious diseases.  </w:t>
      </w:r>
      <w:r w:rsidRPr="0013795A">
        <w:rPr>
          <w:color w:val="171717" w:themeColor="background2" w:themeShade="1A"/>
        </w:rPr>
        <w:t>Yet it is still important for a best practice policy to be agreed upon so that if and when a state does decide to take the steps toward improving their vaccination rates they know in what direction they need to go to do so.  Not allowing for exemptions other than doctor approved medical exemptions seems to be the best practice policy for increasing vaccination rates and improving herd immunity within a state.</w:t>
      </w:r>
    </w:p>
    <w:p w:rsidR="00E35361" w:rsidRPr="0013795A" w:rsidRDefault="00E35361" w:rsidP="00E35361">
      <w:pPr>
        <w:rPr>
          <w:color w:val="171717" w:themeColor="background2" w:themeShade="1A"/>
        </w:rPr>
      </w:pPr>
    </w:p>
    <w:p w:rsidR="00474FFE" w:rsidRPr="0013795A" w:rsidRDefault="00DA5BA8" w:rsidP="00474FFE">
      <w:pPr>
        <w:pStyle w:val="Heading"/>
        <w:rPr>
          <w:color w:val="171717" w:themeColor="background2" w:themeShade="1A"/>
        </w:rPr>
      </w:pPr>
      <w:bookmarkStart w:id="40" w:name="_Toc323241454"/>
      <w:r w:rsidRPr="0013795A">
        <w:rPr>
          <w:color w:val="171717" w:themeColor="background2" w:themeShade="1A"/>
        </w:rPr>
        <w:lastRenderedPageBreak/>
        <w:t>bibliogra</w:t>
      </w:r>
      <w:bookmarkStart w:id="41" w:name="_GoBack"/>
      <w:bookmarkEnd w:id="41"/>
      <w:r w:rsidRPr="0013795A">
        <w:rPr>
          <w:color w:val="171717" w:themeColor="background2" w:themeShade="1A"/>
        </w:rPr>
        <w:t>phy</w:t>
      </w:r>
      <w:bookmarkEnd w:id="40"/>
    </w:p>
    <w:p w:rsidR="00474FFE" w:rsidRPr="0013795A" w:rsidRDefault="00474FFE" w:rsidP="00474FFE">
      <w:pPr>
        <w:pStyle w:val="EndNoteBibliography"/>
        <w:ind w:left="720" w:hanging="720"/>
        <w:rPr>
          <w:noProof/>
          <w:color w:val="171717" w:themeColor="background2" w:themeShade="1A"/>
        </w:rPr>
      </w:pPr>
      <w:r w:rsidRPr="0013795A">
        <w:rPr>
          <w:color w:val="171717" w:themeColor="background2" w:themeShade="1A"/>
        </w:rPr>
        <w:fldChar w:fldCharType="begin"/>
      </w:r>
      <w:r w:rsidRPr="0013795A">
        <w:rPr>
          <w:color w:val="171717" w:themeColor="background2" w:themeShade="1A"/>
        </w:rPr>
        <w:instrText xml:space="preserve"> ADDIN EN.REFLIST </w:instrText>
      </w:r>
      <w:r w:rsidRPr="0013795A">
        <w:rPr>
          <w:color w:val="171717" w:themeColor="background2" w:themeShade="1A"/>
        </w:rPr>
        <w:fldChar w:fldCharType="separate"/>
      </w:r>
      <w:r w:rsidRPr="0013795A">
        <w:rPr>
          <w:noProof/>
          <w:color w:val="171717" w:themeColor="background2" w:themeShade="1A"/>
        </w:rPr>
        <w:t xml:space="preserve">Chart of Contraindications and Precautions to Commonly Used Vaccines. (2014, January).   Retrieved March 23, 2016, from </w:t>
      </w:r>
      <w:hyperlink r:id="rId16" w:history="1">
        <w:r w:rsidRPr="0013795A">
          <w:rPr>
            <w:rStyle w:val="Hyperlink"/>
            <w:noProof/>
            <w:color w:val="171717" w:themeColor="background2" w:themeShade="1A"/>
          </w:rPr>
          <w:t>http://www.cdc.gov/vaccines/recs/vac-admin/contraindications-vacc.htm</w:t>
        </w:r>
      </w:hyperlink>
    </w:p>
    <w:p w:rsidR="00474FFE" w:rsidRPr="0013795A" w:rsidRDefault="00474FFE" w:rsidP="00474FFE">
      <w:pPr>
        <w:pStyle w:val="EndNoteBibliography"/>
        <w:ind w:left="720" w:hanging="720"/>
        <w:rPr>
          <w:noProof/>
          <w:color w:val="171717" w:themeColor="background2" w:themeShade="1A"/>
        </w:rPr>
      </w:pPr>
      <w:r w:rsidRPr="0013795A">
        <w:rPr>
          <w:noProof/>
          <w:color w:val="171717" w:themeColor="background2" w:themeShade="1A"/>
        </w:rPr>
        <w:t xml:space="preserve">Community Immunity. (2015, April 16).   Retrieved January 23, 2016, from </w:t>
      </w:r>
      <w:hyperlink r:id="rId17" w:history="1">
        <w:r w:rsidRPr="0013795A">
          <w:rPr>
            <w:rStyle w:val="Hyperlink"/>
            <w:noProof/>
            <w:color w:val="171717" w:themeColor="background2" w:themeShade="1A"/>
          </w:rPr>
          <w:t>http://www.vaccines.gov/basics/protection/</w:t>
        </w:r>
      </w:hyperlink>
    </w:p>
    <w:p w:rsidR="00474FFE" w:rsidRPr="0013795A" w:rsidRDefault="00474FFE" w:rsidP="00474FFE">
      <w:pPr>
        <w:pStyle w:val="EndNoteBibliography"/>
        <w:ind w:left="720" w:hanging="720"/>
        <w:rPr>
          <w:noProof/>
          <w:color w:val="171717" w:themeColor="background2" w:themeShade="1A"/>
        </w:rPr>
      </w:pPr>
      <w:r w:rsidRPr="0013795A">
        <w:rPr>
          <w:noProof/>
          <w:color w:val="171717" w:themeColor="background2" w:themeShade="1A"/>
        </w:rPr>
        <w:t xml:space="preserve">Eileen Wang, J. C., Cecilia Davis-Hayes and Alison Buttenheim. (2014). Nonmedical Exemptions From School Immunization Requirements: A Systematic Review. </w:t>
      </w:r>
      <w:r w:rsidRPr="0013795A">
        <w:rPr>
          <w:i/>
          <w:noProof/>
          <w:color w:val="171717" w:themeColor="background2" w:themeShade="1A"/>
        </w:rPr>
        <w:t>American Journal of Public Health, 104</w:t>
      </w:r>
      <w:r w:rsidRPr="0013795A">
        <w:rPr>
          <w:noProof/>
          <w:color w:val="171717" w:themeColor="background2" w:themeShade="1A"/>
        </w:rPr>
        <w:t xml:space="preserve">(11), 62-84. </w:t>
      </w:r>
    </w:p>
    <w:p w:rsidR="00474FFE" w:rsidRPr="0013795A" w:rsidRDefault="00474FFE" w:rsidP="00474FFE">
      <w:pPr>
        <w:pStyle w:val="EndNoteBibliography"/>
        <w:ind w:left="720" w:hanging="720"/>
        <w:rPr>
          <w:noProof/>
          <w:color w:val="171717" w:themeColor="background2" w:themeShade="1A"/>
        </w:rPr>
      </w:pPr>
      <w:r w:rsidRPr="0013795A">
        <w:rPr>
          <w:noProof/>
          <w:color w:val="171717" w:themeColor="background2" w:themeShade="1A"/>
        </w:rPr>
        <w:t>Frankel, T. C. (2015, January 30, 2015). Mississippi - yes , Mississippi - has the nation's best child vaccination rate. Here's why.</w:t>
      </w:r>
      <w:r w:rsidRPr="0013795A">
        <w:rPr>
          <w:i/>
          <w:noProof/>
          <w:color w:val="171717" w:themeColor="background2" w:themeShade="1A"/>
        </w:rPr>
        <w:t xml:space="preserve"> The Washington Post</w:t>
      </w:r>
      <w:r w:rsidRPr="0013795A">
        <w:rPr>
          <w:noProof/>
          <w:color w:val="171717" w:themeColor="background2" w:themeShade="1A"/>
        </w:rPr>
        <w:t>. Retrieved from https://</w:t>
      </w:r>
      <w:hyperlink r:id="rId18" w:history="1">
        <w:r w:rsidRPr="0013795A">
          <w:rPr>
            <w:rStyle w:val="Hyperlink"/>
            <w:noProof/>
            <w:color w:val="171717" w:themeColor="background2" w:themeShade="1A"/>
          </w:rPr>
          <w:t>http://www.washingtonpost.com/news/storyline/wp/2015/01/30/mississippi-yes-mississippi-has-the-nations-best-child-vaccination-rate-heres-why/</w:t>
        </w:r>
      </w:hyperlink>
    </w:p>
    <w:p w:rsidR="00474FFE" w:rsidRPr="0013795A" w:rsidRDefault="00474FFE" w:rsidP="00474FFE">
      <w:pPr>
        <w:pStyle w:val="EndNoteBibliography"/>
        <w:ind w:left="720" w:hanging="720"/>
        <w:rPr>
          <w:noProof/>
          <w:color w:val="171717" w:themeColor="background2" w:themeShade="1A"/>
        </w:rPr>
      </w:pPr>
      <w:r w:rsidRPr="0013795A">
        <w:rPr>
          <w:noProof/>
          <w:color w:val="171717" w:themeColor="background2" w:themeShade="1A"/>
        </w:rPr>
        <w:t xml:space="preserve">Guide To Immunizations Required For School Entry. (2015, November 2016).   Retrieved February 7, 2016, from </w:t>
      </w:r>
      <w:hyperlink r:id="rId19" w:history="1">
        <w:r w:rsidRPr="0013795A">
          <w:rPr>
            <w:rStyle w:val="Hyperlink"/>
            <w:noProof/>
            <w:color w:val="171717" w:themeColor="background2" w:themeShade="1A"/>
          </w:rPr>
          <w:t>http://eziz.org/assets/docs/IMM-231.pdf</w:t>
        </w:r>
      </w:hyperlink>
    </w:p>
    <w:p w:rsidR="00474FFE" w:rsidRPr="0013795A" w:rsidRDefault="00474FFE" w:rsidP="00474FFE">
      <w:pPr>
        <w:pStyle w:val="EndNoteBibliography"/>
        <w:ind w:left="720" w:hanging="720"/>
        <w:rPr>
          <w:noProof/>
          <w:color w:val="171717" w:themeColor="background2" w:themeShade="1A"/>
        </w:rPr>
      </w:pPr>
      <w:r w:rsidRPr="0013795A">
        <w:rPr>
          <w:noProof/>
          <w:color w:val="171717" w:themeColor="background2" w:themeShade="1A"/>
        </w:rPr>
        <w:t xml:space="preserve">Immunization Requirements of Enrolled Students in Connecticut Schools. (2016).   Retrieved February 7, 2016, from </w:t>
      </w:r>
      <w:hyperlink r:id="rId20" w:history="1">
        <w:r w:rsidRPr="0013795A">
          <w:rPr>
            <w:rStyle w:val="Hyperlink"/>
            <w:noProof/>
            <w:color w:val="171717" w:themeColor="background2" w:themeShade="1A"/>
          </w:rPr>
          <w:t>http://www.bridgeportedu.com/health/docs/2015-2016/School_Immunizations-2015-16.pdf</w:t>
        </w:r>
      </w:hyperlink>
    </w:p>
    <w:p w:rsidR="00474FFE" w:rsidRPr="0013795A" w:rsidRDefault="00474FFE" w:rsidP="00474FFE">
      <w:pPr>
        <w:pStyle w:val="EndNoteBibliography"/>
        <w:ind w:left="720" w:hanging="720"/>
        <w:rPr>
          <w:noProof/>
          <w:color w:val="171717" w:themeColor="background2" w:themeShade="1A"/>
        </w:rPr>
      </w:pPr>
      <w:r w:rsidRPr="0013795A">
        <w:rPr>
          <w:noProof/>
          <w:color w:val="171717" w:themeColor="background2" w:themeShade="1A"/>
        </w:rPr>
        <w:t xml:space="preserve">Influenza Final Surveillance Summary for 2014-2015 Influenza Season. (2015, October 15).   Retrieved February 7, 2016, from </w:t>
      </w:r>
      <w:hyperlink r:id="rId21" w:history="1">
        <w:r w:rsidRPr="0013795A">
          <w:rPr>
            <w:rStyle w:val="Hyperlink"/>
            <w:noProof/>
            <w:color w:val="171717" w:themeColor="background2" w:themeShade="1A"/>
          </w:rPr>
          <w:t>http://www.ct.gov/dph/lib/dph/infectious_diseases/flu/stats/2014-2015_flu_season_summary.pdf</w:t>
        </w:r>
      </w:hyperlink>
    </w:p>
    <w:p w:rsidR="00474FFE" w:rsidRPr="0013795A" w:rsidRDefault="00474FFE" w:rsidP="00474FFE">
      <w:pPr>
        <w:pStyle w:val="EndNoteBibliography"/>
        <w:ind w:left="720" w:hanging="720"/>
        <w:rPr>
          <w:noProof/>
          <w:color w:val="171717" w:themeColor="background2" w:themeShade="1A"/>
        </w:rPr>
      </w:pPr>
      <w:r w:rsidRPr="0013795A">
        <w:rPr>
          <w:noProof/>
          <w:color w:val="171717" w:themeColor="background2" w:themeShade="1A"/>
        </w:rPr>
        <w:t>Jacobson v. Massachusetts, 70, JUSTIA  (U.S. Supreme Court 1905).</w:t>
      </w:r>
    </w:p>
    <w:p w:rsidR="00474FFE" w:rsidRPr="0013795A" w:rsidRDefault="00474FFE" w:rsidP="00474FFE">
      <w:pPr>
        <w:pStyle w:val="EndNoteBibliography"/>
        <w:ind w:left="720" w:hanging="720"/>
        <w:rPr>
          <w:noProof/>
          <w:color w:val="171717" w:themeColor="background2" w:themeShade="1A"/>
        </w:rPr>
      </w:pPr>
      <w:r w:rsidRPr="0013795A">
        <w:rPr>
          <w:noProof/>
          <w:color w:val="171717" w:themeColor="background2" w:themeShade="1A"/>
        </w:rPr>
        <w:t xml:space="preserve">Legislators, N. C. o. S. (2016, January 21). States with Religious and Philosophical Exemptions from School Immunization Requirements.   Retrieved March 23, 2016, from </w:t>
      </w:r>
      <w:hyperlink r:id="rId22" w:history="1">
        <w:r w:rsidRPr="0013795A">
          <w:rPr>
            <w:rStyle w:val="Hyperlink"/>
            <w:noProof/>
            <w:color w:val="171717" w:themeColor="background2" w:themeShade="1A"/>
          </w:rPr>
          <w:t>http://www.ncsl.org/research/health/school-immunization-exemption-state-laws.aspx</w:t>
        </w:r>
      </w:hyperlink>
    </w:p>
    <w:p w:rsidR="00474FFE" w:rsidRPr="0013795A" w:rsidRDefault="00474FFE" w:rsidP="00474FFE">
      <w:pPr>
        <w:pStyle w:val="EndNoteBibliography"/>
        <w:ind w:left="720" w:hanging="720"/>
        <w:rPr>
          <w:noProof/>
          <w:color w:val="171717" w:themeColor="background2" w:themeShade="1A"/>
        </w:rPr>
      </w:pPr>
      <w:r w:rsidRPr="0013795A">
        <w:rPr>
          <w:noProof/>
          <w:color w:val="171717" w:themeColor="background2" w:themeShade="1A"/>
        </w:rPr>
        <w:t xml:space="preserve">Mandich, W. D. B. a. A. (2014). Some State Vaccination Laws Contribute To Greater Exemption Rates And Disease Outbreaks In The United States. </w:t>
      </w:r>
      <w:r w:rsidRPr="0013795A">
        <w:rPr>
          <w:i/>
          <w:noProof/>
          <w:color w:val="171717" w:themeColor="background2" w:themeShade="1A"/>
        </w:rPr>
        <w:t>Health Affairs, 34</w:t>
      </w:r>
      <w:r w:rsidRPr="0013795A">
        <w:rPr>
          <w:noProof/>
          <w:color w:val="171717" w:themeColor="background2" w:themeShade="1A"/>
        </w:rPr>
        <w:t>(8), 1383-1390. doi: 10.1377/hlthaff.2014.1428</w:t>
      </w:r>
    </w:p>
    <w:p w:rsidR="00474FFE" w:rsidRPr="0013795A" w:rsidRDefault="00474FFE" w:rsidP="00474FFE">
      <w:pPr>
        <w:pStyle w:val="EndNoteBibliography"/>
        <w:ind w:left="720" w:hanging="720"/>
        <w:rPr>
          <w:noProof/>
          <w:color w:val="171717" w:themeColor="background2" w:themeShade="1A"/>
        </w:rPr>
      </w:pPr>
      <w:r w:rsidRPr="0013795A">
        <w:rPr>
          <w:noProof/>
          <w:color w:val="171717" w:themeColor="background2" w:themeShade="1A"/>
        </w:rPr>
        <w:t>McCarthy v. Boozman, Supp. 2d 945  (The United States District Court Western District of Arkansas 2002).</w:t>
      </w:r>
    </w:p>
    <w:p w:rsidR="00474FFE" w:rsidRPr="0013795A" w:rsidRDefault="00474FFE" w:rsidP="00474FFE">
      <w:pPr>
        <w:pStyle w:val="EndNoteBibliography"/>
        <w:ind w:left="720" w:hanging="720"/>
        <w:rPr>
          <w:noProof/>
          <w:color w:val="171717" w:themeColor="background2" w:themeShade="1A"/>
        </w:rPr>
      </w:pPr>
      <w:r w:rsidRPr="0013795A">
        <w:rPr>
          <w:noProof/>
          <w:color w:val="171717" w:themeColor="background2" w:themeShade="1A"/>
        </w:rPr>
        <w:t xml:space="preserve">Mississippi School Immunization Requirements. (2015, January 12).   Retrieved February 7, 2016, from </w:t>
      </w:r>
      <w:hyperlink r:id="rId23" w:history="1">
        <w:r w:rsidRPr="0013795A">
          <w:rPr>
            <w:rStyle w:val="Hyperlink"/>
            <w:noProof/>
            <w:color w:val="171717" w:themeColor="background2" w:themeShade="1A"/>
          </w:rPr>
          <w:t>http://msdh.ms.gov/msdhsite/_static/resources/2029.pdf</w:t>
        </w:r>
      </w:hyperlink>
    </w:p>
    <w:p w:rsidR="00474FFE" w:rsidRPr="0013795A" w:rsidRDefault="00474FFE" w:rsidP="00474FFE">
      <w:pPr>
        <w:pStyle w:val="EndNoteBibliography"/>
        <w:ind w:left="720" w:hanging="720"/>
        <w:rPr>
          <w:noProof/>
          <w:color w:val="171717" w:themeColor="background2" w:themeShade="1A"/>
        </w:rPr>
      </w:pPr>
      <w:r w:rsidRPr="0013795A">
        <w:rPr>
          <w:noProof/>
          <w:color w:val="171717" w:themeColor="background2" w:themeShade="1A"/>
        </w:rPr>
        <w:t xml:space="preserve">Nina R. Blank, A. L. C. a. C. C. (2013). Exempting Schoolchildren From Immunizations: State With Few Barriers Had Highest Rates Of Nonmedical Exemptions. </w:t>
      </w:r>
      <w:r w:rsidRPr="0013795A">
        <w:rPr>
          <w:i/>
          <w:noProof/>
          <w:color w:val="171717" w:themeColor="background2" w:themeShade="1A"/>
        </w:rPr>
        <w:t>Health Affairs, 32</w:t>
      </w:r>
      <w:r w:rsidRPr="0013795A">
        <w:rPr>
          <w:noProof/>
          <w:color w:val="171717" w:themeColor="background2" w:themeShade="1A"/>
        </w:rPr>
        <w:t>(7), 1282-1290. doi: 10.1377/hlthaff.2013.0239</w:t>
      </w:r>
      <w:r w:rsidR="00CA53FB">
        <w:rPr>
          <w:noProof/>
          <w:color w:val="171717" w:themeColor="background2" w:themeShade="1A"/>
        </w:rPr>
        <w:t>.</w:t>
      </w:r>
    </w:p>
    <w:p w:rsidR="00474FFE" w:rsidRPr="0013795A" w:rsidRDefault="00474FFE" w:rsidP="00474FFE">
      <w:pPr>
        <w:pStyle w:val="EndNoteBibliography"/>
        <w:ind w:left="720" w:hanging="720"/>
        <w:rPr>
          <w:noProof/>
          <w:color w:val="171717" w:themeColor="background2" w:themeShade="1A"/>
        </w:rPr>
      </w:pPr>
      <w:r w:rsidRPr="0013795A">
        <w:rPr>
          <w:noProof/>
          <w:color w:val="171717" w:themeColor="background2" w:themeShade="1A"/>
        </w:rPr>
        <w:t>Population Estimates (U. S. C. Bureau, Trans.). (2015).</w:t>
      </w:r>
    </w:p>
    <w:p w:rsidR="00474FFE" w:rsidRPr="0013795A" w:rsidRDefault="00474FFE" w:rsidP="00474FFE">
      <w:pPr>
        <w:pStyle w:val="EndNoteBibliography"/>
        <w:ind w:left="720" w:hanging="720"/>
        <w:rPr>
          <w:noProof/>
          <w:color w:val="171717" w:themeColor="background2" w:themeShade="1A"/>
        </w:rPr>
      </w:pPr>
      <w:r w:rsidRPr="0013795A">
        <w:rPr>
          <w:noProof/>
          <w:color w:val="171717" w:themeColor="background2" w:themeShade="1A"/>
        </w:rPr>
        <w:lastRenderedPageBreak/>
        <w:t>Prevention, C. f. D. C. a. (2014). Maps/Figures 2014 Estimated Coverage by State.</w:t>
      </w:r>
    </w:p>
    <w:p w:rsidR="00474FFE" w:rsidRPr="0013795A" w:rsidRDefault="00474FFE" w:rsidP="00CA53FB">
      <w:pPr>
        <w:pStyle w:val="EndNoteBibliography"/>
        <w:ind w:left="720" w:hanging="720"/>
        <w:jc w:val="left"/>
        <w:rPr>
          <w:noProof/>
          <w:color w:val="171717" w:themeColor="background2" w:themeShade="1A"/>
        </w:rPr>
      </w:pPr>
      <w:r w:rsidRPr="0013795A">
        <w:rPr>
          <w:noProof/>
          <w:color w:val="171717" w:themeColor="background2" w:themeShade="1A"/>
        </w:rPr>
        <w:t xml:space="preserve">State-by-State: Vaccinations Required for Public School Kindergarten. (2014, September 3).   Retrieved February 16, 2016, from </w:t>
      </w:r>
      <w:hyperlink r:id="rId24" w:history="1">
        <w:r w:rsidRPr="0013795A">
          <w:rPr>
            <w:rStyle w:val="Hyperlink"/>
            <w:noProof/>
            <w:color w:val="171717" w:themeColor="background2" w:themeShade="1A"/>
          </w:rPr>
          <w:t>http://vaccines.procon.org/view.resource.php?resourceID=005979</w:t>
        </w:r>
      </w:hyperlink>
    </w:p>
    <w:p w:rsidR="00474FFE" w:rsidRPr="0013795A" w:rsidRDefault="00474FFE" w:rsidP="00CA53FB">
      <w:pPr>
        <w:pStyle w:val="EndNoteBibliography"/>
        <w:ind w:left="720" w:hanging="720"/>
        <w:jc w:val="left"/>
        <w:rPr>
          <w:noProof/>
          <w:color w:val="171717" w:themeColor="background2" w:themeShade="1A"/>
        </w:rPr>
      </w:pPr>
      <w:r w:rsidRPr="0013795A">
        <w:rPr>
          <w:noProof/>
          <w:color w:val="171717" w:themeColor="background2" w:themeShade="1A"/>
        </w:rPr>
        <w:t xml:space="preserve">Subchapter C. </w:t>
      </w:r>
      <w:r w:rsidR="00CA53FB" w:rsidRPr="0013795A">
        <w:rPr>
          <w:noProof/>
          <w:color w:val="171717" w:themeColor="background2" w:themeShade="1A"/>
        </w:rPr>
        <w:t>Immunization</w:t>
      </w:r>
      <w:r w:rsidRPr="0013795A">
        <w:rPr>
          <w:noProof/>
          <w:color w:val="171717" w:themeColor="background2" w:themeShade="1A"/>
        </w:rPr>
        <w:t xml:space="preserve">.  Retrieved February 7 </w:t>
      </w:r>
      <w:hyperlink r:id="rId25" w:history="1">
        <w:r w:rsidRPr="0013795A">
          <w:rPr>
            <w:rStyle w:val="Hyperlink"/>
            <w:noProof/>
            <w:color w:val="171717" w:themeColor="background2" w:themeShade="1A"/>
          </w:rPr>
          <w:t>http://www.pacode.com/secure/data/028/chapter23/subchapCtoc.html</w:t>
        </w:r>
      </w:hyperlink>
    </w:p>
    <w:p w:rsidR="00474FFE" w:rsidRPr="0013795A" w:rsidRDefault="00474FFE" w:rsidP="00474FFE">
      <w:pPr>
        <w:pStyle w:val="EndNoteBibliography"/>
        <w:ind w:left="720" w:hanging="720"/>
        <w:rPr>
          <w:noProof/>
          <w:color w:val="171717" w:themeColor="background2" w:themeShade="1A"/>
        </w:rPr>
      </w:pPr>
      <w:r w:rsidRPr="0013795A">
        <w:rPr>
          <w:noProof/>
          <w:color w:val="171717" w:themeColor="background2" w:themeShade="1A"/>
        </w:rPr>
        <w:t xml:space="preserve">Ten Great Public Health Achievements in the 20th Century. (2013, April 26, 2013).   Retrieved 1-26-16, 2016, from </w:t>
      </w:r>
      <w:hyperlink r:id="rId26" w:history="1">
        <w:r w:rsidRPr="0013795A">
          <w:rPr>
            <w:rStyle w:val="Hyperlink"/>
            <w:noProof/>
            <w:color w:val="171717" w:themeColor="background2" w:themeShade="1A"/>
          </w:rPr>
          <w:t>http://www.cdc.gov/about/history/tengpha.htm</w:t>
        </w:r>
      </w:hyperlink>
    </w:p>
    <w:p w:rsidR="00474FFE" w:rsidRPr="0013795A" w:rsidRDefault="00474FFE" w:rsidP="00474FFE">
      <w:pPr>
        <w:pStyle w:val="EndNoteBibliography"/>
        <w:ind w:left="720" w:hanging="720"/>
        <w:rPr>
          <w:noProof/>
          <w:color w:val="171717" w:themeColor="background2" w:themeShade="1A"/>
        </w:rPr>
      </w:pPr>
      <w:r w:rsidRPr="0013795A">
        <w:rPr>
          <w:noProof/>
          <w:color w:val="171717" w:themeColor="background2" w:themeShade="1A"/>
        </w:rPr>
        <w:t xml:space="preserve">Vaccine Laws. (2016).   Retrieved 1/15, 2016, from </w:t>
      </w:r>
      <w:hyperlink r:id="rId27" w:history="1">
        <w:r w:rsidRPr="0013795A">
          <w:rPr>
            <w:rStyle w:val="Hyperlink"/>
            <w:noProof/>
            <w:color w:val="171717" w:themeColor="background2" w:themeShade="1A"/>
          </w:rPr>
          <w:t>http://www.nvic.org/vaccine-laws.aspx</w:t>
        </w:r>
      </w:hyperlink>
    </w:p>
    <w:p w:rsidR="001628DD" w:rsidRDefault="00474FFE" w:rsidP="00630B3A">
      <w:r w:rsidRPr="0013795A">
        <w:rPr>
          <w:color w:val="171717" w:themeColor="background2" w:themeShade="1A"/>
        </w:rPr>
        <w:fldChar w:fldCharType="end"/>
      </w:r>
    </w:p>
    <w:sectPr w:rsidR="001628DD" w:rsidSect="006B1124">
      <w:footerReference w:type="default" r:id="rId2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3FB" w:rsidRDefault="00CA53FB">
      <w:r>
        <w:separator/>
      </w:r>
    </w:p>
  </w:endnote>
  <w:endnote w:type="continuationSeparator" w:id="0">
    <w:p w:rsidR="00CA53FB" w:rsidRDefault="00CA5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 Dingbats">
    <w:altName w:val="Wingdings 2"/>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3FB" w:rsidRDefault="00CA53FB" w:rsidP="006B1124">
    <w:pPr>
      <w:tabs>
        <w:tab w:val="center" w:pos="4680"/>
      </w:tabs>
      <w:ind w:firstLine="0"/>
    </w:pPr>
    <w:r>
      <w:tab/>
    </w:r>
    <w:r>
      <w:fldChar w:fldCharType="begin"/>
    </w:r>
    <w:r>
      <w:instrText xml:space="preserve"> PAGE </w:instrText>
    </w:r>
    <w:r>
      <w:fldChar w:fldCharType="separate"/>
    </w:r>
    <w:r w:rsidR="0041285F">
      <w:rPr>
        <w:noProof/>
      </w:rPr>
      <w:t>vii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3FB" w:rsidRDefault="00CA53FB" w:rsidP="006B1124">
    <w:pPr>
      <w:tabs>
        <w:tab w:val="center" w:pos="4680"/>
      </w:tabs>
      <w:ind w:firstLine="0"/>
    </w:pPr>
    <w:r>
      <w:tab/>
    </w:r>
    <w:r>
      <w:fldChar w:fldCharType="begin"/>
    </w:r>
    <w:r>
      <w:instrText xml:space="preserve"> PAGE </w:instrText>
    </w:r>
    <w:r>
      <w:fldChar w:fldCharType="separate"/>
    </w:r>
    <w:r w:rsidR="0041285F">
      <w:rPr>
        <w:noProof/>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3FB" w:rsidRDefault="00CA53FB">
      <w:r>
        <w:separator/>
      </w:r>
    </w:p>
  </w:footnote>
  <w:footnote w:type="continuationSeparator" w:id="0">
    <w:p w:rsidR="00CA53FB" w:rsidRDefault="00CA53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D4CE5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8ECFC8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54C1D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C841AA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DEE72B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84482F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6C2678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41077D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8D0F70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B26F58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A7649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C315625"/>
    <w:multiLevelType w:val="multilevel"/>
    <w:tmpl w:val="3C72564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D60517A"/>
    <w:multiLevelType w:val="multilevel"/>
    <w:tmpl w:val="B00EB1C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4" w15:restartNumberingAfterBreak="0">
    <w:nsid w:val="151907C4"/>
    <w:multiLevelType w:val="multilevel"/>
    <w:tmpl w:val="F43C4336"/>
    <w:lvl w:ilvl="0">
      <w:start w:val="1"/>
      <w:numFmt w:val="decimal"/>
      <w:lvlText w:val="%1.0 "/>
      <w:lvlJc w:val="left"/>
      <w:pPr>
        <w:tabs>
          <w:tab w:val="num" w:pos="0"/>
        </w:tabs>
        <w:ind w:left="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440" w:firstLine="0"/>
      </w:pPr>
      <w:rPr>
        <w:rFonts w:hint="default"/>
        <w:b/>
        <w:i w:val="0"/>
        <w:sz w:val="24"/>
        <w:szCs w:val="24"/>
      </w:rPr>
    </w:lvl>
    <w:lvl w:ilvl="3">
      <w:start w:val="1"/>
      <w:numFmt w:val="decimal"/>
      <w:lvlText w:val="%1.%2.%3.%4"/>
      <w:lvlJc w:val="left"/>
      <w:pPr>
        <w:tabs>
          <w:tab w:val="num" w:pos="-1440"/>
        </w:tabs>
        <w:ind w:left="-1440" w:firstLine="0"/>
      </w:pPr>
      <w:rPr>
        <w:rFonts w:hint="default"/>
        <w:b/>
        <w:i w:val="0"/>
        <w:sz w:val="24"/>
        <w:szCs w:val="24"/>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5" w15:restartNumberingAfterBreak="0">
    <w:nsid w:val="257C3A0B"/>
    <w:multiLevelType w:val="multilevel"/>
    <w:tmpl w:val="0B58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794F50"/>
    <w:multiLevelType w:val="hybridMultilevel"/>
    <w:tmpl w:val="E438B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8" w15:restartNumberingAfterBreak="0">
    <w:nsid w:val="4F506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1851D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35654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7E64804"/>
    <w:multiLevelType w:val="multilevel"/>
    <w:tmpl w:val="35D46E44"/>
    <w:lvl w:ilvl="0">
      <w:start w:val="1"/>
      <w:numFmt w:val="upperLetter"/>
      <w:suff w:val="nothing"/>
      <w:lvlText w:val="APPENDIX %1"/>
      <w:lvlJc w:val="left"/>
      <w:pPr>
        <w:ind w:left="0" w:firstLine="0"/>
      </w:pPr>
      <w:rPr>
        <w:rFonts w:hint="default"/>
        <w:b/>
        <w:i w:val="0"/>
        <w:caps/>
        <w:sz w:val="24"/>
        <w:szCs w:val="24"/>
      </w:rPr>
    </w:lvl>
    <w:lvl w:ilvl="1">
      <w:start w:val="1"/>
      <w:numFmt w:val="decimalZero"/>
      <w:isLgl/>
      <w:lvlText w:val="Section %1.%2"/>
      <w:lvlJc w:val="left"/>
      <w:pPr>
        <w:tabs>
          <w:tab w:val="num" w:pos="1800"/>
        </w:tabs>
        <w:ind w:left="-720" w:firstLine="0"/>
      </w:pPr>
      <w:rPr>
        <w:rFonts w:hint="default"/>
      </w:rPr>
    </w:lvl>
    <w:lvl w:ilvl="2">
      <w:start w:val="1"/>
      <w:numFmt w:val="lowerLetter"/>
      <w:lvlText w:val="(%3)"/>
      <w:lvlJc w:val="left"/>
      <w:pPr>
        <w:tabs>
          <w:tab w:val="num" w:pos="288"/>
        </w:tabs>
        <w:ind w:left="0" w:hanging="432"/>
      </w:pPr>
      <w:rPr>
        <w:rFonts w:hint="default"/>
      </w:rPr>
    </w:lvl>
    <w:lvl w:ilvl="3">
      <w:start w:val="1"/>
      <w:numFmt w:val="lowerRoman"/>
      <w:lvlText w:val="(%4)"/>
      <w:lvlJc w:val="right"/>
      <w:pPr>
        <w:tabs>
          <w:tab w:val="num" w:pos="144"/>
        </w:tabs>
        <w:ind w:left="144" w:hanging="144"/>
      </w:pPr>
      <w:rPr>
        <w:rFonts w:hint="default"/>
      </w:rPr>
    </w:lvl>
    <w:lvl w:ilvl="4">
      <w:start w:val="1"/>
      <w:numFmt w:val="upperLetter"/>
      <w:lvlRestart w:val="0"/>
      <w:suff w:val="nothing"/>
      <w:lvlText w:val="Appendix %5"/>
      <w:lvlJc w:val="left"/>
      <w:pPr>
        <w:ind w:left="720" w:firstLine="0"/>
      </w:pPr>
      <w:rPr>
        <w:rFonts w:hint="default"/>
        <w:b/>
        <w:i w:val="0"/>
        <w:caps/>
        <w:sz w:val="20"/>
        <w:szCs w:val="20"/>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22" w15:restartNumberingAfterBreak="0">
    <w:nsid w:val="580F7A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4"/>
  </w:num>
  <w:num w:numId="2">
    <w:abstractNumId w:val="17"/>
  </w:num>
  <w:num w:numId="3">
    <w:abstractNumId w:val="17"/>
  </w:num>
  <w:num w:numId="4">
    <w:abstractNumId w:val="12"/>
  </w:num>
  <w:num w:numId="5">
    <w:abstractNumId w:val="12"/>
  </w:num>
  <w:num w:numId="6">
    <w:abstractNumId w:val="12"/>
  </w:num>
  <w:num w:numId="7">
    <w:abstractNumId w:val="12"/>
  </w:num>
  <w:num w:numId="8">
    <w:abstractNumId w:val="17"/>
  </w:num>
  <w:num w:numId="9">
    <w:abstractNumId w:val="17"/>
  </w:num>
  <w:num w:numId="10">
    <w:abstractNumId w:val="17"/>
  </w:num>
  <w:num w:numId="11">
    <w:abstractNumId w:val="12"/>
  </w:num>
  <w:num w:numId="12">
    <w:abstractNumId w:val="12"/>
  </w:num>
  <w:num w:numId="13">
    <w:abstractNumId w:val="12"/>
  </w:num>
  <w:num w:numId="14">
    <w:abstractNumId w:val="12"/>
  </w:num>
  <w:num w:numId="15">
    <w:abstractNumId w:val="21"/>
  </w:num>
  <w:num w:numId="16">
    <w:abstractNumId w:val="17"/>
  </w:num>
  <w:num w:numId="17">
    <w:abstractNumId w:val="17"/>
  </w:num>
  <w:num w:numId="18">
    <w:abstractNumId w:val="17"/>
  </w:num>
  <w:num w:numId="19">
    <w:abstractNumId w:val="12"/>
  </w:num>
  <w:num w:numId="20">
    <w:abstractNumId w:val="12"/>
  </w:num>
  <w:num w:numId="21">
    <w:abstractNumId w:val="12"/>
  </w:num>
  <w:num w:numId="22">
    <w:abstractNumId w:val="12"/>
  </w:num>
  <w:num w:numId="23">
    <w:abstractNumId w:val="17"/>
  </w:num>
  <w:num w:numId="24">
    <w:abstractNumId w:val="17"/>
  </w:num>
  <w:num w:numId="25">
    <w:abstractNumId w:val="17"/>
  </w:num>
  <w:num w:numId="26">
    <w:abstractNumId w:val="12"/>
  </w:num>
  <w:num w:numId="27">
    <w:abstractNumId w:val="12"/>
  </w:num>
  <w:num w:numId="28">
    <w:abstractNumId w:val="12"/>
  </w:num>
  <w:num w:numId="29">
    <w:abstractNumId w:val="12"/>
  </w:num>
  <w:num w:numId="30">
    <w:abstractNumId w:val="22"/>
  </w:num>
  <w:num w:numId="31">
    <w:abstractNumId w:val="20"/>
  </w:num>
  <w:num w:numId="32">
    <w:abstractNumId w:val="19"/>
  </w:num>
  <w:num w:numId="33">
    <w:abstractNumId w:val="18"/>
  </w:num>
  <w:num w:numId="34">
    <w:abstractNumId w:val="13"/>
  </w:num>
  <w:num w:numId="35">
    <w:abstractNumId w:val="10"/>
  </w:num>
  <w:num w:numId="36">
    <w:abstractNumId w:val="8"/>
  </w:num>
  <w:num w:numId="37">
    <w:abstractNumId w:val="7"/>
  </w:num>
  <w:num w:numId="38">
    <w:abstractNumId w:val="6"/>
  </w:num>
  <w:num w:numId="39">
    <w:abstractNumId w:val="5"/>
  </w:num>
  <w:num w:numId="40">
    <w:abstractNumId w:val="1"/>
  </w:num>
  <w:num w:numId="41">
    <w:abstractNumId w:val="2"/>
  </w:num>
  <w:num w:numId="42">
    <w:abstractNumId w:val="4"/>
  </w:num>
  <w:num w:numId="43">
    <w:abstractNumId w:val="3"/>
  </w:num>
  <w:num w:numId="44">
    <w:abstractNumId w:val="9"/>
  </w:num>
  <w:num w:numId="45">
    <w:abstractNumId w:val="0"/>
  </w:num>
  <w:num w:numId="46">
    <w:abstractNumId w:val="15"/>
  </w:num>
  <w:num w:numId="47">
    <w:abstractNumId w:val="11"/>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0wv0fdiwsvs9ewxr65pdzf5ssrp9xr5zar&quot;&gt;My EndNote Library&lt;record-ids&gt;&lt;item&gt;2&lt;/item&gt;&lt;item&gt;3&lt;/item&gt;&lt;item&gt;11&lt;/item&gt;&lt;item&gt;16&lt;/item&gt;&lt;item&gt;17&lt;/item&gt;&lt;item&gt;19&lt;/item&gt;&lt;item&gt;20&lt;/item&gt;&lt;item&gt;21&lt;/item&gt;&lt;item&gt;23&lt;/item&gt;&lt;item&gt;24&lt;/item&gt;&lt;item&gt;25&lt;/item&gt;&lt;item&gt;26&lt;/item&gt;&lt;item&gt;27&lt;/item&gt;&lt;item&gt;28&lt;/item&gt;&lt;item&gt;35&lt;/item&gt;&lt;item&gt;36&lt;/item&gt;&lt;item&gt;37&lt;/item&gt;&lt;item&gt;38&lt;/item&gt;&lt;item&gt;39&lt;/item&gt;&lt;/record-ids&gt;&lt;/item&gt;&lt;/Libraries&gt;"/>
  </w:docVars>
  <w:rsids>
    <w:rsidRoot w:val="008A4541"/>
    <w:rsid w:val="00000136"/>
    <w:rsid w:val="000101CA"/>
    <w:rsid w:val="00024F6C"/>
    <w:rsid w:val="000265E9"/>
    <w:rsid w:val="00030D3B"/>
    <w:rsid w:val="00035D1E"/>
    <w:rsid w:val="000362BC"/>
    <w:rsid w:val="00037CEE"/>
    <w:rsid w:val="00052363"/>
    <w:rsid w:val="00053C61"/>
    <w:rsid w:val="00085163"/>
    <w:rsid w:val="000866DD"/>
    <w:rsid w:val="00086CCB"/>
    <w:rsid w:val="000A337F"/>
    <w:rsid w:val="000A3541"/>
    <w:rsid w:val="000E5D20"/>
    <w:rsid w:val="000F3945"/>
    <w:rsid w:val="000F3CFF"/>
    <w:rsid w:val="001007F1"/>
    <w:rsid w:val="00100848"/>
    <w:rsid w:val="0013795A"/>
    <w:rsid w:val="00150EF7"/>
    <w:rsid w:val="001628DD"/>
    <w:rsid w:val="001836E9"/>
    <w:rsid w:val="001C3B12"/>
    <w:rsid w:val="001C5860"/>
    <w:rsid w:val="001C7CDC"/>
    <w:rsid w:val="001F39E6"/>
    <w:rsid w:val="00200B2E"/>
    <w:rsid w:val="002102E6"/>
    <w:rsid w:val="00225E8B"/>
    <w:rsid w:val="002374BA"/>
    <w:rsid w:val="00245015"/>
    <w:rsid w:val="002453CE"/>
    <w:rsid w:val="002516C9"/>
    <w:rsid w:val="002706BA"/>
    <w:rsid w:val="00276E7E"/>
    <w:rsid w:val="0028782F"/>
    <w:rsid w:val="002C4D10"/>
    <w:rsid w:val="002C7935"/>
    <w:rsid w:val="002D01B1"/>
    <w:rsid w:val="002D11E0"/>
    <w:rsid w:val="002E41E9"/>
    <w:rsid w:val="00337CC7"/>
    <w:rsid w:val="003453B8"/>
    <w:rsid w:val="00367476"/>
    <w:rsid w:val="00367800"/>
    <w:rsid w:val="003708FA"/>
    <w:rsid w:val="00370F68"/>
    <w:rsid w:val="00383F96"/>
    <w:rsid w:val="0038606F"/>
    <w:rsid w:val="00386548"/>
    <w:rsid w:val="003C0BDE"/>
    <w:rsid w:val="003C4647"/>
    <w:rsid w:val="003D310A"/>
    <w:rsid w:val="003D7D3C"/>
    <w:rsid w:val="003F40F3"/>
    <w:rsid w:val="00411CA7"/>
    <w:rsid w:val="0041285F"/>
    <w:rsid w:val="004205C3"/>
    <w:rsid w:val="00452EAF"/>
    <w:rsid w:val="004619A5"/>
    <w:rsid w:val="00474FFE"/>
    <w:rsid w:val="0047618A"/>
    <w:rsid w:val="00485728"/>
    <w:rsid w:val="00485FD3"/>
    <w:rsid w:val="004912F2"/>
    <w:rsid w:val="00491B20"/>
    <w:rsid w:val="004A404B"/>
    <w:rsid w:val="004A7452"/>
    <w:rsid w:val="004B7B28"/>
    <w:rsid w:val="004D7AA4"/>
    <w:rsid w:val="004E3B59"/>
    <w:rsid w:val="004F2F5A"/>
    <w:rsid w:val="00536110"/>
    <w:rsid w:val="00542FB4"/>
    <w:rsid w:val="005647CA"/>
    <w:rsid w:val="00570E17"/>
    <w:rsid w:val="005744AD"/>
    <w:rsid w:val="00596371"/>
    <w:rsid w:val="00596A2F"/>
    <w:rsid w:val="00596B17"/>
    <w:rsid w:val="005A5D20"/>
    <w:rsid w:val="005B24F4"/>
    <w:rsid w:val="005B70C1"/>
    <w:rsid w:val="005D1B74"/>
    <w:rsid w:val="005D4BBD"/>
    <w:rsid w:val="005E608B"/>
    <w:rsid w:val="005F1BB6"/>
    <w:rsid w:val="00621E55"/>
    <w:rsid w:val="00626CBA"/>
    <w:rsid w:val="00630B3A"/>
    <w:rsid w:val="00636C11"/>
    <w:rsid w:val="00641832"/>
    <w:rsid w:val="006425BF"/>
    <w:rsid w:val="00652059"/>
    <w:rsid w:val="00656EE6"/>
    <w:rsid w:val="00661654"/>
    <w:rsid w:val="00663B6B"/>
    <w:rsid w:val="0067207F"/>
    <w:rsid w:val="00674EE7"/>
    <w:rsid w:val="006834AA"/>
    <w:rsid w:val="00690FD4"/>
    <w:rsid w:val="006A5780"/>
    <w:rsid w:val="006B0CAD"/>
    <w:rsid w:val="006B1124"/>
    <w:rsid w:val="006B1164"/>
    <w:rsid w:val="006B550D"/>
    <w:rsid w:val="006E508F"/>
    <w:rsid w:val="006F6B3A"/>
    <w:rsid w:val="00714EE4"/>
    <w:rsid w:val="0072316E"/>
    <w:rsid w:val="007467D3"/>
    <w:rsid w:val="00746FD3"/>
    <w:rsid w:val="0075385E"/>
    <w:rsid w:val="00764703"/>
    <w:rsid w:val="00766954"/>
    <w:rsid w:val="00766D0A"/>
    <w:rsid w:val="00775294"/>
    <w:rsid w:val="007B3848"/>
    <w:rsid w:val="007F316F"/>
    <w:rsid w:val="007F763B"/>
    <w:rsid w:val="008049E1"/>
    <w:rsid w:val="00820BCE"/>
    <w:rsid w:val="00825A64"/>
    <w:rsid w:val="00834193"/>
    <w:rsid w:val="00863D37"/>
    <w:rsid w:val="008650E7"/>
    <w:rsid w:val="00884E1F"/>
    <w:rsid w:val="00894869"/>
    <w:rsid w:val="00895C3F"/>
    <w:rsid w:val="008A110F"/>
    <w:rsid w:val="008A4541"/>
    <w:rsid w:val="008B0A54"/>
    <w:rsid w:val="008C6C69"/>
    <w:rsid w:val="008E083B"/>
    <w:rsid w:val="0090193F"/>
    <w:rsid w:val="00901CC9"/>
    <w:rsid w:val="00907A8C"/>
    <w:rsid w:val="00912CB4"/>
    <w:rsid w:val="0091430B"/>
    <w:rsid w:val="00923007"/>
    <w:rsid w:val="00936D40"/>
    <w:rsid w:val="00953C1A"/>
    <w:rsid w:val="00955554"/>
    <w:rsid w:val="00965C9D"/>
    <w:rsid w:val="00966FD0"/>
    <w:rsid w:val="0099539E"/>
    <w:rsid w:val="009A0D0F"/>
    <w:rsid w:val="009C28AB"/>
    <w:rsid w:val="009D35C6"/>
    <w:rsid w:val="009E7545"/>
    <w:rsid w:val="009F2DC6"/>
    <w:rsid w:val="009F3C7A"/>
    <w:rsid w:val="009F6EF3"/>
    <w:rsid w:val="00A05B43"/>
    <w:rsid w:val="00A14664"/>
    <w:rsid w:val="00A208D2"/>
    <w:rsid w:val="00A262AB"/>
    <w:rsid w:val="00A3025E"/>
    <w:rsid w:val="00A31D26"/>
    <w:rsid w:val="00A3281F"/>
    <w:rsid w:val="00A35269"/>
    <w:rsid w:val="00A4495A"/>
    <w:rsid w:val="00A45F73"/>
    <w:rsid w:val="00AA2C6A"/>
    <w:rsid w:val="00AA3E52"/>
    <w:rsid w:val="00AB08F3"/>
    <w:rsid w:val="00AB321F"/>
    <w:rsid w:val="00AB7B92"/>
    <w:rsid w:val="00AC0937"/>
    <w:rsid w:val="00AC4CF3"/>
    <w:rsid w:val="00AC50C9"/>
    <w:rsid w:val="00AE3CB2"/>
    <w:rsid w:val="00AE6A45"/>
    <w:rsid w:val="00AF340B"/>
    <w:rsid w:val="00B23E2B"/>
    <w:rsid w:val="00B31967"/>
    <w:rsid w:val="00B33801"/>
    <w:rsid w:val="00B424B6"/>
    <w:rsid w:val="00B42812"/>
    <w:rsid w:val="00B56F3C"/>
    <w:rsid w:val="00B57E9B"/>
    <w:rsid w:val="00B614F2"/>
    <w:rsid w:val="00B6468C"/>
    <w:rsid w:val="00B742E9"/>
    <w:rsid w:val="00B75042"/>
    <w:rsid w:val="00B82CA8"/>
    <w:rsid w:val="00B917F0"/>
    <w:rsid w:val="00B972E3"/>
    <w:rsid w:val="00BA2417"/>
    <w:rsid w:val="00BC3878"/>
    <w:rsid w:val="00BC504E"/>
    <w:rsid w:val="00BD2FBB"/>
    <w:rsid w:val="00BE1FD8"/>
    <w:rsid w:val="00BE251F"/>
    <w:rsid w:val="00BE52C9"/>
    <w:rsid w:val="00BF1EED"/>
    <w:rsid w:val="00BF2B29"/>
    <w:rsid w:val="00C073FB"/>
    <w:rsid w:val="00C07CAF"/>
    <w:rsid w:val="00C113D1"/>
    <w:rsid w:val="00C17C66"/>
    <w:rsid w:val="00C40D61"/>
    <w:rsid w:val="00C43850"/>
    <w:rsid w:val="00C43878"/>
    <w:rsid w:val="00C71319"/>
    <w:rsid w:val="00C9228E"/>
    <w:rsid w:val="00C9593D"/>
    <w:rsid w:val="00CA53FB"/>
    <w:rsid w:val="00CB03F9"/>
    <w:rsid w:val="00CB6678"/>
    <w:rsid w:val="00CE23F0"/>
    <w:rsid w:val="00CE2FA5"/>
    <w:rsid w:val="00CE7369"/>
    <w:rsid w:val="00D127D4"/>
    <w:rsid w:val="00D1693B"/>
    <w:rsid w:val="00D2359E"/>
    <w:rsid w:val="00D256D8"/>
    <w:rsid w:val="00D26259"/>
    <w:rsid w:val="00D4265E"/>
    <w:rsid w:val="00D44A01"/>
    <w:rsid w:val="00D461D8"/>
    <w:rsid w:val="00D530BC"/>
    <w:rsid w:val="00D60E99"/>
    <w:rsid w:val="00DA5BA8"/>
    <w:rsid w:val="00DB7854"/>
    <w:rsid w:val="00DC7337"/>
    <w:rsid w:val="00DD7FE3"/>
    <w:rsid w:val="00DF7806"/>
    <w:rsid w:val="00E10C35"/>
    <w:rsid w:val="00E17CC6"/>
    <w:rsid w:val="00E206BA"/>
    <w:rsid w:val="00E35361"/>
    <w:rsid w:val="00E36565"/>
    <w:rsid w:val="00E413FF"/>
    <w:rsid w:val="00E456F4"/>
    <w:rsid w:val="00E700E6"/>
    <w:rsid w:val="00E706AB"/>
    <w:rsid w:val="00E97179"/>
    <w:rsid w:val="00EE690B"/>
    <w:rsid w:val="00EF5291"/>
    <w:rsid w:val="00F0330D"/>
    <w:rsid w:val="00F0702C"/>
    <w:rsid w:val="00F1132E"/>
    <w:rsid w:val="00F30808"/>
    <w:rsid w:val="00F321F2"/>
    <w:rsid w:val="00F33A7E"/>
    <w:rsid w:val="00F34251"/>
    <w:rsid w:val="00F4370B"/>
    <w:rsid w:val="00F43829"/>
    <w:rsid w:val="00F46A24"/>
    <w:rsid w:val="00F56B64"/>
    <w:rsid w:val="00F60005"/>
    <w:rsid w:val="00F91BDB"/>
    <w:rsid w:val="00FA35D5"/>
    <w:rsid w:val="00FC053C"/>
    <w:rsid w:val="00FC2C46"/>
    <w:rsid w:val="00FD3CC9"/>
    <w:rsid w:val="00FE5F19"/>
    <w:rsid w:val="00FF3423"/>
    <w:rsid w:val="00FF4F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28FC8872-1D4B-4E93-91C2-C01E571A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B2E"/>
    <w:pPr>
      <w:spacing w:line="480" w:lineRule="auto"/>
      <w:ind w:firstLine="720"/>
      <w:jc w:val="both"/>
    </w:pPr>
    <w:rPr>
      <w:sz w:val="24"/>
      <w:szCs w:val="24"/>
    </w:rPr>
  </w:style>
  <w:style w:type="paragraph" w:styleId="Heading1">
    <w:name w:val="heading 1"/>
    <w:basedOn w:val="Normal"/>
    <w:next w:val="Noindent"/>
    <w:qFormat/>
    <w:rsid w:val="008A110F"/>
    <w:pPr>
      <w:keepNext/>
      <w:pageBreakBefore/>
      <w:numPr>
        <w:numId w:val="29"/>
      </w:numPr>
      <w:tabs>
        <w:tab w:val="clear" w:pos="-720"/>
      </w:tabs>
      <w:spacing w:before="1440" w:after="960"/>
      <w:ind w:left="0"/>
      <w:jc w:val="center"/>
      <w:outlineLvl w:val="0"/>
    </w:pPr>
    <w:rPr>
      <w:rFonts w:cs="Arial"/>
      <w:b/>
      <w:bCs/>
      <w:caps/>
    </w:rPr>
  </w:style>
  <w:style w:type="paragraph" w:styleId="Heading2">
    <w:name w:val="heading 2"/>
    <w:basedOn w:val="Heading1"/>
    <w:next w:val="Noindent"/>
    <w:qFormat/>
    <w:rsid w:val="008A110F"/>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qFormat/>
    <w:rsid w:val="008A110F"/>
    <w:pPr>
      <w:numPr>
        <w:ilvl w:val="2"/>
      </w:numPr>
      <w:tabs>
        <w:tab w:val="clear" w:pos="0"/>
      </w:tabs>
      <w:spacing w:before="48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A5BA8"/>
    <w:pPr>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25"/>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25"/>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DA5BA8"/>
    <w:pPr>
      <w:ind w:left="1008" w:firstLine="0"/>
    </w:pPr>
    <w:rPr>
      <w:b/>
    </w:rPr>
  </w:style>
  <w:style w:type="paragraph" w:styleId="Footer">
    <w:name w:val="footer"/>
    <w:basedOn w:val="Normal"/>
    <w:semiHidden/>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semiHidden/>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uiPriority w:val="99"/>
    <w:rsid w:val="00B424B6"/>
  </w:style>
  <w:style w:type="paragraph" w:styleId="DocumentMap">
    <w:name w:val="Document Map"/>
    <w:basedOn w:val="Normal"/>
    <w:link w:val="DocumentMapChar"/>
    <w:rsid w:val="00024F6C"/>
    <w:rPr>
      <w:rFonts w:ascii="Lucida Grande" w:hAnsi="Lucida Grande"/>
    </w:rPr>
  </w:style>
  <w:style w:type="character" w:customStyle="1" w:styleId="DocumentMapChar">
    <w:name w:val="Document Map Char"/>
    <w:link w:val="DocumentMap"/>
    <w:rsid w:val="00024F6C"/>
    <w:rPr>
      <w:rFonts w:ascii="Lucida Grande" w:hAnsi="Lucida Grande"/>
      <w:sz w:val="24"/>
      <w:szCs w:val="24"/>
    </w:rPr>
  </w:style>
  <w:style w:type="table" w:styleId="Table3Deffects1">
    <w:name w:val="Table 3D effects 1"/>
    <w:basedOn w:val="TableNormal"/>
    <w:rsid w:val="008C6C69"/>
    <w:pPr>
      <w:spacing w:line="480" w:lineRule="auto"/>
      <w:ind w:firstLine="720"/>
      <w:jc w:val="both"/>
    </w:p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8C6C69"/>
    <w:pPr>
      <w:spacing w:line="480" w:lineRule="auto"/>
      <w:ind w:firstLine="720"/>
      <w:jc w:val="both"/>
    </w:p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8C6C69"/>
    <w:pPr>
      <w:spacing w:line="480" w:lineRule="auto"/>
      <w:ind w:firstLine="7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8C6C69"/>
    <w:pPr>
      <w:spacing w:line="480" w:lineRule="auto"/>
      <w:ind w:firstLine="72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8C6C69"/>
    <w:pPr>
      <w:spacing w:line="480" w:lineRule="auto"/>
      <w:ind w:firstLine="7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olorful1">
    <w:name w:val="Table Colorful 1"/>
    <w:basedOn w:val="TableNormal"/>
    <w:rsid w:val="008C6C69"/>
    <w:pPr>
      <w:spacing w:line="480" w:lineRule="auto"/>
      <w:ind w:firstLine="7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8C6C69"/>
    <w:pPr>
      <w:spacing w:line="480" w:lineRule="auto"/>
      <w:ind w:firstLine="72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lassic4">
    <w:name w:val="Table Classic 4"/>
    <w:basedOn w:val="TableNormal"/>
    <w:rsid w:val="008C6C69"/>
    <w:pPr>
      <w:spacing w:line="480" w:lineRule="auto"/>
      <w:ind w:firstLine="72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paragraph" w:customStyle="1" w:styleId="EndNoteBibliographyTitle">
    <w:name w:val="EndNote Bibliography Title"/>
    <w:basedOn w:val="Normal"/>
    <w:rsid w:val="001628DD"/>
    <w:pPr>
      <w:jc w:val="center"/>
    </w:pPr>
  </w:style>
  <w:style w:type="paragraph" w:customStyle="1" w:styleId="EndNoteBibliography">
    <w:name w:val="EndNote Bibliography"/>
    <w:basedOn w:val="Normal"/>
    <w:rsid w:val="001628DD"/>
    <w:pPr>
      <w:spacing w:line="240" w:lineRule="auto"/>
    </w:pPr>
  </w:style>
  <w:style w:type="character" w:styleId="CommentReference">
    <w:name w:val="annotation reference"/>
    <w:rsid w:val="00086CCB"/>
    <w:rPr>
      <w:sz w:val="16"/>
      <w:szCs w:val="16"/>
    </w:rPr>
  </w:style>
  <w:style w:type="paragraph" w:styleId="CommentText">
    <w:name w:val="annotation text"/>
    <w:basedOn w:val="Normal"/>
    <w:link w:val="CommentTextChar"/>
    <w:rsid w:val="00086CCB"/>
    <w:rPr>
      <w:sz w:val="20"/>
      <w:szCs w:val="20"/>
    </w:rPr>
  </w:style>
  <w:style w:type="character" w:customStyle="1" w:styleId="CommentTextChar">
    <w:name w:val="Comment Text Char"/>
    <w:basedOn w:val="DefaultParagraphFont"/>
    <w:link w:val="CommentText"/>
    <w:rsid w:val="00086CCB"/>
  </w:style>
  <w:style w:type="paragraph" w:styleId="CommentSubject">
    <w:name w:val="annotation subject"/>
    <w:basedOn w:val="CommentText"/>
    <w:next w:val="CommentText"/>
    <w:link w:val="CommentSubjectChar"/>
    <w:rsid w:val="00086CCB"/>
    <w:rPr>
      <w:b/>
      <w:bCs/>
    </w:rPr>
  </w:style>
  <w:style w:type="character" w:customStyle="1" w:styleId="CommentSubjectChar">
    <w:name w:val="Comment Subject Char"/>
    <w:link w:val="CommentSubject"/>
    <w:rsid w:val="00086CCB"/>
    <w:rPr>
      <w:b/>
      <w:bCs/>
    </w:rPr>
  </w:style>
  <w:style w:type="paragraph" w:styleId="BalloonText">
    <w:name w:val="Balloon Text"/>
    <w:basedOn w:val="Normal"/>
    <w:link w:val="BalloonTextChar"/>
    <w:rsid w:val="00086CCB"/>
    <w:pPr>
      <w:spacing w:line="240" w:lineRule="auto"/>
    </w:pPr>
    <w:rPr>
      <w:rFonts w:ascii="Tahoma" w:hAnsi="Tahoma" w:cs="Tahoma"/>
      <w:sz w:val="16"/>
      <w:szCs w:val="16"/>
    </w:rPr>
  </w:style>
  <w:style w:type="character" w:customStyle="1" w:styleId="BalloonTextChar">
    <w:name w:val="Balloon Text Char"/>
    <w:link w:val="BalloonText"/>
    <w:rsid w:val="00086C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9795">
      <w:bodyDiv w:val="1"/>
      <w:marLeft w:val="0"/>
      <w:marRight w:val="0"/>
      <w:marTop w:val="0"/>
      <w:marBottom w:val="0"/>
      <w:divBdr>
        <w:top w:val="none" w:sz="0" w:space="0" w:color="auto"/>
        <w:left w:val="none" w:sz="0" w:space="0" w:color="auto"/>
        <w:bottom w:val="none" w:sz="0" w:space="0" w:color="auto"/>
        <w:right w:val="none" w:sz="0" w:space="0" w:color="auto"/>
      </w:divBdr>
    </w:div>
    <w:div w:id="137580315">
      <w:bodyDiv w:val="1"/>
      <w:marLeft w:val="0"/>
      <w:marRight w:val="0"/>
      <w:marTop w:val="0"/>
      <w:marBottom w:val="0"/>
      <w:divBdr>
        <w:top w:val="none" w:sz="0" w:space="0" w:color="auto"/>
        <w:left w:val="none" w:sz="0" w:space="0" w:color="auto"/>
        <w:bottom w:val="none" w:sz="0" w:space="0" w:color="auto"/>
        <w:right w:val="none" w:sz="0" w:space="0" w:color="auto"/>
      </w:divBdr>
    </w:div>
    <w:div w:id="352650836">
      <w:bodyDiv w:val="1"/>
      <w:marLeft w:val="0"/>
      <w:marRight w:val="0"/>
      <w:marTop w:val="0"/>
      <w:marBottom w:val="0"/>
      <w:divBdr>
        <w:top w:val="none" w:sz="0" w:space="0" w:color="auto"/>
        <w:left w:val="none" w:sz="0" w:space="0" w:color="auto"/>
        <w:bottom w:val="none" w:sz="0" w:space="0" w:color="auto"/>
        <w:right w:val="none" w:sz="0" w:space="0" w:color="auto"/>
      </w:divBdr>
    </w:div>
    <w:div w:id="392702164">
      <w:bodyDiv w:val="1"/>
      <w:marLeft w:val="0"/>
      <w:marRight w:val="0"/>
      <w:marTop w:val="0"/>
      <w:marBottom w:val="0"/>
      <w:divBdr>
        <w:top w:val="none" w:sz="0" w:space="0" w:color="auto"/>
        <w:left w:val="none" w:sz="0" w:space="0" w:color="auto"/>
        <w:bottom w:val="none" w:sz="0" w:space="0" w:color="auto"/>
        <w:right w:val="none" w:sz="0" w:space="0" w:color="auto"/>
      </w:divBdr>
    </w:div>
    <w:div w:id="467868413">
      <w:bodyDiv w:val="1"/>
      <w:marLeft w:val="0"/>
      <w:marRight w:val="0"/>
      <w:marTop w:val="0"/>
      <w:marBottom w:val="0"/>
      <w:divBdr>
        <w:top w:val="none" w:sz="0" w:space="0" w:color="auto"/>
        <w:left w:val="none" w:sz="0" w:space="0" w:color="auto"/>
        <w:bottom w:val="none" w:sz="0" w:space="0" w:color="auto"/>
        <w:right w:val="none" w:sz="0" w:space="0" w:color="auto"/>
      </w:divBdr>
    </w:div>
    <w:div w:id="544566729">
      <w:bodyDiv w:val="1"/>
      <w:marLeft w:val="0"/>
      <w:marRight w:val="0"/>
      <w:marTop w:val="0"/>
      <w:marBottom w:val="0"/>
      <w:divBdr>
        <w:top w:val="none" w:sz="0" w:space="0" w:color="auto"/>
        <w:left w:val="none" w:sz="0" w:space="0" w:color="auto"/>
        <w:bottom w:val="none" w:sz="0" w:space="0" w:color="auto"/>
        <w:right w:val="none" w:sz="0" w:space="0" w:color="auto"/>
      </w:divBdr>
      <w:divsChild>
        <w:div w:id="256444912">
          <w:marLeft w:val="0"/>
          <w:marRight w:val="0"/>
          <w:marTop w:val="0"/>
          <w:marBottom w:val="0"/>
          <w:divBdr>
            <w:top w:val="none" w:sz="0" w:space="0" w:color="auto"/>
            <w:left w:val="none" w:sz="0" w:space="0" w:color="auto"/>
            <w:bottom w:val="none" w:sz="0" w:space="0" w:color="auto"/>
            <w:right w:val="none" w:sz="0" w:space="0" w:color="auto"/>
          </w:divBdr>
        </w:div>
        <w:div w:id="1002512260">
          <w:marLeft w:val="0"/>
          <w:marRight w:val="0"/>
          <w:marTop w:val="0"/>
          <w:marBottom w:val="0"/>
          <w:divBdr>
            <w:top w:val="none" w:sz="0" w:space="0" w:color="auto"/>
            <w:left w:val="none" w:sz="0" w:space="0" w:color="auto"/>
            <w:bottom w:val="none" w:sz="0" w:space="0" w:color="auto"/>
            <w:right w:val="none" w:sz="0" w:space="0" w:color="auto"/>
          </w:divBdr>
        </w:div>
      </w:divsChild>
    </w:div>
    <w:div w:id="631714820">
      <w:bodyDiv w:val="1"/>
      <w:marLeft w:val="0"/>
      <w:marRight w:val="0"/>
      <w:marTop w:val="0"/>
      <w:marBottom w:val="0"/>
      <w:divBdr>
        <w:top w:val="none" w:sz="0" w:space="0" w:color="auto"/>
        <w:left w:val="none" w:sz="0" w:space="0" w:color="auto"/>
        <w:bottom w:val="none" w:sz="0" w:space="0" w:color="auto"/>
        <w:right w:val="none" w:sz="0" w:space="0" w:color="auto"/>
      </w:divBdr>
    </w:div>
    <w:div w:id="717239466">
      <w:bodyDiv w:val="1"/>
      <w:marLeft w:val="0"/>
      <w:marRight w:val="0"/>
      <w:marTop w:val="0"/>
      <w:marBottom w:val="0"/>
      <w:divBdr>
        <w:top w:val="none" w:sz="0" w:space="0" w:color="auto"/>
        <w:left w:val="none" w:sz="0" w:space="0" w:color="auto"/>
        <w:bottom w:val="none" w:sz="0" w:space="0" w:color="auto"/>
        <w:right w:val="none" w:sz="0" w:space="0" w:color="auto"/>
      </w:divBdr>
    </w:div>
    <w:div w:id="961770967">
      <w:bodyDiv w:val="1"/>
      <w:marLeft w:val="0"/>
      <w:marRight w:val="0"/>
      <w:marTop w:val="0"/>
      <w:marBottom w:val="0"/>
      <w:divBdr>
        <w:top w:val="none" w:sz="0" w:space="0" w:color="auto"/>
        <w:left w:val="none" w:sz="0" w:space="0" w:color="auto"/>
        <w:bottom w:val="none" w:sz="0" w:space="0" w:color="auto"/>
        <w:right w:val="none" w:sz="0" w:space="0" w:color="auto"/>
      </w:divBdr>
    </w:div>
    <w:div w:id="999311989">
      <w:bodyDiv w:val="1"/>
      <w:marLeft w:val="0"/>
      <w:marRight w:val="0"/>
      <w:marTop w:val="0"/>
      <w:marBottom w:val="0"/>
      <w:divBdr>
        <w:top w:val="none" w:sz="0" w:space="0" w:color="auto"/>
        <w:left w:val="none" w:sz="0" w:space="0" w:color="auto"/>
        <w:bottom w:val="none" w:sz="0" w:space="0" w:color="auto"/>
        <w:right w:val="none" w:sz="0" w:space="0" w:color="auto"/>
      </w:divBdr>
      <w:divsChild>
        <w:div w:id="154927152">
          <w:marLeft w:val="0"/>
          <w:marRight w:val="0"/>
          <w:marTop w:val="0"/>
          <w:marBottom w:val="0"/>
          <w:divBdr>
            <w:top w:val="none" w:sz="0" w:space="0" w:color="auto"/>
            <w:left w:val="none" w:sz="0" w:space="0" w:color="auto"/>
            <w:bottom w:val="none" w:sz="0" w:space="0" w:color="auto"/>
            <w:right w:val="none" w:sz="0" w:space="0" w:color="auto"/>
          </w:divBdr>
        </w:div>
        <w:div w:id="438379320">
          <w:marLeft w:val="0"/>
          <w:marRight w:val="0"/>
          <w:marTop w:val="0"/>
          <w:marBottom w:val="0"/>
          <w:divBdr>
            <w:top w:val="none" w:sz="0" w:space="0" w:color="auto"/>
            <w:left w:val="none" w:sz="0" w:space="0" w:color="auto"/>
            <w:bottom w:val="none" w:sz="0" w:space="0" w:color="auto"/>
            <w:right w:val="none" w:sz="0" w:space="0" w:color="auto"/>
          </w:divBdr>
        </w:div>
        <w:div w:id="634221173">
          <w:marLeft w:val="0"/>
          <w:marRight w:val="0"/>
          <w:marTop w:val="0"/>
          <w:marBottom w:val="0"/>
          <w:divBdr>
            <w:top w:val="none" w:sz="0" w:space="0" w:color="auto"/>
            <w:left w:val="none" w:sz="0" w:space="0" w:color="auto"/>
            <w:bottom w:val="none" w:sz="0" w:space="0" w:color="auto"/>
            <w:right w:val="none" w:sz="0" w:space="0" w:color="auto"/>
          </w:divBdr>
        </w:div>
        <w:div w:id="916746348">
          <w:marLeft w:val="0"/>
          <w:marRight w:val="0"/>
          <w:marTop w:val="0"/>
          <w:marBottom w:val="0"/>
          <w:divBdr>
            <w:top w:val="none" w:sz="0" w:space="0" w:color="auto"/>
            <w:left w:val="none" w:sz="0" w:space="0" w:color="auto"/>
            <w:bottom w:val="none" w:sz="0" w:space="0" w:color="auto"/>
            <w:right w:val="none" w:sz="0" w:space="0" w:color="auto"/>
          </w:divBdr>
        </w:div>
      </w:divsChild>
    </w:div>
    <w:div w:id="1050804894">
      <w:bodyDiv w:val="1"/>
      <w:marLeft w:val="0"/>
      <w:marRight w:val="0"/>
      <w:marTop w:val="0"/>
      <w:marBottom w:val="0"/>
      <w:divBdr>
        <w:top w:val="none" w:sz="0" w:space="0" w:color="auto"/>
        <w:left w:val="none" w:sz="0" w:space="0" w:color="auto"/>
        <w:bottom w:val="none" w:sz="0" w:space="0" w:color="auto"/>
        <w:right w:val="none" w:sz="0" w:space="0" w:color="auto"/>
      </w:divBdr>
    </w:div>
    <w:div w:id="1092359758">
      <w:bodyDiv w:val="1"/>
      <w:marLeft w:val="0"/>
      <w:marRight w:val="0"/>
      <w:marTop w:val="0"/>
      <w:marBottom w:val="0"/>
      <w:divBdr>
        <w:top w:val="none" w:sz="0" w:space="0" w:color="auto"/>
        <w:left w:val="none" w:sz="0" w:space="0" w:color="auto"/>
        <w:bottom w:val="none" w:sz="0" w:space="0" w:color="auto"/>
        <w:right w:val="none" w:sz="0" w:space="0" w:color="auto"/>
      </w:divBdr>
    </w:div>
    <w:div w:id="1099523360">
      <w:bodyDiv w:val="1"/>
      <w:marLeft w:val="0"/>
      <w:marRight w:val="0"/>
      <w:marTop w:val="0"/>
      <w:marBottom w:val="0"/>
      <w:divBdr>
        <w:top w:val="none" w:sz="0" w:space="0" w:color="auto"/>
        <w:left w:val="none" w:sz="0" w:space="0" w:color="auto"/>
        <w:bottom w:val="none" w:sz="0" w:space="0" w:color="auto"/>
        <w:right w:val="none" w:sz="0" w:space="0" w:color="auto"/>
      </w:divBdr>
    </w:div>
    <w:div w:id="1119881270">
      <w:bodyDiv w:val="1"/>
      <w:marLeft w:val="0"/>
      <w:marRight w:val="0"/>
      <w:marTop w:val="0"/>
      <w:marBottom w:val="0"/>
      <w:divBdr>
        <w:top w:val="none" w:sz="0" w:space="0" w:color="auto"/>
        <w:left w:val="none" w:sz="0" w:space="0" w:color="auto"/>
        <w:bottom w:val="none" w:sz="0" w:space="0" w:color="auto"/>
        <w:right w:val="none" w:sz="0" w:space="0" w:color="auto"/>
      </w:divBdr>
    </w:div>
    <w:div w:id="1337809209">
      <w:bodyDiv w:val="1"/>
      <w:marLeft w:val="0"/>
      <w:marRight w:val="0"/>
      <w:marTop w:val="0"/>
      <w:marBottom w:val="0"/>
      <w:divBdr>
        <w:top w:val="none" w:sz="0" w:space="0" w:color="auto"/>
        <w:left w:val="none" w:sz="0" w:space="0" w:color="auto"/>
        <w:bottom w:val="none" w:sz="0" w:space="0" w:color="auto"/>
        <w:right w:val="none" w:sz="0" w:space="0" w:color="auto"/>
      </w:divBdr>
    </w:div>
    <w:div w:id="1387801019">
      <w:bodyDiv w:val="1"/>
      <w:marLeft w:val="0"/>
      <w:marRight w:val="0"/>
      <w:marTop w:val="0"/>
      <w:marBottom w:val="0"/>
      <w:divBdr>
        <w:top w:val="none" w:sz="0" w:space="0" w:color="auto"/>
        <w:left w:val="none" w:sz="0" w:space="0" w:color="auto"/>
        <w:bottom w:val="none" w:sz="0" w:space="0" w:color="auto"/>
        <w:right w:val="none" w:sz="0" w:space="0" w:color="auto"/>
      </w:divBdr>
    </w:div>
    <w:div w:id="1501578033">
      <w:bodyDiv w:val="1"/>
      <w:marLeft w:val="0"/>
      <w:marRight w:val="0"/>
      <w:marTop w:val="0"/>
      <w:marBottom w:val="0"/>
      <w:divBdr>
        <w:top w:val="none" w:sz="0" w:space="0" w:color="auto"/>
        <w:left w:val="none" w:sz="0" w:space="0" w:color="auto"/>
        <w:bottom w:val="none" w:sz="0" w:space="0" w:color="auto"/>
        <w:right w:val="none" w:sz="0" w:space="0" w:color="auto"/>
      </w:divBdr>
    </w:div>
    <w:div w:id="1530878707">
      <w:bodyDiv w:val="1"/>
      <w:marLeft w:val="0"/>
      <w:marRight w:val="0"/>
      <w:marTop w:val="0"/>
      <w:marBottom w:val="0"/>
      <w:divBdr>
        <w:top w:val="none" w:sz="0" w:space="0" w:color="auto"/>
        <w:left w:val="none" w:sz="0" w:space="0" w:color="auto"/>
        <w:bottom w:val="none" w:sz="0" w:space="0" w:color="auto"/>
        <w:right w:val="none" w:sz="0" w:space="0" w:color="auto"/>
      </w:divBdr>
      <w:divsChild>
        <w:div w:id="1021201128">
          <w:marLeft w:val="0"/>
          <w:marRight w:val="0"/>
          <w:marTop w:val="0"/>
          <w:marBottom w:val="0"/>
          <w:divBdr>
            <w:top w:val="none" w:sz="0" w:space="0" w:color="auto"/>
            <w:left w:val="none" w:sz="0" w:space="0" w:color="auto"/>
            <w:bottom w:val="none" w:sz="0" w:space="0" w:color="auto"/>
            <w:right w:val="none" w:sz="0" w:space="0" w:color="auto"/>
          </w:divBdr>
        </w:div>
        <w:div w:id="1113554822">
          <w:marLeft w:val="0"/>
          <w:marRight w:val="0"/>
          <w:marTop w:val="0"/>
          <w:marBottom w:val="0"/>
          <w:divBdr>
            <w:top w:val="none" w:sz="0" w:space="0" w:color="auto"/>
            <w:left w:val="none" w:sz="0" w:space="0" w:color="auto"/>
            <w:bottom w:val="none" w:sz="0" w:space="0" w:color="auto"/>
            <w:right w:val="none" w:sz="0" w:space="0" w:color="auto"/>
          </w:divBdr>
        </w:div>
        <w:div w:id="1211770621">
          <w:marLeft w:val="0"/>
          <w:marRight w:val="0"/>
          <w:marTop w:val="0"/>
          <w:marBottom w:val="0"/>
          <w:divBdr>
            <w:top w:val="none" w:sz="0" w:space="0" w:color="auto"/>
            <w:left w:val="none" w:sz="0" w:space="0" w:color="auto"/>
            <w:bottom w:val="none" w:sz="0" w:space="0" w:color="auto"/>
            <w:right w:val="none" w:sz="0" w:space="0" w:color="auto"/>
          </w:divBdr>
        </w:div>
        <w:div w:id="1995209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www.washingtonpost.com/news/storyline/wp/2015/01/30/mississippi-yes-mississippi-has-the-nations-best-child-vaccination-rate-heres-why/" TargetMode="External"/><Relationship Id="rId26" Type="http://schemas.openxmlformats.org/officeDocument/2006/relationships/hyperlink" Target="http://www.cdc.gov/about/history/tengpha.htm" TargetMode="External"/><Relationship Id="rId3" Type="http://schemas.openxmlformats.org/officeDocument/2006/relationships/styles" Target="styles.xml"/><Relationship Id="rId21" Type="http://schemas.openxmlformats.org/officeDocument/2006/relationships/hyperlink" Target="http://www.ct.gov/dph/lib/dph/infectious_diseases/flu/stats/2014-2015_flu_season_summary.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vaccines.gov/basics/protection/" TargetMode="External"/><Relationship Id="rId25" Type="http://schemas.openxmlformats.org/officeDocument/2006/relationships/hyperlink" Target="http://www.pacode.com/secure/data/028/chapter23/subchapCtoc.html" TargetMode="External"/><Relationship Id="rId2" Type="http://schemas.openxmlformats.org/officeDocument/2006/relationships/numbering" Target="numbering.xml"/><Relationship Id="rId16" Type="http://schemas.openxmlformats.org/officeDocument/2006/relationships/hyperlink" Target="http://www.cdc.gov/vaccines/recs/vac-admin/contraindications-vacc.htm" TargetMode="External"/><Relationship Id="rId20" Type="http://schemas.openxmlformats.org/officeDocument/2006/relationships/hyperlink" Target="http://www.bridgeportedu.com/health/docs/2015-2016/School_Immunizations-2015-16.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vaccines.procon.org/view.resource.php?resourceID=005979"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msdh.ms.gov/msdhsite/_static/resources/2029.pdf"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eziz.org/assets/docs/IMM-231.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ncsl.org/research/health/school-immunization-exemption-state-laws.aspx" TargetMode="External"/><Relationship Id="rId27" Type="http://schemas.openxmlformats.org/officeDocument/2006/relationships/hyperlink" Target="http://www.nvic.org/vaccine-laws.aspx"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CA8C3-91C5-4DCD-B34E-7893772F4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ETDword.dot</Template>
  <TotalTime>8</TotalTime>
  <Pages>35</Pages>
  <Words>12639</Words>
  <Characters>72043</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84513</CharactersWithSpaces>
  <SharedDoc>false</SharedDoc>
  <HLinks>
    <vt:vector size="126" baseType="variant">
      <vt:variant>
        <vt:i4>1900650</vt:i4>
      </vt:variant>
      <vt:variant>
        <vt:i4>296</vt:i4>
      </vt:variant>
      <vt:variant>
        <vt:i4>0</vt:i4>
      </vt:variant>
      <vt:variant>
        <vt:i4>5</vt:i4>
      </vt:variant>
      <vt:variant>
        <vt:lpwstr>http://www.nvic.org/vaccine-laws.aspx</vt:lpwstr>
      </vt:variant>
      <vt:variant>
        <vt:lpwstr/>
      </vt:variant>
      <vt:variant>
        <vt:i4>4390930</vt:i4>
      </vt:variant>
      <vt:variant>
        <vt:i4>293</vt:i4>
      </vt:variant>
      <vt:variant>
        <vt:i4>0</vt:i4>
      </vt:variant>
      <vt:variant>
        <vt:i4>5</vt:i4>
      </vt:variant>
      <vt:variant>
        <vt:lpwstr>http://www.cdc.gov/about/history/tengpha.htm</vt:lpwstr>
      </vt:variant>
      <vt:variant>
        <vt:lpwstr/>
      </vt:variant>
      <vt:variant>
        <vt:i4>4718684</vt:i4>
      </vt:variant>
      <vt:variant>
        <vt:i4>290</vt:i4>
      </vt:variant>
      <vt:variant>
        <vt:i4>0</vt:i4>
      </vt:variant>
      <vt:variant>
        <vt:i4>5</vt:i4>
      </vt:variant>
      <vt:variant>
        <vt:lpwstr>http://www.pacode.com/secure/data/028/chapter23/subchapCtoc.html</vt:lpwstr>
      </vt:variant>
      <vt:variant>
        <vt:lpwstr/>
      </vt:variant>
      <vt:variant>
        <vt:i4>3670062</vt:i4>
      </vt:variant>
      <vt:variant>
        <vt:i4>287</vt:i4>
      </vt:variant>
      <vt:variant>
        <vt:i4>0</vt:i4>
      </vt:variant>
      <vt:variant>
        <vt:i4>5</vt:i4>
      </vt:variant>
      <vt:variant>
        <vt:lpwstr>http://vaccines.procon.org/view.resource.php?resourceID=005979</vt:lpwstr>
      </vt:variant>
      <vt:variant>
        <vt:lpwstr/>
      </vt:variant>
      <vt:variant>
        <vt:i4>3538964</vt:i4>
      </vt:variant>
      <vt:variant>
        <vt:i4>284</vt:i4>
      </vt:variant>
      <vt:variant>
        <vt:i4>0</vt:i4>
      </vt:variant>
      <vt:variant>
        <vt:i4>5</vt:i4>
      </vt:variant>
      <vt:variant>
        <vt:lpwstr>http://msdh.ms.gov/msdhsite/_static/resources/2029.pdf</vt:lpwstr>
      </vt:variant>
      <vt:variant>
        <vt:lpwstr/>
      </vt:variant>
      <vt:variant>
        <vt:i4>4587626</vt:i4>
      </vt:variant>
      <vt:variant>
        <vt:i4>281</vt:i4>
      </vt:variant>
      <vt:variant>
        <vt:i4>0</vt:i4>
      </vt:variant>
      <vt:variant>
        <vt:i4>5</vt:i4>
      </vt:variant>
      <vt:variant>
        <vt:lpwstr>http://www.ncsl.org/research/health/school-immunization-exemption-state-laws.aspx</vt:lpwstr>
      </vt:variant>
      <vt:variant>
        <vt:lpwstr/>
      </vt:variant>
      <vt:variant>
        <vt:i4>5242960</vt:i4>
      </vt:variant>
      <vt:variant>
        <vt:i4>278</vt:i4>
      </vt:variant>
      <vt:variant>
        <vt:i4>0</vt:i4>
      </vt:variant>
      <vt:variant>
        <vt:i4>5</vt:i4>
      </vt:variant>
      <vt:variant>
        <vt:lpwstr>http://www.ct.gov/dph/lib/dph/infectious_diseases/flu/stats/2014-2015_flu_season_summary.pdf</vt:lpwstr>
      </vt:variant>
      <vt:variant>
        <vt:lpwstr/>
      </vt:variant>
      <vt:variant>
        <vt:i4>5374020</vt:i4>
      </vt:variant>
      <vt:variant>
        <vt:i4>275</vt:i4>
      </vt:variant>
      <vt:variant>
        <vt:i4>0</vt:i4>
      </vt:variant>
      <vt:variant>
        <vt:i4>5</vt:i4>
      </vt:variant>
      <vt:variant>
        <vt:lpwstr>http://www.bridgeportedu.com/health/docs/2015-2016/School_Immunizations-2015-16.pdf</vt:lpwstr>
      </vt:variant>
      <vt:variant>
        <vt:lpwstr/>
      </vt:variant>
      <vt:variant>
        <vt:i4>2097221</vt:i4>
      </vt:variant>
      <vt:variant>
        <vt:i4>272</vt:i4>
      </vt:variant>
      <vt:variant>
        <vt:i4>0</vt:i4>
      </vt:variant>
      <vt:variant>
        <vt:i4>5</vt:i4>
      </vt:variant>
      <vt:variant>
        <vt:lpwstr>http://eziz.org/assets/docs/IMM-231.pdf</vt:lpwstr>
      </vt:variant>
      <vt:variant>
        <vt:lpwstr/>
      </vt:variant>
      <vt:variant>
        <vt:i4>262266</vt:i4>
      </vt:variant>
      <vt:variant>
        <vt:i4>269</vt:i4>
      </vt:variant>
      <vt:variant>
        <vt:i4>0</vt:i4>
      </vt:variant>
      <vt:variant>
        <vt:i4>5</vt:i4>
      </vt:variant>
      <vt:variant>
        <vt:lpwstr>http://www.washingtonpost.com/news/storyline/wp/2015/01/30/mississippi-yes-mississippi-has-the-nations-best-child-vaccination-rate-heres-why/</vt:lpwstr>
      </vt:variant>
      <vt:variant>
        <vt:lpwstr/>
      </vt:variant>
      <vt:variant>
        <vt:i4>6881377</vt:i4>
      </vt:variant>
      <vt:variant>
        <vt:i4>266</vt:i4>
      </vt:variant>
      <vt:variant>
        <vt:i4>0</vt:i4>
      </vt:variant>
      <vt:variant>
        <vt:i4>5</vt:i4>
      </vt:variant>
      <vt:variant>
        <vt:lpwstr>http://www.vaccines.gov/basics/protection/</vt:lpwstr>
      </vt:variant>
      <vt:variant>
        <vt:lpwstr/>
      </vt:variant>
      <vt:variant>
        <vt:i4>5963812</vt:i4>
      </vt:variant>
      <vt:variant>
        <vt:i4>263</vt:i4>
      </vt:variant>
      <vt:variant>
        <vt:i4>0</vt:i4>
      </vt:variant>
      <vt:variant>
        <vt:i4>5</vt:i4>
      </vt:variant>
      <vt:variant>
        <vt:lpwstr>http://www.cdc.gov/vaccines/recs/vac-admin/contraindications-vacc.htm</vt:lpwstr>
      </vt:variant>
      <vt:variant>
        <vt:lpwstr/>
      </vt:variant>
      <vt:variant>
        <vt:i4>1376261</vt:i4>
      </vt:variant>
      <vt:variant>
        <vt:i4>62</vt:i4>
      </vt:variant>
      <vt:variant>
        <vt:i4>0</vt:i4>
      </vt:variant>
      <vt:variant>
        <vt:i4>5</vt:i4>
      </vt:variant>
      <vt:variant>
        <vt:lpwstr/>
      </vt:variant>
      <vt:variant>
        <vt:lpwstr>_Toc448743825</vt:lpwstr>
      </vt:variant>
      <vt:variant>
        <vt:i4>1376260</vt:i4>
      </vt:variant>
      <vt:variant>
        <vt:i4>56</vt:i4>
      </vt:variant>
      <vt:variant>
        <vt:i4>0</vt:i4>
      </vt:variant>
      <vt:variant>
        <vt:i4>5</vt:i4>
      </vt:variant>
      <vt:variant>
        <vt:lpwstr/>
      </vt:variant>
      <vt:variant>
        <vt:lpwstr>_Toc448743824</vt:lpwstr>
      </vt:variant>
      <vt:variant>
        <vt:i4>131105</vt:i4>
      </vt:variant>
      <vt:variant>
        <vt:i4>49878</vt:i4>
      </vt:variant>
      <vt:variant>
        <vt:i4>1025</vt:i4>
      </vt:variant>
      <vt:variant>
        <vt:i4>1</vt:i4>
      </vt:variant>
      <vt:variant>
        <vt:lpwstr>States By Quartile Of Exemption Law Effectiveness Index, 2012</vt:lpwstr>
      </vt:variant>
      <vt:variant>
        <vt:lpwstr/>
      </vt:variant>
      <vt:variant>
        <vt:i4>2752625</vt:i4>
      </vt:variant>
      <vt:variant>
        <vt:i4>57559</vt:i4>
      </vt:variant>
      <vt:variant>
        <vt:i4>1026</vt:i4>
      </vt:variant>
      <vt:variant>
        <vt:i4>1</vt:i4>
      </vt:variant>
      <vt:variant>
        <vt:lpwstr>Exemption Rate</vt:lpwstr>
      </vt:variant>
      <vt:variant>
        <vt:lpwstr/>
      </vt:variant>
      <vt:variant>
        <vt:i4>1179720</vt:i4>
      </vt:variant>
      <vt:variant>
        <vt:i4>59161</vt:i4>
      </vt:variant>
      <vt:variant>
        <vt:i4>1027</vt:i4>
      </vt:variant>
      <vt:variant>
        <vt:i4>1</vt:i4>
      </vt:variant>
      <vt:variant>
        <vt:lpwstr># of immunizations by type and state</vt:lpwstr>
      </vt:variant>
      <vt:variant>
        <vt:lpwstr/>
      </vt:variant>
      <vt:variant>
        <vt:i4>1835074</vt:i4>
      </vt:variant>
      <vt:variant>
        <vt:i4>63773</vt:i4>
      </vt:variant>
      <vt:variant>
        <vt:i4>1028</vt:i4>
      </vt:variant>
      <vt:variant>
        <vt:i4>1</vt:i4>
      </vt:variant>
      <vt:variant>
        <vt:lpwstr>14-1-menacwy</vt:lpwstr>
      </vt:variant>
      <vt:variant>
        <vt:lpwstr/>
      </vt:variant>
      <vt:variant>
        <vt:i4>131152</vt:i4>
      </vt:variant>
      <vt:variant>
        <vt:i4>65991</vt:i4>
      </vt:variant>
      <vt:variant>
        <vt:i4>1029</vt:i4>
      </vt:variant>
      <vt:variant>
        <vt:i4>1</vt:i4>
      </vt:variant>
      <vt:variant>
        <vt:lpwstr>14-2-var</vt:lpwstr>
      </vt:variant>
      <vt:variant>
        <vt:lpwstr/>
      </vt:variant>
      <vt:variant>
        <vt:i4>1638492</vt:i4>
      </vt:variant>
      <vt:variant>
        <vt:i4>68539</vt:i4>
      </vt:variant>
      <vt:variant>
        <vt:i4>1030</vt:i4>
      </vt:variant>
      <vt:variant>
        <vt:i4>1</vt:i4>
      </vt:variant>
      <vt:variant>
        <vt:lpwstr>14-2-mmr</vt:lpwstr>
      </vt:variant>
      <vt:variant>
        <vt:lpwstr/>
      </vt:variant>
      <vt:variant>
        <vt:i4>851988</vt:i4>
      </vt:variant>
      <vt:variant>
        <vt:i4>69383</vt:i4>
      </vt:variant>
      <vt:variant>
        <vt:i4>1031</vt:i4>
      </vt:variant>
      <vt:variant>
        <vt:i4>1</vt:i4>
      </vt:variant>
      <vt:variant>
        <vt:lpwstr>14-1-tdap-10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cp:lastModifiedBy>Pegher, Joanne</cp:lastModifiedBy>
  <cp:revision>3</cp:revision>
  <cp:lastPrinted>2016-04-04T18:06:00Z</cp:lastPrinted>
  <dcterms:created xsi:type="dcterms:W3CDTF">2016-04-26T02:11:00Z</dcterms:created>
  <dcterms:modified xsi:type="dcterms:W3CDTF">2016-09-06T20:57:00Z</dcterms:modified>
</cp:coreProperties>
</file>