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88" w:rsidRPr="00C2246D" w:rsidRDefault="00CF6C88" w:rsidP="002C2941">
      <w:pPr>
        <w:spacing w:line="480" w:lineRule="auto"/>
        <w:jc w:val="center"/>
      </w:pPr>
      <w:r w:rsidRPr="00C2246D">
        <w:t xml:space="preserve">Evaluating the </w:t>
      </w:r>
      <w:r w:rsidR="00E13A11">
        <w:t>MEDLINE</w:t>
      </w:r>
      <w:r w:rsidRPr="00C2246D">
        <w:t xml:space="preserve"> </w:t>
      </w:r>
      <w:r w:rsidRPr="00C2246D">
        <w:rPr>
          <w:i/>
        </w:rPr>
        <w:t>Core Clinical Journals</w:t>
      </w:r>
      <w:r w:rsidRPr="00C2246D">
        <w:t xml:space="preserve"> Filter: Data-Driven Evidence Assessing Clinical Utility</w:t>
      </w:r>
    </w:p>
    <w:p w:rsidR="00CF6C88" w:rsidRPr="00C2246D" w:rsidRDefault="00CF6C88" w:rsidP="002C2941">
      <w:pPr>
        <w:spacing w:line="480" w:lineRule="auto"/>
        <w:jc w:val="center"/>
      </w:pPr>
      <w:r w:rsidRPr="00C2246D">
        <w:t>Michele Klein-Fedyshin, MS</w:t>
      </w:r>
      <w:r>
        <w:t>LS, BSN, RN, AHIP (Correspondence</w:t>
      </w:r>
      <w:r w:rsidRPr="00C2246D">
        <w:t xml:space="preserve">). </w:t>
      </w:r>
      <w:r>
        <w:t xml:space="preserve">Faculty Librarian, </w:t>
      </w:r>
      <w:r w:rsidRPr="00C2246D">
        <w:t xml:space="preserve">University of Pittsburgh, Health Sciences Library System, </w:t>
      </w:r>
      <w:r>
        <w:t xml:space="preserve">200 Scaife Hall, 3550 Terrace Street, </w:t>
      </w:r>
      <w:r w:rsidRPr="00C2246D">
        <w:rPr>
          <w:color w:val="333333"/>
        </w:rPr>
        <w:t>Pittsburgh, Pennsylvania</w:t>
      </w:r>
      <w:r>
        <w:rPr>
          <w:color w:val="333333"/>
        </w:rPr>
        <w:t>, 15261 USA,</w:t>
      </w:r>
      <w:r w:rsidRPr="00C2246D">
        <w:t xml:space="preserve"> kleinf@pitt.edu</w:t>
      </w:r>
    </w:p>
    <w:p w:rsidR="00CF6C88" w:rsidRPr="00C2246D" w:rsidRDefault="00CF6C88" w:rsidP="002C2941">
      <w:pPr>
        <w:spacing w:line="480" w:lineRule="auto"/>
        <w:jc w:val="center"/>
      </w:pPr>
      <w:r w:rsidRPr="00C2246D">
        <w:t xml:space="preserve">Andrea M. Ketchum, MLIS, AHIP. </w:t>
      </w:r>
      <w:r>
        <w:t xml:space="preserve">Faculty Librarian, </w:t>
      </w:r>
      <w:r w:rsidRPr="00C2246D">
        <w:t>University of Pittsburgh</w:t>
      </w:r>
      <w:r>
        <w:t xml:space="preserve">, </w:t>
      </w:r>
      <w:r w:rsidRPr="00C2246D">
        <w:t xml:space="preserve">Health Sciences Library System, </w:t>
      </w:r>
      <w:r>
        <w:t>Pittsburgh, Pennsylvania, USA</w:t>
      </w:r>
    </w:p>
    <w:p w:rsidR="00CF6C88" w:rsidRPr="00252620" w:rsidRDefault="00CF6C88" w:rsidP="002C2941">
      <w:pPr>
        <w:spacing w:before="100" w:beforeAutospacing="1" w:after="100" w:afterAutospacing="1" w:line="480" w:lineRule="auto"/>
        <w:jc w:val="center"/>
        <w:rPr>
          <w:rFonts w:eastAsia="Times New Roman"/>
        </w:rPr>
      </w:pPr>
      <w:r w:rsidRPr="00C2246D">
        <w:t xml:space="preserve">Robert M. Arnold, MD, </w:t>
      </w:r>
      <w:r w:rsidRPr="00252620">
        <w:t>Leo</w:t>
      </w:r>
      <w:r w:rsidRPr="00252620">
        <w:rPr>
          <w:rFonts w:eastAsia="Times New Roman"/>
        </w:rPr>
        <w:t xml:space="preserve"> H. Creep Chair of Patient Care; Professor of Medicine; Chief, Section of Palliative Care and Medical Ethics; </w:t>
      </w:r>
      <w:r w:rsidRPr="00252620">
        <w:rPr>
          <w:rFonts w:eastAsia="Times New Roman"/>
          <w:color w:val="000000"/>
        </w:rPr>
        <w:t>Director, Institute for Doctor-Patient Communication;</w:t>
      </w:r>
      <w:r w:rsidRPr="00252620">
        <w:rPr>
          <w:rFonts w:eastAsia="Times New Roman"/>
        </w:rPr>
        <w:t xml:space="preserve"> </w:t>
      </w:r>
      <w:r w:rsidRPr="00252620">
        <w:rPr>
          <w:rFonts w:eastAsia="Times New Roman"/>
          <w:color w:val="000000"/>
        </w:rPr>
        <w:t>University of Pittsburgh School of Medicine;</w:t>
      </w:r>
      <w:r w:rsidRPr="00252620">
        <w:rPr>
          <w:rFonts w:eastAsia="Times New Roman"/>
        </w:rPr>
        <w:t xml:space="preserve"> Medical</w:t>
      </w:r>
      <w:r w:rsidRPr="00252620">
        <w:rPr>
          <w:rFonts w:ascii="Cambria" w:eastAsia="Times New Roman" w:hAnsi="Cambria"/>
        </w:rPr>
        <w:t xml:space="preserve"> Director, </w:t>
      </w:r>
      <w:r w:rsidRPr="00064BBF">
        <w:rPr>
          <w:rFonts w:eastAsia="Times New Roman"/>
        </w:rPr>
        <w:t>UPMC Palliative and Supportive Institute</w:t>
      </w:r>
      <w:r>
        <w:rPr>
          <w:rFonts w:ascii="Cambria" w:eastAsia="Times New Roman" w:hAnsi="Cambria"/>
        </w:rPr>
        <w:t>,</w:t>
      </w:r>
      <w:r>
        <w:rPr>
          <w:rFonts w:eastAsia="Times New Roman"/>
        </w:rPr>
        <w:t xml:space="preserve"> </w:t>
      </w:r>
      <w:r w:rsidRPr="00C2246D">
        <w:rPr>
          <w:color w:val="333333"/>
        </w:rPr>
        <w:t>Pittsburgh, Pennsylvania</w:t>
      </w:r>
      <w:r>
        <w:rPr>
          <w:color w:val="333333"/>
        </w:rPr>
        <w:t>, USA</w:t>
      </w:r>
    </w:p>
    <w:p w:rsidR="00CF6C88" w:rsidRPr="00C2246D" w:rsidRDefault="00CF6C88" w:rsidP="002C2941">
      <w:pPr>
        <w:spacing w:line="480" w:lineRule="auto"/>
        <w:jc w:val="center"/>
      </w:pPr>
      <w:r w:rsidRPr="00C2246D">
        <w:t xml:space="preserve">Peter J. Fedyshin, MD, </w:t>
      </w:r>
      <w:r>
        <w:t xml:space="preserve">Staff Radiologist, </w:t>
      </w:r>
      <w:r w:rsidRPr="00C2246D">
        <w:t>Department of Radiology, University of Pittsburgh Medical Centre</w:t>
      </w:r>
      <w:r>
        <w:t xml:space="preserve">, </w:t>
      </w:r>
      <w:r w:rsidRPr="00C2246D">
        <w:rPr>
          <w:color w:val="333333"/>
        </w:rPr>
        <w:t>Pittsburgh, Pennsylvania</w:t>
      </w:r>
      <w:r>
        <w:rPr>
          <w:color w:val="333333"/>
        </w:rPr>
        <w:t>, USA</w:t>
      </w:r>
    </w:p>
    <w:p w:rsidR="00CF6C88" w:rsidRPr="00C2246D" w:rsidRDefault="00CF6C88" w:rsidP="002C2941">
      <w:pPr>
        <w:spacing w:line="480" w:lineRule="auto"/>
        <w:jc w:val="center"/>
      </w:pPr>
    </w:p>
    <w:p w:rsidR="00CF6C88" w:rsidRPr="00C2246D" w:rsidRDefault="00CF6C88" w:rsidP="002C2941">
      <w:pPr>
        <w:spacing w:line="480" w:lineRule="auto"/>
      </w:pPr>
      <w:r>
        <w:t xml:space="preserve">Keywords: </w:t>
      </w:r>
      <w:r w:rsidR="00536B93">
        <w:t>MEDLINE</w:t>
      </w:r>
      <w:r>
        <w:t>, Search Filters, Core Clinical Journals, Information Storage and Retrieval, Clinical Librarian</w:t>
      </w:r>
      <w:r w:rsidR="00775246">
        <w:t>s, Clinical Informatics</w:t>
      </w:r>
    </w:p>
    <w:p w:rsidR="00CF6C88" w:rsidRDefault="00CF6C88" w:rsidP="002C2941">
      <w:pPr>
        <w:spacing w:line="480" w:lineRule="auto"/>
        <w:jc w:val="center"/>
      </w:pPr>
    </w:p>
    <w:p w:rsidR="00CF6C88" w:rsidRDefault="00CF6C88" w:rsidP="002C2941">
      <w:pPr>
        <w:spacing w:line="480" w:lineRule="auto"/>
        <w:jc w:val="center"/>
      </w:pPr>
    </w:p>
    <w:p w:rsidR="00CF6C88" w:rsidRDefault="00CF6C88" w:rsidP="002C2941">
      <w:pPr>
        <w:spacing w:line="480" w:lineRule="auto"/>
        <w:jc w:val="center"/>
      </w:pPr>
    </w:p>
    <w:p w:rsidR="00CF6C88" w:rsidRDefault="00CF6C88" w:rsidP="002C2941">
      <w:pPr>
        <w:spacing w:line="480" w:lineRule="auto"/>
        <w:jc w:val="center"/>
      </w:pPr>
    </w:p>
    <w:p w:rsidR="00CF6C88" w:rsidRPr="00C2246D" w:rsidRDefault="00CF6C88" w:rsidP="002C2941">
      <w:pPr>
        <w:spacing w:line="480" w:lineRule="auto"/>
      </w:pPr>
      <w:r w:rsidRPr="00C2246D">
        <w:rPr>
          <w:b/>
        </w:rPr>
        <w:lastRenderedPageBreak/>
        <w:t>Abstract:</w:t>
      </w:r>
    </w:p>
    <w:p w:rsidR="00CF6C88" w:rsidRPr="00FB546A" w:rsidRDefault="00CF6C88" w:rsidP="002C2941">
      <w:pPr>
        <w:pStyle w:val="NoSpacing"/>
        <w:spacing w:line="480" w:lineRule="auto"/>
        <w:rPr>
          <w:b/>
        </w:rPr>
      </w:pPr>
      <w:r>
        <w:rPr>
          <w:b/>
        </w:rPr>
        <w:t>Rationale, aims and objectives:</w:t>
      </w:r>
      <w:r w:rsidRPr="00833037">
        <w:rPr>
          <w:b/>
        </w:rPr>
        <w:t xml:space="preserve"> </w:t>
      </w:r>
      <w:r w:rsidR="00E13A11">
        <w:t>MEDLINE</w:t>
      </w:r>
      <w:r>
        <w:t xml:space="preserve"> offers</w:t>
      </w:r>
      <w:r w:rsidRPr="00CE4311">
        <w:t xml:space="preserve"> </w:t>
      </w:r>
      <w:r w:rsidRPr="00833037">
        <w:t xml:space="preserve">the </w:t>
      </w:r>
      <w:r>
        <w:t xml:space="preserve">Core Clinical Journals filter </w:t>
      </w:r>
      <w:r w:rsidRPr="009846C4">
        <w:t>to</w:t>
      </w:r>
      <w:r>
        <w:t xml:space="preserve"> limit to</w:t>
      </w:r>
      <w:r w:rsidRPr="009846C4">
        <w:t xml:space="preserve"> designated clinically useful journals</w:t>
      </w:r>
      <w:r>
        <w:t>.</w:t>
      </w:r>
      <w:r>
        <w:rPr>
          <w:b/>
        </w:rPr>
        <w:t xml:space="preserve"> </w:t>
      </w:r>
      <w:r>
        <w:t>T</w:t>
      </w:r>
      <w:r w:rsidRPr="00833037">
        <w:t>o</w:t>
      </w:r>
      <w:r w:rsidRPr="00833037">
        <w:rPr>
          <w:i/>
        </w:rPr>
        <w:t xml:space="preserve"> </w:t>
      </w:r>
      <w:r w:rsidRPr="00833037">
        <w:t xml:space="preserve">determine </w:t>
      </w:r>
      <w:r>
        <w:t xml:space="preserve">its effectiveness </w:t>
      </w:r>
      <w:r w:rsidRPr="00833037">
        <w:t xml:space="preserve">for contemporary clinical searching and </w:t>
      </w:r>
      <w:r>
        <w:t>patient-centric decision-making, this study</w:t>
      </w:r>
      <w:r w:rsidRPr="00833037">
        <w:t xml:space="preserve"> compare</w:t>
      </w:r>
      <w:r>
        <w:t>d</w:t>
      </w:r>
      <w:r w:rsidRPr="00833037">
        <w:t xml:space="preserve"> literature</w:t>
      </w:r>
      <w:r>
        <w:t xml:space="preserve"> used for Morning Report in </w:t>
      </w:r>
      <w:r w:rsidRPr="00833037">
        <w:t>Internal M</w:t>
      </w:r>
      <w:r>
        <w:t xml:space="preserve">edicine </w:t>
      </w:r>
      <w:r w:rsidRPr="00833037">
        <w:t xml:space="preserve">with journals in the </w:t>
      </w:r>
      <w:r>
        <w:t>filter.</w:t>
      </w:r>
      <w:r w:rsidRPr="00833037">
        <w:t xml:space="preserve"> </w:t>
      </w:r>
    </w:p>
    <w:p w:rsidR="00CF6C88" w:rsidRDefault="00CF6C88" w:rsidP="002C2941">
      <w:pPr>
        <w:pStyle w:val="NoSpacing"/>
        <w:spacing w:line="480" w:lineRule="auto"/>
      </w:pPr>
    </w:p>
    <w:p w:rsidR="00CF6C88" w:rsidRPr="00833037" w:rsidRDefault="00CF6C88" w:rsidP="002C2941">
      <w:pPr>
        <w:pStyle w:val="NoSpacing"/>
        <w:spacing w:line="480" w:lineRule="auto"/>
        <w:rPr>
          <w:b/>
        </w:rPr>
      </w:pPr>
      <w:r>
        <w:rPr>
          <w:b/>
        </w:rPr>
        <w:t>Method</w:t>
      </w:r>
      <w:r w:rsidRPr="00B745B8">
        <w:rPr>
          <w:b/>
        </w:rPr>
        <w:t>:</w:t>
      </w:r>
      <w:r>
        <w:t xml:space="preserve"> </w:t>
      </w:r>
      <w:r w:rsidRPr="00833037">
        <w:t xml:space="preserve">An </w:t>
      </w:r>
      <w:r>
        <w:t>EndNote</w:t>
      </w:r>
      <w:r w:rsidRPr="00833037">
        <w:t xml:space="preserve"> library populated with references </w:t>
      </w:r>
      <w:r>
        <w:t xml:space="preserve">answering </w:t>
      </w:r>
      <w:r w:rsidR="00536B93">
        <w:t xml:space="preserve">327 </w:t>
      </w:r>
      <w:r w:rsidRPr="00833037">
        <w:t>patient-related questions</w:t>
      </w:r>
      <w:r>
        <w:t xml:space="preserve"> during Morning Report </w:t>
      </w:r>
      <w:r w:rsidRPr="00833037">
        <w:t xml:space="preserve">from 2007- </w:t>
      </w:r>
      <w:r>
        <w:t>2012 was</w:t>
      </w:r>
      <w:r w:rsidRPr="00833037">
        <w:t xml:space="preserve"> exported to a file listing </w:t>
      </w:r>
      <w:r>
        <w:t>variables including</w:t>
      </w:r>
      <w:r w:rsidRPr="00833037">
        <w:t xml:space="preserve"> designated  Core Clinical Journal,</w:t>
      </w:r>
      <w:r>
        <w:t xml:space="preserve"> Journal </w:t>
      </w:r>
      <w:r w:rsidRPr="00833037">
        <w:t>Impact Fa</w:t>
      </w:r>
      <w:r>
        <w:t xml:space="preserve">ctor, date used and medical subject. </w:t>
      </w:r>
      <w:r w:rsidRPr="00833037">
        <w:t xml:space="preserve">Bradford’s law of scattering </w:t>
      </w:r>
      <w:r>
        <w:t xml:space="preserve">was applied </w:t>
      </w:r>
      <w:r w:rsidRPr="00833037">
        <w:t>rank</w:t>
      </w:r>
      <w:r>
        <w:t xml:space="preserve">ing the journals </w:t>
      </w:r>
      <w:r w:rsidR="00536B93">
        <w:t>and reflecting their clinical utility</w:t>
      </w:r>
      <w:r>
        <w:t>. R</w:t>
      </w:r>
      <w:r w:rsidRPr="00833037">
        <w:t>ecall (sensitivity) and precision of the Core Morning Report journal</w:t>
      </w:r>
      <w:r>
        <w:t xml:space="preserve">s and </w:t>
      </w:r>
      <w:r w:rsidRPr="00833037">
        <w:t>non</w:t>
      </w:r>
      <w:r>
        <w:t>-Core set was calculated. This study applied bibliometrics to compare the 628</w:t>
      </w:r>
      <w:r w:rsidRPr="00833037">
        <w:t xml:space="preserve"> </w:t>
      </w:r>
      <w:r>
        <w:t>articles</w:t>
      </w:r>
      <w:r w:rsidRPr="00833037">
        <w:t xml:space="preserve"> used </w:t>
      </w:r>
      <w:r>
        <w:t xml:space="preserve">against these criteria to </w:t>
      </w:r>
      <w:r w:rsidRPr="00833037">
        <w:t xml:space="preserve">determine journals </w:t>
      </w:r>
      <w:r>
        <w:t>impacting clinical decision-making</w:t>
      </w:r>
      <w:r w:rsidRPr="00833037">
        <w:t xml:space="preserve">.  </w:t>
      </w:r>
    </w:p>
    <w:p w:rsidR="00CF6C88" w:rsidRPr="00833037" w:rsidRDefault="00CF6C88" w:rsidP="002C2941">
      <w:pPr>
        <w:spacing w:after="0" w:line="480" w:lineRule="auto"/>
      </w:pPr>
    </w:p>
    <w:p w:rsidR="00CF6C88" w:rsidRPr="00833037" w:rsidRDefault="00CF6C88" w:rsidP="002C2941">
      <w:pPr>
        <w:spacing w:after="0" w:line="480" w:lineRule="auto"/>
        <w:rPr>
          <w:b/>
        </w:rPr>
      </w:pPr>
      <w:r w:rsidRPr="00833037">
        <w:rPr>
          <w:b/>
        </w:rPr>
        <w:t>Results:</w:t>
      </w:r>
    </w:p>
    <w:p w:rsidR="00413825" w:rsidRDefault="00CF6C88" w:rsidP="002C2941">
      <w:pPr>
        <w:spacing w:after="0" w:line="480" w:lineRule="auto"/>
        <w:rPr>
          <w:b/>
        </w:rPr>
      </w:pPr>
      <w:r w:rsidRPr="00833037">
        <w:t>Analysis shows 30% of clinically-used articles are from the Core Clinical Journals</w:t>
      </w:r>
      <w:r w:rsidRPr="2569886F">
        <w:t xml:space="preserve"> </w:t>
      </w:r>
      <w:r w:rsidR="00361CDA">
        <w:t>filter</w:t>
      </w:r>
      <w:r w:rsidRPr="00833037">
        <w:t xml:space="preserve"> and 16% of the journals represented are Core titles. </w:t>
      </w:r>
      <w:r w:rsidRPr="009A03CA">
        <w:t xml:space="preserve">When Bradford-ranked, 55% of the top twenty journals are Core.  </w:t>
      </w:r>
      <w:r w:rsidRPr="00833037">
        <w:t>Articles &lt;5 years old furnish 63% of sour</w:t>
      </w:r>
      <w:r>
        <w:t>ces used. A</w:t>
      </w:r>
      <w:r w:rsidRPr="00833037">
        <w:t>mong the 6</w:t>
      </w:r>
      <w:r w:rsidR="00536B93">
        <w:t>3</w:t>
      </w:r>
      <w:r w:rsidRPr="00833037">
        <w:t xml:space="preserve"> Morning Report subjects</w:t>
      </w:r>
      <w:r>
        <w:t>, 55 have &lt;50% precision and 41</w:t>
      </w:r>
      <w:r w:rsidRPr="00833037">
        <w:t xml:space="preserve"> have &lt;50% recall </w:t>
      </w:r>
      <w:r>
        <w:t xml:space="preserve">including </w:t>
      </w:r>
      <w:r w:rsidR="00A16616" w:rsidRPr="00F16B1D">
        <w:t>37</w:t>
      </w:r>
      <w:r w:rsidRPr="00833037">
        <w:t xml:space="preserve"> subjects with 0% precision and 0% recall. </w:t>
      </w:r>
    </w:p>
    <w:p w:rsidR="00413825" w:rsidRDefault="00413825" w:rsidP="002C2941">
      <w:pPr>
        <w:spacing w:after="0" w:line="480" w:lineRule="auto"/>
        <w:rPr>
          <w:b/>
        </w:rPr>
      </w:pPr>
    </w:p>
    <w:p w:rsidR="00CF6C88" w:rsidRPr="00833037" w:rsidRDefault="00CF6C88" w:rsidP="002C2941">
      <w:pPr>
        <w:spacing w:after="0" w:line="480" w:lineRule="auto"/>
        <w:rPr>
          <w:b/>
        </w:rPr>
      </w:pPr>
      <w:r w:rsidRPr="00833037">
        <w:rPr>
          <w:b/>
        </w:rPr>
        <w:lastRenderedPageBreak/>
        <w:t>Conclusions:</w:t>
      </w:r>
    </w:p>
    <w:p w:rsidR="00F57D71" w:rsidRDefault="00CF6C88" w:rsidP="00F16B1D">
      <w:pPr>
        <w:spacing w:after="0" w:line="480" w:lineRule="auto"/>
        <w:rPr>
          <w:b/>
        </w:rPr>
      </w:pPr>
      <w:r>
        <w:t>L</w:t>
      </w:r>
      <w:r w:rsidRPr="00833037">
        <w:t xml:space="preserve">ow usage of </w:t>
      </w:r>
      <w:r>
        <w:t xml:space="preserve">publications within the </w:t>
      </w:r>
      <w:r w:rsidRPr="00833037">
        <w:t xml:space="preserve">Core Clinical Journals </w:t>
      </w:r>
      <w:r>
        <w:t xml:space="preserve">filter </w:t>
      </w:r>
      <w:r w:rsidRPr="00833037">
        <w:t xml:space="preserve">indicates less </w:t>
      </w:r>
      <w:r>
        <w:t xml:space="preserve">relevance </w:t>
      </w:r>
      <w:r w:rsidRPr="00833037">
        <w:t>for hospital-based care. The divergence from high</w:t>
      </w:r>
      <w:r>
        <w:t xml:space="preserve"> impact medicine</w:t>
      </w:r>
      <w:r w:rsidRPr="00833037">
        <w:t xml:space="preserve"> titles suggests clinically valuable journals differ from academically important titles. With few subjects demonstrating high recall or precision, </w:t>
      </w:r>
      <w:r w:rsidR="00A16616" w:rsidRPr="00F16B1D">
        <w:t xml:space="preserve">the MEDLINE Core Clinical Journals filter may require a thorough review and update to better align with </w:t>
      </w:r>
      <w:r w:rsidR="00227479" w:rsidRPr="00F16B1D">
        <w:t xml:space="preserve">current </w:t>
      </w:r>
      <w:r w:rsidR="00A16616" w:rsidRPr="00F16B1D">
        <w:t>clinical needs</w:t>
      </w:r>
      <w:r w:rsidR="00F16B1D" w:rsidRPr="00F16B1D">
        <w:t>.</w:t>
      </w:r>
    </w:p>
    <w:p w:rsidR="00F57D71" w:rsidRDefault="00F57D71" w:rsidP="00F16B1D">
      <w:pPr>
        <w:spacing w:line="480" w:lineRule="auto"/>
        <w:rPr>
          <w:b/>
        </w:rPr>
      </w:pPr>
    </w:p>
    <w:p w:rsidR="00CF6C88" w:rsidRDefault="00CF6C88" w:rsidP="002C2941">
      <w:pPr>
        <w:spacing w:line="480" w:lineRule="auto"/>
        <w:rPr>
          <w:b/>
        </w:rPr>
      </w:pPr>
      <w:r>
        <w:rPr>
          <w:b/>
        </w:rPr>
        <w:t>Introduction</w:t>
      </w:r>
    </w:p>
    <w:p w:rsidR="00CF6C88" w:rsidRDefault="00CF6C88" w:rsidP="002C2941">
      <w:pPr>
        <w:spacing w:line="480" w:lineRule="auto"/>
      </w:pPr>
      <w:r>
        <w:t>The Abridged Index Medicus (AIM)</w:t>
      </w:r>
      <w:r w:rsidRPr="004A2A4B">
        <w:t xml:space="preserve"> journal </w:t>
      </w:r>
      <w:r>
        <w:t xml:space="preserve">list was introduced in 1970 as a practical subset of 100 essential titles from the 2,300 English language journals then indexed in the full Index Medicus, or what we now know as MEDLINE. The list was originally published by the </w:t>
      </w:r>
      <w:r w:rsidR="00672D45">
        <w:t xml:space="preserve">U.S. </w:t>
      </w:r>
      <w:r>
        <w:t>National Library of Medicine (NLM) with guidance from medical librarians, physicians and editors [1</w:t>
      </w:r>
      <w:r w:rsidR="00D56B8D">
        <w:t>, 2</w:t>
      </w:r>
      <w:r>
        <w:t xml:space="preserve">]. The originators sought readily accessible journals, and physicians envisioned a list with clinical usefulness that would be continuously reviewed </w:t>
      </w:r>
      <w:hyperlink w:anchor="_ENREF_1" w:tooltip=", 1970 #48" w:history="1">
        <w:r>
          <w:t>[3]</w:t>
        </w:r>
      </w:hyperlink>
      <w:r>
        <w:t xml:space="preserve">. Lauded upon its publication, physicians appreciated having a manageable set of references selected for convenience, quality and clinical relevance </w:t>
      </w:r>
      <w:r w:rsidR="00920A57" w:rsidRPr="00920A57">
        <w:rPr>
          <w:noProof/>
        </w:rPr>
        <w:t>[3,4]</w:t>
      </w:r>
      <w:r w:rsidRPr="00920A57">
        <w:t>.</w:t>
      </w:r>
      <w:r>
        <w:t xml:space="preserve"> </w:t>
      </w:r>
    </w:p>
    <w:p w:rsidR="00CF6C88" w:rsidRDefault="00CF6C88" w:rsidP="002C2941">
      <w:pPr>
        <w:spacing w:line="480" w:lineRule="auto"/>
      </w:pPr>
      <w:r w:rsidRPr="00BC23C1">
        <w:t xml:space="preserve">The original </w:t>
      </w:r>
      <w:r>
        <w:t xml:space="preserve">AIM </w:t>
      </w:r>
      <w:r w:rsidRPr="00BC23C1">
        <w:t xml:space="preserve">list included 100 journals and one more was added later. In 1979, 26 titles were added and 8 deleted, resulting in 119 indexed journals. Since then, due to </w:t>
      </w:r>
      <w:r w:rsidR="00840CB0" w:rsidRPr="00BC23C1">
        <w:t>publishers</w:t>
      </w:r>
      <w:r w:rsidRPr="00BC23C1">
        <w:t xml:space="preserve">’ title changes plus journal discontinuations or splits, the AIM list has fluctuated without being systematically revised. After 31 years, </w:t>
      </w:r>
      <w:r w:rsidR="1106DA6F" w:rsidRPr="00BC23C1">
        <w:t xml:space="preserve">MEDLINE'S </w:t>
      </w:r>
      <w:r w:rsidRPr="00BC23C1">
        <w:t xml:space="preserve">AIM list was renamed the </w:t>
      </w:r>
      <w:bookmarkStart w:id="0" w:name="_GoBack"/>
      <w:bookmarkEnd w:id="0"/>
      <w:r w:rsidRPr="00BC23C1">
        <w:t>Core Clinical Journal</w:t>
      </w:r>
      <w:r>
        <w:t>s</w:t>
      </w:r>
      <w:r w:rsidRPr="00BC23C1">
        <w:t xml:space="preserve"> (CCJ) subset </w:t>
      </w:r>
      <w:r w:rsidR="00E010DC" w:rsidRPr="00E010DC">
        <w:rPr>
          <w:noProof/>
        </w:rPr>
        <w:t>[5].</w:t>
      </w:r>
      <w:r w:rsidRPr="00BC23C1">
        <w:t xml:space="preserve"> It is an easily available filter for </w:t>
      </w:r>
      <w:r w:rsidR="00E13A11">
        <w:t>MEDLINE</w:t>
      </w:r>
      <w:r w:rsidRPr="00BC23C1">
        <w:t xml:space="preserve"> searches to restrict retrieval to </w:t>
      </w:r>
      <w:r>
        <w:t>clinically</w:t>
      </w:r>
      <w:r w:rsidRPr="00BC23C1">
        <w:t xml:space="preserve"> applicable citations</w:t>
      </w:r>
      <w:r>
        <w:t xml:space="preserve"> from among the 5,652 journals currently indexed for MEDLINE. </w:t>
      </w:r>
      <w:r w:rsidRPr="00BC23C1">
        <w:t xml:space="preserve">There is no </w:t>
      </w:r>
      <w:r>
        <w:t>extant data determining</w:t>
      </w:r>
      <w:r w:rsidRPr="00BC23C1">
        <w:t xml:space="preserve"> the CCJ </w:t>
      </w:r>
      <w:r>
        <w:t>filter’s</w:t>
      </w:r>
      <w:r w:rsidRPr="00BC23C1">
        <w:t xml:space="preserve"> effectiveness for contemporary clinical searching and patient-centric decision-making. </w:t>
      </w:r>
    </w:p>
    <w:p w:rsidR="00CF6C88" w:rsidRPr="00864EA3" w:rsidRDefault="00CF6C88" w:rsidP="002C2941">
      <w:pPr>
        <w:spacing w:line="480" w:lineRule="auto"/>
      </w:pPr>
      <w:r w:rsidRPr="00DE40D7">
        <w:t xml:space="preserve">From 1970 to the present, clinicians have continued to have limited time to search, retrieve and judge the literature needed for patient care. The peer-reviewed nature of </w:t>
      </w:r>
      <w:r w:rsidR="00E13A11">
        <w:t>MEDLINE</w:t>
      </w:r>
      <w:r w:rsidRPr="00DE40D7">
        <w:t xml:space="preserve"> journals, which must be evaluated before indexing in </w:t>
      </w:r>
      <w:r w:rsidR="00E13A11">
        <w:t>MEDLINE</w:t>
      </w:r>
      <w:r w:rsidRPr="00DE40D7">
        <w:t xml:space="preserve">, elevates the reliability and quality of </w:t>
      </w:r>
      <w:r w:rsidR="00E13A11">
        <w:t>MEDLINE</w:t>
      </w:r>
      <w:r w:rsidRPr="00DE40D7">
        <w:t xml:space="preserve"> retrievals. Although Google and Google Scholar sometimes substitute for a search of the professional medical literature, studies have found them marginally better than a coin toss for diagnosis</w:t>
      </w:r>
      <w:r w:rsidR="002C2941">
        <w:t xml:space="preserve"> [6,7]</w:t>
      </w:r>
      <w:r w:rsidRPr="00DE40D7">
        <w:t>; laden with formats other than journal articles including patents, case law, lawyers’ ads and blogs</w:t>
      </w:r>
      <w:r w:rsidR="002C2941">
        <w:rPr>
          <w:noProof/>
          <w:vertAlign w:val="superscript"/>
        </w:rPr>
        <w:t xml:space="preserve"> </w:t>
      </w:r>
      <w:r w:rsidR="002C2941">
        <w:t>[8-10]</w:t>
      </w:r>
      <w:r w:rsidRPr="00DE40D7">
        <w:t>; and often inconsistent with professional medical society recommendations</w:t>
      </w:r>
      <w:r w:rsidR="002C2941">
        <w:rPr>
          <w:noProof/>
          <w:vertAlign w:val="superscript"/>
        </w:rPr>
        <w:t xml:space="preserve"> </w:t>
      </w:r>
      <w:r w:rsidR="002C2941">
        <w:t>[11,12]</w:t>
      </w:r>
      <w:r w:rsidRPr="00DE40D7">
        <w:t xml:space="preserve">. </w:t>
      </w:r>
      <w:r w:rsidR="00E13A11">
        <w:t>MEDLINE</w:t>
      </w:r>
      <w:r w:rsidRPr="00DE40D7">
        <w:t xml:space="preserve"> offers higher specificity</w:t>
      </w:r>
      <w:r w:rsidR="00A142B4">
        <w:rPr>
          <w:noProof/>
          <w:vertAlign w:val="superscript"/>
        </w:rPr>
        <w:t xml:space="preserve"> </w:t>
      </w:r>
      <w:r w:rsidR="00A142B4">
        <w:t xml:space="preserve">[13], </w:t>
      </w:r>
      <w:r w:rsidRPr="00DE40D7">
        <w:t>the ability to distinguish between human and animal studies, study methodology</w:t>
      </w:r>
      <w:r>
        <w:t xml:space="preserve"> filters</w:t>
      </w:r>
      <w:r w:rsidR="00A142B4">
        <w:rPr>
          <w:noProof/>
          <w:vertAlign w:val="superscript"/>
        </w:rPr>
        <w:t xml:space="preserve"> </w:t>
      </w:r>
      <w:r w:rsidR="00A142B4">
        <w:t>[13]</w:t>
      </w:r>
      <w:r w:rsidRPr="00DE40D7">
        <w:t xml:space="preserve"> and primary literature to answer drug-related questions</w:t>
      </w:r>
      <w:r>
        <w:t xml:space="preserve"> </w:t>
      </w:r>
      <w:r w:rsidR="00A142B4" w:rsidRPr="00A142B4">
        <w:rPr>
          <w:noProof/>
        </w:rPr>
        <w:t>[14]</w:t>
      </w:r>
      <w:r w:rsidRPr="00A142B4">
        <w:t>.</w:t>
      </w:r>
      <w:r w:rsidRPr="00DE40D7">
        <w:t xml:space="preserve"> As an advantage to community-based clinicians, PubMed is a free resource available without subscription. The CCJ subset is an easy filter to apply</w:t>
      </w:r>
      <w:r>
        <w:t xml:space="preserve">. </w:t>
      </w:r>
      <w:r w:rsidRPr="00DE40D7">
        <w:t xml:space="preserve">With a few clicks, a </w:t>
      </w:r>
      <w:r w:rsidR="00E13A11">
        <w:t>MEDLINE</w:t>
      </w:r>
      <w:r w:rsidRPr="00DE40D7">
        <w:t xml:space="preserve"> search can focus on a set of journals selected for high quality and clinical utility. For clinicians this is an extremely efficient filter to apply, but the journals within the CCJ subset have not been evaluated or revised since 1979. This study </w:t>
      </w:r>
      <w:r>
        <w:t>analyzed data to determine external validation of its clinical utility</w:t>
      </w:r>
      <w:r w:rsidRPr="00DE40D7">
        <w:t xml:space="preserve"> or if an update is needed.</w:t>
      </w:r>
      <w:r w:rsidRPr="00864EA3">
        <w:t xml:space="preserve">  </w:t>
      </w:r>
    </w:p>
    <w:p w:rsidR="00CF6C88" w:rsidRPr="00D37BA3" w:rsidRDefault="00CF6C88" w:rsidP="002C2941">
      <w:pPr>
        <w:spacing w:line="480" w:lineRule="auto"/>
        <w:rPr>
          <w:b/>
        </w:rPr>
      </w:pPr>
      <w:r w:rsidRPr="00D37BA3">
        <w:rPr>
          <w:b/>
        </w:rPr>
        <w:t>Objective</w:t>
      </w:r>
    </w:p>
    <w:p w:rsidR="00CF6C88" w:rsidRPr="00846802" w:rsidRDefault="00CF6C88" w:rsidP="002C2941">
      <w:pPr>
        <w:spacing w:line="480" w:lineRule="auto"/>
      </w:pPr>
      <w:r>
        <w:t xml:space="preserve">To determine the contemporary clinical utility of the CCJ filter, this list was compared to the physician-selected, clinically-used citations from the University of Pittsburgh Health Sciences Library System (HSLS) Internal Medicine Morning Report (MR) blog. This study incorporates the </w:t>
      </w:r>
      <w:r w:rsidR="0021309B">
        <w:t xml:space="preserve">327 </w:t>
      </w:r>
      <w:r>
        <w:t xml:space="preserve">clinical questions detailed in the online blog from 2007-2012. Clinical questions were generated daily by the physicians from Internal Medicine Rounds in a teaching hospital, and </w:t>
      </w:r>
      <w:r w:rsidR="00A16616" w:rsidRPr="00F16B1D">
        <w:t>HSLS</w:t>
      </w:r>
      <w:r w:rsidR="00A16616" w:rsidRPr="00F16B1D">
        <w:rPr>
          <w:color w:val="FF0000"/>
        </w:rPr>
        <w:t xml:space="preserve"> </w:t>
      </w:r>
      <w:r>
        <w:t>librarians searched for articles that answered them. Questions were selected by the Chief Resident in conjunction with other residents and attending staff. Physicians chose articles to be posted to the blog from selections made by the Clinical Librarian</w:t>
      </w:r>
      <w:r w:rsidR="000A73FF" w:rsidRPr="71A2289A">
        <w:t>,</w:t>
      </w:r>
      <w:r w:rsidRPr="71A2289A">
        <w:t xml:space="preserve"> </w:t>
      </w:r>
      <w:r>
        <w:t>generated from the librarian’s search</w:t>
      </w:r>
      <w:r w:rsidR="000A73FF">
        <w:t xml:space="preserve"> or known to the team</w:t>
      </w:r>
      <w:r>
        <w:t xml:space="preserve">. Questions covered diagnosis, treatment, tests, drugs and other clinical issues. </w:t>
      </w:r>
      <w:r w:rsidR="000A73FF">
        <w:t>The questions were subject classified using the U.S. National Library of Medicine’s broad medical subject headings (MeSH)</w:t>
      </w:r>
      <w:r w:rsidR="00850604" w:rsidRPr="71A2289A">
        <w:t xml:space="preserve">. </w:t>
      </w:r>
      <w:r>
        <w:t xml:space="preserve">The blog’s </w:t>
      </w:r>
      <w:r w:rsidR="00A759BC">
        <w:t>327</w:t>
      </w:r>
      <w:r w:rsidR="000A73FF" w:rsidRPr="71A2289A">
        <w:t xml:space="preserve"> </w:t>
      </w:r>
      <w:r>
        <w:t>patient care questions were answered using 628 articles from 324 sources.</w:t>
      </w:r>
    </w:p>
    <w:p w:rsidR="00CF6C88" w:rsidRPr="00846802" w:rsidRDefault="00CF6C88" w:rsidP="002C2941">
      <w:pPr>
        <w:spacing w:line="480" w:lineRule="auto"/>
        <w:rPr>
          <w:b/>
        </w:rPr>
      </w:pPr>
      <w:r>
        <w:rPr>
          <w:b/>
        </w:rPr>
        <w:t>Methods</w:t>
      </w:r>
    </w:p>
    <w:p w:rsidR="00CF6C88" w:rsidRPr="0007039B" w:rsidRDefault="00CF6C88" w:rsidP="002C2941">
      <w:pPr>
        <w:spacing w:line="480" w:lineRule="auto"/>
        <w:rPr>
          <w:color w:val="FF0000"/>
        </w:rPr>
      </w:pPr>
      <w:r>
        <w:t xml:space="preserve">All of the Morning Report blog citations were populated into an EndNote library and sent to a Microsoft Excel file for Bradford law review, Impact Factor insertion and subject assignment; each becoming a method of measuring clinical relevance. </w:t>
      </w:r>
    </w:p>
    <w:p w:rsidR="00CF6C88" w:rsidRPr="00846802" w:rsidRDefault="00CF6C88" w:rsidP="002C2941">
      <w:pPr>
        <w:spacing w:line="480" w:lineRule="auto"/>
      </w:pPr>
      <w:r>
        <w:t xml:space="preserve">Bradford’s law of scattering describes how the literature on a subject is distributed in the journal literature </w:t>
      </w:r>
      <w:r w:rsidR="0084215C">
        <w:rPr>
          <w:noProof/>
        </w:rPr>
        <w:t>[15]</w:t>
      </w:r>
      <w:r>
        <w:t xml:space="preserve">. It is a statistical expression used to demonstrate that a few journals account for many articles in a discipline and divides the distribution into three tiers. It finds that a small core of journals accounts for a substantial percentage of the articles in a subject and identifies the most frequently used journals in a discipline. Bradford’s law was applied to the list of 324 Morning Report sources to rank </w:t>
      </w:r>
      <w:r w:rsidR="007B6F3A">
        <w:t>the clinical utility</w:t>
      </w:r>
      <w:r w:rsidR="00F16B1D">
        <w:t xml:space="preserve"> of</w:t>
      </w:r>
      <w:r>
        <w:t xml:space="preserve"> the journals used to answer these patient care questions. Tier 1 consisted of 27 journals with 208 articles and represented those having the greatest clinical </w:t>
      </w:r>
      <w:r w:rsidR="007B6F3A">
        <w:t>utility</w:t>
      </w:r>
      <w:r>
        <w:t xml:space="preserve"> during the 5 years recorded in the </w:t>
      </w:r>
      <w:r w:rsidRPr="003C3C29">
        <w:t>M</w:t>
      </w:r>
      <w:r>
        <w:t xml:space="preserve">orning </w:t>
      </w:r>
      <w:r w:rsidRPr="003C3C29">
        <w:t>R</w:t>
      </w:r>
      <w:r>
        <w:t xml:space="preserve">eport blog.   </w:t>
      </w:r>
    </w:p>
    <w:p w:rsidR="00CF6C88" w:rsidRPr="00846802" w:rsidRDefault="00CF6C88" w:rsidP="002C2941">
      <w:pPr>
        <w:spacing w:line="480" w:lineRule="auto"/>
      </w:pPr>
      <w:r>
        <w:t xml:space="preserve">Journal Impact Factors compare journals using citation data to indicate the most often cited journals in a field and thus having the highest impact </w:t>
      </w:r>
      <w:r w:rsidR="0084215C">
        <w:rPr>
          <w:noProof/>
        </w:rPr>
        <w:t>[16]</w:t>
      </w:r>
      <w:r>
        <w:t xml:space="preserve">. To compare the Morning Report clinical impact set with a standard impact factor, </w:t>
      </w:r>
      <w:r w:rsidRPr="00BC23C1">
        <w:t xml:space="preserve">the </w:t>
      </w:r>
      <w:r>
        <w:t>Institute for Scientific Information (</w:t>
      </w:r>
      <w:r w:rsidRPr="00BC23C1">
        <w:t>ISI</w:t>
      </w:r>
      <w:r>
        <w:t>)</w:t>
      </w:r>
      <w:r w:rsidRPr="00BC23C1">
        <w:t xml:space="preserve"> Impact</w:t>
      </w:r>
      <w:r w:rsidRPr="00971838">
        <w:rPr>
          <w:color w:val="FF0000"/>
        </w:rPr>
        <w:t xml:space="preserve"> </w:t>
      </w:r>
      <w:r w:rsidRPr="00BC23C1">
        <w:t>Factors</w:t>
      </w:r>
      <w:r w:rsidRPr="00971838">
        <w:rPr>
          <w:color w:val="FF0000"/>
        </w:rPr>
        <w:t xml:space="preserve"> </w:t>
      </w:r>
      <w:r>
        <w:t xml:space="preserve">were reviewed </w:t>
      </w:r>
      <w:r w:rsidR="0084215C">
        <w:rPr>
          <w:noProof/>
        </w:rPr>
        <w:t>[17]</w:t>
      </w:r>
      <w:r>
        <w:t>. The ISI Impact Factor subject category of General and Internal Medicine matched the Internal Medicine Department most closely. This ISI category’s list of journals was sorted by Impact Factor to find the top 20 ISI Medicine journals of 2010 for comparison with the Bradford-ranked Morning Report top 20. Any tie for frequency was broken using ISI</w:t>
      </w:r>
      <w:r w:rsidRPr="00BC23C1">
        <w:t xml:space="preserve"> Impact Factors </w:t>
      </w:r>
      <w:r>
        <w:t>which gave a slight bias to CCJ titles</w:t>
      </w:r>
    </w:p>
    <w:p w:rsidR="00CB7C0A" w:rsidRPr="00846802" w:rsidRDefault="004853FB" w:rsidP="002C2941">
      <w:pPr>
        <w:spacing w:line="480" w:lineRule="auto"/>
      </w:pPr>
      <w:r>
        <w:rPr>
          <w:noProof/>
          <w:lang w:val="en-US"/>
        </w:rPr>
        <mc:AlternateContent>
          <mc:Choice Requires="wps">
            <w:drawing>
              <wp:anchor distT="0" distB="0" distL="114300" distR="114300" simplePos="0" relativeHeight="251658240" behindDoc="0" locked="0" layoutInCell="1" allowOverlap="1" wp14:anchorId="7BD7243B" wp14:editId="0795E0ED">
                <wp:simplePos x="0" y="0"/>
                <wp:positionH relativeFrom="column">
                  <wp:posOffset>-742950</wp:posOffset>
                </wp:positionH>
                <wp:positionV relativeFrom="paragraph">
                  <wp:posOffset>1590675</wp:posOffset>
                </wp:positionV>
                <wp:extent cx="590550" cy="866775"/>
                <wp:effectExtent l="9525" t="8890" r="952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866775"/>
                        </a:xfrm>
                        <a:prstGeom prst="rect">
                          <a:avLst/>
                        </a:prstGeom>
                        <a:solidFill>
                          <a:srgbClr val="FFFFFF"/>
                        </a:solidFill>
                        <a:ln w="9525">
                          <a:solidFill>
                            <a:srgbClr val="000000"/>
                          </a:solidFill>
                          <a:miter lim="800000"/>
                          <a:headEnd/>
                          <a:tailEnd/>
                        </a:ln>
                      </wps:spPr>
                      <wps:txbx>
                        <w:txbxContent>
                          <w:p w:rsidR="00F57D71" w:rsidRDefault="00F57D71">
                            <w:r>
                              <w:t>Table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7243B" id="_x0000_t202" coordsize="21600,21600" o:spt="202" path="m,l,21600r21600,l21600,xe">
                <v:stroke joinstyle="miter"/>
                <v:path gradientshapeok="t" o:connecttype="rect"/>
              </v:shapetype>
              <v:shape id="Text Box 6" o:spid="_x0000_s1026" type="#_x0000_t202" style="position:absolute;margin-left:-58.5pt;margin-top:125.25pt;width:46.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wKAIAAE8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">
                <v:textbox>
                  <w:txbxContent>
                    <w:p w:rsidR="00F57D71" w:rsidRDefault="00F57D71">
                      <w:r>
                        <w:t>Table 1</w:t>
                      </w:r>
                    </w:p>
                  </w:txbxContent>
                </v:textbox>
              </v:shape>
            </w:pict>
          </mc:Fallback>
        </mc:AlternateContent>
      </w:r>
      <w:r w:rsidR="00CF6C88">
        <w:t xml:space="preserve">The </w:t>
      </w:r>
      <w:r w:rsidR="00672D45">
        <w:t xml:space="preserve">U.S. </w:t>
      </w:r>
      <w:r w:rsidR="00CF6C88">
        <w:t xml:space="preserve">National Library of Medicine applies broad subject headings to MEDLINE journals from a list of approximately 120 valid Medical Subject </w:t>
      </w:r>
      <w:r w:rsidR="00CF6C88" w:rsidRPr="00BC23C1">
        <w:t>H</w:t>
      </w:r>
      <w:r w:rsidR="00CF6C88">
        <w:t xml:space="preserve">eadings (MeSH). Subject headings were researched for all of the journals used for Morning Report to provide a basis for the recall/precision calculations. Recall and precision are concepts that relate to the </w:t>
      </w:r>
      <w:r w:rsidR="00543C9D">
        <w:t>fraction</w:t>
      </w:r>
      <w:r w:rsidR="00155EBC">
        <w:t xml:space="preserve"> of </w:t>
      </w:r>
      <w:r w:rsidR="00CF6C88">
        <w:t xml:space="preserve">relevant documents </w:t>
      </w:r>
      <w:r w:rsidR="00155EBC">
        <w:t xml:space="preserve">retrieved </w:t>
      </w:r>
      <w:r w:rsidR="00CF6C88">
        <w:t xml:space="preserve">from a </w:t>
      </w:r>
      <w:r w:rsidR="00155EBC">
        <w:t>document set</w:t>
      </w:r>
      <w:r w:rsidR="00CF6C88">
        <w:t xml:space="preserve">. This study defined relevance as being included in the CCJ filter. </w:t>
      </w:r>
      <w:r w:rsidR="00CF6C88" w:rsidRPr="001263C2">
        <w:rPr>
          <w:b/>
          <w:bCs/>
        </w:rPr>
        <w:t>Table 1</w:t>
      </w:r>
      <w:r w:rsidR="00CF6C88">
        <w:t xml:space="preserve"> depicts the formulas used which can be represented conceptually as follows. Recall became the ratio of</w:t>
      </w:r>
      <w:r w:rsidR="00A16616" w:rsidRPr="00F16B1D">
        <w:rPr>
          <w:color w:val="FF0000"/>
        </w:rPr>
        <w:t xml:space="preserve"> </w:t>
      </w:r>
      <w:r w:rsidR="00A16616" w:rsidRPr="00F16B1D">
        <w:t>CCJs</w:t>
      </w:r>
      <w:r w:rsidR="00A16616" w:rsidRPr="00F16B1D">
        <w:rPr>
          <w:color w:val="FF0000"/>
        </w:rPr>
        <w:t xml:space="preserve"> </w:t>
      </w:r>
      <w:r w:rsidR="00CF6C88">
        <w:t xml:space="preserve">used in Morning Report/to all CCJs within a subject category. Precision became the ratio of CCJ’s used in Morning Report/to all MEDLINE journals within a subject used in </w:t>
      </w:r>
      <w:r w:rsidR="00CF6C88" w:rsidRPr="003C3C29">
        <w:t>M</w:t>
      </w:r>
      <w:r w:rsidR="00CF6C88">
        <w:t xml:space="preserve">orning </w:t>
      </w:r>
      <w:r w:rsidR="00CF6C88" w:rsidRPr="003C3C29">
        <w:t>R</w:t>
      </w:r>
      <w:r w:rsidR="00CF6C88">
        <w:t>eport. Subject lists were limited to English language since only these journals were consi</w:t>
      </w:r>
      <w:r w:rsidR="009666FB">
        <w:t>dered for use in Morning Report</w:t>
      </w:r>
      <w:r w:rsidR="00CF6C88">
        <w:t xml:space="preserve"> and journals currently indexed in MEDLINE. All the recall/precision calculations were done in Excel using this formula. </w:t>
      </w:r>
      <w:r w:rsidR="00CB7C0A">
        <w:t>The Morning Report clinical questions were classified using these same subject headings as well</w:t>
      </w:r>
      <w:r w:rsidR="00CB7C0A" w:rsidRPr="7C7A0A0D">
        <w:t xml:space="preserve">. </w:t>
      </w:r>
    </w:p>
    <w:p w:rsidR="00CF6C88" w:rsidRDefault="00CF6C88" w:rsidP="002C2941">
      <w:pPr>
        <w:spacing w:line="480" w:lineRule="auto"/>
      </w:pPr>
      <w:r w:rsidRPr="00AC5389">
        <w:t>To estimate the current usage of the AIM/CCJ subset by searchers, the publically available full-day</w:t>
      </w:r>
      <w:r>
        <w:rPr>
          <w:b/>
          <w:i/>
        </w:rPr>
        <w:t xml:space="preserve"> </w:t>
      </w:r>
      <w:r w:rsidR="00E13A11">
        <w:t>MEDLINE</w:t>
      </w:r>
      <w:r w:rsidRPr="00AC5389">
        <w:t xml:space="preserve"> Query Log was downloaded from the NLM FTP site</w:t>
      </w:r>
      <w:r>
        <w:rPr>
          <w:b/>
          <w:i/>
        </w:rPr>
        <w:t xml:space="preserve"> </w:t>
      </w:r>
      <w:r w:rsidRPr="00F16B1D">
        <w:rPr>
          <w:i/>
        </w:rPr>
        <w:t>(</w:t>
      </w:r>
      <w:hyperlink r:id="rId7" w:history="1">
        <w:r w:rsidR="00BB4051" w:rsidRPr="00F16B1D">
          <w:rPr>
            <w:rStyle w:val="Hyperlink"/>
            <w:i/>
          </w:rPr>
          <w:t>ftp://ftp.ncbi.nlm.nih.gov/p</w:t>
        </w:r>
        <w:r w:rsidR="00A16616" w:rsidRPr="00F16B1D">
          <w:rPr>
            <w:rStyle w:val="Hyperlink"/>
            <w:i/>
          </w:rPr>
          <w:t>ub/wilbur/DAYSLOG</w:t>
        </w:r>
      </w:hyperlink>
      <w:r w:rsidRPr="000A6776">
        <w:rPr>
          <w:b/>
          <w:i/>
        </w:rPr>
        <w:t xml:space="preserve">, </w:t>
      </w:r>
      <w:r w:rsidRPr="00AC5389">
        <w:t>last accessed on May 17, 2013.)</w:t>
      </w:r>
      <w:r>
        <w:t xml:space="preserve"> </w:t>
      </w:r>
      <w:r w:rsidRPr="00AC5389">
        <w:t>This dataset was</w:t>
      </w:r>
      <w:r w:rsidRPr="000A6776">
        <w:rPr>
          <w:b/>
          <w:i/>
        </w:rPr>
        <w:t xml:space="preserve"> </w:t>
      </w:r>
      <w:r>
        <w:t>imported into three</w:t>
      </w:r>
      <w:r w:rsidRPr="00AC5389">
        <w:t xml:space="preserve"> Excel files and analyzed for subset limits with special focus on the</w:t>
      </w:r>
      <w:r w:rsidRPr="009A03CA">
        <w:rPr>
          <w:b/>
          <w:i/>
        </w:rPr>
        <w:t xml:space="preserve"> </w:t>
      </w:r>
      <w:proofErr w:type="spellStart"/>
      <w:r w:rsidRPr="009A03CA">
        <w:t>jsubsetaim</w:t>
      </w:r>
      <w:proofErr w:type="spellEnd"/>
      <w:r>
        <w:t xml:space="preserve"> </w:t>
      </w:r>
      <w:r w:rsidRPr="00AC5389">
        <w:t>(AIM) limit</w:t>
      </w:r>
      <w:r>
        <w:rPr>
          <w:b/>
          <w:i/>
        </w:rPr>
        <w:t xml:space="preserve"> </w:t>
      </w:r>
      <w:r>
        <w:t xml:space="preserve">using the technical name for the CCJ filter. </w:t>
      </w:r>
    </w:p>
    <w:p w:rsidR="00334A50" w:rsidRDefault="00334A50" w:rsidP="002C2941">
      <w:pPr>
        <w:spacing w:line="480" w:lineRule="auto"/>
        <w:rPr>
          <w:b/>
        </w:rPr>
      </w:pPr>
    </w:p>
    <w:p w:rsidR="00334A50" w:rsidRDefault="00334A50" w:rsidP="002C2941">
      <w:pPr>
        <w:spacing w:line="480" w:lineRule="auto"/>
        <w:rPr>
          <w:b/>
        </w:rPr>
      </w:pPr>
    </w:p>
    <w:p w:rsidR="00CF6C88" w:rsidRPr="00846802" w:rsidRDefault="00CF6C88" w:rsidP="002C2941">
      <w:pPr>
        <w:spacing w:line="480" w:lineRule="auto"/>
        <w:rPr>
          <w:b/>
        </w:rPr>
      </w:pPr>
      <w:r w:rsidRPr="00AC5389">
        <w:rPr>
          <w:b/>
        </w:rPr>
        <w:t>Results</w:t>
      </w:r>
    </w:p>
    <w:p w:rsidR="00CF6C88" w:rsidRPr="009307A2" w:rsidRDefault="004853FB" w:rsidP="002C2941">
      <w:pPr>
        <w:spacing w:line="480" w:lineRule="auto"/>
      </w:pPr>
      <w:r>
        <w:rPr>
          <w:noProof/>
          <w:lang w:val="en-US"/>
        </w:rPr>
        <mc:AlternateContent>
          <mc:Choice Requires="wps">
            <w:drawing>
              <wp:anchor distT="0" distB="0" distL="114300" distR="114300" simplePos="0" relativeHeight="251659264" behindDoc="0" locked="0" layoutInCell="1" allowOverlap="1" wp14:anchorId="1BE29062" wp14:editId="5DC9C07D">
                <wp:simplePos x="0" y="0"/>
                <wp:positionH relativeFrom="column">
                  <wp:posOffset>-742950</wp:posOffset>
                </wp:positionH>
                <wp:positionV relativeFrom="paragraph">
                  <wp:posOffset>854075</wp:posOffset>
                </wp:positionV>
                <wp:extent cx="476250" cy="571500"/>
                <wp:effectExtent l="9525" t="7620" r="952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1500"/>
                        </a:xfrm>
                        <a:prstGeom prst="rect">
                          <a:avLst/>
                        </a:prstGeom>
                        <a:solidFill>
                          <a:srgbClr val="FFFFFF"/>
                        </a:solidFill>
                        <a:ln w="9525">
                          <a:solidFill>
                            <a:srgbClr val="000000"/>
                          </a:solidFill>
                          <a:miter lim="800000"/>
                          <a:headEnd/>
                          <a:tailEnd/>
                        </a:ln>
                      </wps:spPr>
                      <wps:txbx>
                        <w:txbxContent>
                          <w:p w:rsidR="00F57D71" w:rsidRDefault="00F57D71">
                            <w:r>
                              <w:t>Fig</w:t>
                            </w:r>
                          </w:p>
                          <w:p w:rsidR="00F57D71" w:rsidRDefault="00F57D7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9062" id="Text Box 7" o:spid="_x0000_s1027" type="#_x0000_t202" style="position:absolute;margin-left:-58.5pt;margin-top:67.25pt;width:3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">
                <v:textbox>
                  <w:txbxContent>
                    <w:p w:rsidR="00F57D71" w:rsidRDefault="00F57D71">
                      <w:r>
                        <w:t>Fig</w:t>
                      </w:r>
                    </w:p>
                    <w:p w:rsidR="00F57D71" w:rsidRDefault="00F57D71">
                      <w:r>
                        <w:t>1</w:t>
                      </w:r>
                    </w:p>
                  </w:txbxContent>
                </v:textbox>
              </v:shape>
            </w:pict>
          </mc:Fallback>
        </mc:AlternateContent>
      </w:r>
      <w:r w:rsidR="00CF6C88" w:rsidRPr="004853B9">
        <w:t xml:space="preserve">The </w:t>
      </w:r>
      <w:r w:rsidR="00CF6C88">
        <w:t>primary</w:t>
      </w:r>
      <w:r w:rsidR="00CF6C88" w:rsidRPr="004853B9">
        <w:t xml:space="preserve"> purpose of this research was to determine how clinically useful the </w:t>
      </w:r>
      <w:r w:rsidR="00CF6C88">
        <w:t>Core Clinical J</w:t>
      </w:r>
      <w:r w:rsidR="00CF6C88" w:rsidRPr="004853B9">
        <w:t xml:space="preserve">ournals were in a hospital to answer Internal Medicine patient care questions. The study found only 16% of the journals used in </w:t>
      </w:r>
      <w:r w:rsidR="00CF6C88">
        <w:t xml:space="preserve">Morning Report was </w:t>
      </w:r>
      <w:r w:rsidR="00CF6C88" w:rsidRPr="004853B9">
        <w:t xml:space="preserve">from the CCJ set. From an article perspective, only 30% of the articles selected for Morning Report were from CCJ titles </w:t>
      </w:r>
      <w:r w:rsidR="00CF6C88" w:rsidRPr="004853B9">
        <w:rPr>
          <w:b/>
        </w:rPr>
        <w:t>(</w:t>
      </w:r>
      <w:r w:rsidR="00CF6C88" w:rsidRPr="00491998">
        <w:rPr>
          <w:b/>
        </w:rPr>
        <w:t xml:space="preserve">Fig. </w:t>
      </w:r>
      <w:r w:rsidR="00CF6C88">
        <w:rPr>
          <w:b/>
        </w:rPr>
        <w:t>1</w:t>
      </w:r>
      <w:r w:rsidR="00CF6C88" w:rsidRPr="00491998">
        <w:t>).</w:t>
      </w:r>
      <w:r w:rsidR="00CF6C88" w:rsidRPr="004853B9">
        <w:t xml:space="preserve">  The most influential journal was New England Journal of Medicine, </w:t>
      </w:r>
      <w:r w:rsidR="00CF6C88">
        <w:t xml:space="preserve">which is listed as </w:t>
      </w:r>
      <w:r w:rsidR="00CF6C88" w:rsidRPr="004853B9">
        <w:t xml:space="preserve">a </w:t>
      </w:r>
      <w:r w:rsidR="00CF6C88">
        <w:t>CCJ</w:t>
      </w:r>
      <w:r w:rsidR="00CF6C88" w:rsidRPr="004853B9">
        <w:t xml:space="preserve"> title; however</w:t>
      </w:r>
      <w:r w:rsidR="00CF6C88">
        <w:t>,</w:t>
      </w:r>
      <w:r w:rsidR="00CF6C88" w:rsidRPr="004853B9">
        <w:t xml:space="preserve"> the strong second highest was Clinical Infectious Diseases which is a non-CCJ title. When the top 20 M</w:t>
      </w:r>
      <w:r w:rsidR="00CF6C88">
        <w:t xml:space="preserve">orning </w:t>
      </w:r>
      <w:r w:rsidR="00CF6C88" w:rsidRPr="004853B9">
        <w:t>R</w:t>
      </w:r>
      <w:r w:rsidR="00CF6C88">
        <w:t>eport</w:t>
      </w:r>
      <w:r w:rsidR="00CF6C88" w:rsidRPr="004853B9">
        <w:t xml:space="preserve"> journals were compared with the </w:t>
      </w:r>
      <w:r w:rsidR="00CF6C88">
        <w:t xml:space="preserve">ranked </w:t>
      </w:r>
      <w:r w:rsidR="00CF6C88" w:rsidRPr="004853B9">
        <w:t>ISI General, Internal Medicine list, only 7 titles overlapped.</w:t>
      </w:r>
      <w:r w:rsidR="00CF6C88" w:rsidRPr="005A11A8">
        <w:t xml:space="preserve"> </w:t>
      </w:r>
      <w:r w:rsidR="00CF6C88" w:rsidRPr="00491998">
        <w:rPr>
          <w:b/>
        </w:rPr>
        <w:t xml:space="preserve">Table </w:t>
      </w:r>
      <w:r w:rsidR="00CF6C88">
        <w:rPr>
          <w:b/>
        </w:rPr>
        <w:t>2</w:t>
      </w:r>
      <w:r w:rsidR="00CF6C88" w:rsidRPr="00491998">
        <w:t xml:space="preserve"> lists</w:t>
      </w:r>
      <w:r w:rsidR="00CF6C88">
        <w:t xml:space="preserve"> both top 20 sets, and</w:t>
      </w:r>
      <w:r w:rsidR="00CF6C88" w:rsidRPr="004853B9">
        <w:t xml:space="preserve"> the overlap is </w:t>
      </w:r>
      <w:r w:rsidR="00CF6C88">
        <w:t>in boldface</w:t>
      </w:r>
      <w:r w:rsidR="00CF6C88" w:rsidRPr="004853B9">
        <w:t xml:space="preserve">. </w:t>
      </w:r>
      <w:r w:rsidR="00CF6C88" w:rsidRPr="00DD4FBF">
        <w:t>When Bradford-ranked, 27 Morning Report journals p</w:t>
      </w:r>
      <w:r w:rsidR="00CF6C88">
        <w:t>rovide</w:t>
      </w:r>
      <w:r w:rsidR="00FB1FB4">
        <w:t>d</w:t>
      </w:r>
      <w:r w:rsidR="00CF6C88">
        <w:t xml:space="preserve"> the top tier entries</w:t>
      </w:r>
      <w:r w:rsidR="00CF6C88" w:rsidRPr="00DD4FBF">
        <w:t>.</w:t>
      </w:r>
      <w:r w:rsidR="00CF6C88" w:rsidRPr="00833037">
        <w:t xml:space="preserve"> </w:t>
      </w:r>
      <w:r w:rsidR="00CF6C88" w:rsidRPr="004853B9">
        <w:t xml:space="preserve"> </w:t>
      </w:r>
      <w:r w:rsidR="00CF6C88">
        <w:t>Of the top 20 Mor</w:t>
      </w:r>
      <w:r w:rsidR="00CD19EA">
        <w:t>ning Report journals only 11 were</w:t>
      </w:r>
      <w:r w:rsidR="00CF6C88">
        <w:t xml:space="preserve"> Core titles (55%), while only 10 of the top </w:t>
      </w:r>
      <w:r w:rsidR="00CF6C88" w:rsidRPr="009307A2">
        <w:t>20 ISI</w:t>
      </w:r>
      <w:r w:rsidR="00CD19EA" w:rsidRPr="009307A2">
        <w:t xml:space="preserve"> high impact medicine titles were</w:t>
      </w:r>
      <w:r w:rsidR="00CF6C88" w:rsidRPr="009307A2">
        <w:t xml:space="preserve"> Core (50%). </w:t>
      </w:r>
    </w:p>
    <w:p w:rsidR="00CF6C88" w:rsidRPr="00846802" w:rsidRDefault="004853FB" w:rsidP="002C2941">
      <w:pPr>
        <w:spacing w:line="480" w:lineRule="auto"/>
      </w:pPr>
      <w:r>
        <w:rPr>
          <w:noProof/>
          <w:lang w:val="en-US"/>
        </w:rPr>
        <mc:AlternateContent>
          <mc:Choice Requires="wps">
            <w:drawing>
              <wp:anchor distT="0" distB="0" distL="114300" distR="114300" simplePos="0" relativeHeight="251660288" behindDoc="0" locked="0" layoutInCell="1" allowOverlap="1" wp14:anchorId="1FEA60CA" wp14:editId="7D8FF601">
                <wp:simplePos x="0" y="0"/>
                <wp:positionH relativeFrom="column">
                  <wp:posOffset>-800100</wp:posOffset>
                </wp:positionH>
                <wp:positionV relativeFrom="paragraph">
                  <wp:posOffset>-370840</wp:posOffset>
                </wp:positionV>
                <wp:extent cx="581025" cy="590550"/>
                <wp:effectExtent l="9525" t="12065" r="9525"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90550"/>
                        </a:xfrm>
                        <a:prstGeom prst="rect">
                          <a:avLst/>
                        </a:prstGeom>
                        <a:solidFill>
                          <a:srgbClr val="FFFFFF"/>
                        </a:solidFill>
                        <a:ln w="9525">
                          <a:solidFill>
                            <a:srgbClr val="000000"/>
                          </a:solidFill>
                          <a:miter lim="800000"/>
                          <a:headEnd/>
                          <a:tailEnd/>
                        </a:ln>
                      </wps:spPr>
                      <wps:txbx>
                        <w:txbxContent>
                          <w:p w:rsidR="00F57D71" w:rsidRDefault="00F16B1D">
                            <w:r>
                              <w:t xml:space="preserve">Table </w:t>
                            </w:r>
                            <w:r w:rsidR="00F57D71">
                              <w:t>2</w:t>
                            </w:r>
                          </w:p>
                          <w:p w:rsidR="00F57D71" w:rsidRDefault="00F57D71">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60CA" id="Text Box 8" o:spid="_x0000_s1028" type="#_x0000_t202" style="position:absolute;margin-left:-63pt;margin-top:-29.2pt;width:45.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">
                <v:textbox>
                  <w:txbxContent>
                    <w:p w:rsidR="00F57D71" w:rsidRDefault="00F16B1D">
                      <w:r>
                        <w:t xml:space="preserve">Table </w:t>
                      </w:r>
                      <w:r w:rsidR="00F57D71">
                        <w:t>2</w:t>
                      </w:r>
                    </w:p>
                    <w:p w:rsidR="00F57D71" w:rsidRDefault="00F57D71">
                      <w:r>
                        <w:t>2</w:t>
                      </w:r>
                    </w:p>
                  </w:txbxContent>
                </v:textbox>
              </v:shape>
            </w:pict>
          </mc:Fallback>
        </mc:AlternateContent>
      </w:r>
      <w:r w:rsidR="00CF6C88" w:rsidRPr="004853B9">
        <w:t>The study next considered whether current versus class</w:t>
      </w:r>
      <w:r w:rsidR="00CF6C88">
        <w:t>ic</w:t>
      </w:r>
      <w:r w:rsidR="00CF6C88" w:rsidRPr="004853B9">
        <w:t xml:space="preserve"> literature answered the clinical questions. Articles less than 5 years old answered over half the questions</w:t>
      </w:r>
      <w:r w:rsidR="00CF6C88">
        <w:t xml:space="preserve"> at 63%</w:t>
      </w:r>
      <w:r w:rsidR="00CF6C88" w:rsidRPr="004853B9">
        <w:t>. While 22% of the sources used were 5-10 years old, approximately</w:t>
      </w:r>
      <w:r w:rsidR="00CF6C88">
        <w:t xml:space="preserve"> 16</w:t>
      </w:r>
      <w:r w:rsidR="00CF6C88" w:rsidRPr="004853B9">
        <w:t>% were more than 10 years old. The implications for Collection Development are that a collection spanning 10 years would provide 8</w:t>
      </w:r>
      <w:r w:rsidR="00CF6C88">
        <w:t>4</w:t>
      </w:r>
      <w:r w:rsidR="00CF6C88" w:rsidRPr="004853B9">
        <w:t xml:space="preserve">% of the information needed. Extend that collection another 10 years, and 20 years of literature would provide 96% of the sources used. </w:t>
      </w:r>
      <w:r w:rsidR="00CF6C88">
        <w:t>The final 4% were articles 20-38 years old.</w:t>
      </w:r>
    </w:p>
    <w:p w:rsidR="00CF6C88" w:rsidRPr="00846802" w:rsidRDefault="00CF6C88" w:rsidP="002C2941">
      <w:pPr>
        <w:spacing w:line="480" w:lineRule="auto"/>
      </w:pPr>
      <w:r>
        <w:t xml:space="preserve">Using subject headings assigned by </w:t>
      </w:r>
      <w:r w:rsidRPr="004853B9">
        <w:t>NLM,</w:t>
      </w:r>
      <w:r w:rsidRPr="003B66CD">
        <w:t xml:space="preserve"> 6</w:t>
      </w:r>
      <w:r w:rsidR="004E6D71">
        <w:t>3</w:t>
      </w:r>
      <w:r w:rsidRPr="004853B9">
        <w:t xml:space="preserve"> different subjects were distilled from the aggregated </w:t>
      </w:r>
      <w:r>
        <w:t>Morning Report</w:t>
      </w:r>
      <w:r w:rsidRPr="004853B9">
        <w:t xml:space="preserve"> journals. Some journals were indexed to more than one NLM subject specialty such as </w:t>
      </w:r>
      <w:r w:rsidRPr="001263C2">
        <w:rPr>
          <w:i/>
          <w:iCs/>
        </w:rPr>
        <w:t>Drugs &amp; Aging</w:t>
      </w:r>
      <w:r w:rsidRPr="003C3C29">
        <w:t>, which was indexed to both “Drug Therapy” and “Geriatrics</w:t>
      </w:r>
      <w:r w:rsidRPr="1738BF7C">
        <w:t xml:space="preserve">” </w:t>
      </w:r>
      <w:r>
        <w:t>subject categories.</w:t>
      </w:r>
      <w:r w:rsidRPr="1738BF7C">
        <w:t xml:space="preserve"> </w:t>
      </w:r>
      <w:r w:rsidR="008F3565">
        <w:t>While some of the journals were multiply classified, the MR clinical questions we</w:t>
      </w:r>
      <w:r w:rsidR="00A95743">
        <w:t>r</w:t>
      </w:r>
      <w:r w:rsidR="008F3565">
        <w:t>e singularly classified leaving 4 general subject topics without corresponding questions (Biochemistry, Biology, Hospitals, Science</w:t>
      </w:r>
      <w:r w:rsidR="008F3565" w:rsidRPr="1738BF7C">
        <w:t>)</w:t>
      </w:r>
      <w:r w:rsidR="00B93053">
        <w:t xml:space="preserve">. </w:t>
      </w:r>
      <w:r w:rsidR="001009F5" w:rsidRPr="28330574">
        <w:t>Th</w:t>
      </w:r>
      <w:r w:rsidR="001009F5">
        <w:t xml:space="preserve">e journals within those subjects </w:t>
      </w:r>
      <w:r w:rsidR="00D6301B">
        <w:t>(Annals of Clinical Biochemistry, Advances in Experimental</w:t>
      </w:r>
      <w:r w:rsidR="00D6301B" w:rsidRPr="1738BF7C">
        <w:t xml:space="preserve"> </w:t>
      </w:r>
      <w:r w:rsidR="00D6301B">
        <w:t xml:space="preserve">Medicine and </w:t>
      </w:r>
      <w:r w:rsidR="00100DAE">
        <w:t>Biology</w:t>
      </w:r>
      <w:r w:rsidR="00D6301B" w:rsidRPr="1738BF7C">
        <w:t xml:space="preserve">, </w:t>
      </w:r>
      <w:r w:rsidR="001009F5">
        <w:t>Journal of Hospital Medicine and Journal of Hospital</w:t>
      </w:r>
      <w:r w:rsidR="001009F5" w:rsidRPr="1738BF7C">
        <w:t xml:space="preserve"> </w:t>
      </w:r>
      <w:r w:rsidR="001009F5">
        <w:t xml:space="preserve">Infection, and </w:t>
      </w:r>
      <w:r w:rsidR="00D6301B">
        <w:t xml:space="preserve">Annals of the New York </w:t>
      </w:r>
      <w:r w:rsidR="001009F5">
        <w:t>Academy</w:t>
      </w:r>
      <w:r w:rsidR="00D6301B">
        <w:t xml:space="preserve"> of Sciences</w:t>
      </w:r>
      <w:r w:rsidR="008F3565" w:rsidRPr="1738BF7C">
        <w:t xml:space="preserve"> </w:t>
      </w:r>
      <w:r w:rsidR="001009F5">
        <w:t>respectively</w:t>
      </w:r>
      <w:r w:rsidR="001009F5" w:rsidRPr="1738BF7C">
        <w:t>),</w:t>
      </w:r>
      <w:r w:rsidR="00C0544C">
        <w:t xml:space="preserve"> had dual classifications in 2 instances. </w:t>
      </w:r>
      <w:r w:rsidR="008F3565">
        <w:t>Among the</w:t>
      </w:r>
      <w:r w:rsidR="008F3565" w:rsidRPr="1738BF7C">
        <w:t xml:space="preserve"> </w:t>
      </w:r>
      <w:r w:rsidR="008F3565">
        <w:t xml:space="preserve">5 largest categories were the same subjects for both distributions </w:t>
      </w:r>
      <w:r w:rsidR="008F3565" w:rsidRPr="1738BF7C">
        <w:t>(</w:t>
      </w:r>
      <w:r w:rsidR="00D6301B">
        <w:t>Gastroenterology</w:t>
      </w:r>
      <w:r w:rsidR="008F3565">
        <w:t>, Medicine, Neurology, Radiology and Communicable Diseases)</w:t>
      </w:r>
      <w:r w:rsidR="008F3565" w:rsidRPr="1738BF7C">
        <w:t xml:space="preserve">.  </w:t>
      </w:r>
      <w:r>
        <w:t xml:space="preserve">The </w:t>
      </w:r>
      <w:r w:rsidR="0050798B">
        <w:t xml:space="preserve">journal </w:t>
      </w:r>
      <w:r>
        <w:t>subject categories often represented</w:t>
      </w:r>
      <w:r w:rsidR="00F16B1D">
        <w:t xml:space="preserve"> </w:t>
      </w:r>
      <w:r>
        <w:t>medical subspecialties</w:t>
      </w:r>
      <w:r w:rsidR="0050798B">
        <w:t xml:space="preserve"> rather than clinical conditions,</w:t>
      </w:r>
      <w:r w:rsidR="003F00B5">
        <w:t xml:space="preserve"> a</w:t>
      </w:r>
      <w:r w:rsidR="0050798B">
        <w:t xml:space="preserve"> logical </w:t>
      </w:r>
      <w:r w:rsidR="003F00B5">
        <w:t>strategy for achieving high</w:t>
      </w:r>
      <w:r w:rsidR="0050798B">
        <w:t xml:space="preserve"> </w:t>
      </w:r>
      <w:r w:rsidR="003F00B5">
        <w:t>visibility for specialists</w:t>
      </w:r>
      <w:r>
        <w:t xml:space="preserve">. </w:t>
      </w:r>
      <w:r w:rsidR="00B0227A">
        <w:t xml:space="preserve">See Figure 2. </w:t>
      </w:r>
      <w:r w:rsidRPr="003C3C29">
        <w:t>When compared with another article listing M</w:t>
      </w:r>
      <w:r>
        <w:t xml:space="preserve">orning </w:t>
      </w:r>
      <w:r w:rsidRPr="003C3C29">
        <w:t>R</w:t>
      </w:r>
      <w:r>
        <w:t>eport</w:t>
      </w:r>
      <w:r w:rsidRPr="003C3C29">
        <w:t xml:space="preserve"> subspecialties </w:t>
      </w:r>
      <w:r w:rsidR="00607596">
        <w:rPr>
          <w:noProof/>
        </w:rPr>
        <w:t>[18]</w:t>
      </w:r>
      <w:r w:rsidRPr="003C3C29">
        <w:t xml:space="preserve">, all of their subspecialties were represented on </w:t>
      </w:r>
      <w:r w:rsidR="00A95743">
        <w:t xml:space="preserve">both </w:t>
      </w:r>
      <w:r w:rsidRPr="003C3C29">
        <w:t>the M</w:t>
      </w:r>
      <w:r>
        <w:t xml:space="preserve">orning </w:t>
      </w:r>
      <w:r w:rsidRPr="003C3C29">
        <w:t>R</w:t>
      </w:r>
      <w:r>
        <w:t>eport</w:t>
      </w:r>
      <w:r w:rsidRPr="1738BF7C">
        <w:t xml:space="preserve"> </w:t>
      </w:r>
      <w:r w:rsidR="00A95743">
        <w:t xml:space="preserve">question and journal </w:t>
      </w:r>
      <w:r w:rsidRPr="003C3C29">
        <w:t>list</w:t>
      </w:r>
      <w:r w:rsidR="00A95743">
        <w:t>s</w:t>
      </w:r>
      <w:r w:rsidRPr="003C3C29">
        <w:t xml:space="preserve"> so </w:t>
      </w:r>
      <w:r w:rsidR="007C4D93">
        <w:t>they</w:t>
      </w:r>
      <w:r w:rsidRPr="003C3C29">
        <w:t xml:space="preserve"> seem very inclusive. </w:t>
      </w:r>
    </w:p>
    <w:p w:rsidR="00CF6C88" w:rsidRDefault="004853FB" w:rsidP="002C2941">
      <w:pPr>
        <w:spacing w:line="480" w:lineRule="auto"/>
      </w:pPr>
      <w:r>
        <w:rPr>
          <w:noProof/>
          <w:lang w:val="en-US"/>
        </w:rPr>
        <mc:AlternateContent>
          <mc:Choice Requires="wps">
            <w:drawing>
              <wp:anchor distT="0" distB="0" distL="114300" distR="114300" simplePos="0" relativeHeight="251663360" behindDoc="0" locked="0" layoutInCell="1" allowOverlap="1" wp14:anchorId="16DD6F4A" wp14:editId="48032527">
                <wp:simplePos x="0" y="0"/>
                <wp:positionH relativeFrom="column">
                  <wp:posOffset>-742950</wp:posOffset>
                </wp:positionH>
                <wp:positionV relativeFrom="paragraph">
                  <wp:posOffset>-1041400</wp:posOffset>
                </wp:positionV>
                <wp:extent cx="466725" cy="676275"/>
                <wp:effectExtent l="9525" t="6985" r="9525" b="1206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76275"/>
                        </a:xfrm>
                        <a:prstGeom prst="rect">
                          <a:avLst/>
                        </a:prstGeom>
                        <a:solidFill>
                          <a:srgbClr val="FFFFFF"/>
                        </a:solidFill>
                        <a:ln w="9525">
                          <a:solidFill>
                            <a:srgbClr val="000000"/>
                          </a:solidFill>
                          <a:miter lim="800000"/>
                          <a:headEnd/>
                          <a:tailEnd/>
                        </a:ln>
                      </wps:spPr>
                      <wps:txbx>
                        <w:txbxContent>
                          <w:p w:rsidR="00F57D71" w:rsidRDefault="00F57D71">
                            <w: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6F4A" id="Text Box 14" o:spid="_x0000_s1029" type="#_x0000_t202" style="position:absolute;margin-left:-58.5pt;margin-top:-82pt;width:36.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">
                <v:textbox>
                  <w:txbxContent>
                    <w:p w:rsidR="00F57D71" w:rsidRDefault="00F57D71">
                      <w:r>
                        <w:t>Fig. 2</w:t>
                      </w:r>
                    </w:p>
                  </w:txbxContent>
                </v:textbox>
              </v:shape>
            </w:pict>
          </mc:Fallback>
        </mc:AlternateContent>
      </w:r>
      <w:r w:rsidR="00CF6C88" w:rsidRPr="003C3C29">
        <w:t xml:space="preserve">To further define utility, recall and precision were calculated to determine the </w:t>
      </w:r>
      <w:r w:rsidR="00252886">
        <w:t xml:space="preserve">fractions of </w:t>
      </w:r>
      <w:r w:rsidR="00CF6C88" w:rsidRPr="003C3C29">
        <w:t>relevant documents</w:t>
      </w:r>
      <w:r w:rsidR="00252886">
        <w:t xml:space="preserve"> retrieved from the set</w:t>
      </w:r>
      <w:r w:rsidR="00CF6C88" w:rsidRPr="003C3C29">
        <w:t>. For each subject, recall and precision were analyzed based on whether the title was a</w:t>
      </w:r>
      <w:r w:rsidR="00CF6C88" w:rsidRPr="5D1375A0">
        <w:t xml:space="preserve"> </w:t>
      </w:r>
      <w:r w:rsidR="00CF6C88" w:rsidRPr="003C3C29">
        <w:t xml:space="preserve">CCJ title or not. In </w:t>
      </w:r>
      <w:r w:rsidR="00CF6C88" w:rsidRPr="001263C2">
        <w:rPr>
          <w:b/>
          <w:bCs/>
        </w:rPr>
        <w:t xml:space="preserve">Figure </w:t>
      </w:r>
      <w:r w:rsidR="32DD9D85" w:rsidRPr="001263C2">
        <w:rPr>
          <w:b/>
          <w:bCs/>
        </w:rPr>
        <w:t>3 the</w:t>
      </w:r>
      <w:r w:rsidR="00A16616" w:rsidRPr="00F16B1D">
        <w:t xml:space="preserve"> </w:t>
      </w:r>
      <w:r w:rsidR="00CF6C88">
        <w:t>horizontal line represents precision and the vertical bar</w:t>
      </w:r>
      <w:r w:rsidR="00CF6C88" w:rsidRPr="003C3C29">
        <w:t xml:space="preserve"> is recall. </w:t>
      </w:r>
      <w:r w:rsidR="00F16B1D">
        <w:t>Among the findings is that 58%</w:t>
      </w:r>
      <w:r w:rsidR="70111CF0" w:rsidRPr="5D1375A0">
        <w:t xml:space="preserve"> </w:t>
      </w:r>
      <w:r w:rsidR="5421FAD3">
        <w:t>(</w:t>
      </w:r>
      <w:r w:rsidR="00A16616" w:rsidRPr="00F16B1D">
        <w:t>37/63)</w:t>
      </w:r>
      <w:r w:rsidR="5421FAD3" w:rsidRPr="00F16B1D">
        <w:t xml:space="preserve"> </w:t>
      </w:r>
      <w:r w:rsidR="00CF6C88">
        <w:t xml:space="preserve">of NLM </w:t>
      </w:r>
      <w:r w:rsidR="00CF6C88" w:rsidRPr="00BC23C1">
        <w:t>journal subject</w:t>
      </w:r>
      <w:r w:rsidR="00CF6C88" w:rsidRPr="5D1375A0">
        <w:t xml:space="preserve"> </w:t>
      </w:r>
      <w:r w:rsidR="0021309B">
        <w:t xml:space="preserve">sets </w:t>
      </w:r>
      <w:r w:rsidR="00CF6C88" w:rsidRPr="00BC23C1">
        <w:t xml:space="preserve">had 0% precision and 0% recall, which included 19 journal subjects with no Core Clinical Journal titles. </w:t>
      </w:r>
      <w:r w:rsidR="00CF6C88" w:rsidRPr="00027E00">
        <w:t xml:space="preserve"> Journals for 8</w:t>
      </w:r>
      <w:r w:rsidR="003C4AB8">
        <w:t>7</w:t>
      </w:r>
      <w:r w:rsidR="00CF6C88" w:rsidRPr="00027E00">
        <w:t>% (55/6</w:t>
      </w:r>
      <w:r w:rsidR="003C4AB8">
        <w:t>3</w:t>
      </w:r>
      <w:r w:rsidR="00CF6C88" w:rsidRPr="00027E00">
        <w:t>) of the su</w:t>
      </w:r>
      <w:r w:rsidR="00CF6C88">
        <w:t>bjects had &lt;50% precision and 6</w:t>
      </w:r>
      <w:r w:rsidR="003C4AB8">
        <w:t>5</w:t>
      </w:r>
      <w:r w:rsidR="00CF6C88" w:rsidRPr="00027E00">
        <w:t>% (41/6</w:t>
      </w:r>
      <w:r w:rsidR="003C4AB8">
        <w:t>3</w:t>
      </w:r>
      <w:r w:rsidR="00CF6C88" w:rsidRPr="00027E00">
        <w:t>) included &lt;50% recall.</w:t>
      </w:r>
      <w:r w:rsidR="00CF6C88" w:rsidRPr="5D1375A0">
        <w:t xml:space="preserve">  </w:t>
      </w:r>
      <w:r w:rsidR="00CF6C88" w:rsidRPr="001263C2">
        <w:rPr>
          <w:b/>
          <w:bCs/>
        </w:rPr>
        <w:t>Table 3</w:t>
      </w:r>
      <w:r w:rsidR="00CF6C88" w:rsidRPr="00BC23C1">
        <w:t xml:space="preserve"> lists the 3</w:t>
      </w:r>
      <w:r w:rsidR="007D3F06">
        <w:t>7</w:t>
      </w:r>
      <w:r w:rsidR="00CF6C88" w:rsidRPr="5D1375A0">
        <w:t xml:space="preserve"> </w:t>
      </w:r>
      <w:r w:rsidR="007C4D93">
        <w:t xml:space="preserve">journal </w:t>
      </w:r>
      <w:r w:rsidR="00CF6C88" w:rsidRPr="00BC23C1">
        <w:t>subjects having 0</w:t>
      </w:r>
      <w:r w:rsidR="00CF6C88" w:rsidRPr="5D1375A0">
        <w:t>%</w:t>
      </w:r>
      <w:r w:rsidR="00CF6C88" w:rsidRPr="00BC23C1">
        <w:t xml:space="preserve"> recall and 0</w:t>
      </w:r>
      <w:r w:rsidR="00CF6C88">
        <w:t>% precision noting those lacking CCJ titles</w:t>
      </w:r>
      <w:r w:rsidR="00CF6C88" w:rsidRPr="5D1375A0">
        <w:t xml:space="preserve">. </w:t>
      </w:r>
      <w:r w:rsidR="00CF6C88" w:rsidRPr="003C3C29">
        <w:t xml:space="preserve">These </w:t>
      </w:r>
      <w:r w:rsidR="00CF6C88">
        <w:t xml:space="preserve">less-covered </w:t>
      </w:r>
      <w:r w:rsidR="00CF6C88" w:rsidRPr="003C3C29">
        <w:t>subject</w:t>
      </w:r>
      <w:r w:rsidR="00CF6C88">
        <w:t>s are being searched for</w:t>
      </w:r>
      <w:r w:rsidR="00CF6C88" w:rsidRPr="003C3C29">
        <w:t xml:space="preserve"> Morning Report and are topics important to patient care clinical discussion. </w:t>
      </w:r>
    </w:p>
    <w:p w:rsidR="00CF6C88" w:rsidRPr="00846802" w:rsidRDefault="004853FB" w:rsidP="002C2941">
      <w:pPr>
        <w:spacing w:line="480" w:lineRule="auto"/>
        <w:rPr>
          <w:b/>
        </w:rPr>
      </w:pPr>
      <w:r>
        <w:rPr>
          <w:b/>
          <w:noProof/>
          <w:lang w:val="en-US"/>
        </w:rPr>
        <mc:AlternateContent>
          <mc:Choice Requires="wps">
            <w:drawing>
              <wp:anchor distT="0" distB="0" distL="114300" distR="114300" simplePos="0" relativeHeight="251662336" behindDoc="0" locked="0" layoutInCell="1" allowOverlap="1" wp14:anchorId="3BB516A5" wp14:editId="2D328ABD">
                <wp:simplePos x="0" y="0"/>
                <wp:positionH relativeFrom="column">
                  <wp:posOffset>-742950</wp:posOffset>
                </wp:positionH>
                <wp:positionV relativeFrom="paragraph">
                  <wp:posOffset>-363220</wp:posOffset>
                </wp:positionV>
                <wp:extent cx="600075" cy="571500"/>
                <wp:effectExtent l="9525" t="12065" r="9525"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71500"/>
                        </a:xfrm>
                        <a:prstGeom prst="rect">
                          <a:avLst/>
                        </a:prstGeom>
                        <a:solidFill>
                          <a:srgbClr val="FFFFFF"/>
                        </a:solidFill>
                        <a:ln w="9525">
                          <a:solidFill>
                            <a:srgbClr val="000000"/>
                          </a:solidFill>
                          <a:miter lim="800000"/>
                          <a:headEnd/>
                          <a:tailEnd/>
                        </a:ln>
                      </wps:spPr>
                      <wps:txbx>
                        <w:txbxContent>
                          <w:p w:rsidR="00F57D71" w:rsidRDefault="00F57D71">
                            <w:r>
                              <w:t>Table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16A5" id="Text Box 11" o:spid="_x0000_s1030" type="#_x0000_t202" style="position:absolute;margin-left:-58.5pt;margin-top:-28.6pt;width:47.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">
                <v:textbox>
                  <w:txbxContent>
                    <w:p w:rsidR="00F57D71" w:rsidRDefault="00F57D71">
                      <w:r>
                        <w:t>Table 3</w:t>
                      </w:r>
                    </w:p>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0701437D" wp14:editId="5686C92F">
                <wp:simplePos x="0" y="0"/>
                <wp:positionH relativeFrom="column">
                  <wp:posOffset>-742950</wp:posOffset>
                </wp:positionH>
                <wp:positionV relativeFrom="paragraph">
                  <wp:posOffset>-1706245</wp:posOffset>
                </wp:positionV>
                <wp:extent cx="466725" cy="504825"/>
                <wp:effectExtent l="9525" t="12065" r="9525" b="69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04825"/>
                        </a:xfrm>
                        <a:prstGeom prst="rect">
                          <a:avLst/>
                        </a:prstGeom>
                        <a:solidFill>
                          <a:srgbClr val="FFFFFF"/>
                        </a:solidFill>
                        <a:ln w="9525">
                          <a:solidFill>
                            <a:srgbClr val="000000"/>
                          </a:solidFill>
                          <a:miter lim="800000"/>
                          <a:headEnd/>
                          <a:tailEnd/>
                        </a:ln>
                      </wps:spPr>
                      <wps:txbx>
                        <w:txbxContent>
                          <w:p w:rsidR="00F57D71" w:rsidRDefault="00F57D71">
                            <w: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437D" id="Text Box 10" o:spid="_x0000_s1031" type="#_x0000_t202" style="position:absolute;margin-left:-58.5pt;margin-top:-134.35pt;width:36.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">
                <v:textbox>
                  <w:txbxContent>
                    <w:p w:rsidR="00F57D71" w:rsidRDefault="00F57D71">
                      <w:r>
                        <w:t>Fig 3</w:t>
                      </w:r>
                    </w:p>
                  </w:txbxContent>
                </v:textbox>
              </v:shape>
            </w:pict>
          </mc:Fallback>
        </mc:AlternateContent>
      </w:r>
      <w:r w:rsidR="00CF6C88" w:rsidRPr="003C3C29">
        <w:rPr>
          <w:b/>
        </w:rPr>
        <w:t>Discussion</w:t>
      </w:r>
    </w:p>
    <w:p w:rsidR="00CF6C88" w:rsidRPr="00846802" w:rsidRDefault="00CF6C88" w:rsidP="002C2941">
      <w:pPr>
        <w:spacing w:line="480" w:lineRule="auto"/>
      </w:pPr>
      <w:r w:rsidRPr="004853B9">
        <w:t>Ranking journals by their actual clinical use in a patient care environment demonstrates those with the greatest</w:t>
      </w:r>
      <w:r w:rsidRPr="004853B9">
        <w:rPr>
          <w:i/>
        </w:rPr>
        <w:t xml:space="preserve"> clinical</w:t>
      </w:r>
      <w:r w:rsidRPr="004853B9">
        <w:t xml:space="preserve"> </w:t>
      </w:r>
      <w:r w:rsidR="00D21D45">
        <w:t>utility</w:t>
      </w:r>
      <w:r w:rsidRPr="004853B9">
        <w:t>. The divergence of the M</w:t>
      </w:r>
      <w:r>
        <w:t xml:space="preserve">orning </w:t>
      </w:r>
      <w:r w:rsidRPr="004853B9">
        <w:t>R</w:t>
      </w:r>
      <w:r>
        <w:t>eport</w:t>
      </w:r>
      <w:r w:rsidRPr="004853B9">
        <w:t xml:space="preserve"> list from the ISI high impact journals in internal medicine may indicate that clinically valuable journals differ from academicall</w:t>
      </w:r>
      <w:r>
        <w:t xml:space="preserve">y important titles. This </w:t>
      </w:r>
      <w:r w:rsidR="00337BBD">
        <w:t xml:space="preserve">contrasts with </w:t>
      </w:r>
      <w:r w:rsidRPr="004853B9">
        <w:t>other</w:t>
      </w:r>
      <w:r w:rsidR="00A16616" w:rsidRPr="00F16B1D">
        <w:rPr>
          <w:strike/>
        </w:rPr>
        <w:t xml:space="preserve">s </w:t>
      </w:r>
      <w:r w:rsidRPr="004853B9">
        <w:t>studies</w:t>
      </w:r>
      <w:r w:rsidR="0081283D">
        <w:t>,</w:t>
      </w:r>
      <w:r w:rsidRPr="004853B9">
        <w:t xml:space="preserve"> which found greater influence of impact factors and more overlap among top journals on ranked lists </w:t>
      </w:r>
      <w:r w:rsidR="00FB1FB4">
        <w:rPr>
          <w:noProof/>
        </w:rPr>
        <w:t>[19,20]</w:t>
      </w:r>
      <w:r w:rsidRPr="004853B9">
        <w:t>.</w:t>
      </w:r>
    </w:p>
    <w:p w:rsidR="00CF6C88" w:rsidRDefault="00CF6C88" w:rsidP="002C2941">
      <w:pPr>
        <w:spacing w:line="480" w:lineRule="auto"/>
      </w:pPr>
      <w:r w:rsidRPr="004853B9">
        <w:t>With 58% of the journal subject</w:t>
      </w:r>
      <w:r w:rsidR="00C0544C">
        <w:t xml:space="preserve">s </w:t>
      </w:r>
      <w:r w:rsidRPr="004853B9">
        <w:t xml:space="preserve">having 0% recall and 0% precision, and </w:t>
      </w:r>
      <w:r w:rsidR="00A16616" w:rsidRPr="00F16B1D">
        <w:t>87%</w:t>
      </w:r>
      <w:r w:rsidR="4EB1B6B3" w:rsidRPr="00F16B1D">
        <w:t xml:space="preserve"> </w:t>
      </w:r>
      <w:r w:rsidRPr="004853B9">
        <w:t xml:space="preserve">having less than 50% precision </w:t>
      </w:r>
      <w:r w:rsidRPr="00F16B1D">
        <w:t xml:space="preserve">and </w:t>
      </w:r>
      <w:r w:rsidR="00A16616" w:rsidRPr="00F16B1D">
        <w:t>65%</w:t>
      </w:r>
      <w:r w:rsidR="4EB1B6B3" w:rsidRPr="00F16B1D">
        <w:t xml:space="preserve"> </w:t>
      </w:r>
      <w:r w:rsidRPr="004853B9">
        <w:t>having &lt;50</w:t>
      </w:r>
      <w:r w:rsidRPr="3A5ACD79">
        <w:t>%</w:t>
      </w:r>
      <w:r w:rsidRPr="004853B9">
        <w:t xml:space="preserve"> recall, many clinical discussion topics do not have adequate coverage within the CCJ set.</w:t>
      </w:r>
      <w:r w:rsidRPr="001263C2">
        <w:rPr>
          <w:i/>
          <w:iCs/>
        </w:rPr>
        <w:t xml:space="preserve"> </w:t>
      </w:r>
      <w:r w:rsidRPr="004853B9">
        <w:t>Finding 19 M</w:t>
      </w:r>
      <w:r>
        <w:t xml:space="preserve">orning </w:t>
      </w:r>
      <w:r w:rsidRPr="004853B9">
        <w:t>R</w:t>
      </w:r>
      <w:r>
        <w:t>eport</w:t>
      </w:r>
      <w:r w:rsidRPr="3A5ACD79">
        <w:t xml:space="preserve"> </w:t>
      </w:r>
      <w:r w:rsidR="00D6301B">
        <w:t xml:space="preserve">journal </w:t>
      </w:r>
      <w:r w:rsidRPr="004853B9">
        <w:t>subjects with no core clinical titles to offer leaves such topics as sexually transmitted diseases, anti-bacterial agents and epidemiology absent from th</w:t>
      </w:r>
      <w:r>
        <w:t>e CCJ</w:t>
      </w:r>
      <w:r w:rsidRPr="004853B9">
        <w:t xml:space="preserve"> limit. This impacts the potential success of finding particular clinic</w:t>
      </w:r>
      <w:r>
        <w:t xml:space="preserve">al subjects using the CCJ filter. </w:t>
      </w:r>
      <w:r w:rsidR="00D6301B">
        <w:t xml:space="preserve">Even though four of the categories had no clinical questions specified within, that is likely because only one choice was allowed for each question categorization, whereas the journals had multiple categorizations. </w:t>
      </w:r>
      <w:r>
        <w:t>With the CCJ filter</w:t>
      </w:r>
      <w:r w:rsidRPr="004853B9">
        <w:t xml:space="preserve"> contributing less frequently or not at all to answering the </w:t>
      </w:r>
      <w:r w:rsidRPr="003C3C29">
        <w:t>M</w:t>
      </w:r>
      <w:r>
        <w:t xml:space="preserve">orning </w:t>
      </w:r>
      <w:r w:rsidRPr="003C3C29">
        <w:t>R</w:t>
      </w:r>
      <w:r>
        <w:t>eport</w:t>
      </w:r>
      <w:r w:rsidRPr="004853B9">
        <w:t xml:space="preserve"> topics, searching with it would not have provided many answers to the patient care questions.</w:t>
      </w:r>
    </w:p>
    <w:p w:rsidR="00CF6C88" w:rsidRPr="001F0BA5" w:rsidRDefault="00CF6C88" w:rsidP="002C2941">
      <w:pPr>
        <w:spacing w:line="480" w:lineRule="auto"/>
        <w:rPr>
          <w:i/>
        </w:rPr>
      </w:pPr>
      <w:r w:rsidRPr="004853B9">
        <w:t xml:space="preserve">The low recall and precision may reflect </w:t>
      </w:r>
      <w:r>
        <w:t xml:space="preserve">journal </w:t>
      </w:r>
      <w:r w:rsidRPr="004853B9">
        <w:t xml:space="preserve">title discontinuations which occurred without formal consideration given to replacing the coverage that was lost to ensure a balanced </w:t>
      </w:r>
      <w:r>
        <w:t xml:space="preserve">representation </w:t>
      </w:r>
      <w:r w:rsidRPr="004853B9">
        <w:t xml:space="preserve">of core clinical disciplines. </w:t>
      </w:r>
      <w:r>
        <w:t xml:space="preserve">In addition, the low percentage of CCJ journals used in Morning Report may demonstrate that the CCJ filter </w:t>
      </w:r>
      <w:r w:rsidR="00F16B1D" w:rsidRPr="00F16B1D">
        <w:t>has not</w:t>
      </w:r>
      <w:r w:rsidRPr="00F16B1D">
        <w:t xml:space="preserve"> </w:t>
      </w:r>
      <w:r>
        <w:t xml:space="preserve">been systematically updated for current clinical use. </w:t>
      </w:r>
      <w:r w:rsidRPr="00A5087A">
        <w:rPr>
          <w:color w:val="000000" w:themeColor="text1"/>
        </w:rPr>
        <w:t>Although web-based searching offers another free alternative to finding</w:t>
      </w:r>
      <w:r w:rsidRPr="00A5087A">
        <w:t xml:space="preserve"> information, Google</w:t>
      </w:r>
      <w:r w:rsidRPr="001263C2">
        <w:rPr>
          <w:i/>
          <w:iCs/>
        </w:rPr>
        <w:t xml:space="preserve"> </w:t>
      </w:r>
      <w:r w:rsidRPr="009A46CD">
        <w:t xml:space="preserve">displays </w:t>
      </w:r>
      <w:r>
        <w:t xml:space="preserve">results </w:t>
      </w:r>
      <w:r w:rsidRPr="009A46CD">
        <w:t xml:space="preserve">based on paid advertising or highest number of </w:t>
      </w:r>
      <w:r w:rsidRPr="0013524D">
        <w:t>links</w:t>
      </w:r>
      <w:r w:rsidRPr="105C6B8A">
        <w:t xml:space="preserve"> </w:t>
      </w:r>
      <w:r w:rsidRPr="00A5087A">
        <w:rPr>
          <w:color w:val="000000" w:themeColor="text1"/>
        </w:rPr>
        <w:t>and Google Scholar lags</w:t>
      </w:r>
      <w:r w:rsidRPr="001263C2">
        <w:rPr>
          <w:i/>
          <w:iCs/>
          <w:color w:val="000000" w:themeColor="text1"/>
        </w:rPr>
        <w:t xml:space="preserve"> </w:t>
      </w:r>
      <w:r w:rsidRPr="00A5087A">
        <w:rPr>
          <w:color w:val="000000" w:themeColor="text1"/>
        </w:rPr>
        <w:t>in currency for peer-reviewed medical journals</w:t>
      </w:r>
      <w:r>
        <w:rPr>
          <w:color w:val="000000" w:themeColor="text1"/>
        </w:rPr>
        <w:t xml:space="preserve"> </w:t>
      </w:r>
      <w:r w:rsidR="00086417">
        <w:rPr>
          <w:noProof/>
          <w:color w:val="000000" w:themeColor="text1"/>
        </w:rPr>
        <w:t>[21,22]</w:t>
      </w:r>
      <w:r w:rsidRPr="001263C2">
        <w:rPr>
          <w:i/>
          <w:iCs/>
        </w:rPr>
        <w:t xml:space="preserve">.  </w:t>
      </w:r>
      <w:r w:rsidRPr="001F0BA5">
        <w:t xml:space="preserve">A comparison of the first 20 citations in </w:t>
      </w:r>
      <w:r w:rsidR="00E13A11">
        <w:t>MEDLINE</w:t>
      </w:r>
      <w:r w:rsidRPr="001F0BA5">
        <w:t xml:space="preserve"> sorted by publication date compared with Google Scholar sorted by date on the </w:t>
      </w:r>
      <w:r w:rsidR="00C0544C">
        <w:t>disease</w:t>
      </w:r>
      <w:r w:rsidRPr="001F0BA5">
        <w:t xml:space="preserve"> of Invasive Candidiasis found more than half of the Google Scholar citations </w:t>
      </w:r>
      <w:r w:rsidRPr="00815883">
        <w:t xml:space="preserve">missing from the </w:t>
      </w:r>
      <w:r w:rsidR="00E13A11">
        <w:t>MEDLINE</w:t>
      </w:r>
      <w:r w:rsidRPr="00815883">
        <w:t xml:space="preserve"> set </w:t>
      </w:r>
      <w:r w:rsidRPr="001F0BA5">
        <w:t xml:space="preserve">due to quality control concerns or currency lags. Google Scholar included duplicate citations, an unapproved manuscript proof, a PhD thesis, repository contributions and a workshop article among the search results. </w:t>
      </w:r>
    </w:p>
    <w:p w:rsidR="00CF6C88" w:rsidRPr="00846802" w:rsidRDefault="0019375C" w:rsidP="002C2941">
      <w:pPr>
        <w:spacing w:line="480" w:lineRule="auto"/>
      </w:pPr>
      <w:r>
        <w:t>The CCJ titles</w:t>
      </w:r>
      <w:r w:rsidR="00CF6C88" w:rsidRPr="004853B9">
        <w:t xml:space="preserve"> are also part of the </w:t>
      </w:r>
      <w:r>
        <w:t xml:space="preserve">NLM </w:t>
      </w:r>
      <w:r w:rsidR="00CF6C88" w:rsidRPr="004853B9">
        <w:t xml:space="preserve">MedPrint </w:t>
      </w:r>
      <w:r>
        <w:t xml:space="preserve">serials </w:t>
      </w:r>
      <w:r w:rsidR="00CF6C88" w:rsidRPr="004853B9">
        <w:t xml:space="preserve">preservation program designating a primary set of 250 journals to retain in print. Although the </w:t>
      </w:r>
      <w:r w:rsidR="00CF6C88">
        <w:t>CCJ journals are widely-owned,</w:t>
      </w:r>
      <w:r w:rsidR="00CF6C88" w:rsidRPr="004853B9">
        <w:t xml:space="preserve"> based on actual clinical usage they may not offer an adequate list.</w:t>
      </w:r>
      <w:r w:rsidR="00CF6C88">
        <w:t xml:space="preserve"> Related to accessibility concerns</w:t>
      </w:r>
      <w:r w:rsidR="00CF6C88" w:rsidRPr="004853B9">
        <w:t xml:space="preserve"> </w:t>
      </w:r>
      <w:r w:rsidR="00CF6C88">
        <w:t xml:space="preserve">if </w:t>
      </w:r>
      <w:r w:rsidR="00CF6C88" w:rsidRPr="004853B9">
        <w:t>clinical rather than academic medical usage explain</w:t>
      </w:r>
      <w:r w:rsidR="00CF6C88">
        <w:t>s why 16%</w:t>
      </w:r>
      <w:r w:rsidR="00CF6C88" w:rsidRPr="004853B9">
        <w:t xml:space="preserve"> of the articles used were 10 years old or older</w:t>
      </w:r>
      <w:r w:rsidR="00CF6C88">
        <w:t>, then retaining access to older journals becomes important.</w:t>
      </w:r>
      <w:r w:rsidR="00CF6C88" w:rsidRPr="004853B9">
        <w:t xml:space="preserve"> This finding is supported by another study on Morning Report which found older literature useful as well </w:t>
      </w:r>
      <w:r w:rsidR="00086417">
        <w:rPr>
          <w:noProof/>
        </w:rPr>
        <w:t>[23]</w:t>
      </w:r>
      <w:r w:rsidR="00CF6C88" w:rsidRPr="004853B9">
        <w:t xml:space="preserve">. The implication for practice is that point-of-care </w:t>
      </w:r>
      <w:r w:rsidR="00CF6C88">
        <w:t xml:space="preserve">commercial evidence-based medicine </w:t>
      </w:r>
      <w:r w:rsidR="00E25156">
        <w:t>products</w:t>
      </w:r>
      <w:r w:rsidR="0007119E">
        <w:t xml:space="preserve"> that </w:t>
      </w:r>
      <w:r w:rsidR="00E25156">
        <w:t>do not</w:t>
      </w:r>
      <w:r w:rsidR="00CF6C88" w:rsidRPr="004853B9">
        <w:t xml:space="preserve"> include older literature may be missing key articles. </w:t>
      </w:r>
    </w:p>
    <w:p w:rsidR="00CF6C88" w:rsidRDefault="00CF6C88" w:rsidP="002C2941">
      <w:pPr>
        <w:spacing w:line="480" w:lineRule="auto"/>
      </w:pPr>
      <w:r w:rsidRPr="003C3C29">
        <w:t xml:space="preserve">A recent study using </w:t>
      </w:r>
      <w:r w:rsidR="00E13A11">
        <w:t>MEDLINE</w:t>
      </w:r>
      <w:r w:rsidRPr="003C3C29">
        <w:t xml:space="preserve"> query texts as entered by users examined their application of search tags </w:t>
      </w:r>
      <w:r w:rsidR="00086417">
        <w:rPr>
          <w:noProof/>
        </w:rPr>
        <w:t>[24]</w:t>
      </w:r>
      <w:r w:rsidRPr="004853B9">
        <w:t xml:space="preserve">. In general, usage of any search tags was low with only 11.38% of the total queries having any of the 48 </w:t>
      </w:r>
      <w:r>
        <w:t xml:space="preserve">available </w:t>
      </w:r>
      <w:r w:rsidRPr="004853B9">
        <w:t xml:space="preserve">tags applied. Perhaps the low recall and relevance of the CCJ set might </w:t>
      </w:r>
      <w:r>
        <w:t>translate into users avoiding this</w:t>
      </w:r>
      <w:r w:rsidRPr="004853B9">
        <w:t xml:space="preserve"> particular filter. With physicians tending to “scan a maximum of 40 citations (the equivalent of 2 search pages in PubMed)</w:t>
      </w:r>
      <w:r>
        <w:t>,</w:t>
      </w:r>
      <w:r w:rsidRPr="004853B9">
        <w:t xml:space="preserve">” it is important to be able to limit retrievals and bring clinically valuable citations to the fore </w:t>
      </w:r>
      <w:r w:rsidR="00086417">
        <w:rPr>
          <w:noProof/>
        </w:rPr>
        <w:t>[25]</w:t>
      </w:r>
      <w:r w:rsidRPr="004853B9">
        <w:t>.</w:t>
      </w:r>
    </w:p>
    <w:p w:rsidR="00CF6C88" w:rsidRPr="00846802" w:rsidRDefault="00CF6C88" w:rsidP="002C2941">
      <w:pPr>
        <w:spacing w:line="480" w:lineRule="auto"/>
      </w:pPr>
      <w:r>
        <w:t xml:space="preserve">Despite the limited utility of the CCJ in this study, another evaluation of </w:t>
      </w:r>
      <w:r w:rsidR="00E13A11">
        <w:t>MEDLINE</w:t>
      </w:r>
      <w:r w:rsidR="00F16B1D">
        <w:t xml:space="preserve"> filters </w:t>
      </w:r>
      <w:proofErr w:type="gramStart"/>
      <w:r w:rsidR="00F16B1D">
        <w:t>have</w:t>
      </w:r>
      <w:proofErr w:type="gramEnd"/>
      <w:r w:rsidR="00F16B1D">
        <w:t xml:space="preserve"> </w:t>
      </w:r>
      <w:r>
        <w:t xml:space="preserve">found that the AIM/CCJ set combined with specific filters increased the retrieval to the highest precision in the dataset </w:t>
      </w:r>
      <w:r w:rsidR="008C3F36">
        <w:rPr>
          <w:noProof/>
        </w:rPr>
        <w:t>[26]</w:t>
      </w:r>
      <w:r w:rsidRPr="7264D139">
        <w:t xml:space="preserve">. </w:t>
      </w:r>
      <w:r w:rsidRPr="00221039">
        <w:t xml:space="preserve">This suggests that updating the CCJ filter for current clinical use could offer clinicians an important tool to limit their retrieval to readily applicable, pertinent </w:t>
      </w:r>
      <w:r w:rsidR="00A16616" w:rsidRPr="00F16B1D">
        <w:rPr>
          <w:color w:val="FF0000"/>
        </w:rPr>
        <w:t>i</w:t>
      </w:r>
      <w:r w:rsidRPr="00221039">
        <w:t>nformation.</w:t>
      </w:r>
      <w:r>
        <w:t xml:space="preserve">  Knowledge-based information has been found to impact patient care decisions, costs and lengths of stay </w:t>
      </w:r>
      <w:r w:rsidR="008C3F36">
        <w:rPr>
          <w:noProof/>
        </w:rPr>
        <w:t>[27-31]</w:t>
      </w:r>
      <w:r>
        <w:t>. This study’s implications are that an updated CCJ may enhance search retrievals and translate into improved patient care.</w:t>
      </w:r>
    </w:p>
    <w:p w:rsidR="00CF6C88" w:rsidRPr="00846802" w:rsidRDefault="00CF6C88" w:rsidP="002C2941">
      <w:pPr>
        <w:spacing w:line="480" w:lineRule="auto"/>
      </w:pPr>
      <w:r w:rsidRPr="004853B9">
        <w:t>Limitations</w:t>
      </w:r>
    </w:p>
    <w:p w:rsidR="00CF6C88" w:rsidRPr="00846802" w:rsidRDefault="00CF6C88" w:rsidP="002C2941">
      <w:pPr>
        <w:spacing w:line="480" w:lineRule="auto"/>
      </w:pPr>
      <w:r w:rsidRPr="004853B9">
        <w:t xml:space="preserve">This data derived from a large, tertiary care hospital’s Internal Medicine residency program. Smaller or community hospitals, specialist or community physician practices may differ in their </w:t>
      </w:r>
      <w:r w:rsidR="00BD0D3B">
        <w:t>journal utility</w:t>
      </w:r>
      <w:r w:rsidRPr="004853B9">
        <w:t xml:space="preserve">. </w:t>
      </w:r>
      <w:r>
        <w:t xml:space="preserve">Since this is a single institution study, the results may not be generalizable. The questions selected for Morning Report presentation may not be representative of the information typically needed.  </w:t>
      </w:r>
      <w:r w:rsidRPr="004853B9">
        <w:t xml:space="preserve">Yet the use of </w:t>
      </w:r>
      <w:r>
        <w:t>CCJ</w:t>
      </w:r>
      <w:r w:rsidRPr="004853B9">
        <w:t xml:space="preserve"> journals in community hospitals may not differ greatly. An early study of journal usage in a community hospital library found that 33% of titles requested were not indexed in AIM</w:t>
      </w:r>
      <w:r w:rsidR="00314EA1">
        <w:t xml:space="preserve"> </w:t>
      </w:r>
      <w:r>
        <w:t>(CCJ)</w:t>
      </w:r>
      <w:r w:rsidRPr="004853B9">
        <w:t xml:space="preserve"> and only 7% of borrowed titles were AIM</w:t>
      </w:r>
      <w:r w:rsidR="00314EA1">
        <w:t xml:space="preserve"> </w:t>
      </w:r>
      <w:r>
        <w:t>(CCJ)</w:t>
      </w:r>
      <w:r w:rsidRPr="004853B9">
        <w:t xml:space="preserve"> </w:t>
      </w:r>
      <w:r w:rsidR="008C3F36">
        <w:rPr>
          <w:noProof/>
        </w:rPr>
        <w:t>[32</w:t>
      </w:r>
      <w:r w:rsidR="00A97A90">
        <w:rPr>
          <w:noProof/>
        </w:rPr>
        <w:t>]</w:t>
      </w:r>
      <w:r>
        <w:t>.</w:t>
      </w:r>
      <w:r w:rsidRPr="004853B9">
        <w:t xml:space="preserve"> Interestingly, a similar 15% of borrowed items were from older literature. </w:t>
      </w:r>
    </w:p>
    <w:p w:rsidR="00CF6C88" w:rsidRPr="00846802" w:rsidRDefault="00CF6C88" w:rsidP="002C2941">
      <w:pPr>
        <w:spacing w:line="480" w:lineRule="auto"/>
        <w:rPr>
          <w:b/>
        </w:rPr>
      </w:pPr>
      <w:r w:rsidRPr="003C3C29">
        <w:rPr>
          <w:b/>
        </w:rPr>
        <w:t>Conclusions</w:t>
      </w:r>
    </w:p>
    <w:p w:rsidR="00CF6C88" w:rsidRPr="00846802" w:rsidRDefault="00CF6C88" w:rsidP="002C2941">
      <w:pPr>
        <w:spacing w:line="480" w:lineRule="auto"/>
      </w:pPr>
      <w:r w:rsidRPr="003C3C29">
        <w:t xml:space="preserve">With only 16% of relevant journals coming from the </w:t>
      </w:r>
      <w:r>
        <w:t xml:space="preserve">CCJ </w:t>
      </w:r>
      <w:r w:rsidRPr="003C3C29">
        <w:t>list, the current CCJ collection may have limited relevance for hospital-based clinical ca</w:t>
      </w:r>
      <w:r>
        <w:t>re. Low concordance with</w:t>
      </w:r>
      <w:r w:rsidRPr="003C3C29">
        <w:t xml:space="preserve"> high impact journals reinforces the inference that clinically valuable journals differ from academically important titles. Although the</w:t>
      </w:r>
      <w:r>
        <w:t xml:space="preserve">re is no </w:t>
      </w:r>
      <w:r w:rsidRPr="003C3C29">
        <w:t>mechanism to regu</w:t>
      </w:r>
      <w:r>
        <w:t>larly evaluate or update the CCJ list, this filter</w:t>
      </w:r>
      <w:r w:rsidRPr="003C3C29">
        <w:t xml:space="preserve"> is in continued use and its new name of Core Clinical Journals suggests that it should have high value for patient-centric decision-making. The</w:t>
      </w:r>
      <w:r>
        <w:t xml:space="preserve"> expedience of the CCJ filter</w:t>
      </w:r>
      <w:r w:rsidRPr="003C3C29">
        <w:t xml:space="preserve"> within </w:t>
      </w:r>
      <w:r w:rsidR="00E13A11">
        <w:t>MEDLINE</w:t>
      </w:r>
      <w:r w:rsidRPr="003C3C29">
        <w:t xml:space="preserve"> warrants its systematic review to ensure </w:t>
      </w:r>
      <w:r>
        <w:t>rapid access to the most current and relevant clinical literature.</w:t>
      </w:r>
      <w:r w:rsidRPr="003C3C29">
        <w:t xml:space="preserve"> In order to better align this set of journals with contemporary clinical searching, it should be routinely updated to address changes in coverage and practice. </w:t>
      </w:r>
    </w:p>
    <w:p w:rsidR="00CF6C88" w:rsidRPr="00846802" w:rsidRDefault="00CF6C88" w:rsidP="002C2941">
      <w:pPr>
        <w:spacing w:line="480" w:lineRule="auto"/>
      </w:pPr>
    </w:p>
    <w:p w:rsidR="00CF6C88" w:rsidRDefault="00CF6C88" w:rsidP="002C2941">
      <w:pPr>
        <w:spacing w:line="480" w:lineRule="auto"/>
      </w:pPr>
      <w:r>
        <w:t>Addendum: The AIM/CCJ filter</w:t>
      </w:r>
      <w:r w:rsidRPr="004853B9">
        <w:t xml:space="preserve"> is planned for an extension review and update in the future. A systematic review mechanism will also be put into place. </w:t>
      </w:r>
    </w:p>
    <w:p w:rsidR="00CF6C88" w:rsidRDefault="00CF6C88" w:rsidP="002C2941">
      <w:pPr>
        <w:autoSpaceDE w:val="0"/>
        <w:autoSpaceDN w:val="0"/>
        <w:adjustRightInd w:val="0"/>
        <w:spacing w:after="0" w:line="480" w:lineRule="auto"/>
        <w:rPr>
          <w:b/>
          <w:bCs/>
        </w:rPr>
      </w:pPr>
      <w:r w:rsidRPr="001C7F8C">
        <w:rPr>
          <w:b/>
          <w:bCs/>
        </w:rPr>
        <w:t>Role of Funding Source</w:t>
      </w:r>
    </w:p>
    <w:p w:rsidR="00CF6C88" w:rsidRPr="00A55A95" w:rsidRDefault="00CF6C88" w:rsidP="002C2941">
      <w:pPr>
        <w:spacing w:line="480" w:lineRule="auto"/>
      </w:pPr>
      <w:r w:rsidRPr="001C7F8C">
        <w:t xml:space="preserve">No external funding was obtained for this study. A statistician consulted for formula verification had external funding for her time from NIH.  </w:t>
      </w:r>
    </w:p>
    <w:p w:rsidR="009A4D0B" w:rsidRDefault="009A4D0B" w:rsidP="002C2941">
      <w:pPr>
        <w:spacing w:before="100" w:beforeAutospacing="1" w:after="100" w:afterAutospacing="1" w:line="480" w:lineRule="auto"/>
        <w:rPr>
          <w:rFonts w:eastAsia="Times New Roman"/>
          <w:b/>
        </w:rPr>
      </w:pPr>
    </w:p>
    <w:p w:rsidR="009A4D0B" w:rsidRDefault="009A4D0B" w:rsidP="002C2941">
      <w:pPr>
        <w:spacing w:before="100" w:beforeAutospacing="1" w:after="100" w:afterAutospacing="1" w:line="480" w:lineRule="auto"/>
        <w:rPr>
          <w:rFonts w:eastAsia="Times New Roman"/>
          <w:b/>
        </w:rPr>
      </w:pPr>
    </w:p>
    <w:p w:rsidR="009A4D0B" w:rsidRDefault="009A4D0B" w:rsidP="002C2941">
      <w:pPr>
        <w:spacing w:before="100" w:beforeAutospacing="1" w:after="100" w:afterAutospacing="1" w:line="480" w:lineRule="auto"/>
        <w:rPr>
          <w:rFonts w:eastAsia="Times New Roman"/>
          <w:b/>
        </w:rPr>
      </w:pPr>
    </w:p>
    <w:p w:rsidR="009A4D0B" w:rsidRDefault="009A4D0B" w:rsidP="002C2941">
      <w:pPr>
        <w:spacing w:before="100" w:beforeAutospacing="1" w:after="100" w:afterAutospacing="1" w:line="480" w:lineRule="auto"/>
        <w:rPr>
          <w:rFonts w:eastAsia="Times New Roman"/>
          <w:b/>
        </w:rPr>
      </w:pPr>
    </w:p>
    <w:p w:rsidR="009A4D0B" w:rsidRDefault="009A4D0B" w:rsidP="002C2941">
      <w:pPr>
        <w:spacing w:before="100" w:beforeAutospacing="1" w:after="100" w:afterAutospacing="1" w:line="480" w:lineRule="auto"/>
        <w:rPr>
          <w:rFonts w:eastAsia="Times New Roman"/>
          <w:b/>
        </w:rPr>
      </w:pPr>
    </w:p>
    <w:p w:rsidR="00CF6C88" w:rsidRPr="00224577" w:rsidRDefault="00CF6C88" w:rsidP="002C2941">
      <w:pPr>
        <w:spacing w:before="100" w:beforeAutospacing="1" w:after="100" w:afterAutospacing="1" w:line="480" w:lineRule="auto"/>
        <w:rPr>
          <w:rFonts w:eastAsia="Times New Roman"/>
        </w:rPr>
      </w:pPr>
      <w:r w:rsidRPr="00D37BA3">
        <w:rPr>
          <w:rFonts w:eastAsia="Times New Roman"/>
          <w:b/>
        </w:rPr>
        <w:t>Acknowledgments:</w:t>
      </w:r>
      <w:r w:rsidRPr="00224577">
        <w:rPr>
          <w:rFonts w:eastAsia="Times New Roman"/>
        </w:rPr>
        <w:t xml:space="preserve"> The authors acknowledge </w:t>
      </w:r>
      <w:proofErr w:type="spellStart"/>
      <w:r w:rsidRPr="00224577">
        <w:rPr>
          <w:rFonts w:eastAsia="Times New Roman"/>
        </w:rPr>
        <w:t>Bedda</w:t>
      </w:r>
      <w:proofErr w:type="spellEnd"/>
      <w:r w:rsidRPr="00224577">
        <w:rPr>
          <w:rFonts w:eastAsia="Times New Roman"/>
        </w:rPr>
        <w:t xml:space="preserve"> L. Rosario, PhD, </w:t>
      </w:r>
      <w:r w:rsidRPr="00493F63">
        <w:rPr>
          <w:rFonts w:eastAsia="Times New Roman"/>
        </w:rPr>
        <w:t>of the Clinical and Translational Science Institute (CTSI) Design, Biostatistics and Epidemiology (DBE) Core</w:t>
      </w:r>
      <w:r w:rsidRPr="00224577">
        <w:rPr>
          <w:rFonts w:ascii="Calibri" w:eastAsia="Times New Roman" w:hAnsi="Calibri"/>
        </w:rPr>
        <w:t xml:space="preserve">, </w:t>
      </w:r>
      <w:r>
        <w:rPr>
          <w:rFonts w:eastAsia="Times New Roman"/>
        </w:rPr>
        <w:t>for her assistance confirming the recall and precision formulas</w:t>
      </w:r>
      <w:r w:rsidRPr="00224577">
        <w:rPr>
          <w:rFonts w:eastAsia="Times New Roman"/>
        </w:rPr>
        <w:t>.</w:t>
      </w:r>
      <w:r>
        <w:rPr>
          <w:rFonts w:eastAsia="Times New Roman"/>
        </w:rPr>
        <w:t xml:space="preserve"> Her assistance was supported by the National Institutes of Health through Grant Number UL1TR000005. </w:t>
      </w:r>
      <w:r w:rsidRPr="00224577">
        <w:rPr>
          <w:rFonts w:eastAsia="Times New Roman"/>
        </w:rPr>
        <w:t> </w:t>
      </w:r>
    </w:p>
    <w:p w:rsidR="00CF6C88" w:rsidRDefault="00CF6C88" w:rsidP="002C2941">
      <w:pPr>
        <w:spacing w:line="480" w:lineRule="auto"/>
      </w:pPr>
    </w:p>
    <w:p w:rsidR="00A97A90" w:rsidRPr="00C2246D" w:rsidRDefault="00A97A90" w:rsidP="0098679C">
      <w:pPr>
        <w:spacing w:line="480" w:lineRule="auto"/>
        <w:rPr>
          <w:b/>
        </w:rPr>
      </w:pPr>
      <w:r w:rsidRPr="00C2246D">
        <w:rPr>
          <w:b/>
        </w:rPr>
        <w:t>References</w:t>
      </w:r>
    </w:p>
    <w:p w:rsidR="00A97A90" w:rsidRPr="00C2246D" w:rsidRDefault="00A97A90" w:rsidP="0098679C">
      <w:pPr>
        <w:spacing w:after="0" w:line="480" w:lineRule="auto"/>
        <w:ind w:left="720" w:hanging="720"/>
        <w:rPr>
          <w:noProof/>
        </w:rPr>
      </w:pPr>
      <w:bookmarkStart w:id="1" w:name="_ENREF_1"/>
      <w:r w:rsidRPr="00C2246D">
        <w:rPr>
          <w:noProof/>
        </w:rPr>
        <w:t>1.</w:t>
      </w:r>
      <w:r w:rsidRPr="00C2246D">
        <w:rPr>
          <w:noProof/>
        </w:rPr>
        <w:tab/>
      </w:r>
      <w:r w:rsidR="00F57D71">
        <w:rPr>
          <w:noProof/>
        </w:rPr>
        <w:t xml:space="preserve">Anonymous, </w:t>
      </w:r>
      <w:r w:rsidRPr="00C2246D">
        <w:rPr>
          <w:noProof/>
        </w:rPr>
        <w:t>An abbreviated index medicus. JAMA. 1969;210(12):2272-3.</w:t>
      </w:r>
      <w:bookmarkEnd w:id="1"/>
    </w:p>
    <w:p w:rsidR="00A97A90" w:rsidRPr="00C2246D" w:rsidRDefault="00A97A90" w:rsidP="0098679C">
      <w:pPr>
        <w:spacing w:after="0" w:line="480" w:lineRule="auto"/>
        <w:ind w:left="720" w:hanging="720"/>
        <w:rPr>
          <w:noProof/>
        </w:rPr>
      </w:pPr>
      <w:bookmarkStart w:id="2" w:name="_ENREF_2"/>
      <w:r w:rsidRPr="00C2246D">
        <w:rPr>
          <w:noProof/>
        </w:rPr>
        <w:t>2.</w:t>
      </w:r>
      <w:r w:rsidRPr="00C2246D">
        <w:rPr>
          <w:noProof/>
        </w:rPr>
        <w:tab/>
        <w:t>Abridged Index Medicus. Bulletin of the Medical Library Association. 1970;58(1):70.</w:t>
      </w:r>
      <w:bookmarkEnd w:id="2"/>
    </w:p>
    <w:p w:rsidR="00A97A90" w:rsidRPr="00C2246D" w:rsidRDefault="00A97A90" w:rsidP="0098679C">
      <w:pPr>
        <w:spacing w:after="0" w:line="480" w:lineRule="auto"/>
        <w:ind w:left="720" w:hanging="720"/>
        <w:rPr>
          <w:noProof/>
        </w:rPr>
      </w:pPr>
      <w:bookmarkStart w:id="3" w:name="_ENREF_3"/>
      <w:r w:rsidRPr="00C2246D">
        <w:rPr>
          <w:noProof/>
        </w:rPr>
        <w:t>3.</w:t>
      </w:r>
      <w:r w:rsidRPr="00C2246D">
        <w:rPr>
          <w:noProof/>
        </w:rPr>
        <w:tab/>
        <w:t>Committed selection: abridged index medicus. New England Journal of Medicine. 1970;282(4):220-1.</w:t>
      </w:r>
      <w:bookmarkEnd w:id="3"/>
    </w:p>
    <w:p w:rsidR="00A97A90" w:rsidRPr="00C2246D" w:rsidRDefault="00A97A90" w:rsidP="0098679C">
      <w:pPr>
        <w:spacing w:after="0" w:line="480" w:lineRule="auto"/>
        <w:ind w:left="720" w:hanging="720"/>
        <w:rPr>
          <w:noProof/>
        </w:rPr>
      </w:pPr>
      <w:bookmarkStart w:id="4" w:name="_ENREF_4"/>
      <w:r w:rsidRPr="00C2246D">
        <w:rPr>
          <w:noProof/>
        </w:rPr>
        <w:t>4.</w:t>
      </w:r>
      <w:r w:rsidRPr="00C2246D">
        <w:rPr>
          <w:noProof/>
        </w:rPr>
        <w:tab/>
        <w:t>Laxdal OE</w:t>
      </w:r>
      <w:r w:rsidRPr="00C2246D">
        <w:rPr>
          <w:b/>
          <w:noProof/>
        </w:rPr>
        <w:t xml:space="preserve">. </w:t>
      </w:r>
      <w:r w:rsidRPr="00C2246D">
        <w:rPr>
          <w:noProof/>
        </w:rPr>
        <w:t>Abridged Index Medicus. Can Med Assoc J. 1970;102(13):1413.</w:t>
      </w:r>
      <w:bookmarkEnd w:id="4"/>
    </w:p>
    <w:p w:rsidR="00A97A90" w:rsidRPr="00C2246D" w:rsidRDefault="00A97A90" w:rsidP="0098679C">
      <w:pPr>
        <w:spacing w:after="0" w:line="480" w:lineRule="auto"/>
        <w:ind w:left="720" w:hanging="720"/>
        <w:rPr>
          <w:noProof/>
        </w:rPr>
      </w:pPr>
      <w:bookmarkStart w:id="5" w:name="_ENREF_5"/>
      <w:r w:rsidRPr="00C2246D">
        <w:rPr>
          <w:noProof/>
        </w:rPr>
        <w:t>5.</w:t>
      </w:r>
      <w:r w:rsidRPr="00C2246D">
        <w:rPr>
          <w:noProof/>
        </w:rPr>
        <w:tab/>
        <w:t>New Look to PubMed's Subset Limit Pull-down Menu: Core clinical journals (used to be "AIM"). NLM Technical Bulletin. 2001;2001(319).</w:t>
      </w:r>
      <w:bookmarkEnd w:id="5"/>
    </w:p>
    <w:p w:rsidR="00A97A90" w:rsidRPr="00C2246D" w:rsidRDefault="00A97A90" w:rsidP="0098679C">
      <w:pPr>
        <w:spacing w:after="0" w:line="480" w:lineRule="auto"/>
        <w:ind w:left="720" w:hanging="720"/>
        <w:rPr>
          <w:noProof/>
        </w:rPr>
      </w:pPr>
      <w:bookmarkStart w:id="6" w:name="_ENREF_6"/>
      <w:r w:rsidRPr="00C2246D">
        <w:rPr>
          <w:noProof/>
        </w:rPr>
        <w:t>6.</w:t>
      </w:r>
      <w:r w:rsidRPr="00C2246D">
        <w:rPr>
          <w:noProof/>
        </w:rPr>
        <w:tab/>
        <w:t>Black P</w:t>
      </w:r>
      <w:r w:rsidRPr="00C2246D">
        <w:rPr>
          <w:b/>
          <w:noProof/>
        </w:rPr>
        <w:t xml:space="preserve">. </w:t>
      </w:r>
      <w:r w:rsidRPr="00C2246D">
        <w:rPr>
          <w:noProof/>
        </w:rPr>
        <w:t>The dangers of using Google as a diagnostic aid. Br J Nurs. 2009;18(19):1157.</w:t>
      </w:r>
      <w:bookmarkEnd w:id="6"/>
    </w:p>
    <w:p w:rsidR="00A97A90" w:rsidRPr="00C2246D" w:rsidRDefault="00A97A90" w:rsidP="0098679C">
      <w:pPr>
        <w:spacing w:after="0" w:line="480" w:lineRule="auto"/>
        <w:ind w:left="720" w:hanging="720"/>
        <w:rPr>
          <w:noProof/>
        </w:rPr>
      </w:pPr>
      <w:bookmarkStart w:id="7" w:name="_ENREF_7"/>
      <w:r w:rsidRPr="00C2246D">
        <w:rPr>
          <w:noProof/>
        </w:rPr>
        <w:t>7.</w:t>
      </w:r>
      <w:r w:rsidRPr="00C2246D">
        <w:rPr>
          <w:noProof/>
        </w:rPr>
        <w:tab/>
        <w:t>Tang H, Ng JH</w:t>
      </w:r>
      <w:r w:rsidRPr="00C2246D">
        <w:rPr>
          <w:b/>
          <w:noProof/>
        </w:rPr>
        <w:t xml:space="preserve">. </w:t>
      </w:r>
      <w:r w:rsidRPr="00C2246D">
        <w:rPr>
          <w:noProof/>
        </w:rPr>
        <w:t>Googling for a diagnosis--use of Google as a diagnostic aid: internet based study. BMJ. 2006;333(7579):1143-5.</w:t>
      </w:r>
      <w:bookmarkEnd w:id="7"/>
    </w:p>
    <w:p w:rsidR="00A97A90" w:rsidRPr="00C2246D" w:rsidRDefault="00A97A90" w:rsidP="0098679C">
      <w:pPr>
        <w:spacing w:after="0" w:line="480" w:lineRule="auto"/>
        <w:ind w:left="720" w:hanging="720"/>
        <w:rPr>
          <w:noProof/>
        </w:rPr>
      </w:pPr>
      <w:bookmarkStart w:id="8" w:name="_ENREF_8"/>
      <w:r w:rsidRPr="00C2246D">
        <w:rPr>
          <w:noProof/>
        </w:rPr>
        <w:t>8.</w:t>
      </w:r>
      <w:r w:rsidRPr="00C2246D">
        <w:rPr>
          <w:noProof/>
        </w:rPr>
        <w:tab/>
        <w:t>Shultz M</w:t>
      </w:r>
      <w:r w:rsidRPr="00C2246D">
        <w:rPr>
          <w:b/>
          <w:noProof/>
        </w:rPr>
        <w:t xml:space="preserve">. </w:t>
      </w:r>
      <w:r w:rsidRPr="00C2246D">
        <w:rPr>
          <w:noProof/>
        </w:rPr>
        <w:t>Comparing test searches in PubMed and Google Scholar. J Med Libr Assoc. 2007;95(4):442-5.</w:t>
      </w:r>
      <w:bookmarkEnd w:id="8"/>
    </w:p>
    <w:p w:rsidR="00A97A90" w:rsidRPr="00C2246D" w:rsidRDefault="00A97A90" w:rsidP="0098679C">
      <w:pPr>
        <w:spacing w:after="0" w:line="480" w:lineRule="auto"/>
        <w:ind w:left="720" w:hanging="720"/>
        <w:rPr>
          <w:noProof/>
        </w:rPr>
      </w:pPr>
      <w:bookmarkStart w:id="9" w:name="_ENREF_9"/>
      <w:r w:rsidRPr="00C2246D">
        <w:rPr>
          <w:noProof/>
        </w:rPr>
        <w:t>9.</w:t>
      </w:r>
      <w:r w:rsidRPr="00C2246D">
        <w:rPr>
          <w:noProof/>
        </w:rPr>
        <w:tab/>
        <w:t>Kaimal AJ, Cheng YW, Bryant AS, Norton ME, Shaffer BL, Caughey AB</w:t>
      </w:r>
      <w:r w:rsidRPr="00C2246D">
        <w:rPr>
          <w:b/>
          <w:noProof/>
        </w:rPr>
        <w:t xml:space="preserve">. </w:t>
      </w:r>
      <w:r w:rsidRPr="00C2246D">
        <w:rPr>
          <w:noProof/>
        </w:rPr>
        <w:t>Google obstetrics: who is educating our patients? Am J Obstet Gynecol. 2008;198(6):682 e1-5.</w:t>
      </w:r>
      <w:bookmarkEnd w:id="9"/>
    </w:p>
    <w:p w:rsidR="00A97A90" w:rsidRPr="00C2246D" w:rsidRDefault="00A97A90" w:rsidP="0098679C">
      <w:pPr>
        <w:spacing w:after="0" w:line="480" w:lineRule="auto"/>
        <w:ind w:left="720" w:hanging="720"/>
        <w:rPr>
          <w:noProof/>
        </w:rPr>
      </w:pPr>
      <w:bookmarkStart w:id="10" w:name="_ENREF_10"/>
      <w:r w:rsidRPr="00C2246D">
        <w:rPr>
          <w:noProof/>
        </w:rPr>
        <w:t>10.</w:t>
      </w:r>
      <w:r w:rsidRPr="00C2246D">
        <w:rPr>
          <w:noProof/>
        </w:rPr>
        <w:tab/>
        <w:t>Pias-Peleteiro L, Cortes-Bordoy J, Martinon-Torres F</w:t>
      </w:r>
      <w:r w:rsidRPr="00C2246D">
        <w:rPr>
          <w:b/>
          <w:noProof/>
        </w:rPr>
        <w:t xml:space="preserve">. </w:t>
      </w:r>
      <w:r w:rsidRPr="00C2246D">
        <w:rPr>
          <w:noProof/>
        </w:rPr>
        <w:t>Dr. Google: What about the human papillomavirus vaccine? Hum Vaccin Immunother. 2013;9(8):1712-9.</w:t>
      </w:r>
      <w:bookmarkEnd w:id="10"/>
    </w:p>
    <w:p w:rsidR="00A97A90" w:rsidRPr="00C2246D" w:rsidRDefault="00A97A90" w:rsidP="0098679C">
      <w:pPr>
        <w:spacing w:after="0" w:line="480" w:lineRule="auto"/>
        <w:ind w:left="720" w:hanging="720"/>
        <w:rPr>
          <w:noProof/>
        </w:rPr>
      </w:pPr>
      <w:bookmarkStart w:id="11" w:name="_ENREF_11"/>
      <w:r w:rsidRPr="00C2246D">
        <w:rPr>
          <w:noProof/>
        </w:rPr>
        <w:t>11.</w:t>
      </w:r>
      <w:r w:rsidRPr="00C2246D">
        <w:rPr>
          <w:noProof/>
        </w:rPr>
        <w:tab/>
        <w:t>Chung M, Oden RP, Joyner BL, Sims A, Moon RY</w:t>
      </w:r>
      <w:r w:rsidRPr="00C2246D">
        <w:rPr>
          <w:b/>
          <w:noProof/>
        </w:rPr>
        <w:t xml:space="preserve">. </w:t>
      </w:r>
      <w:r w:rsidRPr="00C2246D">
        <w:rPr>
          <w:noProof/>
        </w:rPr>
        <w:t>Safe infant sleep recommendations on the Internet: let's Google it. J Pediatr. 2012;161(6):1080-4.</w:t>
      </w:r>
      <w:bookmarkEnd w:id="11"/>
    </w:p>
    <w:p w:rsidR="00A97A90" w:rsidRPr="00C2246D" w:rsidRDefault="00A97A90" w:rsidP="0098679C">
      <w:pPr>
        <w:spacing w:after="0" w:line="480" w:lineRule="auto"/>
        <w:ind w:left="720" w:hanging="720"/>
        <w:rPr>
          <w:noProof/>
        </w:rPr>
      </w:pPr>
      <w:bookmarkStart w:id="12" w:name="_ENREF_12"/>
      <w:r w:rsidRPr="00C2246D">
        <w:rPr>
          <w:noProof/>
        </w:rPr>
        <w:t>12.</w:t>
      </w:r>
      <w:r w:rsidRPr="00C2246D">
        <w:rPr>
          <w:noProof/>
        </w:rPr>
        <w:tab/>
        <w:t>Scullard P, Peacock C, Davies P</w:t>
      </w:r>
      <w:r w:rsidRPr="00C2246D">
        <w:rPr>
          <w:b/>
          <w:noProof/>
        </w:rPr>
        <w:t xml:space="preserve">. </w:t>
      </w:r>
      <w:r w:rsidRPr="00C2246D">
        <w:rPr>
          <w:noProof/>
        </w:rPr>
        <w:t>Googling children's health: reliability of medical advice on the internet. Arch Dis Child. 2010;95(8):580-2.</w:t>
      </w:r>
      <w:bookmarkEnd w:id="12"/>
    </w:p>
    <w:p w:rsidR="00A97A90" w:rsidRPr="00C2246D" w:rsidRDefault="00A97A90" w:rsidP="0098679C">
      <w:pPr>
        <w:spacing w:after="0" w:line="480" w:lineRule="auto"/>
        <w:ind w:left="720" w:hanging="720"/>
        <w:rPr>
          <w:noProof/>
        </w:rPr>
      </w:pPr>
      <w:bookmarkStart w:id="13" w:name="_ENREF_13"/>
      <w:r w:rsidRPr="00C2246D">
        <w:rPr>
          <w:noProof/>
        </w:rPr>
        <w:t>13.</w:t>
      </w:r>
      <w:r w:rsidRPr="00C2246D">
        <w:rPr>
          <w:noProof/>
        </w:rPr>
        <w:tab/>
        <w:t>Mastrangelo G, Fadda E, Rossi CR, Zamprogno E, Buja A, Cegolon L</w:t>
      </w:r>
      <w:r w:rsidRPr="00C2246D">
        <w:rPr>
          <w:b/>
          <w:noProof/>
        </w:rPr>
        <w:t xml:space="preserve">. </w:t>
      </w:r>
      <w:r w:rsidRPr="00C2246D">
        <w:rPr>
          <w:noProof/>
        </w:rPr>
        <w:t>Literature search on risk factors for sarcoma: PubMed and Google Scholar may be complementary sources. BMC Res Notes. 2010;3:131.</w:t>
      </w:r>
      <w:bookmarkEnd w:id="13"/>
    </w:p>
    <w:p w:rsidR="00A97A90" w:rsidRPr="00C2246D" w:rsidRDefault="00A97A90" w:rsidP="0098679C">
      <w:pPr>
        <w:spacing w:after="0" w:line="480" w:lineRule="auto"/>
        <w:ind w:left="720" w:hanging="720"/>
        <w:rPr>
          <w:noProof/>
        </w:rPr>
      </w:pPr>
      <w:bookmarkStart w:id="14" w:name="_ENREF_14"/>
      <w:r w:rsidRPr="00C2246D">
        <w:rPr>
          <w:noProof/>
        </w:rPr>
        <w:t>14.</w:t>
      </w:r>
      <w:r w:rsidRPr="00C2246D">
        <w:rPr>
          <w:noProof/>
        </w:rPr>
        <w:tab/>
        <w:t>Freeman MK, Lauderdale SA, Kendrach MG, Woolley TW</w:t>
      </w:r>
      <w:r w:rsidRPr="00C2246D">
        <w:rPr>
          <w:b/>
          <w:noProof/>
        </w:rPr>
        <w:t xml:space="preserve">. </w:t>
      </w:r>
      <w:r w:rsidRPr="00C2246D">
        <w:rPr>
          <w:noProof/>
        </w:rPr>
        <w:t>Google Scholar versus PubMed in locating primary literature to answer drug-related questions. Ann Pharmacother. 2009;43(3):478-84.</w:t>
      </w:r>
      <w:bookmarkEnd w:id="14"/>
    </w:p>
    <w:p w:rsidR="00A97A90" w:rsidRPr="00C2246D" w:rsidRDefault="00A97A90" w:rsidP="0098679C">
      <w:pPr>
        <w:spacing w:after="0" w:line="480" w:lineRule="auto"/>
        <w:ind w:left="720" w:hanging="720"/>
        <w:rPr>
          <w:noProof/>
        </w:rPr>
      </w:pPr>
      <w:bookmarkStart w:id="15" w:name="_ENREF_15"/>
      <w:r w:rsidRPr="00C2246D">
        <w:rPr>
          <w:noProof/>
        </w:rPr>
        <w:t>15.</w:t>
      </w:r>
      <w:r w:rsidRPr="00C2246D">
        <w:rPr>
          <w:noProof/>
        </w:rPr>
        <w:tab/>
        <w:t>Garfield E</w:t>
      </w:r>
      <w:r w:rsidRPr="00C2246D">
        <w:rPr>
          <w:b/>
          <w:noProof/>
        </w:rPr>
        <w:t xml:space="preserve">. </w:t>
      </w:r>
      <w:r w:rsidRPr="00C2246D">
        <w:rPr>
          <w:noProof/>
        </w:rPr>
        <w:t>Bradford’s law and related statistical patterns. Current Contents. 1980;19(8):5-12.</w:t>
      </w:r>
      <w:bookmarkEnd w:id="15"/>
    </w:p>
    <w:p w:rsidR="00A97A90" w:rsidRPr="00C2246D" w:rsidRDefault="00A97A90" w:rsidP="0098679C">
      <w:pPr>
        <w:spacing w:after="0" w:line="480" w:lineRule="auto"/>
        <w:ind w:left="720" w:hanging="720"/>
        <w:rPr>
          <w:noProof/>
        </w:rPr>
      </w:pPr>
      <w:bookmarkStart w:id="16" w:name="_ENREF_16"/>
      <w:r w:rsidRPr="00C2246D">
        <w:rPr>
          <w:noProof/>
        </w:rPr>
        <w:t>16.</w:t>
      </w:r>
      <w:r w:rsidRPr="00C2246D">
        <w:rPr>
          <w:noProof/>
        </w:rPr>
        <w:tab/>
        <w:t>ISI Web of Knowledge</w:t>
      </w:r>
      <w:r w:rsidRPr="00C2246D">
        <w:rPr>
          <w:b/>
          <w:noProof/>
        </w:rPr>
        <w:t>.</w:t>
      </w:r>
      <w:r w:rsidRPr="00C2246D">
        <w:rPr>
          <w:noProof/>
        </w:rPr>
        <w:t xml:space="preserve"> Journal Citation Reports®. Thomson Reuters </w:t>
      </w:r>
      <w:bookmarkEnd w:id="16"/>
    </w:p>
    <w:p w:rsidR="00A97A90" w:rsidRPr="00C2246D" w:rsidRDefault="00A97A90" w:rsidP="0098679C">
      <w:pPr>
        <w:spacing w:after="0" w:line="480" w:lineRule="auto"/>
        <w:ind w:left="720" w:hanging="720"/>
        <w:rPr>
          <w:noProof/>
        </w:rPr>
      </w:pPr>
      <w:bookmarkStart w:id="17" w:name="_ENREF_17"/>
      <w:r w:rsidRPr="00C2246D">
        <w:rPr>
          <w:noProof/>
        </w:rPr>
        <w:t>17.</w:t>
      </w:r>
      <w:r w:rsidRPr="00C2246D">
        <w:rPr>
          <w:noProof/>
        </w:rPr>
        <w:tab/>
        <w:t>ISI Web of Knowledge</w:t>
      </w:r>
      <w:r w:rsidRPr="00C2246D">
        <w:rPr>
          <w:b/>
          <w:noProof/>
        </w:rPr>
        <w:t>.</w:t>
      </w:r>
      <w:r w:rsidRPr="00C2246D">
        <w:rPr>
          <w:noProof/>
        </w:rPr>
        <w:t xml:space="preserve"> Thomson Reuters Journal Citation Reports®. Thomson Reuters </w:t>
      </w:r>
      <w:bookmarkEnd w:id="17"/>
    </w:p>
    <w:p w:rsidR="00A97A90" w:rsidRPr="00C2246D" w:rsidRDefault="00A97A90" w:rsidP="0098679C">
      <w:pPr>
        <w:spacing w:after="0" w:line="480" w:lineRule="auto"/>
        <w:ind w:left="720" w:hanging="720"/>
        <w:rPr>
          <w:noProof/>
        </w:rPr>
      </w:pPr>
      <w:bookmarkStart w:id="18" w:name="_ENREF_18"/>
      <w:r w:rsidRPr="00C2246D">
        <w:rPr>
          <w:noProof/>
        </w:rPr>
        <w:t>18.</w:t>
      </w:r>
      <w:r w:rsidRPr="00C2246D">
        <w:rPr>
          <w:noProof/>
        </w:rPr>
        <w:tab/>
        <w:t>Westman EC</w:t>
      </w:r>
      <w:r w:rsidRPr="00C2246D">
        <w:rPr>
          <w:b/>
          <w:noProof/>
        </w:rPr>
        <w:t xml:space="preserve">. </w:t>
      </w:r>
      <w:r w:rsidRPr="00C2246D">
        <w:rPr>
          <w:noProof/>
        </w:rPr>
        <w:t>Factors influencing morning report case presentations. South Med J. 1999;92(8):775-7.</w:t>
      </w:r>
      <w:bookmarkEnd w:id="18"/>
    </w:p>
    <w:p w:rsidR="00A97A90" w:rsidRPr="00C2246D" w:rsidRDefault="00A97A90" w:rsidP="0098679C">
      <w:pPr>
        <w:spacing w:after="0" w:line="480" w:lineRule="auto"/>
        <w:ind w:left="720" w:hanging="720"/>
        <w:rPr>
          <w:noProof/>
        </w:rPr>
      </w:pPr>
      <w:bookmarkStart w:id="19" w:name="_ENREF_19"/>
      <w:r w:rsidRPr="00C2246D">
        <w:rPr>
          <w:noProof/>
        </w:rPr>
        <w:t>19.</w:t>
      </w:r>
      <w:r w:rsidRPr="00C2246D">
        <w:rPr>
          <w:noProof/>
        </w:rPr>
        <w:tab/>
        <w:t>Saha S, Saint S, Christakis DA</w:t>
      </w:r>
      <w:r w:rsidRPr="00C2246D">
        <w:rPr>
          <w:b/>
          <w:noProof/>
        </w:rPr>
        <w:t xml:space="preserve">. </w:t>
      </w:r>
      <w:r w:rsidRPr="00C2246D">
        <w:rPr>
          <w:noProof/>
        </w:rPr>
        <w:t>Impact factor: a valid measure of journal quality? J Med Libr Assoc. 2003;91(1):42-6.</w:t>
      </w:r>
      <w:bookmarkEnd w:id="19"/>
    </w:p>
    <w:p w:rsidR="00A97A90" w:rsidRPr="00C2246D" w:rsidRDefault="00A97A90" w:rsidP="0098679C">
      <w:pPr>
        <w:spacing w:after="0" w:line="480" w:lineRule="auto"/>
        <w:ind w:left="720" w:hanging="720"/>
        <w:rPr>
          <w:noProof/>
        </w:rPr>
      </w:pPr>
      <w:bookmarkStart w:id="20" w:name="_ENREF_20"/>
      <w:r w:rsidRPr="00C2246D">
        <w:rPr>
          <w:noProof/>
        </w:rPr>
        <w:t>20.</w:t>
      </w:r>
      <w:r w:rsidRPr="00C2246D">
        <w:rPr>
          <w:noProof/>
        </w:rPr>
        <w:tab/>
        <w:t>McKibbon KA, Haynes RB, McKinlay RJ, Lokker C</w:t>
      </w:r>
      <w:r w:rsidRPr="00C2246D">
        <w:rPr>
          <w:b/>
          <w:noProof/>
        </w:rPr>
        <w:t xml:space="preserve">. </w:t>
      </w:r>
      <w:r w:rsidRPr="00C2246D">
        <w:rPr>
          <w:noProof/>
        </w:rPr>
        <w:t>Which journals do primary care physicians and specialists access from an online service? J Med Libr Assoc. 2007;95(3):246-54.</w:t>
      </w:r>
      <w:bookmarkEnd w:id="20"/>
    </w:p>
    <w:p w:rsidR="00A97A90" w:rsidRPr="00C2246D" w:rsidRDefault="00A97A90" w:rsidP="0098679C">
      <w:pPr>
        <w:spacing w:after="0" w:line="480" w:lineRule="auto"/>
        <w:ind w:left="720" w:hanging="720"/>
        <w:rPr>
          <w:noProof/>
        </w:rPr>
      </w:pPr>
      <w:bookmarkStart w:id="21" w:name="_ENREF_21"/>
      <w:r w:rsidRPr="00C2246D">
        <w:rPr>
          <w:noProof/>
        </w:rPr>
        <w:t>21.</w:t>
      </w:r>
      <w:r w:rsidRPr="00C2246D">
        <w:rPr>
          <w:noProof/>
        </w:rPr>
        <w:tab/>
        <w:t>Stickland J</w:t>
      </w:r>
      <w:r w:rsidRPr="00C2246D">
        <w:rPr>
          <w:b/>
          <w:noProof/>
        </w:rPr>
        <w:t>.</w:t>
      </w:r>
      <w:r w:rsidRPr="00C2246D">
        <w:rPr>
          <w:noProof/>
        </w:rPr>
        <w:t xml:space="preserve"> How Google Works. HowStuffWorks.com 2006.</w:t>
      </w:r>
      <w:bookmarkEnd w:id="21"/>
    </w:p>
    <w:p w:rsidR="00A97A90" w:rsidRPr="00C2246D" w:rsidRDefault="00A97A90" w:rsidP="0098679C">
      <w:pPr>
        <w:spacing w:after="0" w:line="480" w:lineRule="auto"/>
        <w:ind w:left="720" w:hanging="720"/>
        <w:rPr>
          <w:noProof/>
        </w:rPr>
      </w:pPr>
      <w:bookmarkStart w:id="22" w:name="_ENREF_22"/>
      <w:r w:rsidRPr="00C2246D">
        <w:rPr>
          <w:noProof/>
        </w:rPr>
        <w:t>22.</w:t>
      </w:r>
      <w:r w:rsidRPr="00C2246D">
        <w:rPr>
          <w:noProof/>
        </w:rPr>
        <w:tab/>
        <w:t>Falagas ME, Pitsouni EI, Malietzis GA, Pappas G</w:t>
      </w:r>
      <w:r w:rsidRPr="00C2246D">
        <w:rPr>
          <w:b/>
          <w:noProof/>
        </w:rPr>
        <w:t xml:space="preserve">. </w:t>
      </w:r>
      <w:r w:rsidRPr="00C2246D">
        <w:rPr>
          <w:noProof/>
        </w:rPr>
        <w:t>Comparison of PubMed, Scopus, Web of Science, and Google Scholar: strengths and weaknesses. FASEB J. 2008;22(2):338-42.</w:t>
      </w:r>
      <w:bookmarkEnd w:id="22"/>
    </w:p>
    <w:p w:rsidR="00A97A90" w:rsidRPr="00C2246D" w:rsidRDefault="00A97A90" w:rsidP="0098679C">
      <w:pPr>
        <w:spacing w:after="0" w:line="480" w:lineRule="auto"/>
        <w:ind w:left="720" w:hanging="720"/>
        <w:rPr>
          <w:noProof/>
        </w:rPr>
      </w:pPr>
      <w:bookmarkStart w:id="23" w:name="_ENREF_23"/>
      <w:r w:rsidRPr="00C2246D">
        <w:rPr>
          <w:noProof/>
        </w:rPr>
        <w:t>23.</w:t>
      </w:r>
      <w:r w:rsidRPr="00C2246D">
        <w:rPr>
          <w:noProof/>
        </w:rPr>
        <w:tab/>
        <w:t>Atlas MC, Smigielski EM, Wulff JL, Coleman MT</w:t>
      </w:r>
      <w:r w:rsidRPr="00C2246D">
        <w:rPr>
          <w:b/>
          <w:noProof/>
        </w:rPr>
        <w:t xml:space="preserve">. </w:t>
      </w:r>
      <w:r w:rsidRPr="00C2246D">
        <w:rPr>
          <w:noProof/>
        </w:rPr>
        <w:t>Case studies from morning report: librarians' role in helping residents find evidence-based clinical information. Med Ref Serv Q. 2003;22(3):1-14.</w:t>
      </w:r>
      <w:bookmarkEnd w:id="23"/>
    </w:p>
    <w:p w:rsidR="00A97A90" w:rsidRPr="00C2246D" w:rsidRDefault="00A97A90" w:rsidP="0098679C">
      <w:pPr>
        <w:spacing w:after="0" w:line="480" w:lineRule="auto"/>
        <w:ind w:left="720" w:hanging="720"/>
        <w:rPr>
          <w:noProof/>
        </w:rPr>
      </w:pPr>
      <w:bookmarkStart w:id="24" w:name="_ENREF_24"/>
      <w:r w:rsidRPr="00C2246D">
        <w:rPr>
          <w:noProof/>
        </w:rPr>
        <w:t>24.</w:t>
      </w:r>
      <w:r w:rsidRPr="00C2246D">
        <w:rPr>
          <w:noProof/>
        </w:rPr>
        <w:tab/>
        <w:t>Mosa AS, Yoo I</w:t>
      </w:r>
      <w:r w:rsidRPr="00C2246D">
        <w:rPr>
          <w:b/>
          <w:noProof/>
        </w:rPr>
        <w:t xml:space="preserve">. </w:t>
      </w:r>
      <w:r w:rsidRPr="00C2246D">
        <w:rPr>
          <w:noProof/>
        </w:rPr>
        <w:t>A study on PubMed search tag usage pattern: association rule mining of a full-day PubMed query log. BMC Med Inform Decis Mak. 2013;13:8.</w:t>
      </w:r>
      <w:bookmarkEnd w:id="24"/>
    </w:p>
    <w:p w:rsidR="00A97A90" w:rsidRPr="00C2246D" w:rsidRDefault="00A97A90" w:rsidP="0098679C">
      <w:pPr>
        <w:spacing w:after="0" w:line="480" w:lineRule="auto"/>
        <w:ind w:left="720" w:hanging="720"/>
        <w:rPr>
          <w:noProof/>
        </w:rPr>
      </w:pPr>
      <w:bookmarkStart w:id="25" w:name="_ENREF_25"/>
      <w:r w:rsidRPr="00C2246D">
        <w:rPr>
          <w:noProof/>
        </w:rPr>
        <w:t>25.</w:t>
      </w:r>
      <w:r w:rsidRPr="00C2246D">
        <w:rPr>
          <w:noProof/>
        </w:rPr>
        <w:tab/>
        <w:t>Shariff SZ, Bejaimal SA, Sontrop JM, Iansavichus AV, Weir MA, Haynes RB, et al.</w:t>
      </w:r>
      <w:r w:rsidRPr="00C2246D">
        <w:rPr>
          <w:b/>
          <w:noProof/>
        </w:rPr>
        <w:t xml:space="preserve"> </w:t>
      </w:r>
      <w:r w:rsidRPr="00C2246D">
        <w:rPr>
          <w:noProof/>
        </w:rPr>
        <w:t>Searching for medical information online: a survey of Canadian nephrologists. J Nephrol. 2011;24(6):723-32.</w:t>
      </w:r>
      <w:bookmarkEnd w:id="25"/>
    </w:p>
    <w:p w:rsidR="00A97A90" w:rsidRPr="00C2246D" w:rsidRDefault="00A97A90" w:rsidP="0098679C">
      <w:pPr>
        <w:spacing w:after="0" w:line="480" w:lineRule="auto"/>
        <w:ind w:left="720" w:hanging="720"/>
        <w:rPr>
          <w:noProof/>
        </w:rPr>
      </w:pPr>
      <w:bookmarkStart w:id="26" w:name="_ENREF_26"/>
      <w:r w:rsidRPr="00C2246D">
        <w:rPr>
          <w:noProof/>
        </w:rPr>
        <w:t>26.</w:t>
      </w:r>
      <w:r w:rsidRPr="00C2246D">
        <w:rPr>
          <w:noProof/>
        </w:rPr>
        <w:tab/>
        <w:t>Hoogendam A, de Vries Robbe PF, Stalenhoef AF, Overbeke AJ</w:t>
      </w:r>
      <w:r w:rsidRPr="00C2246D">
        <w:rPr>
          <w:b/>
          <w:noProof/>
        </w:rPr>
        <w:t xml:space="preserve">. </w:t>
      </w:r>
      <w:r w:rsidRPr="00C2246D">
        <w:rPr>
          <w:noProof/>
        </w:rPr>
        <w:t>Evaluation of PubMed filters used for evidence-based searching: validation using relative recall. J Med Libr Assoc. 2009;97(3):186-93.</w:t>
      </w:r>
      <w:bookmarkEnd w:id="26"/>
    </w:p>
    <w:p w:rsidR="00A97A90" w:rsidRPr="00C2246D" w:rsidRDefault="00A97A90" w:rsidP="0098679C">
      <w:pPr>
        <w:spacing w:after="0" w:line="480" w:lineRule="auto"/>
        <w:ind w:left="720" w:hanging="720"/>
        <w:rPr>
          <w:noProof/>
        </w:rPr>
      </w:pPr>
      <w:bookmarkStart w:id="27" w:name="_ENREF_27"/>
      <w:r w:rsidRPr="00C2246D">
        <w:rPr>
          <w:noProof/>
        </w:rPr>
        <w:t>27.</w:t>
      </w:r>
      <w:r w:rsidRPr="00C2246D">
        <w:rPr>
          <w:noProof/>
        </w:rPr>
        <w:tab/>
        <w:t>Boushehri E, Khamseh ME, Farshchi A, Aghili R, Malek M, Ebrahim Valojerdi A</w:t>
      </w:r>
      <w:r w:rsidRPr="00C2246D">
        <w:rPr>
          <w:b/>
          <w:noProof/>
        </w:rPr>
        <w:t xml:space="preserve">. </w:t>
      </w:r>
      <w:r w:rsidRPr="00C2246D">
        <w:rPr>
          <w:noProof/>
        </w:rPr>
        <w:t>Effects of morning report case presentation on length of stay and hospitalisation costs. Med Educ. 2013;47(7):711-6.</w:t>
      </w:r>
      <w:bookmarkEnd w:id="27"/>
    </w:p>
    <w:p w:rsidR="00A97A90" w:rsidRPr="00C2246D" w:rsidRDefault="00A97A90" w:rsidP="0098679C">
      <w:pPr>
        <w:spacing w:after="0" w:line="480" w:lineRule="auto"/>
        <w:ind w:left="720" w:hanging="720"/>
        <w:rPr>
          <w:noProof/>
        </w:rPr>
      </w:pPr>
      <w:bookmarkStart w:id="28" w:name="_ENREF_28"/>
      <w:r w:rsidRPr="00C2246D">
        <w:rPr>
          <w:noProof/>
        </w:rPr>
        <w:t>28.</w:t>
      </w:r>
      <w:r w:rsidRPr="00C2246D">
        <w:rPr>
          <w:noProof/>
        </w:rPr>
        <w:tab/>
        <w:t>Marshall JG, Sollenberger J, Easterby-Gannett S, Morgan LK, Klem ML, Cavanaugh SK, et al.</w:t>
      </w:r>
      <w:r w:rsidRPr="00C2246D">
        <w:rPr>
          <w:b/>
          <w:noProof/>
        </w:rPr>
        <w:t xml:space="preserve"> </w:t>
      </w:r>
      <w:r w:rsidRPr="00C2246D">
        <w:rPr>
          <w:noProof/>
        </w:rPr>
        <w:t>The value of library and information services in patient care: results of a multisite study. J Med Libr Assoc. 2013;101(1):38-46.</w:t>
      </w:r>
      <w:bookmarkEnd w:id="28"/>
    </w:p>
    <w:p w:rsidR="00A97A90" w:rsidRPr="00C2246D" w:rsidRDefault="00A97A90" w:rsidP="0098679C">
      <w:pPr>
        <w:spacing w:after="0" w:line="480" w:lineRule="auto"/>
        <w:ind w:left="720" w:hanging="720"/>
        <w:rPr>
          <w:noProof/>
        </w:rPr>
      </w:pPr>
      <w:bookmarkStart w:id="29" w:name="_ENREF_29"/>
      <w:r w:rsidRPr="00C2246D">
        <w:rPr>
          <w:noProof/>
        </w:rPr>
        <w:t>29.</w:t>
      </w:r>
      <w:r w:rsidRPr="00C2246D">
        <w:rPr>
          <w:noProof/>
        </w:rPr>
        <w:tab/>
        <w:t>Banks DE, Shi R, Timm DF, Christopher KA, Duggar DC, Comegys M, et al.</w:t>
      </w:r>
      <w:r w:rsidRPr="00C2246D">
        <w:rPr>
          <w:b/>
          <w:noProof/>
        </w:rPr>
        <w:t xml:space="preserve"> </w:t>
      </w:r>
      <w:r w:rsidRPr="00C2246D">
        <w:rPr>
          <w:noProof/>
        </w:rPr>
        <w:t>Decreased hospital length of stay associated with presentation of cases at morning report with librarian support. J Med Libr Assoc. 2007;95(4):381-7.</w:t>
      </w:r>
      <w:bookmarkEnd w:id="29"/>
    </w:p>
    <w:p w:rsidR="00A97A90" w:rsidRPr="00C2246D" w:rsidRDefault="00A97A90" w:rsidP="0098679C">
      <w:pPr>
        <w:spacing w:after="0" w:line="480" w:lineRule="auto"/>
        <w:ind w:left="720" w:hanging="720"/>
        <w:rPr>
          <w:noProof/>
        </w:rPr>
      </w:pPr>
      <w:bookmarkStart w:id="30" w:name="_ENREF_30"/>
      <w:r w:rsidRPr="00C2246D">
        <w:rPr>
          <w:noProof/>
        </w:rPr>
        <w:t>30.</w:t>
      </w:r>
      <w:r w:rsidRPr="00C2246D">
        <w:rPr>
          <w:noProof/>
        </w:rPr>
        <w:tab/>
        <w:t>Mehler PS, Kaehny WD, Fraser V, Miller S, Bost T, Lezotte DC, et al.</w:t>
      </w:r>
      <w:r w:rsidRPr="00C2246D">
        <w:rPr>
          <w:b/>
          <w:noProof/>
        </w:rPr>
        <w:t xml:space="preserve"> </w:t>
      </w:r>
      <w:r w:rsidRPr="00C2246D">
        <w:rPr>
          <w:noProof/>
        </w:rPr>
        <w:t>Clinical effect of morning report. Acad Med. 1993;68(7):547.</w:t>
      </w:r>
      <w:bookmarkEnd w:id="30"/>
    </w:p>
    <w:p w:rsidR="00A97A90" w:rsidRPr="00C2246D" w:rsidRDefault="00A97A90" w:rsidP="0098679C">
      <w:pPr>
        <w:spacing w:after="0" w:line="480" w:lineRule="auto"/>
        <w:ind w:left="720" w:hanging="720"/>
        <w:rPr>
          <w:noProof/>
        </w:rPr>
      </w:pPr>
      <w:bookmarkStart w:id="31" w:name="_ENREF_31"/>
      <w:r w:rsidRPr="00C2246D">
        <w:rPr>
          <w:noProof/>
        </w:rPr>
        <w:t>31.</w:t>
      </w:r>
      <w:r w:rsidRPr="00C2246D">
        <w:rPr>
          <w:noProof/>
        </w:rPr>
        <w:tab/>
        <w:t>Klein MS, Ross FV, Adams DL, Gilbert CM</w:t>
      </w:r>
      <w:r w:rsidRPr="00C2246D">
        <w:rPr>
          <w:b/>
          <w:noProof/>
        </w:rPr>
        <w:t xml:space="preserve">. </w:t>
      </w:r>
      <w:r w:rsidRPr="00C2246D">
        <w:rPr>
          <w:noProof/>
        </w:rPr>
        <w:t>Effect of online literature searching on length of stay and patient care costs. Acad Med. 1994;69(6):489-95.</w:t>
      </w:r>
      <w:bookmarkEnd w:id="31"/>
    </w:p>
    <w:p w:rsidR="00851FFA" w:rsidRDefault="00A97A90" w:rsidP="0098679C">
      <w:pPr>
        <w:spacing w:line="480" w:lineRule="auto"/>
        <w:ind w:left="720" w:hanging="720"/>
        <w:rPr>
          <w:noProof/>
        </w:rPr>
      </w:pPr>
      <w:bookmarkStart w:id="32" w:name="_ENREF_32"/>
      <w:r w:rsidRPr="00C2246D">
        <w:rPr>
          <w:noProof/>
        </w:rPr>
        <w:t>32.</w:t>
      </w:r>
      <w:r w:rsidRPr="00C2246D">
        <w:rPr>
          <w:noProof/>
        </w:rPr>
        <w:tab/>
        <w:t>Kamenoff L</w:t>
      </w:r>
      <w:r w:rsidRPr="00C2246D">
        <w:rPr>
          <w:b/>
          <w:noProof/>
        </w:rPr>
        <w:t xml:space="preserve">. </w:t>
      </w:r>
      <w:r w:rsidRPr="00C2246D">
        <w:rPr>
          <w:noProof/>
        </w:rPr>
        <w:t>Journal usage at a community hospital library. Bull Med Libr Assoc. 1977;65(1):58-61.</w:t>
      </w:r>
      <w:bookmarkEnd w:id="32"/>
    </w:p>
    <w:p w:rsidR="009A4D0B" w:rsidRPr="00A5373F" w:rsidRDefault="009A4D0B" w:rsidP="009A4D0B">
      <w:pPr>
        <w:jc w:val="center"/>
        <w:rPr>
          <w:b/>
        </w:rPr>
      </w:pPr>
      <w:r w:rsidRPr="00A5373F">
        <w:rPr>
          <w:b/>
        </w:rPr>
        <w:t>Legends</w:t>
      </w:r>
    </w:p>
    <w:p w:rsidR="009A4D0B" w:rsidRDefault="009A4D0B" w:rsidP="009A4D0B">
      <w:pPr>
        <w:spacing w:line="480" w:lineRule="auto"/>
      </w:pPr>
      <w:r w:rsidRPr="00A03799">
        <w:rPr>
          <w:rFonts w:eastAsiaTheme="minorEastAsia"/>
          <w:b/>
        </w:rPr>
        <w:t>Table 1</w:t>
      </w:r>
      <w:r>
        <w:rPr>
          <w:rFonts w:eastAsiaTheme="minorEastAsia"/>
          <w:b/>
        </w:rPr>
        <w:t xml:space="preserve"> </w:t>
      </w:r>
      <w:r>
        <w:t xml:space="preserve">Recall and Precision Formula </w:t>
      </w:r>
    </w:p>
    <w:p w:rsidR="009A4D0B" w:rsidRDefault="009A4D0B" w:rsidP="009A4D0B">
      <w:pPr>
        <w:spacing w:line="480" w:lineRule="auto"/>
      </w:pPr>
      <w:r w:rsidRPr="00A03799">
        <w:rPr>
          <w:b/>
        </w:rPr>
        <w:t>Figure 1</w:t>
      </w:r>
      <w:r>
        <w:t xml:space="preserve"> </w:t>
      </w:r>
      <w:r w:rsidR="00C4474B">
        <w:t xml:space="preserve">Percentage of NLM Core Clinical Journals in Morning Report Articles </w:t>
      </w:r>
      <w:proofErr w:type="gramStart"/>
      <w:r w:rsidR="00C4474B">
        <w:t>vs</w:t>
      </w:r>
      <w:proofErr w:type="gramEnd"/>
      <w:r w:rsidR="00C4474B">
        <w:t xml:space="preserve"> Journals </w:t>
      </w:r>
    </w:p>
    <w:p w:rsidR="00B0227A" w:rsidRDefault="00B0227A" w:rsidP="009A4D0B">
      <w:pPr>
        <w:spacing w:line="480" w:lineRule="auto"/>
      </w:pPr>
      <w:r>
        <w:t>Figure 2</w:t>
      </w:r>
      <w:r w:rsidR="004B0144">
        <w:t xml:space="preserve"> Journal and Question Subject Analysis</w:t>
      </w:r>
    </w:p>
    <w:p w:rsidR="009A4D0B" w:rsidRDefault="009A4D0B" w:rsidP="009A4D0B">
      <w:pPr>
        <w:spacing w:line="480" w:lineRule="auto"/>
      </w:pPr>
      <w:r w:rsidRPr="00A03799">
        <w:rPr>
          <w:b/>
        </w:rPr>
        <w:t>Table 2</w:t>
      </w:r>
      <w:r>
        <w:rPr>
          <w:b/>
        </w:rPr>
        <w:t xml:space="preserve"> </w:t>
      </w:r>
      <w:r>
        <w:t>Top 20 Bradford-Ranked and Impact Factor Journals</w:t>
      </w:r>
    </w:p>
    <w:p w:rsidR="009A4D0B" w:rsidRDefault="009A4D0B" w:rsidP="009A4D0B">
      <w:pPr>
        <w:spacing w:line="480" w:lineRule="auto"/>
        <w:rPr>
          <w:rFonts w:eastAsiaTheme="minorEastAsia"/>
        </w:rPr>
      </w:pPr>
      <w:r w:rsidRPr="00A03799">
        <w:rPr>
          <w:b/>
        </w:rPr>
        <w:t xml:space="preserve">Figure </w:t>
      </w:r>
      <w:r w:rsidR="00B0227A">
        <w:rPr>
          <w:b/>
        </w:rPr>
        <w:t>3</w:t>
      </w:r>
      <w:r>
        <w:t xml:space="preserve"> Precision and Recall by Subject</w:t>
      </w:r>
      <w:r w:rsidRPr="00CC5DB7">
        <w:rPr>
          <w:rFonts w:eastAsiaTheme="minorEastAsia"/>
        </w:rPr>
        <w:t xml:space="preserve"> </w:t>
      </w:r>
    </w:p>
    <w:p w:rsidR="009A4D0B" w:rsidRPr="00A03799" w:rsidRDefault="009A4D0B" w:rsidP="009A4D0B">
      <w:pPr>
        <w:spacing w:line="480" w:lineRule="auto"/>
        <w:rPr>
          <w:b/>
        </w:rPr>
      </w:pPr>
      <w:r w:rsidRPr="00A03799">
        <w:rPr>
          <w:b/>
        </w:rPr>
        <w:t>Table 3</w:t>
      </w:r>
      <w:r>
        <w:rPr>
          <w:b/>
        </w:rPr>
        <w:t xml:space="preserve"> </w:t>
      </w:r>
      <w:r w:rsidR="007C4D93">
        <w:rPr>
          <w:b/>
        </w:rPr>
        <w:t xml:space="preserve">Journal </w:t>
      </w:r>
      <w:r w:rsidRPr="0080708E">
        <w:rPr>
          <w:bCs/>
        </w:rPr>
        <w:t>Subject</w:t>
      </w:r>
      <w:r w:rsidR="00606DA4">
        <w:rPr>
          <w:bCs/>
        </w:rPr>
        <w:t>s</w:t>
      </w:r>
      <w:r w:rsidRPr="0080708E">
        <w:rPr>
          <w:bCs/>
        </w:rPr>
        <w:t xml:space="preserve"> with 0</w:t>
      </w:r>
      <w:r>
        <w:rPr>
          <w:bCs/>
        </w:rPr>
        <w:t>%</w:t>
      </w:r>
      <w:r w:rsidRPr="0080708E">
        <w:rPr>
          <w:bCs/>
        </w:rPr>
        <w:t xml:space="preserve"> Recall, 0</w:t>
      </w:r>
      <w:r>
        <w:rPr>
          <w:bCs/>
        </w:rPr>
        <w:t>%</w:t>
      </w:r>
      <w:r w:rsidRPr="0080708E">
        <w:rPr>
          <w:bCs/>
        </w:rPr>
        <w:t xml:space="preserve"> Precision</w:t>
      </w:r>
    </w:p>
    <w:p w:rsidR="009A4D0B" w:rsidRDefault="009A4D0B"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98679C">
      <w:pPr>
        <w:spacing w:line="480" w:lineRule="auto"/>
        <w:ind w:left="720" w:hanging="720"/>
        <w:rPr>
          <w:noProof/>
        </w:rPr>
      </w:pPr>
    </w:p>
    <w:p w:rsidR="00C03898" w:rsidRDefault="00C03898" w:rsidP="00C03898">
      <w:pPr>
        <w:rPr>
          <w:noProof/>
        </w:rPr>
      </w:pPr>
    </w:p>
    <w:p w:rsidR="00C03898" w:rsidRDefault="00C03898" w:rsidP="00C03898">
      <w:r w:rsidRPr="00C03898">
        <w:rPr>
          <w:b/>
        </w:rPr>
        <w:t>Table 1</w:t>
      </w:r>
      <w:r>
        <w:t xml:space="preserve"> Recall and Precision Formula </w:t>
      </w:r>
    </w:p>
    <w:tbl>
      <w:tblPr>
        <w:tblStyle w:val="LightShading-Accent11"/>
        <w:tblW w:w="5000" w:type="pct"/>
        <w:tblLook w:val="0660" w:firstRow="1" w:lastRow="1" w:firstColumn="0" w:lastColumn="0" w:noHBand="1" w:noVBand="1"/>
      </w:tblPr>
      <w:tblGrid>
        <w:gridCol w:w="2970"/>
        <w:gridCol w:w="2128"/>
        <w:gridCol w:w="2129"/>
        <w:gridCol w:w="2133"/>
      </w:tblGrid>
      <w:tr w:rsidR="00C03898" w:rsidRPr="00E210DB" w:rsidTr="00312453">
        <w:trPr>
          <w:cnfStyle w:val="100000000000" w:firstRow="1" w:lastRow="0" w:firstColumn="0" w:lastColumn="0" w:oddVBand="0" w:evenVBand="0" w:oddHBand="0" w:evenHBand="0" w:firstRowFirstColumn="0" w:firstRowLastColumn="0" w:lastRowFirstColumn="0" w:lastRowLastColumn="0"/>
        </w:trPr>
        <w:tc>
          <w:tcPr>
            <w:tcW w:w="1551" w:type="pct"/>
            <w:noWrap/>
          </w:tcPr>
          <w:p w:rsidR="00C03898" w:rsidRPr="00E210DB" w:rsidRDefault="00C03898" w:rsidP="00312453">
            <w:pPr>
              <w:rPr>
                <w:color w:val="auto"/>
              </w:rPr>
            </w:pPr>
            <w:r w:rsidRPr="00E210DB">
              <w:rPr>
                <w:color w:val="auto"/>
              </w:rPr>
              <w:t xml:space="preserve">MEDLINE Journals in a Subject      </w:t>
            </w:r>
          </w:p>
        </w:tc>
        <w:tc>
          <w:tcPr>
            <w:tcW w:w="1149" w:type="pct"/>
          </w:tcPr>
          <w:p w:rsidR="00C03898" w:rsidRPr="00E210DB" w:rsidRDefault="00C03898" w:rsidP="00312453">
            <w:pPr>
              <w:rPr>
                <w:color w:val="auto"/>
              </w:rPr>
            </w:pPr>
            <w:r w:rsidRPr="00E210DB">
              <w:rPr>
                <w:color w:val="auto"/>
              </w:rPr>
              <w:t>Core Clinical Journals</w:t>
            </w:r>
          </w:p>
          <w:p w:rsidR="00C03898" w:rsidRPr="00E210DB" w:rsidRDefault="00C03898" w:rsidP="00312453">
            <w:pPr>
              <w:rPr>
                <w:color w:val="auto"/>
              </w:rPr>
            </w:pPr>
            <w:r w:rsidRPr="00E210DB">
              <w:rPr>
                <w:color w:val="auto"/>
              </w:rPr>
              <w:t>(Relevant)</w:t>
            </w:r>
          </w:p>
        </w:tc>
        <w:tc>
          <w:tcPr>
            <w:tcW w:w="1149" w:type="pct"/>
          </w:tcPr>
          <w:p w:rsidR="00C03898" w:rsidRPr="00E210DB" w:rsidRDefault="00C03898" w:rsidP="00312453">
            <w:pPr>
              <w:rPr>
                <w:color w:val="auto"/>
              </w:rPr>
            </w:pPr>
            <w:r w:rsidRPr="00E210DB">
              <w:rPr>
                <w:color w:val="auto"/>
              </w:rPr>
              <w:t>Non-Core Journals</w:t>
            </w:r>
          </w:p>
          <w:p w:rsidR="00C03898" w:rsidRPr="00E210DB" w:rsidRDefault="00C03898" w:rsidP="00312453">
            <w:pPr>
              <w:rPr>
                <w:color w:val="auto"/>
              </w:rPr>
            </w:pPr>
            <w:r w:rsidRPr="00E210DB">
              <w:rPr>
                <w:color w:val="auto"/>
              </w:rPr>
              <w:t>(Not relevant)</w:t>
            </w:r>
          </w:p>
        </w:tc>
        <w:tc>
          <w:tcPr>
            <w:tcW w:w="1151" w:type="pct"/>
          </w:tcPr>
          <w:p w:rsidR="00C03898" w:rsidRPr="00E210DB" w:rsidRDefault="00C03898" w:rsidP="00312453">
            <w:pPr>
              <w:rPr>
                <w:color w:val="auto"/>
              </w:rPr>
            </w:pPr>
            <w:r w:rsidRPr="00E210DB">
              <w:rPr>
                <w:color w:val="auto"/>
              </w:rPr>
              <w:t>Total</w:t>
            </w:r>
          </w:p>
        </w:tc>
      </w:tr>
      <w:tr w:rsidR="00C03898" w:rsidRPr="00E210DB" w:rsidTr="00312453">
        <w:tc>
          <w:tcPr>
            <w:tcW w:w="1551" w:type="pct"/>
            <w:noWrap/>
          </w:tcPr>
          <w:p w:rsidR="00C03898" w:rsidRPr="00E210DB" w:rsidRDefault="00C03898" w:rsidP="00312453">
            <w:pPr>
              <w:rPr>
                <w:color w:val="auto"/>
              </w:rPr>
            </w:pPr>
          </w:p>
        </w:tc>
        <w:tc>
          <w:tcPr>
            <w:tcW w:w="1149" w:type="pct"/>
          </w:tcPr>
          <w:p w:rsidR="00C03898" w:rsidRPr="00E210DB" w:rsidRDefault="00C03898" w:rsidP="00312453">
            <w:pPr>
              <w:rPr>
                <w:rStyle w:val="SubtleEmphasis"/>
                <w:color w:val="auto"/>
              </w:rPr>
            </w:pPr>
          </w:p>
        </w:tc>
        <w:tc>
          <w:tcPr>
            <w:tcW w:w="1149" w:type="pct"/>
          </w:tcPr>
          <w:p w:rsidR="00C03898" w:rsidRPr="00E210DB" w:rsidRDefault="00C03898" w:rsidP="00312453">
            <w:pPr>
              <w:rPr>
                <w:color w:val="auto"/>
              </w:rPr>
            </w:pPr>
          </w:p>
        </w:tc>
        <w:tc>
          <w:tcPr>
            <w:tcW w:w="1151" w:type="pct"/>
          </w:tcPr>
          <w:p w:rsidR="00C03898" w:rsidRPr="00E210DB" w:rsidRDefault="00C03898" w:rsidP="00312453">
            <w:pPr>
              <w:rPr>
                <w:color w:val="auto"/>
              </w:rPr>
            </w:pPr>
          </w:p>
        </w:tc>
      </w:tr>
      <w:tr w:rsidR="00C03898" w:rsidRPr="00E210DB" w:rsidTr="00312453">
        <w:tc>
          <w:tcPr>
            <w:tcW w:w="1551" w:type="pct"/>
            <w:noWrap/>
          </w:tcPr>
          <w:p w:rsidR="00C03898" w:rsidRPr="00E210DB" w:rsidRDefault="00C03898" w:rsidP="00312453">
            <w:pPr>
              <w:rPr>
                <w:color w:val="auto"/>
              </w:rPr>
            </w:pPr>
            <w:r w:rsidRPr="00E210DB">
              <w:rPr>
                <w:color w:val="auto"/>
              </w:rPr>
              <w:t>Used in Morning Report</w:t>
            </w:r>
          </w:p>
        </w:tc>
        <w:tc>
          <w:tcPr>
            <w:tcW w:w="1149" w:type="pct"/>
          </w:tcPr>
          <w:p w:rsidR="00C03898" w:rsidRPr="00E210DB" w:rsidRDefault="00C03898" w:rsidP="00312453">
            <w:pPr>
              <w:pStyle w:val="DecimalAligned"/>
              <w:rPr>
                <w:color w:val="auto"/>
              </w:rPr>
            </w:pPr>
            <w:r w:rsidRPr="00E210DB">
              <w:rPr>
                <w:color w:val="auto"/>
              </w:rPr>
              <w:t>a</w:t>
            </w:r>
          </w:p>
        </w:tc>
        <w:tc>
          <w:tcPr>
            <w:tcW w:w="1149" w:type="pct"/>
          </w:tcPr>
          <w:p w:rsidR="00C03898" w:rsidRPr="00E210DB" w:rsidRDefault="00C03898" w:rsidP="00312453">
            <w:pPr>
              <w:pStyle w:val="DecimalAligned"/>
              <w:rPr>
                <w:color w:val="auto"/>
              </w:rPr>
            </w:pPr>
            <w:r w:rsidRPr="00E210DB">
              <w:rPr>
                <w:color w:val="auto"/>
              </w:rPr>
              <w:t>b</w:t>
            </w:r>
          </w:p>
        </w:tc>
        <w:tc>
          <w:tcPr>
            <w:tcW w:w="1151" w:type="pct"/>
          </w:tcPr>
          <w:p w:rsidR="00C03898" w:rsidRPr="00E210DB" w:rsidRDefault="00C03898" w:rsidP="00312453">
            <w:pPr>
              <w:pStyle w:val="DecimalAligned"/>
              <w:rPr>
                <w:color w:val="auto"/>
              </w:rPr>
            </w:pPr>
            <w:r w:rsidRPr="00E210DB">
              <w:rPr>
                <w:color w:val="auto"/>
              </w:rPr>
              <w:t>a + b</w:t>
            </w:r>
          </w:p>
        </w:tc>
      </w:tr>
      <w:tr w:rsidR="00C03898" w:rsidRPr="00E210DB" w:rsidTr="00312453">
        <w:tc>
          <w:tcPr>
            <w:tcW w:w="1551" w:type="pct"/>
            <w:noWrap/>
          </w:tcPr>
          <w:p w:rsidR="00C03898" w:rsidRPr="00E210DB" w:rsidRDefault="00C03898" w:rsidP="00312453">
            <w:pPr>
              <w:rPr>
                <w:color w:val="auto"/>
              </w:rPr>
            </w:pPr>
          </w:p>
        </w:tc>
        <w:tc>
          <w:tcPr>
            <w:tcW w:w="1149" w:type="pct"/>
          </w:tcPr>
          <w:p w:rsidR="00C03898" w:rsidRPr="00E210DB" w:rsidRDefault="00C03898" w:rsidP="00312453">
            <w:pPr>
              <w:pStyle w:val="DecimalAligned"/>
              <w:rPr>
                <w:color w:val="auto"/>
              </w:rPr>
            </w:pPr>
          </w:p>
        </w:tc>
        <w:tc>
          <w:tcPr>
            <w:tcW w:w="1149" w:type="pct"/>
          </w:tcPr>
          <w:p w:rsidR="00C03898" w:rsidRPr="00E210DB" w:rsidRDefault="00C03898" w:rsidP="00312453">
            <w:pPr>
              <w:pStyle w:val="DecimalAligned"/>
              <w:rPr>
                <w:color w:val="auto"/>
              </w:rPr>
            </w:pPr>
          </w:p>
        </w:tc>
        <w:tc>
          <w:tcPr>
            <w:tcW w:w="1151" w:type="pct"/>
          </w:tcPr>
          <w:p w:rsidR="00C03898" w:rsidRPr="00E210DB" w:rsidRDefault="00C03898" w:rsidP="00312453">
            <w:pPr>
              <w:pStyle w:val="DecimalAligned"/>
              <w:rPr>
                <w:color w:val="auto"/>
              </w:rPr>
            </w:pPr>
          </w:p>
        </w:tc>
      </w:tr>
      <w:tr w:rsidR="00C03898" w:rsidRPr="00E210DB" w:rsidTr="00312453">
        <w:tc>
          <w:tcPr>
            <w:tcW w:w="1551" w:type="pct"/>
            <w:noWrap/>
          </w:tcPr>
          <w:p w:rsidR="00C03898" w:rsidRPr="00E210DB" w:rsidRDefault="00C03898" w:rsidP="00312453">
            <w:pPr>
              <w:rPr>
                <w:color w:val="auto"/>
              </w:rPr>
            </w:pPr>
            <w:r w:rsidRPr="00E210DB">
              <w:rPr>
                <w:color w:val="auto"/>
              </w:rPr>
              <w:t>Not used in Morning Report</w:t>
            </w:r>
          </w:p>
        </w:tc>
        <w:tc>
          <w:tcPr>
            <w:tcW w:w="1149" w:type="pct"/>
          </w:tcPr>
          <w:p w:rsidR="00C03898" w:rsidRPr="00E210DB" w:rsidRDefault="00C03898" w:rsidP="00312453">
            <w:pPr>
              <w:pStyle w:val="DecimalAligned"/>
              <w:rPr>
                <w:color w:val="auto"/>
              </w:rPr>
            </w:pPr>
            <w:r w:rsidRPr="00E210DB">
              <w:rPr>
                <w:color w:val="auto"/>
              </w:rPr>
              <w:t>c</w:t>
            </w:r>
          </w:p>
        </w:tc>
        <w:tc>
          <w:tcPr>
            <w:tcW w:w="1149" w:type="pct"/>
          </w:tcPr>
          <w:p w:rsidR="00C03898" w:rsidRPr="00E210DB" w:rsidRDefault="00C03898" w:rsidP="00312453">
            <w:pPr>
              <w:pStyle w:val="DecimalAligned"/>
              <w:rPr>
                <w:color w:val="auto"/>
              </w:rPr>
            </w:pPr>
            <w:r w:rsidRPr="00E210DB">
              <w:rPr>
                <w:color w:val="auto"/>
              </w:rPr>
              <w:t>d</w:t>
            </w:r>
          </w:p>
        </w:tc>
        <w:tc>
          <w:tcPr>
            <w:tcW w:w="1151" w:type="pct"/>
          </w:tcPr>
          <w:p w:rsidR="00C03898" w:rsidRPr="00E210DB" w:rsidRDefault="00C03898" w:rsidP="00312453">
            <w:pPr>
              <w:pStyle w:val="DecimalAligned"/>
              <w:rPr>
                <w:color w:val="auto"/>
              </w:rPr>
            </w:pPr>
            <w:r w:rsidRPr="00E210DB">
              <w:rPr>
                <w:color w:val="auto"/>
              </w:rPr>
              <w:t>c + d</w:t>
            </w:r>
          </w:p>
        </w:tc>
      </w:tr>
      <w:tr w:rsidR="00C03898" w:rsidRPr="00E210DB" w:rsidTr="00312453">
        <w:tc>
          <w:tcPr>
            <w:tcW w:w="1551" w:type="pct"/>
            <w:noWrap/>
          </w:tcPr>
          <w:p w:rsidR="00C03898" w:rsidRPr="00E210DB" w:rsidRDefault="00C03898" w:rsidP="00312453">
            <w:pPr>
              <w:rPr>
                <w:color w:val="auto"/>
              </w:rPr>
            </w:pPr>
          </w:p>
        </w:tc>
        <w:tc>
          <w:tcPr>
            <w:tcW w:w="1149" w:type="pct"/>
          </w:tcPr>
          <w:p w:rsidR="00C03898" w:rsidRPr="00E210DB" w:rsidRDefault="00C03898" w:rsidP="00312453">
            <w:pPr>
              <w:pStyle w:val="DecimalAligned"/>
              <w:rPr>
                <w:color w:val="auto"/>
              </w:rPr>
            </w:pPr>
          </w:p>
        </w:tc>
        <w:tc>
          <w:tcPr>
            <w:tcW w:w="1149" w:type="pct"/>
          </w:tcPr>
          <w:p w:rsidR="00C03898" w:rsidRPr="00E210DB" w:rsidRDefault="00C03898" w:rsidP="00312453">
            <w:pPr>
              <w:pStyle w:val="DecimalAligned"/>
              <w:rPr>
                <w:color w:val="auto"/>
              </w:rPr>
            </w:pPr>
          </w:p>
        </w:tc>
        <w:tc>
          <w:tcPr>
            <w:tcW w:w="1151" w:type="pct"/>
          </w:tcPr>
          <w:p w:rsidR="00C03898" w:rsidRPr="00E210DB" w:rsidRDefault="00C03898" w:rsidP="00312453">
            <w:pPr>
              <w:pStyle w:val="DecimalAligned"/>
              <w:rPr>
                <w:color w:val="auto"/>
              </w:rPr>
            </w:pPr>
          </w:p>
        </w:tc>
      </w:tr>
      <w:tr w:rsidR="00C03898" w:rsidRPr="00E210DB" w:rsidTr="00312453">
        <w:tc>
          <w:tcPr>
            <w:tcW w:w="1551" w:type="pct"/>
            <w:noWrap/>
          </w:tcPr>
          <w:p w:rsidR="00C03898" w:rsidRPr="00E210DB" w:rsidRDefault="00C03898" w:rsidP="00312453">
            <w:pPr>
              <w:rPr>
                <w:color w:val="auto"/>
              </w:rPr>
            </w:pPr>
          </w:p>
        </w:tc>
        <w:tc>
          <w:tcPr>
            <w:tcW w:w="1149" w:type="pct"/>
          </w:tcPr>
          <w:p w:rsidR="00C03898" w:rsidRPr="00E210DB" w:rsidRDefault="00C03898" w:rsidP="00312453">
            <w:pPr>
              <w:pStyle w:val="DecimalAligned"/>
              <w:rPr>
                <w:color w:val="auto"/>
              </w:rPr>
            </w:pPr>
          </w:p>
        </w:tc>
        <w:tc>
          <w:tcPr>
            <w:tcW w:w="1149" w:type="pct"/>
          </w:tcPr>
          <w:p w:rsidR="00C03898" w:rsidRPr="00E210DB" w:rsidRDefault="00C03898" w:rsidP="00312453">
            <w:pPr>
              <w:pStyle w:val="DecimalAligned"/>
              <w:rPr>
                <w:color w:val="auto"/>
              </w:rPr>
            </w:pPr>
          </w:p>
        </w:tc>
        <w:tc>
          <w:tcPr>
            <w:tcW w:w="1151" w:type="pct"/>
          </w:tcPr>
          <w:p w:rsidR="00C03898" w:rsidRPr="00E210DB" w:rsidRDefault="00C03898" w:rsidP="00312453">
            <w:pPr>
              <w:pStyle w:val="DecimalAligned"/>
              <w:rPr>
                <w:color w:val="auto"/>
              </w:rPr>
            </w:pPr>
          </w:p>
        </w:tc>
      </w:tr>
      <w:tr w:rsidR="00C03898" w:rsidRPr="00E210DB" w:rsidTr="00312453">
        <w:trPr>
          <w:cnfStyle w:val="010000000000" w:firstRow="0" w:lastRow="1" w:firstColumn="0" w:lastColumn="0" w:oddVBand="0" w:evenVBand="0" w:oddHBand="0" w:evenHBand="0" w:firstRowFirstColumn="0" w:firstRowLastColumn="0" w:lastRowFirstColumn="0" w:lastRowLastColumn="0"/>
        </w:trPr>
        <w:tc>
          <w:tcPr>
            <w:tcW w:w="1551" w:type="pct"/>
            <w:noWrap/>
          </w:tcPr>
          <w:p w:rsidR="00C03898" w:rsidRPr="00E210DB" w:rsidRDefault="00C03898" w:rsidP="00312453">
            <w:pPr>
              <w:rPr>
                <w:color w:val="auto"/>
              </w:rPr>
            </w:pPr>
            <w:r w:rsidRPr="00E210DB">
              <w:rPr>
                <w:color w:val="auto"/>
              </w:rPr>
              <w:t>Total</w:t>
            </w:r>
          </w:p>
        </w:tc>
        <w:tc>
          <w:tcPr>
            <w:tcW w:w="1149" w:type="pct"/>
          </w:tcPr>
          <w:p w:rsidR="00C03898" w:rsidRPr="00E210DB" w:rsidRDefault="00C03898" w:rsidP="00312453">
            <w:pPr>
              <w:pStyle w:val="DecimalAligned"/>
              <w:rPr>
                <w:color w:val="auto"/>
              </w:rPr>
            </w:pPr>
            <w:r w:rsidRPr="00E210DB">
              <w:rPr>
                <w:color w:val="auto"/>
              </w:rPr>
              <w:t>a + c</w:t>
            </w:r>
          </w:p>
        </w:tc>
        <w:tc>
          <w:tcPr>
            <w:tcW w:w="1149" w:type="pct"/>
          </w:tcPr>
          <w:p w:rsidR="00C03898" w:rsidRPr="00E210DB" w:rsidRDefault="00C03898" w:rsidP="00312453">
            <w:pPr>
              <w:pStyle w:val="DecimalAligned"/>
              <w:rPr>
                <w:color w:val="auto"/>
              </w:rPr>
            </w:pPr>
            <w:r w:rsidRPr="00E210DB">
              <w:rPr>
                <w:color w:val="auto"/>
              </w:rPr>
              <w:t>b + d</w:t>
            </w:r>
          </w:p>
        </w:tc>
        <w:tc>
          <w:tcPr>
            <w:tcW w:w="1151" w:type="pct"/>
          </w:tcPr>
          <w:p w:rsidR="00C03898" w:rsidRPr="00E210DB" w:rsidRDefault="00C03898" w:rsidP="00312453">
            <w:pPr>
              <w:pStyle w:val="DecimalAligned"/>
              <w:rPr>
                <w:color w:val="auto"/>
              </w:rPr>
            </w:pPr>
            <w:r w:rsidRPr="00E210DB">
              <w:rPr>
                <w:color w:val="auto"/>
              </w:rPr>
              <w:t>n</w:t>
            </w:r>
          </w:p>
        </w:tc>
      </w:tr>
    </w:tbl>
    <w:p w:rsidR="00C03898" w:rsidRDefault="00C03898" w:rsidP="00C03898">
      <w:pPr>
        <w:pStyle w:val="NoSpacing"/>
      </w:pPr>
      <w:r>
        <w:t>Recall = a/(</w:t>
      </w:r>
      <w:proofErr w:type="spellStart"/>
      <w:r>
        <w:t>a+c</w:t>
      </w:r>
      <w:proofErr w:type="spellEnd"/>
      <w:r>
        <w:t>)</w:t>
      </w:r>
      <w:r>
        <w:br/>
        <w:t>Precision = a/(</w:t>
      </w:r>
      <w:proofErr w:type="spellStart"/>
      <w:r>
        <w:t>a+b</w:t>
      </w:r>
      <w:proofErr w:type="spellEnd"/>
      <w:r>
        <w:t xml:space="preserve">) </w:t>
      </w:r>
    </w:p>
    <w:p w:rsidR="00C03898" w:rsidRDefault="00C03898" w:rsidP="00C03898">
      <w:pPr>
        <w:pStyle w:val="NoSpacing"/>
      </w:pPr>
      <w:r>
        <w:t xml:space="preserve">n= Total English language journals in a subject  </w:t>
      </w:r>
    </w:p>
    <w:p w:rsidR="00C03898" w:rsidRDefault="00C03898"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C03898"/>
    <w:p w:rsidR="00A278FA" w:rsidRDefault="00A278FA" w:rsidP="00A278FA">
      <w:r w:rsidRPr="00A278FA">
        <w:rPr>
          <w:b/>
        </w:rPr>
        <w:t>Table 2</w:t>
      </w:r>
      <w:r>
        <w:t xml:space="preserve"> Top 20 Bradford-Ranked and Impact Factor Journals</w:t>
      </w:r>
    </w:p>
    <w:tbl>
      <w:tblPr>
        <w:tblStyle w:val="LightShading"/>
        <w:tblW w:w="0" w:type="auto"/>
        <w:tblLook w:val="04A0" w:firstRow="1" w:lastRow="0" w:firstColumn="1" w:lastColumn="0" w:noHBand="0" w:noVBand="1"/>
      </w:tblPr>
      <w:tblGrid>
        <w:gridCol w:w="4719"/>
        <w:gridCol w:w="4641"/>
      </w:tblGrid>
      <w:tr w:rsidR="00A278FA" w:rsidTr="0031245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819" w:type="dxa"/>
          </w:tcPr>
          <w:p w:rsidR="00A278FA" w:rsidRPr="008B6C97" w:rsidRDefault="00A278FA" w:rsidP="00312453">
            <w:pPr>
              <w:pStyle w:val="NoSpacing"/>
            </w:pPr>
            <w:r w:rsidRPr="008B6C97">
              <w:t xml:space="preserve">Morning Report: </w:t>
            </w:r>
            <w:r>
              <w:t>Bradford-R</w:t>
            </w:r>
            <w:r w:rsidRPr="008B6C97">
              <w:t>ank</w:t>
            </w:r>
            <w:r>
              <w:t>ed</w:t>
            </w:r>
            <w:r w:rsidRPr="008B6C97">
              <w:t xml:space="preserve"> Top 20</w:t>
            </w:r>
          </w:p>
        </w:tc>
        <w:tc>
          <w:tcPr>
            <w:tcW w:w="4757" w:type="dxa"/>
          </w:tcPr>
          <w:p w:rsidR="00A278FA" w:rsidRPr="008B6C97" w:rsidRDefault="00A278FA" w:rsidP="00312453">
            <w:pPr>
              <w:pStyle w:val="NoSpacing"/>
              <w:cnfStyle w:val="100000000000" w:firstRow="1" w:lastRow="0" w:firstColumn="0" w:lastColumn="0" w:oddVBand="0" w:evenVBand="0" w:oddHBand="0" w:evenHBand="0" w:firstRowFirstColumn="0" w:firstRowLastColumn="0" w:lastRowFirstColumn="0" w:lastRowLastColumn="0"/>
              <w:rPr>
                <w:bCs w:val="0"/>
              </w:rPr>
            </w:pPr>
            <w:r w:rsidRPr="008B6C97">
              <w:t>Impact Factor: General, Internal Medicine Top 20</w:t>
            </w:r>
          </w:p>
        </w:tc>
      </w:tr>
      <w:tr w:rsidR="00A278FA" w:rsidTr="00312453">
        <w:trPr>
          <w:cnfStyle w:val="000000100000" w:firstRow="0" w:lastRow="0" w:firstColumn="0" w:lastColumn="0" w:oddVBand="0" w:evenVBand="0" w:oddHBand="1" w:evenHBand="0" w:firstRowFirstColumn="0" w:firstRowLastColumn="0" w:lastRowFirstColumn="0" w:lastRowLastColumn="0"/>
          <w:trHeight w:val="6020"/>
        </w:trPr>
        <w:tc>
          <w:tcPr>
            <w:cnfStyle w:val="001000000000" w:firstRow="0" w:lastRow="0" w:firstColumn="1" w:lastColumn="0" w:oddVBand="0" w:evenVBand="0" w:oddHBand="0" w:evenHBand="0" w:firstRowFirstColumn="0" w:firstRowLastColumn="0" w:lastRowFirstColumn="0" w:lastRowLastColumn="0"/>
            <w:tcW w:w="4819" w:type="dxa"/>
            <w:shd w:val="clear" w:color="auto" w:fill="FFFFFF" w:themeFill="background1"/>
          </w:tcPr>
          <w:p w:rsidR="00A278FA" w:rsidRPr="008B6C97" w:rsidRDefault="00A278FA" w:rsidP="00312453">
            <w:pPr>
              <w:pStyle w:val="NoSpacing"/>
              <w:numPr>
                <w:ilvl w:val="0"/>
                <w:numId w:val="2"/>
              </w:numPr>
              <w:rPr>
                <w:b w:val="0"/>
              </w:rPr>
            </w:pPr>
            <w:r w:rsidRPr="008B6C97">
              <w:t>New England Journal of Medicine (Core)</w:t>
            </w:r>
          </w:p>
          <w:p w:rsidR="00A278FA" w:rsidRPr="00BF5C46" w:rsidRDefault="00A278FA" w:rsidP="00312453">
            <w:pPr>
              <w:pStyle w:val="NoSpacing"/>
              <w:numPr>
                <w:ilvl w:val="0"/>
                <w:numId w:val="2"/>
              </w:numPr>
              <w:rPr>
                <w:b w:val="0"/>
              </w:rPr>
            </w:pPr>
            <w:r w:rsidRPr="00BF5C46">
              <w:rPr>
                <w:b w:val="0"/>
              </w:rPr>
              <w:t>Clinical Infectious Diseases (Non Core)</w:t>
            </w:r>
          </w:p>
          <w:p w:rsidR="00A278FA" w:rsidRPr="00BF5C46" w:rsidRDefault="00A278FA" w:rsidP="00312453">
            <w:pPr>
              <w:pStyle w:val="NoSpacing"/>
              <w:numPr>
                <w:ilvl w:val="0"/>
                <w:numId w:val="2"/>
              </w:numPr>
              <w:rPr>
                <w:b w:val="0"/>
              </w:rPr>
            </w:pPr>
            <w:r w:rsidRPr="00BF5C46">
              <w:rPr>
                <w:b w:val="0"/>
              </w:rPr>
              <w:t xml:space="preserve">Chest (Core) </w:t>
            </w:r>
          </w:p>
          <w:p w:rsidR="00A278FA" w:rsidRPr="00BF5C46" w:rsidRDefault="00A278FA" w:rsidP="00312453">
            <w:pPr>
              <w:pStyle w:val="NoSpacing"/>
              <w:numPr>
                <w:ilvl w:val="0"/>
                <w:numId w:val="2"/>
              </w:numPr>
              <w:rPr>
                <w:b w:val="0"/>
              </w:rPr>
            </w:pPr>
            <w:r w:rsidRPr="00BF5C46">
              <w:rPr>
                <w:b w:val="0"/>
              </w:rPr>
              <w:t xml:space="preserve">Radiology (Core) </w:t>
            </w:r>
          </w:p>
          <w:p w:rsidR="00A278FA" w:rsidRPr="00BF5C46" w:rsidRDefault="00A278FA" w:rsidP="00312453">
            <w:pPr>
              <w:pStyle w:val="NoSpacing"/>
              <w:numPr>
                <w:ilvl w:val="0"/>
                <w:numId w:val="2"/>
              </w:numPr>
              <w:rPr>
                <w:b w:val="0"/>
              </w:rPr>
            </w:pPr>
            <w:r w:rsidRPr="00BF5C46">
              <w:rPr>
                <w:b w:val="0"/>
              </w:rPr>
              <w:t>American Journal of Gastroenterology (Non Core)</w:t>
            </w:r>
          </w:p>
          <w:p w:rsidR="00A278FA" w:rsidRPr="008B6C97" w:rsidRDefault="00A278FA" w:rsidP="00312453">
            <w:pPr>
              <w:pStyle w:val="NoSpacing"/>
              <w:numPr>
                <w:ilvl w:val="0"/>
                <w:numId w:val="2"/>
              </w:numPr>
              <w:rPr>
                <w:b w:val="0"/>
              </w:rPr>
            </w:pPr>
            <w:r w:rsidRPr="008B6C97">
              <w:t>Annals of Internal Medicine (Core)</w:t>
            </w:r>
          </w:p>
          <w:p w:rsidR="00A278FA" w:rsidRPr="008B6C97" w:rsidRDefault="00A278FA" w:rsidP="00312453">
            <w:pPr>
              <w:pStyle w:val="NoSpacing"/>
              <w:numPr>
                <w:ilvl w:val="0"/>
                <w:numId w:val="2"/>
              </w:numPr>
              <w:rPr>
                <w:b w:val="0"/>
              </w:rPr>
            </w:pPr>
            <w:r w:rsidRPr="008B6C97">
              <w:t>Cochrane Database of Systematic Reviews (Non Core)</w:t>
            </w:r>
          </w:p>
          <w:p w:rsidR="00A278FA" w:rsidRPr="00BF5C46" w:rsidRDefault="00A278FA" w:rsidP="00312453">
            <w:pPr>
              <w:pStyle w:val="NoSpacing"/>
              <w:numPr>
                <w:ilvl w:val="0"/>
                <w:numId w:val="2"/>
              </w:numPr>
              <w:rPr>
                <w:b w:val="0"/>
              </w:rPr>
            </w:pPr>
            <w:r w:rsidRPr="00BF5C46">
              <w:rPr>
                <w:b w:val="0"/>
              </w:rPr>
              <w:t>Kidney International (Non Core)</w:t>
            </w:r>
          </w:p>
          <w:p w:rsidR="00A278FA" w:rsidRPr="008B6C97" w:rsidRDefault="00A278FA" w:rsidP="00312453">
            <w:pPr>
              <w:pStyle w:val="NoSpacing"/>
              <w:numPr>
                <w:ilvl w:val="0"/>
                <w:numId w:val="2"/>
              </w:numPr>
              <w:rPr>
                <w:b w:val="0"/>
              </w:rPr>
            </w:pPr>
            <w:r w:rsidRPr="008B6C97">
              <w:t xml:space="preserve">Archives of Internal Medicine (Core) </w:t>
            </w:r>
          </w:p>
          <w:p w:rsidR="00A278FA" w:rsidRPr="00BF5C46" w:rsidRDefault="00A278FA" w:rsidP="00312453">
            <w:pPr>
              <w:pStyle w:val="NoSpacing"/>
              <w:numPr>
                <w:ilvl w:val="0"/>
                <w:numId w:val="2"/>
              </w:numPr>
              <w:rPr>
                <w:b w:val="0"/>
              </w:rPr>
            </w:pPr>
            <w:r w:rsidRPr="00BF5C46">
              <w:rPr>
                <w:b w:val="0"/>
              </w:rPr>
              <w:t>AJR American Journal of Roentgenology (Core)</w:t>
            </w:r>
          </w:p>
          <w:p w:rsidR="00A278FA" w:rsidRPr="008B6C97" w:rsidRDefault="00A278FA" w:rsidP="00312453">
            <w:pPr>
              <w:pStyle w:val="NoSpacing"/>
              <w:numPr>
                <w:ilvl w:val="0"/>
                <w:numId w:val="2"/>
              </w:numPr>
              <w:rPr>
                <w:b w:val="0"/>
              </w:rPr>
            </w:pPr>
            <w:r w:rsidRPr="008B6C97">
              <w:t>American Journal of Medicine (Core)</w:t>
            </w:r>
          </w:p>
          <w:p w:rsidR="00A278FA" w:rsidRPr="00BF5C46" w:rsidRDefault="00A278FA" w:rsidP="00312453">
            <w:pPr>
              <w:pStyle w:val="NoSpacing"/>
              <w:numPr>
                <w:ilvl w:val="0"/>
                <w:numId w:val="2"/>
              </w:numPr>
              <w:rPr>
                <w:b w:val="0"/>
              </w:rPr>
            </w:pPr>
            <w:r w:rsidRPr="00BF5C46">
              <w:rPr>
                <w:b w:val="0"/>
              </w:rPr>
              <w:t>Circulation (Core)</w:t>
            </w:r>
          </w:p>
          <w:p w:rsidR="00A278FA" w:rsidRPr="00BF5C46" w:rsidRDefault="00A278FA" w:rsidP="00312453">
            <w:pPr>
              <w:pStyle w:val="NoSpacing"/>
              <w:numPr>
                <w:ilvl w:val="0"/>
                <w:numId w:val="2"/>
              </w:numPr>
              <w:rPr>
                <w:b w:val="0"/>
              </w:rPr>
            </w:pPr>
            <w:r w:rsidRPr="00BF5C46">
              <w:rPr>
                <w:b w:val="0"/>
              </w:rPr>
              <w:t>Hepatology (Non Core)</w:t>
            </w:r>
          </w:p>
          <w:p w:rsidR="00A278FA" w:rsidRPr="008B6C97" w:rsidRDefault="00A278FA" w:rsidP="00312453">
            <w:pPr>
              <w:pStyle w:val="NoSpacing"/>
              <w:numPr>
                <w:ilvl w:val="0"/>
                <w:numId w:val="2"/>
              </w:numPr>
              <w:rPr>
                <w:b w:val="0"/>
              </w:rPr>
            </w:pPr>
            <w:r w:rsidRPr="008B6C97">
              <w:t>Medicine (Core)</w:t>
            </w:r>
          </w:p>
          <w:p w:rsidR="00A278FA" w:rsidRPr="00BF5C46" w:rsidRDefault="00A278FA" w:rsidP="00312453">
            <w:pPr>
              <w:pStyle w:val="NoSpacing"/>
              <w:numPr>
                <w:ilvl w:val="0"/>
                <w:numId w:val="2"/>
              </w:numPr>
              <w:rPr>
                <w:b w:val="0"/>
              </w:rPr>
            </w:pPr>
            <w:r w:rsidRPr="00BF5C46">
              <w:rPr>
                <w:b w:val="0"/>
              </w:rPr>
              <w:t>Lancet Neurology (Non Core)</w:t>
            </w:r>
          </w:p>
          <w:p w:rsidR="00A278FA" w:rsidRPr="00BF5C46" w:rsidRDefault="00A278FA" w:rsidP="00312453">
            <w:pPr>
              <w:pStyle w:val="NoSpacing"/>
              <w:numPr>
                <w:ilvl w:val="0"/>
                <w:numId w:val="2"/>
              </w:numPr>
              <w:rPr>
                <w:b w:val="0"/>
              </w:rPr>
            </w:pPr>
            <w:r w:rsidRPr="00BF5C46">
              <w:rPr>
                <w:b w:val="0"/>
              </w:rPr>
              <w:t>Neurology (Core)</w:t>
            </w:r>
          </w:p>
          <w:p w:rsidR="00A278FA" w:rsidRPr="00BF5C46" w:rsidRDefault="00A278FA" w:rsidP="00312453">
            <w:pPr>
              <w:pStyle w:val="NoSpacing"/>
              <w:numPr>
                <w:ilvl w:val="0"/>
                <w:numId w:val="2"/>
              </w:numPr>
              <w:rPr>
                <w:b w:val="0"/>
              </w:rPr>
            </w:pPr>
            <w:r w:rsidRPr="00BF5C46">
              <w:rPr>
                <w:b w:val="0"/>
              </w:rPr>
              <w:t>American Journal of Kidney Disease (Non Core)</w:t>
            </w:r>
          </w:p>
          <w:p w:rsidR="00A278FA" w:rsidRPr="00BF5C46" w:rsidRDefault="00A278FA" w:rsidP="00312453">
            <w:pPr>
              <w:pStyle w:val="NoSpacing"/>
              <w:numPr>
                <w:ilvl w:val="0"/>
                <w:numId w:val="2"/>
              </w:numPr>
              <w:rPr>
                <w:b w:val="0"/>
              </w:rPr>
            </w:pPr>
            <w:r w:rsidRPr="00BF5C46">
              <w:rPr>
                <w:b w:val="0"/>
              </w:rPr>
              <w:t xml:space="preserve">Journal of Neurology, Neurosurgery, &amp; Psychiatry (Non Core) </w:t>
            </w:r>
          </w:p>
          <w:p w:rsidR="00A278FA" w:rsidRPr="008B6C97" w:rsidRDefault="00A278FA" w:rsidP="00312453">
            <w:pPr>
              <w:pStyle w:val="NoSpacing"/>
              <w:numPr>
                <w:ilvl w:val="0"/>
                <w:numId w:val="2"/>
              </w:numPr>
              <w:rPr>
                <w:b w:val="0"/>
              </w:rPr>
            </w:pPr>
            <w:r w:rsidRPr="008B6C97">
              <w:t>Cleveland Clinic Journal of Medicine (Non Core)</w:t>
            </w:r>
          </w:p>
          <w:p w:rsidR="00A278FA" w:rsidRPr="00BF5C46" w:rsidRDefault="00A278FA" w:rsidP="00312453">
            <w:pPr>
              <w:pStyle w:val="NoSpacing"/>
              <w:numPr>
                <w:ilvl w:val="0"/>
                <w:numId w:val="2"/>
              </w:numPr>
              <w:rPr>
                <w:b w:val="0"/>
              </w:rPr>
            </w:pPr>
            <w:r w:rsidRPr="00BF5C46">
              <w:rPr>
                <w:b w:val="0"/>
              </w:rPr>
              <w:t>American Family Physician (Core)</w:t>
            </w:r>
          </w:p>
        </w:tc>
        <w:tc>
          <w:tcPr>
            <w:tcW w:w="4757" w:type="dxa"/>
            <w:shd w:val="clear" w:color="auto" w:fill="FFFFFF" w:themeFill="background1"/>
          </w:tcPr>
          <w:p w:rsidR="00A278FA" w:rsidRPr="008B6C97"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sidRPr="008B6C97">
              <w:rPr>
                <w:b/>
              </w:rPr>
              <w:t>New England Journal of Medicine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Lancet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JAMA (Core)</w:t>
            </w:r>
          </w:p>
          <w:p w:rsidR="00A278FA" w:rsidRPr="008B6C97"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sidRPr="008B6C97">
              <w:rPr>
                <w:b/>
              </w:rPr>
              <w:t>Annals of Internal Medicine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PLOS Medicine (Non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British Medical Journal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Annual  Review of Medicine (Non Core)</w:t>
            </w:r>
          </w:p>
          <w:p w:rsidR="00A278FA" w:rsidRPr="008B6C97"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sidRPr="008B6C97">
              <w:rPr>
                <w:b/>
              </w:rPr>
              <w:t>Archives of Internal Medicine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Canadian Medical Association Journal (Core)</w:t>
            </w:r>
          </w:p>
          <w:p w:rsidR="00A278FA" w:rsidRPr="008B6C97"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sidRPr="008B6C97">
              <w:rPr>
                <w:b/>
              </w:rPr>
              <w:t>Cochrane Database of Systematic Reviews (Non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Journal of Internal Medicine (Non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BMC Medicine (Non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Mayo Clinic Proceedings (Core)</w:t>
            </w:r>
          </w:p>
          <w:p w:rsidR="00A278FA" w:rsidRPr="008B6C97"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sidRPr="008B6C97">
              <w:rPr>
                <w:b/>
              </w:rPr>
              <w:t>American Journal of  Medicine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Annals of Family Medicine (Non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Annals of Medicine (Non Core)</w:t>
            </w:r>
          </w:p>
          <w:p w:rsidR="00A278FA" w:rsidRPr="008B6C97"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sidRPr="008B6C97">
              <w:rPr>
                <w:b/>
              </w:rPr>
              <w:t>Medicine (Core)</w:t>
            </w:r>
          </w:p>
          <w:p w:rsidR="00A278FA" w:rsidRPr="0089140C"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American Journal of Preventive Medicine (Non Core)</w:t>
            </w:r>
          </w:p>
          <w:p w:rsidR="00A278FA" w:rsidRPr="008B6C97"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rPr>
                <w:b/>
              </w:rPr>
            </w:pPr>
            <w:r w:rsidRPr="008B6C97">
              <w:rPr>
                <w:b/>
              </w:rPr>
              <w:t>Cleveland Clinic Journal of Medicine (Non Core)</w:t>
            </w:r>
          </w:p>
          <w:p w:rsidR="00A278FA" w:rsidRPr="002C669A" w:rsidRDefault="00A278FA" w:rsidP="00312453">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89140C">
              <w:t xml:space="preserve">Preventive Medicine (Non Core) </w:t>
            </w:r>
          </w:p>
        </w:tc>
      </w:tr>
    </w:tbl>
    <w:p w:rsidR="00A278FA" w:rsidRDefault="00A278FA" w:rsidP="00A278FA">
      <w:pPr>
        <w:pStyle w:val="NoSpacing"/>
      </w:pPr>
      <w:r>
        <w:t xml:space="preserve">Overlap bolded. </w:t>
      </w:r>
    </w:p>
    <w:p w:rsidR="00A278FA" w:rsidRPr="008B6C97" w:rsidRDefault="00A278FA" w:rsidP="00A278FA">
      <w:pPr>
        <w:pStyle w:val="NoSpacing"/>
      </w:pPr>
      <w:r>
        <w:t xml:space="preserve">Note that </w:t>
      </w:r>
      <w:r w:rsidRPr="008B6C97">
        <w:rPr>
          <w:bCs/>
        </w:rPr>
        <w:t xml:space="preserve">11 of the top 20 MR journals are </w:t>
      </w:r>
      <w:r>
        <w:rPr>
          <w:bCs/>
        </w:rPr>
        <w:t>CCJ</w:t>
      </w:r>
      <w:r w:rsidRPr="008B6C97">
        <w:rPr>
          <w:bCs/>
        </w:rPr>
        <w:t xml:space="preserve">/Core titles; </w:t>
      </w:r>
      <w:r>
        <w:rPr>
          <w:bCs/>
        </w:rPr>
        <w:t xml:space="preserve">10 of </w:t>
      </w:r>
      <w:r w:rsidRPr="008B6C97">
        <w:rPr>
          <w:bCs/>
        </w:rPr>
        <w:t xml:space="preserve">the top 20 high impact medicine titles are </w:t>
      </w:r>
      <w:r>
        <w:rPr>
          <w:bCs/>
        </w:rPr>
        <w:t>CCJ</w:t>
      </w:r>
      <w:r w:rsidRPr="008B6C97">
        <w:rPr>
          <w:bCs/>
        </w:rPr>
        <w:t>/Core</w:t>
      </w:r>
      <w:r>
        <w:rPr>
          <w:bCs/>
        </w:rPr>
        <w:t xml:space="preserve"> titles</w:t>
      </w:r>
      <w:r w:rsidRPr="008B6C97">
        <w:rPr>
          <w:bCs/>
        </w:rPr>
        <w:t>.</w:t>
      </w:r>
      <w:r w:rsidRPr="008B6C97">
        <w:rPr>
          <w:b/>
          <w:bCs/>
        </w:rPr>
        <w:t xml:space="preserve">  </w:t>
      </w:r>
    </w:p>
    <w:p w:rsidR="00A278FA" w:rsidRDefault="00A278FA" w:rsidP="00C03898"/>
    <w:p w:rsidR="00E2687F" w:rsidRDefault="00E2687F" w:rsidP="00C03898"/>
    <w:p w:rsidR="00E2687F" w:rsidRDefault="00E2687F" w:rsidP="00C03898"/>
    <w:p w:rsidR="00E2687F" w:rsidRDefault="00E2687F" w:rsidP="00C03898"/>
    <w:p w:rsidR="00E2687F" w:rsidRDefault="00E2687F" w:rsidP="00C03898"/>
    <w:p w:rsidR="00E2687F" w:rsidRDefault="00E2687F" w:rsidP="00C03898"/>
    <w:p w:rsidR="00E2687F" w:rsidRDefault="00E2687F" w:rsidP="00C03898"/>
    <w:p w:rsidR="00E2687F" w:rsidRDefault="00E2687F" w:rsidP="00C03898"/>
    <w:p w:rsidR="001C5E9D" w:rsidRDefault="001C5E9D" w:rsidP="00E2687F">
      <w:pPr>
        <w:rPr>
          <w:b/>
        </w:rPr>
      </w:pPr>
    </w:p>
    <w:p w:rsidR="00E2687F" w:rsidRDefault="00E2687F" w:rsidP="00E2687F">
      <w:r w:rsidRPr="008E26BC">
        <w:rPr>
          <w:b/>
        </w:rPr>
        <w:t>Table 3</w:t>
      </w:r>
      <w:r>
        <w:t xml:space="preserve"> </w:t>
      </w:r>
      <w:r w:rsidR="007C4D93">
        <w:t xml:space="preserve">Journal </w:t>
      </w:r>
      <w:r w:rsidRPr="0080708E">
        <w:rPr>
          <w:bCs/>
        </w:rPr>
        <w:t>Subject</w:t>
      </w:r>
      <w:r w:rsidR="0072056D">
        <w:rPr>
          <w:bCs/>
        </w:rPr>
        <w:t>s</w:t>
      </w:r>
      <w:r w:rsidRPr="0080708E">
        <w:rPr>
          <w:bCs/>
        </w:rPr>
        <w:t xml:space="preserve"> with 0 Recall, 0 Precision</w:t>
      </w:r>
    </w:p>
    <w:tbl>
      <w:tblPr>
        <w:tblStyle w:val="LightShading"/>
        <w:tblW w:w="10170" w:type="dxa"/>
        <w:tblInd w:w="-162" w:type="dxa"/>
        <w:tblLook w:val="04A0" w:firstRow="1" w:lastRow="0" w:firstColumn="1" w:lastColumn="0" w:noHBand="0" w:noVBand="1"/>
      </w:tblPr>
      <w:tblGrid>
        <w:gridCol w:w="5310"/>
        <w:gridCol w:w="4860"/>
      </w:tblGrid>
      <w:tr w:rsidR="00E2687F" w:rsidTr="00312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rsidR="00E2687F" w:rsidRPr="001C5E9D" w:rsidRDefault="00E2687F" w:rsidP="00E2687F">
            <w:pPr>
              <w:numPr>
                <w:ilvl w:val="0"/>
                <w:numId w:val="3"/>
              </w:numPr>
              <w:tabs>
                <w:tab w:val="clear" w:pos="360"/>
                <w:tab w:val="num" w:pos="720"/>
              </w:tabs>
              <w:rPr>
                <w:b w:val="0"/>
              </w:rPr>
            </w:pPr>
            <w:r w:rsidRPr="001C5E9D">
              <w:rPr>
                <w:b w:val="0"/>
              </w:rPr>
              <w:t>Acquired Immunodeficiency Syndrome (No Core)</w:t>
            </w:r>
          </w:p>
          <w:p w:rsidR="00E2687F" w:rsidRPr="001C5E9D" w:rsidRDefault="00E2687F" w:rsidP="00E2687F">
            <w:pPr>
              <w:numPr>
                <w:ilvl w:val="0"/>
                <w:numId w:val="3"/>
              </w:numPr>
              <w:tabs>
                <w:tab w:val="clear" w:pos="360"/>
                <w:tab w:val="num" w:pos="720"/>
              </w:tabs>
              <w:rPr>
                <w:b w:val="0"/>
              </w:rPr>
            </w:pPr>
            <w:proofErr w:type="spellStart"/>
            <w:r w:rsidRPr="001C5E9D">
              <w:rPr>
                <w:b w:val="0"/>
              </w:rPr>
              <w:t>Anesthesiology</w:t>
            </w:r>
            <w:proofErr w:type="spellEnd"/>
          </w:p>
          <w:p w:rsidR="00E2687F" w:rsidRPr="001C5E9D" w:rsidRDefault="00E2687F" w:rsidP="00E2687F">
            <w:pPr>
              <w:numPr>
                <w:ilvl w:val="0"/>
                <w:numId w:val="3"/>
              </w:numPr>
              <w:tabs>
                <w:tab w:val="clear" w:pos="360"/>
                <w:tab w:val="num" w:pos="720"/>
              </w:tabs>
              <w:rPr>
                <w:b w:val="0"/>
              </w:rPr>
            </w:pPr>
            <w:r w:rsidRPr="001C5E9D">
              <w:rPr>
                <w:b w:val="0"/>
              </w:rPr>
              <w:t>Anti-bacterial Agents (No Core)</w:t>
            </w:r>
          </w:p>
          <w:p w:rsidR="00E2687F" w:rsidRPr="001C5E9D" w:rsidRDefault="00E2687F" w:rsidP="00E2687F">
            <w:pPr>
              <w:numPr>
                <w:ilvl w:val="0"/>
                <w:numId w:val="3"/>
              </w:numPr>
              <w:tabs>
                <w:tab w:val="clear" w:pos="360"/>
                <w:tab w:val="num" w:pos="720"/>
              </w:tabs>
              <w:rPr>
                <w:b w:val="0"/>
              </w:rPr>
            </w:pPr>
            <w:r w:rsidRPr="001C5E9D">
              <w:rPr>
                <w:b w:val="0"/>
              </w:rPr>
              <w:t>Biochemistry (No Core)</w:t>
            </w:r>
          </w:p>
          <w:p w:rsidR="00E2687F" w:rsidRPr="001C5E9D" w:rsidRDefault="00E2687F" w:rsidP="00E2687F">
            <w:pPr>
              <w:numPr>
                <w:ilvl w:val="0"/>
                <w:numId w:val="3"/>
              </w:numPr>
              <w:tabs>
                <w:tab w:val="clear" w:pos="360"/>
                <w:tab w:val="num" w:pos="720"/>
              </w:tabs>
              <w:rPr>
                <w:b w:val="0"/>
              </w:rPr>
            </w:pPr>
            <w:r w:rsidRPr="001C5E9D">
              <w:rPr>
                <w:b w:val="0"/>
              </w:rPr>
              <w:t>Biology (No Core)</w:t>
            </w:r>
          </w:p>
          <w:p w:rsidR="00E2687F" w:rsidRPr="001C5E9D" w:rsidRDefault="00E2687F" w:rsidP="00E2687F">
            <w:pPr>
              <w:numPr>
                <w:ilvl w:val="0"/>
                <w:numId w:val="3"/>
              </w:numPr>
              <w:tabs>
                <w:tab w:val="clear" w:pos="360"/>
                <w:tab w:val="num" w:pos="720"/>
              </w:tabs>
              <w:rPr>
                <w:b w:val="0"/>
              </w:rPr>
            </w:pPr>
            <w:r w:rsidRPr="001C5E9D">
              <w:rPr>
                <w:b w:val="0"/>
              </w:rPr>
              <w:t>Brain</w:t>
            </w:r>
          </w:p>
          <w:p w:rsidR="00E2687F" w:rsidRPr="001C5E9D" w:rsidRDefault="00E2687F" w:rsidP="00E2687F">
            <w:pPr>
              <w:numPr>
                <w:ilvl w:val="0"/>
                <w:numId w:val="3"/>
              </w:numPr>
              <w:tabs>
                <w:tab w:val="clear" w:pos="360"/>
                <w:tab w:val="num" w:pos="720"/>
              </w:tabs>
              <w:rPr>
                <w:b w:val="0"/>
              </w:rPr>
            </w:pPr>
            <w:r w:rsidRPr="001C5E9D">
              <w:rPr>
                <w:b w:val="0"/>
              </w:rPr>
              <w:t>Chemistry (No Core)</w:t>
            </w:r>
          </w:p>
          <w:p w:rsidR="00E2687F" w:rsidRPr="001C5E9D" w:rsidRDefault="00E2687F" w:rsidP="00E2687F">
            <w:pPr>
              <w:numPr>
                <w:ilvl w:val="0"/>
                <w:numId w:val="3"/>
              </w:numPr>
              <w:tabs>
                <w:tab w:val="clear" w:pos="360"/>
                <w:tab w:val="num" w:pos="720"/>
              </w:tabs>
              <w:rPr>
                <w:b w:val="0"/>
              </w:rPr>
            </w:pPr>
            <w:r w:rsidRPr="001C5E9D">
              <w:rPr>
                <w:b w:val="0"/>
              </w:rPr>
              <w:t xml:space="preserve">Chemistry, </w:t>
            </w:r>
            <w:r w:rsidR="00445FBB">
              <w:rPr>
                <w:b w:val="0"/>
              </w:rPr>
              <w:t>C</w:t>
            </w:r>
            <w:r w:rsidRPr="001C5E9D">
              <w:rPr>
                <w:b w:val="0"/>
              </w:rPr>
              <w:t>linical (No Core)</w:t>
            </w:r>
          </w:p>
          <w:p w:rsidR="00E2687F" w:rsidRPr="001C5E9D" w:rsidRDefault="00E2687F" w:rsidP="00E2687F">
            <w:pPr>
              <w:numPr>
                <w:ilvl w:val="0"/>
                <w:numId w:val="3"/>
              </w:numPr>
              <w:tabs>
                <w:tab w:val="clear" w:pos="360"/>
                <w:tab w:val="num" w:pos="720"/>
              </w:tabs>
              <w:rPr>
                <w:b w:val="0"/>
              </w:rPr>
            </w:pPr>
            <w:r w:rsidRPr="001C5E9D">
              <w:rPr>
                <w:b w:val="0"/>
              </w:rPr>
              <w:t>Clinical Laboratory Techniques</w:t>
            </w:r>
          </w:p>
          <w:p w:rsidR="00E2687F" w:rsidRPr="001C5E9D" w:rsidRDefault="00E2687F" w:rsidP="00E2687F">
            <w:pPr>
              <w:numPr>
                <w:ilvl w:val="0"/>
                <w:numId w:val="3"/>
              </w:numPr>
              <w:tabs>
                <w:tab w:val="clear" w:pos="360"/>
                <w:tab w:val="num" w:pos="720"/>
              </w:tabs>
              <w:rPr>
                <w:b w:val="0"/>
              </w:rPr>
            </w:pPr>
            <w:r w:rsidRPr="001C5E9D">
              <w:rPr>
                <w:b w:val="0"/>
              </w:rPr>
              <w:t>Diagnostic Imaging</w:t>
            </w:r>
          </w:p>
          <w:p w:rsidR="00E2687F" w:rsidRPr="001C5E9D" w:rsidRDefault="00E2687F" w:rsidP="00E2687F">
            <w:pPr>
              <w:numPr>
                <w:ilvl w:val="0"/>
                <w:numId w:val="3"/>
              </w:numPr>
              <w:tabs>
                <w:tab w:val="clear" w:pos="360"/>
                <w:tab w:val="num" w:pos="720"/>
              </w:tabs>
              <w:rPr>
                <w:b w:val="0"/>
              </w:rPr>
            </w:pPr>
            <w:r w:rsidRPr="001C5E9D">
              <w:rPr>
                <w:b w:val="0"/>
              </w:rPr>
              <w:t>Drug Therapy</w:t>
            </w:r>
          </w:p>
          <w:p w:rsidR="00E2687F" w:rsidRPr="001C5E9D" w:rsidRDefault="00E2687F" w:rsidP="00E2687F">
            <w:pPr>
              <w:numPr>
                <w:ilvl w:val="0"/>
                <w:numId w:val="3"/>
              </w:numPr>
              <w:tabs>
                <w:tab w:val="clear" w:pos="360"/>
                <w:tab w:val="num" w:pos="720"/>
              </w:tabs>
              <w:rPr>
                <w:b w:val="0"/>
              </w:rPr>
            </w:pPr>
            <w:r w:rsidRPr="001C5E9D">
              <w:rPr>
                <w:b w:val="0"/>
              </w:rPr>
              <w:t>Epidemiology (No Core)</w:t>
            </w:r>
          </w:p>
          <w:p w:rsidR="00E2687F" w:rsidRPr="001C5E9D" w:rsidRDefault="00E2687F" w:rsidP="00E2687F">
            <w:pPr>
              <w:numPr>
                <w:ilvl w:val="0"/>
                <w:numId w:val="3"/>
              </w:numPr>
              <w:tabs>
                <w:tab w:val="clear" w:pos="360"/>
                <w:tab w:val="num" w:pos="720"/>
              </w:tabs>
              <w:rPr>
                <w:b w:val="0"/>
              </w:rPr>
            </w:pPr>
            <w:r w:rsidRPr="001C5E9D">
              <w:rPr>
                <w:b w:val="0"/>
              </w:rPr>
              <w:t>Geriatrics</w:t>
            </w:r>
          </w:p>
          <w:p w:rsidR="00E2687F" w:rsidRPr="001C5E9D" w:rsidRDefault="00E2687F" w:rsidP="00E2687F">
            <w:pPr>
              <w:numPr>
                <w:ilvl w:val="0"/>
                <w:numId w:val="3"/>
              </w:numPr>
              <w:tabs>
                <w:tab w:val="clear" w:pos="360"/>
                <w:tab w:val="num" w:pos="720"/>
              </w:tabs>
              <w:rPr>
                <w:b w:val="0"/>
              </w:rPr>
            </w:pPr>
            <w:r w:rsidRPr="001C5E9D">
              <w:rPr>
                <w:b w:val="0"/>
              </w:rPr>
              <w:t>Hospitals</w:t>
            </w:r>
          </w:p>
          <w:p w:rsidR="00E2687F" w:rsidRPr="001C5E9D" w:rsidRDefault="00E2687F" w:rsidP="00E2687F">
            <w:pPr>
              <w:numPr>
                <w:ilvl w:val="0"/>
                <w:numId w:val="3"/>
              </w:numPr>
              <w:tabs>
                <w:tab w:val="clear" w:pos="360"/>
                <w:tab w:val="num" w:pos="720"/>
              </w:tabs>
              <w:rPr>
                <w:b w:val="0"/>
              </w:rPr>
            </w:pPr>
            <w:r w:rsidRPr="001C5E9D">
              <w:rPr>
                <w:b w:val="0"/>
              </w:rPr>
              <w:t>Microbiology (No Core)</w:t>
            </w:r>
          </w:p>
          <w:p w:rsidR="00E2687F" w:rsidRPr="001C5E9D" w:rsidRDefault="00E2687F" w:rsidP="00E2687F">
            <w:pPr>
              <w:numPr>
                <w:ilvl w:val="0"/>
                <w:numId w:val="3"/>
              </w:numPr>
              <w:tabs>
                <w:tab w:val="clear" w:pos="360"/>
                <w:tab w:val="num" w:pos="720"/>
              </w:tabs>
              <w:rPr>
                <w:b w:val="0"/>
              </w:rPr>
            </w:pPr>
            <w:r w:rsidRPr="001C5E9D">
              <w:rPr>
                <w:b w:val="0"/>
              </w:rPr>
              <w:t>Molecular Biology (No Core)</w:t>
            </w:r>
          </w:p>
          <w:p w:rsidR="00E2687F" w:rsidRPr="001C5E9D" w:rsidRDefault="00E2687F" w:rsidP="00E2687F">
            <w:pPr>
              <w:numPr>
                <w:ilvl w:val="0"/>
                <w:numId w:val="3"/>
              </w:numPr>
              <w:rPr>
                <w:b w:val="0"/>
              </w:rPr>
            </w:pPr>
            <w:r w:rsidRPr="001C5E9D">
              <w:rPr>
                <w:b w:val="0"/>
              </w:rPr>
              <w:t>Neoplasms</w:t>
            </w:r>
          </w:p>
          <w:p w:rsidR="00E2687F" w:rsidRPr="001C5E9D" w:rsidRDefault="00E2687F" w:rsidP="00E2687F">
            <w:pPr>
              <w:numPr>
                <w:ilvl w:val="0"/>
                <w:numId w:val="3"/>
              </w:numPr>
              <w:tabs>
                <w:tab w:val="clear" w:pos="360"/>
                <w:tab w:val="num" w:pos="720"/>
              </w:tabs>
              <w:rPr>
                <w:b w:val="0"/>
              </w:rPr>
            </w:pPr>
            <w:r w:rsidRPr="001C5E9D">
              <w:rPr>
                <w:b w:val="0"/>
              </w:rPr>
              <w:t>Nephrology</w:t>
            </w:r>
          </w:p>
          <w:p w:rsidR="00E2687F" w:rsidRPr="001C5E9D" w:rsidRDefault="00E2687F" w:rsidP="00312453">
            <w:pPr>
              <w:rPr>
                <w:b w:val="0"/>
              </w:rPr>
            </w:pPr>
          </w:p>
        </w:tc>
        <w:tc>
          <w:tcPr>
            <w:tcW w:w="4860" w:type="dxa"/>
          </w:tcPr>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 xml:space="preserve">Nuclear Medicine (No Core) </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Otolaryngology</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Pharmacology</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Physiology (No Core)</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Psychiatry</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Psychology</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Psychophysiology (No Core)</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Public Health</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Radiotherapy (No Core)</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Science (No Core)</w:t>
            </w:r>
          </w:p>
          <w:p w:rsidR="00E2687F"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Sexually Transmitted Diseases (No Core)</w:t>
            </w:r>
          </w:p>
          <w:p w:rsidR="00445FBB" w:rsidRPr="001C5E9D" w:rsidRDefault="00445FBB"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Pr>
                <w:b w:val="0"/>
              </w:rPr>
              <w:t>Technology, Medical</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Therapeutics</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Transplantation (No Core)</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Traumatology</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Urology</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Veterinary Medicine (No Core)</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Virology (No Core)</w:t>
            </w:r>
          </w:p>
          <w:p w:rsidR="00E2687F" w:rsidRPr="001C5E9D" w:rsidRDefault="00E2687F" w:rsidP="00E2687F">
            <w:pPr>
              <w:numPr>
                <w:ilvl w:val="0"/>
                <w:numId w:val="3"/>
              </w:numPr>
              <w:cnfStyle w:val="100000000000" w:firstRow="1" w:lastRow="0" w:firstColumn="0" w:lastColumn="0" w:oddVBand="0" w:evenVBand="0" w:oddHBand="0" w:evenHBand="0" w:firstRowFirstColumn="0" w:firstRowLastColumn="0" w:lastRowFirstColumn="0" w:lastRowLastColumn="0"/>
              <w:rPr>
                <w:b w:val="0"/>
              </w:rPr>
            </w:pPr>
            <w:r w:rsidRPr="001C5E9D">
              <w:rPr>
                <w:b w:val="0"/>
              </w:rPr>
              <w:t>Vital Statistics (No Core)</w:t>
            </w:r>
          </w:p>
          <w:p w:rsidR="00E2687F" w:rsidRPr="001C5E9D" w:rsidRDefault="00E2687F" w:rsidP="00312453">
            <w:pPr>
              <w:ind w:left="720"/>
              <w:cnfStyle w:val="100000000000" w:firstRow="1" w:lastRow="0" w:firstColumn="0" w:lastColumn="0" w:oddVBand="0" w:evenVBand="0" w:oddHBand="0" w:evenHBand="0" w:firstRowFirstColumn="0" w:firstRowLastColumn="0" w:lastRowFirstColumn="0" w:lastRowLastColumn="0"/>
              <w:rPr>
                <w:b w:val="0"/>
              </w:rPr>
            </w:pPr>
          </w:p>
        </w:tc>
      </w:tr>
    </w:tbl>
    <w:p w:rsidR="00C03898" w:rsidRDefault="00C03898" w:rsidP="0098679C">
      <w:pPr>
        <w:spacing w:line="480" w:lineRule="auto"/>
        <w:ind w:left="720" w:hanging="720"/>
        <w:rPr>
          <w:noProof/>
        </w:rPr>
      </w:pPr>
    </w:p>
    <w:sectPr w:rsidR="00C03898" w:rsidSect="001263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71" w:rsidRDefault="00F57D71" w:rsidP="009B7697">
      <w:pPr>
        <w:spacing w:after="0" w:line="240" w:lineRule="auto"/>
      </w:pPr>
      <w:r>
        <w:separator/>
      </w:r>
    </w:p>
  </w:endnote>
  <w:endnote w:type="continuationSeparator" w:id="0">
    <w:p w:rsidR="00F57D71" w:rsidRDefault="00F57D71" w:rsidP="009B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74260"/>
      <w:docPartObj>
        <w:docPartGallery w:val="Page Numbers (Bottom of Page)"/>
        <w:docPartUnique/>
      </w:docPartObj>
    </w:sdtPr>
    <w:sdtEndPr/>
    <w:sdtContent>
      <w:p w:rsidR="00F57D71" w:rsidRDefault="00F57D71">
        <w:pPr>
          <w:pStyle w:val="Footer"/>
          <w:jc w:val="right"/>
        </w:pPr>
        <w:r>
          <w:fldChar w:fldCharType="begin"/>
        </w:r>
        <w:r>
          <w:instrText xml:space="preserve"> PAGE   \* MERGEFORMAT </w:instrText>
        </w:r>
        <w:r>
          <w:fldChar w:fldCharType="separate"/>
        </w:r>
        <w:r w:rsidR="00821AF3">
          <w:rPr>
            <w:noProof/>
          </w:rPr>
          <w:t>19</w:t>
        </w:r>
        <w:r>
          <w:fldChar w:fldCharType="end"/>
        </w:r>
      </w:p>
    </w:sdtContent>
  </w:sdt>
  <w:p w:rsidR="00F57D71" w:rsidRDefault="00F57D71">
    <w:pPr>
      <w:pStyle w:val="Footer"/>
    </w:pPr>
    <w:r>
      <w:t xml:space="preserve">Evaluating MEDLINE’s </w:t>
    </w:r>
    <w:r w:rsidRPr="007E7D46">
      <w:rPr>
        <w:i/>
      </w:rPr>
      <w:t>Core Clinical Journals</w:t>
    </w:r>
    <w:r>
      <w:t xml:space="preserve"> Filter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71" w:rsidRDefault="00F57D71" w:rsidP="009B7697">
      <w:pPr>
        <w:spacing w:after="0" w:line="240" w:lineRule="auto"/>
      </w:pPr>
      <w:r>
        <w:separator/>
      </w:r>
    </w:p>
  </w:footnote>
  <w:footnote w:type="continuationSeparator" w:id="0">
    <w:p w:rsidR="00F57D71" w:rsidRDefault="00F57D71" w:rsidP="009B7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71" w:rsidRDefault="00F57D71" w:rsidP="00312453">
    <w:pPr>
      <w:pStyle w:val="Header"/>
      <w:tabs>
        <w:tab w:val="clear" w:pos="4680"/>
        <w:tab w:val="clear" w:pos="9360"/>
        <w:tab w:val="left" w:pos="82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004"/>
    <w:multiLevelType w:val="hybridMultilevel"/>
    <w:tmpl w:val="38AA3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2733E6"/>
    <w:multiLevelType w:val="hybridMultilevel"/>
    <w:tmpl w:val="4AA07344"/>
    <w:lvl w:ilvl="0" w:tplc="0EDE9E08">
      <w:start w:val="1"/>
      <w:numFmt w:val="decimal"/>
      <w:lvlText w:val="%1."/>
      <w:lvlJc w:val="left"/>
      <w:pPr>
        <w:tabs>
          <w:tab w:val="num" w:pos="360"/>
        </w:tabs>
        <w:ind w:left="360" w:hanging="360"/>
      </w:pPr>
    </w:lvl>
    <w:lvl w:ilvl="1" w:tplc="9A6E12A0" w:tentative="1">
      <w:start w:val="1"/>
      <w:numFmt w:val="decimal"/>
      <w:lvlText w:val="%2."/>
      <w:lvlJc w:val="left"/>
      <w:pPr>
        <w:tabs>
          <w:tab w:val="num" w:pos="1080"/>
        </w:tabs>
        <w:ind w:left="1080" w:hanging="360"/>
      </w:pPr>
    </w:lvl>
    <w:lvl w:ilvl="2" w:tplc="BFEEC5E2" w:tentative="1">
      <w:start w:val="1"/>
      <w:numFmt w:val="decimal"/>
      <w:lvlText w:val="%3."/>
      <w:lvlJc w:val="left"/>
      <w:pPr>
        <w:tabs>
          <w:tab w:val="num" w:pos="1800"/>
        </w:tabs>
        <w:ind w:left="1800" w:hanging="360"/>
      </w:pPr>
    </w:lvl>
    <w:lvl w:ilvl="3" w:tplc="E4D8BD34" w:tentative="1">
      <w:start w:val="1"/>
      <w:numFmt w:val="decimal"/>
      <w:lvlText w:val="%4."/>
      <w:lvlJc w:val="left"/>
      <w:pPr>
        <w:tabs>
          <w:tab w:val="num" w:pos="2520"/>
        </w:tabs>
        <w:ind w:left="2520" w:hanging="360"/>
      </w:pPr>
    </w:lvl>
    <w:lvl w:ilvl="4" w:tplc="26BC84C2" w:tentative="1">
      <w:start w:val="1"/>
      <w:numFmt w:val="decimal"/>
      <w:lvlText w:val="%5."/>
      <w:lvlJc w:val="left"/>
      <w:pPr>
        <w:tabs>
          <w:tab w:val="num" w:pos="3240"/>
        </w:tabs>
        <w:ind w:left="3240" w:hanging="360"/>
      </w:pPr>
    </w:lvl>
    <w:lvl w:ilvl="5" w:tplc="9C4EF52A" w:tentative="1">
      <w:start w:val="1"/>
      <w:numFmt w:val="decimal"/>
      <w:lvlText w:val="%6."/>
      <w:lvlJc w:val="left"/>
      <w:pPr>
        <w:tabs>
          <w:tab w:val="num" w:pos="3960"/>
        </w:tabs>
        <w:ind w:left="3960" w:hanging="360"/>
      </w:pPr>
    </w:lvl>
    <w:lvl w:ilvl="6" w:tplc="D0B424F4" w:tentative="1">
      <w:start w:val="1"/>
      <w:numFmt w:val="decimal"/>
      <w:lvlText w:val="%7."/>
      <w:lvlJc w:val="left"/>
      <w:pPr>
        <w:tabs>
          <w:tab w:val="num" w:pos="4680"/>
        </w:tabs>
        <w:ind w:left="4680" w:hanging="360"/>
      </w:pPr>
    </w:lvl>
    <w:lvl w:ilvl="7" w:tplc="2B444332" w:tentative="1">
      <w:start w:val="1"/>
      <w:numFmt w:val="decimal"/>
      <w:lvlText w:val="%8."/>
      <w:lvlJc w:val="left"/>
      <w:pPr>
        <w:tabs>
          <w:tab w:val="num" w:pos="5400"/>
        </w:tabs>
        <w:ind w:left="5400" w:hanging="360"/>
      </w:pPr>
    </w:lvl>
    <w:lvl w:ilvl="8" w:tplc="33640CF8" w:tentative="1">
      <w:start w:val="1"/>
      <w:numFmt w:val="decimal"/>
      <w:lvlText w:val="%9."/>
      <w:lvlJc w:val="left"/>
      <w:pPr>
        <w:tabs>
          <w:tab w:val="num" w:pos="6120"/>
        </w:tabs>
        <w:ind w:left="6120" w:hanging="360"/>
      </w:pPr>
    </w:lvl>
  </w:abstractNum>
  <w:abstractNum w:abstractNumId="2" w15:restartNumberingAfterBreak="0">
    <w:nsid w:val="445C3DD7"/>
    <w:multiLevelType w:val="hybridMultilevel"/>
    <w:tmpl w:val="314C9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F6C88"/>
    <w:rsid w:val="0003294F"/>
    <w:rsid w:val="0007119E"/>
    <w:rsid w:val="00074F62"/>
    <w:rsid w:val="00086417"/>
    <w:rsid w:val="000A73FF"/>
    <w:rsid w:val="000C3C79"/>
    <w:rsid w:val="001009F5"/>
    <w:rsid w:val="00100DAE"/>
    <w:rsid w:val="00114517"/>
    <w:rsid w:val="001263C2"/>
    <w:rsid w:val="0013648F"/>
    <w:rsid w:val="00155EBC"/>
    <w:rsid w:val="0019375C"/>
    <w:rsid w:val="001C5E9D"/>
    <w:rsid w:val="0021309B"/>
    <w:rsid w:val="00227479"/>
    <w:rsid w:val="00227EC9"/>
    <w:rsid w:val="00252886"/>
    <w:rsid w:val="002571A6"/>
    <w:rsid w:val="002C2941"/>
    <w:rsid w:val="00312453"/>
    <w:rsid w:val="00314EA1"/>
    <w:rsid w:val="00334A50"/>
    <w:rsid w:val="00337BBD"/>
    <w:rsid w:val="00361CDA"/>
    <w:rsid w:val="003A7203"/>
    <w:rsid w:val="003C4AB8"/>
    <w:rsid w:val="003F00B5"/>
    <w:rsid w:val="00413825"/>
    <w:rsid w:val="00445FBB"/>
    <w:rsid w:val="004631DF"/>
    <w:rsid w:val="004853FB"/>
    <w:rsid w:val="004A24CF"/>
    <w:rsid w:val="004B0144"/>
    <w:rsid w:val="004D406A"/>
    <w:rsid w:val="004E6D71"/>
    <w:rsid w:val="0050798B"/>
    <w:rsid w:val="00535BE3"/>
    <w:rsid w:val="00536B93"/>
    <w:rsid w:val="00543C9D"/>
    <w:rsid w:val="00583753"/>
    <w:rsid w:val="00606DA4"/>
    <w:rsid w:val="00607596"/>
    <w:rsid w:val="00650DA7"/>
    <w:rsid w:val="0066612B"/>
    <w:rsid w:val="00672D45"/>
    <w:rsid w:val="006A1356"/>
    <w:rsid w:val="006B3A3B"/>
    <w:rsid w:val="006E0D5F"/>
    <w:rsid w:val="0072056D"/>
    <w:rsid w:val="007509DB"/>
    <w:rsid w:val="00775246"/>
    <w:rsid w:val="007B677C"/>
    <w:rsid w:val="007B6F3A"/>
    <w:rsid w:val="007C4D93"/>
    <w:rsid w:val="007D3F06"/>
    <w:rsid w:val="007E0566"/>
    <w:rsid w:val="007F5B2D"/>
    <w:rsid w:val="0081283D"/>
    <w:rsid w:val="00815883"/>
    <w:rsid w:val="00821AF3"/>
    <w:rsid w:val="00840CB0"/>
    <w:rsid w:val="0084215C"/>
    <w:rsid w:val="00850604"/>
    <w:rsid w:val="00851FFA"/>
    <w:rsid w:val="00890643"/>
    <w:rsid w:val="00893DF1"/>
    <w:rsid w:val="008A74CE"/>
    <w:rsid w:val="008C3F36"/>
    <w:rsid w:val="008D3873"/>
    <w:rsid w:val="008F3565"/>
    <w:rsid w:val="00920A57"/>
    <w:rsid w:val="009307A2"/>
    <w:rsid w:val="009666FB"/>
    <w:rsid w:val="00974860"/>
    <w:rsid w:val="0098679C"/>
    <w:rsid w:val="009A4D0B"/>
    <w:rsid w:val="009B7697"/>
    <w:rsid w:val="00A0331A"/>
    <w:rsid w:val="00A142B4"/>
    <w:rsid w:val="00A16616"/>
    <w:rsid w:val="00A278FA"/>
    <w:rsid w:val="00A279AF"/>
    <w:rsid w:val="00A759BC"/>
    <w:rsid w:val="00A95743"/>
    <w:rsid w:val="00A97A90"/>
    <w:rsid w:val="00B0227A"/>
    <w:rsid w:val="00B026EF"/>
    <w:rsid w:val="00B93053"/>
    <w:rsid w:val="00BA0A72"/>
    <w:rsid w:val="00BB4051"/>
    <w:rsid w:val="00BD0D3B"/>
    <w:rsid w:val="00BF5C46"/>
    <w:rsid w:val="00C03898"/>
    <w:rsid w:val="00C0544C"/>
    <w:rsid w:val="00C16447"/>
    <w:rsid w:val="00C35FBE"/>
    <w:rsid w:val="00C4474B"/>
    <w:rsid w:val="00C81BEA"/>
    <w:rsid w:val="00CB7C0A"/>
    <w:rsid w:val="00CC3DFE"/>
    <w:rsid w:val="00CD19EA"/>
    <w:rsid w:val="00CF6C88"/>
    <w:rsid w:val="00D00006"/>
    <w:rsid w:val="00D21D45"/>
    <w:rsid w:val="00D56B8D"/>
    <w:rsid w:val="00D6301B"/>
    <w:rsid w:val="00D77B82"/>
    <w:rsid w:val="00D92C1F"/>
    <w:rsid w:val="00E010DC"/>
    <w:rsid w:val="00E13A11"/>
    <w:rsid w:val="00E25156"/>
    <w:rsid w:val="00E2687F"/>
    <w:rsid w:val="00E72025"/>
    <w:rsid w:val="00EA6A01"/>
    <w:rsid w:val="00EB45C7"/>
    <w:rsid w:val="00EE1733"/>
    <w:rsid w:val="00F16B1D"/>
    <w:rsid w:val="00F57D71"/>
    <w:rsid w:val="00FB1FB4"/>
    <w:rsid w:val="012E639F"/>
    <w:rsid w:val="06BB5A70"/>
    <w:rsid w:val="06D3A2CE"/>
    <w:rsid w:val="07A64FDE"/>
    <w:rsid w:val="0FB1F5A4"/>
    <w:rsid w:val="10426F47"/>
    <w:rsid w:val="105C6B8A"/>
    <w:rsid w:val="1106DA6F"/>
    <w:rsid w:val="1335D155"/>
    <w:rsid w:val="171AE3D0"/>
    <w:rsid w:val="1738BF7C"/>
    <w:rsid w:val="190A17DD"/>
    <w:rsid w:val="1937371D"/>
    <w:rsid w:val="1CCF0B14"/>
    <w:rsid w:val="1DD39D36"/>
    <w:rsid w:val="1F8EDCDA"/>
    <w:rsid w:val="2569886F"/>
    <w:rsid w:val="28330574"/>
    <w:rsid w:val="28FB7743"/>
    <w:rsid w:val="2BCEA0C0"/>
    <w:rsid w:val="2F6EE7A7"/>
    <w:rsid w:val="31ECC0C0"/>
    <w:rsid w:val="32DD9D85"/>
    <w:rsid w:val="33932F20"/>
    <w:rsid w:val="3542A94B"/>
    <w:rsid w:val="3A5ACD79"/>
    <w:rsid w:val="3D1DB042"/>
    <w:rsid w:val="3F025269"/>
    <w:rsid w:val="41C49F3B"/>
    <w:rsid w:val="42214D16"/>
    <w:rsid w:val="4871C167"/>
    <w:rsid w:val="4917D697"/>
    <w:rsid w:val="4BAB8042"/>
    <w:rsid w:val="4EB1B6B3"/>
    <w:rsid w:val="5421FAD3"/>
    <w:rsid w:val="5C7B29BA"/>
    <w:rsid w:val="5CDF383B"/>
    <w:rsid w:val="5D1375A0"/>
    <w:rsid w:val="639E63A4"/>
    <w:rsid w:val="65D0BBB7"/>
    <w:rsid w:val="675BE8B9"/>
    <w:rsid w:val="6A112381"/>
    <w:rsid w:val="6CA22A2F"/>
    <w:rsid w:val="6FBD910B"/>
    <w:rsid w:val="6FFB4F18"/>
    <w:rsid w:val="70111CF0"/>
    <w:rsid w:val="71A2289A"/>
    <w:rsid w:val="71C7E6AE"/>
    <w:rsid w:val="7264D139"/>
    <w:rsid w:val="72B212DF"/>
    <w:rsid w:val="72EDB0EA"/>
    <w:rsid w:val="79D972D0"/>
    <w:rsid w:val="7C7A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7A44D235"/>
  <w15:docId w15:val="{9C6AF573-8825-43D3-BD33-7ED66A7E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8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C88"/>
    <w:rPr>
      <w:color w:val="0000FF" w:themeColor="hyperlink"/>
      <w:u w:val="single"/>
    </w:rPr>
  </w:style>
  <w:style w:type="paragraph" w:styleId="Revision">
    <w:name w:val="Revision"/>
    <w:hidden/>
    <w:uiPriority w:val="99"/>
    <w:semiHidden/>
    <w:rsid w:val="00CF6C88"/>
    <w:pPr>
      <w:spacing w:after="0" w:line="240" w:lineRule="auto"/>
    </w:pPr>
  </w:style>
  <w:style w:type="paragraph" w:styleId="BalloonText">
    <w:name w:val="Balloon Text"/>
    <w:basedOn w:val="Normal"/>
    <w:link w:val="BalloonTextChar"/>
    <w:uiPriority w:val="99"/>
    <w:semiHidden/>
    <w:unhideWhenUsed/>
    <w:rsid w:val="00CF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88"/>
    <w:rPr>
      <w:rFonts w:ascii="Tahoma" w:hAnsi="Tahoma" w:cs="Tahoma"/>
      <w:sz w:val="16"/>
      <w:szCs w:val="16"/>
      <w:lang w:val="en-GB"/>
    </w:rPr>
  </w:style>
  <w:style w:type="paragraph" w:styleId="Header">
    <w:name w:val="header"/>
    <w:basedOn w:val="Normal"/>
    <w:link w:val="HeaderChar"/>
    <w:uiPriority w:val="99"/>
    <w:unhideWhenUsed/>
    <w:rsid w:val="00CF6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88"/>
    <w:rPr>
      <w:lang w:val="en-GB"/>
    </w:rPr>
  </w:style>
  <w:style w:type="paragraph" w:styleId="Footer">
    <w:name w:val="footer"/>
    <w:basedOn w:val="Normal"/>
    <w:link w:val="FooterChar"/>
    <w:uiPriority w:val="99"/>
    <w:unhideWhenUsed/>
    <w:rsid w:val="00CF6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88"/>
    <w:rPr>
      <w:lang w:val="en-GB"/>
    </w:rPr>
  </w:style>
  <w:style w:type="character" w:styleId="CommentReference">
    <w:name w:val="annotation reference"/>
    <w:basedOn w:val="DefaultParagraphFont"/>
    <w:uiPriority w:val="99"/>
    <w:semiHidden/>
    <w:unhideWhenUsed/>
    <w:rsid w:val="00CF6C88"/>
    <w:rPr>
      <w:sz w:val="16"/>
      <w:szCs w:val="16"/>
    </w:rPr>
  </w:style>
  <w:style w:type="paragraph" w:styleId="CommentText">
    <w:name w:val="annotation text"/>
    <w:basedOn w:val="Normal"/>
    <w:link w:val="CommentTextChar"/>
    <w:uiPriority w:val="99"/>
    <w:semiHidden/>
    <w:unhideWhenUsed/>
    <w:rsid w:val="00CF6C88"/>
    <w:pPr>
      <w:spacing w:line="240" w:lineRule="auto"/>
    </w:pPr>
    <w:rPr>
      <w:sz w:val="20"/>
      <w:szCs w:val="20"/>
    </w:rPr>
  </w:style>
  <w:style w:type="character" w:customStyle="1" w:styleId="CommentTextChar">
    <w:name w:val="Comment Text Char"/>
    <w:basedOn w:val="DefaultParagraphFont"/>
    <w:link w:val="CommentText"/>
    <w:uiPriority w:val="99"/>
    <w:semiHidden/>
    <w:rsid w:val="00CF6C88"/>
    <w:rPr>
      <w:sz w:val="20"/>
      <w:szCs w:val="20"/>
      <w:lang w:val="en-GB"/>
    </w:rPr>
  </w:style>
  <w:style w:type="paragraph" w:styleId="CommentSubject">
    <w:name w:val="annotation subject"/>
    <w:basedOn w:val="CommentText"/>
    <w:next w:val="CommentText"/>
    <w:link w:val="CommentSubjectChar"/>
    <w:uiPriority w:val="99"/>
    <w:semiHidden/>
    <w:unhideWhenUsed/>
    <w:rsid w:val="00CF6C88"/>
    <w:rPr>
      <w:b/>
      <w:bCs/>
    </w:rPr>
  </w:style>
  <w:style w:type="character" w:customStyle="1" w:styleId="CommentSubjectChar">
    <w:name w:val="Comment Subject Char"/>
    <w:basedOn w:val="CommentTextChar"/>
    <w:link w:val="CommentSubject"/>
    <w:uiPriority w:val="99"/>
    <w:semiHidden/>
    <w:rsid w:val="00CF6C88"/>
    <w:rPr>
      <w:b/>
      <w:bCs/>
      <w:sz w:val="20"/>
      <w:szCs w:val="20"/>
      <w:lang w:val="en-GB"/>
    </w:rPr>
  </w:style>
  <w:style w:type="paragraph" w:styleId="NoSpacing">
    <w:name w:val="No Spacing"/>
    <w:uiPriority w:val="1"/>
    <w:qFormat/>
    <w:rsid w:val="00CF6C88"/>
    <w:pPr>
      <w:spacing w:after="0" w:line="240" w:lineRule="auto"/>
    </w:pPr>
  </w:style>
  <w:style w:type="character" w:customStyle="1" w:styleId="institution">
    <w:name w:val="institution"/>
    <w:basedOn w:val="DefaultParagraphFont"/>
    <w:rsid w:val="00CF6C88"/>
  </w:style>
  <w:style w:type="paragraph" w:customStyle="1" w:styleId="DecimalAligned">
    <w:name w:val="Decimal Aligned"/>
    <w:basedOn w:val="Normal"/>
    <w:uiPriority w:val="40"/>
    <w:qFormat/>
    <w:rsid w:val="00C03898"/>
    <w:pPr>
      <w:tabs>
        <w:tab w:val="decimal" w:pos="360"/>
      </w:tabs>
    </w:pPr>
    <w:rPr>
      <w:rFonts w:asciiTheme="minorHAnsi" w:eastAsiaTheme="minorEastAsia" w:hAnsiTheme="minorHAnsi" w:cstheme="minorBidi"/>
      <w:sz w:val="22"/>
      <w:szCs w:val="22"/>
      <w:lang w:val="en-US"/>
    </w:rPr>
  </w:style>
  <w:style w:type="character" w:styleId="SubtleEmphasis">
    <w:name w:val="Subtle Emphasis"/>
    <w:basedOn w:val="DefaultParagraphFont"/>
    <w:uiPriority w:val="19"/>
    <w:qFormat/>
    <w:rsid w:val="00C03898"/>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C03898"/>
    <w:pPr>
      <w:spacing w:after="0" w:line="240" w:lineRule="auto"/>
    </w:pPr>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278FA"/>
    <w:pPr>
      <w:spacing w:after="0" w:line="240" w:lineRule="auto"/>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9307A2"/>
    <w:rPr>
      <w:color w:val="808080"/>
    </w:rPr>
  </w:style>
  <w:style w:type="character" w:styleId="FollowedHyperlink">
    <w:name w:val="FollowedHyperlink"/>
    <w:basedOn w:val="DefaultParagraphFont"/>
    <w:uiPriority w:val="99"/>
    <w:semiHidden/>
    <w:unhideWhenUsed/>
    <w:rsid w:val="00BB40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tp://ftp.ncbi.nlm.nih.gov/pub/wilbur/DAYS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techuser</dc:creator>
  <cp:lastModifiedBy>Ketchum, Andrea Matthews</cp:lastModifiedBy>
  <cp:revision>4</cp:revision>
  <cp:lastPrinted>2014-04-25T16:48:00Z</cp:lastPrinted>
  <dcterms:created xsi:type="dcterms:W3CDTF">2016-10-26T13:15:00Z</dcterms:created>
  <dcterms:modified xsi:type="dcterms:W3CDTF">2016-10-26T13:50:00Z</dcterms:modified>
</cp:coreProperties>
</file>