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45332B" w:rsidP="00BF2B29">
      <w:pPr>
        <w:ind w:firstLine="0"/>
      </w:pP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1143000</wp:posOffset>
                </wp:positionV>
                <wp:extent cx="5943600" cy="8343900"/>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54C8" w:rsidRDefault="00B054C8" w:rsidP="00894C7D">
                            <w:pPr>
                              <w:ind w:firstLine="0"/>
                              <w:jc w:val="center"/>
                              <w:rPr>
                                <w:b/>
                              </w:rPr>
                            </w:pPr>
                            <w:r>
                              <w:rPr>
                                <w:b/>
                              </w:rPr>
                              <w:t>CASE STUDY: AN ANALYSIS OF A TUBERCULOSIS POST-EXPOSURE CONTACT INVESTIGATION ORIGINATING FROM AN UNDIAGNOSED ONCOLOGY PATIENT</w:t>
                            </w:r>
                          </w:p>
                          <w:p w:rsidR="00B054C8" w:rsidRDefault="00B054C8" w:rsidP="00536110">
                            <w:pPr>
                              <w:spacing w:line="240" w:lineRule="auto"/>
                              <w:ind w:firstLine="0"/>
                              <w:jc w:val="center"/>
                              <w:rPr>
                                <w:b/>
                              </w:rPr>
                            </w:pPr>
                          </w:p>
                          <w:p w:rsidR="00B054C8" w:rsidRDefault="00B054C8" w:rsidP="00894C7D">
                            <w:pPr>
                              <w:spacing w:line="240" w:lineRule="auto"/>
                              <w:ind w:firstLine="0"/>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B57E9B">
                            <w:pPr>
                              <w:ind w:firstLine="0"/>
                              <w:jc w:val="center"/>
                            </w:pPr>
                            <w:r>
                              <w:t>by</w:t>
                            </w:r>
                          </w:p>
                          <w:p w:rsidR="00B054C8" w:rsidRDefault="00B054C8" w:rsidP="00B57E9B">
                            <w:pPr>
                              <w:ind w:firstLine="0"/>
                              <w:jc w:val="center"/>
                              <w:rPr>
                                <w:b/>
                              </w:rPr>
                            </w:pPr>
                            <w:r>
                              <w:rPr>
                                <w:b/>
                              </w:rPr>
                              <w:t>Emily A</w:t>
                            </w:r>
                            <w:r w:rsidRPr="00894C7D">
                              <w:rPr>
                                <w:b/>
                              </w:rPr>
                              <w:t xml:space="preserve"> Robbins</w:t>
                            </w:r>
                          </w:p>
                          <w:p w:rsidR="00B054C8" w:rsidRPr="00894C7D" w:rsidRDefault="00B054C8" w:rsidP="00B57E9B">
                            <w:pPr>
                              <w:ind w:firstLine="0"/>
                              <w:jc w:val="center"/>
                            </w:pPr>
                            <w:r w:rsidRPr="00894C7D">
                              <w:t>B.S., State University of New York at Geneseo, 2014</w:t>
                            </w:r>
                          </w:p>
                          <w:p w:rsidR="00B054C8" w:rsidRPr="00834193" w:rsidRDefault="00B054C8" w:rsidP="00536110">
                            <w:pPr>
                              <w:spacing w:line="240" w:lineRule="auto"/>
                              <w:ind w:firstLine="0"/>
                              <w:jc w:val="center"/>
                              <w:rPr>
                                <w:noProof/>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B57E9B">
                            <w:pPr>
                              <w:ind w:firstLine="0"/>
                              <w:jc w:val="center"/>
                            </w:pPr>
                            <w:r>
                              <w:t>Submitted to the Graduate Faculty of</w:t>
                            </w:r>
                          </w:p>
                          <w:p w:rsidR="00B054C8" w:rsidRDefault="003B1957" w:rsidP="00B57E9B">
                            <w:pPr>
                              <w:ind w:firstLine="0"/>
                              <w:jc w:val="center"/>
                            </w:pPr>
                            <w:r>
                              <w:t>Infectious Diseases and</w:t>
                            </w:r>
                            <w:r w:rsidR="00B054C8">
                              <w:t xml:space="preserve"> Microbiology Department</w:t>
                            </w:r>
                          </w:p>
                          <w:p w:rsidR="00B054C8" w:rsidRDefault="00B054C8" w:rsidP="00B57E9B">
                            <w:pPr>
                              <w:ind w:firstLine="0"/>
                              <w:jc w:val="center"/>
                            </w:pPr>
                            <w:r>
                              <w:t xml:space="preserve">Graduate School of Public Health in partial fulfillment </w:t>
                            </w:r>
                          </w:p>
                          <w:p w:rsidR="00B054C8" w:rsidRDefault="00B054C8" w:rsidP="00B57E9B">
                            <w:pPr>
                              <w:ind w:firstLine="0"/>
                              <w:jc w:val="center"/>
                            </w:pPr>
                            <w:r>
                              <w:t>of the requirements for the degree of</w:t>
                            </w:r>
                          </w:p>
                          <w:p w:rsidR="00B054C8" w:rsidRDefault="00B054C8" w:rsidP="00536110">
                            <w:pPr>
                              <w:spacing w:line="240" w:lineRule="auto"/>
                              <w:ind w:firstLine="0"/>
                              <w:jc w:val="center"/>
                            </w:pPr>
                            <w:r>
                              <w:t>Master of Public Health</w:t>
                            </w:r>
                          </w:p>
                          <w:p w:rsidR="00B054C8" w:rsidRDefault="00B054C8" w:rsidP="00536110">
                            <w:pPr>
                              <w:spacing w:line="240" w:lineRule="auto"/>
                              <w:ind w:firstLine="0"/>
                              <w:jc w:val="center"/>
                            </w:pPr>
                          </w:p>
                          <w:p w:rsidR="00B054C8" w:rsidRDefault="00B054C8" w:rsidP="00536110">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Pr="00AB08F3" w:rsidRDefault="00B054C8" w:rsidP="00337CC7">
                            <w:pPr>
                              <w:ind w:firstLine="0"/>
                              <w:jc w:val="center"/>
                            </w:pPr>
                            <w:r w:rsidRPr="00AB08F3">
                              <w:t>University of Pittsburg</w:t>
                            </w:r>
                            <w:r>
                              <w:t>h</w:t>
                            </w:r>
                          </w:p>
                          <w:p w:rsidR="00B054C8" w:rsidRPr="00AB08F3" w:rsidRDefault="00B054C8" w:rsidP="00B57E9B">
                            <w:pPr>
                              <w:ind w:firstLine="0"/>
                              <w:jc w:val="center"/>
                              <w:rPr>
                                <w:noProof/>
                              </w:rPr>
                            </w:pPr>
                            <w:r>
                              <w:t>2016</w:t>
                            </w:r>
                          </w:p>
                          <w:p w:rsidR="00B054C8" w:rsidRPr="004E3B59" w:rsidRDefault="00B054C8"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7d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A2qK7dLgIAACsEAAAOAAAAAAAAAAAAAAAAAC4CAABkcnMv&#10;ZTJvRG9jLnhtbFBLAQItABQABgAIAAAAIQAmWrE82wAAAA0BAAAPAAAAAAAAAAAAAAAAAIgEAABk&#10;cnMvZG93bnJldi54bWxQSwUGAAAAAAQABADzAAAAkAUAAAAA&#10;" stroked="f">
                <v:textbox inset="0,0,0,0">
                  <w:txbxContent>
                    <w:p w:rsidR="00B054C8" w:rsidRDefault="00B054C8" w:rsidP="00894C7D">
                      <w:pPr>
                        <w:ind w:firstLine="0"/>
                        <w:jc w:val="center"/>
                        <w:rPr>
                          <w:b/>
                        </w:rPr>
                      </w:pPr>
                      <w:r>
                        <w:rPr>
                          <w:b/>
                        </w:rPr>
                        <w:t>CASE STUDY: AN ANALYSIS OF A TUBERCULOSIS POST-EXPOSURE CONTACT INVESTIGATION ORIGINATING FROM AN UNDIAGNOSED ONCOLOGY PATIENT</w:t>
                      </w:r>
                    </w:p>
                    <w:p w:rsidR="00B054C8" w:rsidRDefault="00B054C8" w:rsidP="00536110">
                      <w:pPr>
                        <w:spacing w:line="240" w:lineRule="auto"/>
                        <w:ind w:firstLine="0"/>
                        <w:jc w:val="center"/>
                        <w:rPr>
                          <w:b/>
                        </w:rPr>
                      </w:pPr>
                    </w:p>
                    <w:p w:rsidR="00B054C8" w:rsidRDefault="00B054C8" w:rsidP="00894C7D">
                      <w:pPr>
                        <w:spacing w:line="240" w:lineRule="auto"/>
                        <w:ind w:firstLine="0"/>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B57E9B">
                      <w:pPr>
                        <w:ind w:firstLine="0"/>
                        <w:jc w:val="center"/>
                      </w:pPr>
                      <w:r>
                        <w:t>by</w:t>
                      </w:r>
                    </w:p>
                    <w:p w:rsidR="00B054C8" w:rsidRDefault="00B054C8" w:rsidP="00B57E9B">
                      <w:pPr>
                        <w:ind w:firstLine="0"/>
                        <w:jc w:val="center"/>
                        <w:rPr>
                          <w:b/>
                        </w:rPr>
                      </w:pPr>
                      <w:r>
                        <w:rPr>
                          <w:b/>
                        </w:rPr>
                        <w:t>Emily A</w:t>
                      </w:r>
                      <w:r w:rsidRPr="00894C7D">
                        <w:rPr>
                          <w:b/>
                        </w:rPr>
                        <w:t xml:space="preserve"> Robbins</w:t>
                      </w:r>
                    </w:p>
                    <w:p w:rsidR="00B054C8" w:rsidRPr="00894C7D" w:rsidRDefault="00B054C8" w:rsidP="00B57E9B">
                      <w:pPr>
                        <w:ind w:firstLine="0"/>
                        <w:jc w:val="center"/>
                      </w:pPr>
                      <w:r w:rsidRPr="00894C7D">
                        <w:t>B.S., State University of New York at Geneseo, 2014</w:t>
                      </w:r>
                    </w:p>
                    <w:p w:rsidR="00B054C8" w:rsidRPr="00834193" w:rsidRDefault="00B054C8" w:rsidP="00536110">
                      <w:pPr>
                        <w:spacing w:line="240" w:lineRule="auto"/>
                        <w:ind w:firstLine="0"/>
                        <w:jc w:val="center"/>
                        <w:rPr>
                          <w:noProof/>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536110">
                      <w:pPr>
                        <w:spacing w:line="240" w:lineRule="auto"/>
                        <w:ind w:firstLine="0"/>
                        <w:jc w:val="center"/>
                        <w:rPr>
                          <w:b/>
                        </w:rPr>
                      </w:pPr>
                    </w:p>
                    <w:p w:rsidR="00B054C8" w:rsidRDefault="00B054C8" w:rsidP="00B57E9B">
                      <w:pPr>
                        <w:ind w:firstLine="0"/>
                        <w:jc w:val="center"/>
                      </w:pPr>
                      <w:r>
                        <w:t>Submitted to the Graduate Faculty of</w:t>
                      </w:r>
                    </w:p>
                    <w:p w:rsidR="00B054C8" w:rsidRDefault="003B1957" w:rsidP="00B57E9B">
                      <w:pPr>
                        <w:ind w:firstLine="0"/>
                        <w:jc w:val="center"/>
                      </w:pPr>
                      <w:r>
                        <w:t>Infectious Diseases and</w:t>
                      </w:r>
                      <w:r w:rsidR="00B054C8">
                        <w:t xml:space="preserve"> Microbiology Department</w:t>
                      </w:r>
                    </w:p>
                    <w:p w:rsidR="00B054C8" w:rsidRDefault="00B054C8" w:rsidP="00B57E9B">
                      <w:pPr>
                        <w:ind w:firstLine="0"/>
                        <w:jc w:val="center"/>
                      </w:pPr>
                      <w:r>
                        <w:t xml:space="preserve">Graduate School of Public Health in partial fulfillment </w:t>
                      </w:r>
                    </w:p>
                    <w:p w:rsidR="00B054C8" w:rsidRDefault="00B054C8" w:rsidP="00B57E9B">
                      <w:pPr>
                        <w:ind w:firstLine="0"/>
                        <w:jc w:val="center"/>
                      </w:pPr>
                      <w:r>
                        <w:t>of the requirements for the degree of</w:t>
                      </w:r>
                    </w:p>
                    <w:p w:rsidR="00B054C8" w:rsidRDefault="00B054C8" w:rsidP="00536110">
                      <w:pPr>
                        <w:spacing w:line="240" w:lineRule="auto"/>
                        <w:ind w:firstLine="0"/>
                        <w:jc w:val="center"/>
                      </w:pPr>
                      <w:r>
                        <w:t>Master of Public Health</w:t>
                      </w:r>
                    </w:p>
                    <w:p w:rsidR="00B054C8" w:rsidRDefault="00B054C8" w:rsidP="00536110">
                      <w:pPr>
                        <w:spacing w:line="240" w:lineRule="auto"/>
                        <w:ind w:firstLine="0"/>
                        <w:jc w:val="center"/>
                      </w:pPr>
                    </w:p>
                    <w:p w:rsidR="00B054C8" w:rsidRDefault="00B054C8" w:rsidP="00536110">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Default="00B054C8" w:rsidP="00B57E9B">
                      <w:pPr>
                        <w:spacing w:line="240" w:lineRule="auto"/>
                        <w:ind w:firstLine="0"/>
                        <w:jc w:val="center"/>
                      </w:pPr>
                    </w:p>
                    <w:p w:rsidR="00B054C8" w:rsidRPr="00AB08F3" w:rsidRDefault="00B054C8" w:rsidP="00337CC7">
                      <w:pPr>
                        <w:ind w:firstLine="0"/>
                        <w:jc w:val="center"/>
                      </w:pPr>
                      <w:r w:rsidRPr="00AB08F3">
                        <w:t>University of Pittsburg</w:t>
                      </w:r>
                      <w:r>
                        <w:t>h</w:t>
                      </w:r>
                    </w:p>
                    <w:p w:rsidR="00B054C8" w:rsidRPr="00AB08F3" w:rsidRDefault="00B054C8" w:rsidP="00B57E9B">
                      <w:pPr>
                        <w:ind w:firstLine="0"/>
                        <w:jc w:val="center"/>
                        <w:rPr>
                          <w:noProof/>
                        </w:rPr>
                      </w:pPr>
                      <w:r>
                        <w:t>2016</w:t>
                      </w:r>
                    </w:p>
                    <w:p w:rsidR="00B054C8" w:rsidRPr="004E3B59" w:rsidRDefault="00B054C8" w:rsidP="006B1124">
                      <w:pPr>
                        <w:ind w:firstLine="0"/>
                        <w:jc w:val="center"/>
                        <w:rPr>
                          <w:b/>
                        </w:rPr>
                      </w:pPr>
                    </w:p>
                  </w:txbxContent>
                </v:textbox>
                <w10:wrap type="square" anchorx="page" anchory="page"/>
              </v:shape>
            </w:pict>
          </mc:Fallback>
        </mc:AlternateContent>
      </w:r>
    </w:p>
    <w:p w:rsidR="0028782F" w:rsidRPr="007F763B" w:rsidRDefault="0045332B" w:rsidP="007F763B">
      <w:pPr>
        <w:pStyle w:val="Noindent"/>
        <w:spacing w:line="240" w:lineRule="auto"/>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posOffset>301625</wp:posOffset>
                </wp:positionV>
                <wp:extent cx="5943600" cy="7442200"/>
                <wp:effectExtent l="0" t="0" r="0" b="3175"/>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42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54C8" w:rsidRDefault="00B054C8" w:rsidP="006B1124">
                            <w:pPr>
                              <w:ind w:firstLine="0"/>
                              <w:jc w:val="center"/>
                            </w:pPr>
                            <w:r>
                              <w:t>UNIVERSITY OF PITTSBURGH</w:t>
                            </w:r>
                          </w:p>
                          <w:p w:rsidR="00B054C8" w:rsidRDefault="00B054C8" w:rsidP="00536110">
                            <w:pPr>
                              <w:spacing w:line="240" w:lineRule="auto"/>
                              <w:ind w:firstLine="0"/>
                              <w:jc w:val="center"/>
                            </w:pPr>
                            <w:r>
                              <w:t>GRADUATE SCHOOL OF PUBLIC HEALTH</w:t>
                            </w:r>
                          </w:p>
                          <w:p w:rsidR="00B054C8" w:rsidRDefault="00B054C8" w:rsidP="00536110">
                            <w:pPr>
                              <w:spacing w:line="240" w:lineRule="auto"/>
                              <w:ind w:firstLine="0"/>
                              <w:jc w:val="center"/>
                            </w:pPr>
                          </w:p>
                          <w:p w:rsidR="00B054C8" w:rsidRDefault="00B054C8" w:rsidP="00536110">
                            <w:pPr>
                              <w:spacing w:line="240" w:lineRule="auto"/>
                              <w:ind w:firstLine="0"/>
                              <w:jc w:val="center"/>
                            </w:pPr>
                          </w:p>
                          <w:p w:rsidR="00B054C8" w:rsidRDefault="00B054C8" w:rsidP="00536110">
                            <w:pPr>
                              <w:spacing w:line="240" w:lineRule="auto"/>
                              <w:ind w:firstLine="0"/>
                              <w:jc w:val="center"/>
                            </w:pPr>
                          </w:p>
                          <w:p w:rsidR="00B054C8" w:rsidRDefault="00B054C8" w:rsidP="006A5780">
                            <w:pPr>
                              <w:ind w:firstLine="0"/>
                              <w:jc w:val="center"/>
                            </w:pPr>
                            <w:r>
                              <w:t>This essay is submitted</w:t>
                            </w:r>
                          </w:p>
                          <w:p w:rsidR="00B054C8" w:rsidRDefault="00B054C8" w:rsidP="006B1124">
                            <w:pPr>
                              <w:ind w:firstLine="0"/>
                              <w:jc w:val="center"/>
                            </w:pPr>
                            <w:r>
                              <w:t>by</w:t>
                            </w:r>
                          </w:p>
                          <w:p w:rsidR="00B054C8" w:rsidRDefault="00B054C8" w:rsidP="006A5780">
                            <w:pPr>
                              <w:spacing w:line="240" w:lineRule="auto"/>
                              <w:ind w:firstLine="0"/>
                              <w:jc w:val="center"/>
                            </w:pPr>
                            <w:r>
                              <w:t>Emily A Robbins</w:t>
                            </w:r>
                          </w:p>
                          <w:p w:rsidR="00B054C8" w:rsidRDefault="00B054C8" w:rsidP="006A5780">
                            <w:pPr>
                              <w:spacing w:line="240" w:lineRule="auto"/>
                              <w:ind w:firstLine="0"/>
                              <w:jc w:val="center"/>
                            </w:pPr>
                          </w:p>
                          <w:p w:rsidR="00B054C8" w:rsidRDefault="00B054C8" w:rsidP="006A5780">
                            <w:pPr>
                              <w:spacing w:line="240" w:lineRule="auto"/>
                              <w:ind w:firstLine="0"/>
                              <w:jc w:val="center"/>
                            </w:pPr>
                            <w:r>
                              <w:t>on</w:t>
                            </w:r>
                          </w:p>
                          <w:p w:rsidR="00B054C8" w:rsidRDefault="00B054C8" w:rsidP="006A5780">
                            <w:pPr>
                              <w:spacing w:line="240" w:lineRule="auto"/>
                              <w:ind w:firstLine="0"/>
                              <w:jc w:val="center"/>
                            </w:pPr>
                          </w:p>
                          <w:p w:rsidR="00B054C8" w:rsidRDefault="00B054C8" w:rsidP="006A5780">
                            <w:pPr>
                              <w:ind w:firstLine="0"/>
                              <w:jc w:val="center"/>
                            </w:pPr>
                            <w:r>
                              <w:t>November 18, 2016</w:t>
                            </w:r>
                          </w:p>
                          <w:p w:rsidR="00B054C8" w:rsidRDefault="00B054C8" w:rsidP="006A5780">
                            <w:pPr>
                              <w:ind w:firstLine="0"/>
                              <w:jc w:val="center"/>
                            </w:pPr>
                            <w:r>
                              <w:t>and approved by</w:t>
                            </w:r>
                          </w:p>
                          <w:p w:rsidR="00B054C8" w:rsidRDefault="00B054C8" w:rsidP="006A5780">
                            <w:pPr>
                              <w:ind w:firstLine="0"/>
                              <w:jc w:val="center"/>
                            </w:pPr>
                          </w:p>
                          <w:p w:rsidR="00B054C8" w:rsidRDefault="00B054C8" w:rsidP="00030D3B">
                            <w:pPr>
                              <w:spacing w:line="240" w:lineRule="auto"/>
                              <w:ind w:firstLine="0"/>
                            </w:pPr>
                            <w:r>
                              <w:t>Essay Advisor:</w:t>
                            </w:r>
                          </w:p>
                          <w:p w:rsidR="00B054C8" w:rsidRDefault="00B054C8" w:rsidP="00914653">
                            <w:pPr>
                              <w:spacing w:line="240" w:lineRule="auto"/>
                              <w:ind w:firstLine="0"/>
                              <w:jc w:val="left"/>
                            </w:pPr>
                            <w:r>
                              <w:t>Linda Rose Frank, PhD, MSN, ACRN, FAAN   ___________________________________</w:t>
                            </w:r>
                          </w:p>
                          <w:p w:rsidR="00B054C8" w:rsidRDefault="00B054C8" w:rsidP="00914653">
                            <w:pPr>
                              <w:spacing w:line="240" w:lineRule="auto"/>
                              <w:ind w:firstLine="0"/>
                              <w:jc w:val="left"/>
                            </w:pPr>
                            <w:r>
                              <w:t>Associate Professor of Public Health, Medicine &amp; Nursing</w:t>
                            </w:r>
                          </w:p>
                          <w:p w:rsidR="00F75112" w:rsidRDefault="00F75112" w:rsidP="00914653">
                            <w:pPr>
                              <w:spacing w:line="240" w:lineRule="auto"/>
                              <w:ind w:firstLine="0"/>
                              <w:jc w:val="left"/>
                            </w:pPr>
                            <w:r>
                              <w:t>Department of Infectious Diseases and Microbiology</w:t>
                            </w:r>
                          </w:p>
                          <w:p w:rsidR="001B7483" w:rsidRDefault="00B054C8" w:rsidP="00030D3B">
                            <w:pPr>
                              <w:spacing w:line="240" w:lineRule="auto"/>
                              <w:ind w:firstLine="0"/>
                            </w:pPr>
                            <w:r>
                              <w:t>Graduate School of Public Health</w:t>
                            </w:r>
                          </w:p>
                          <w:p w:rsidR="00B054C8" w:rsidRDefault="001B7483" w:rsidP="00030D3B">
                            <w:pPr>
                              <w:spacing w:line="240" w:lineRule="auto"/>
                              <w:ind w:firstLine="0"/>
                            </w:pPr>
                            <w:r>
                              <w:t>School of Medicine</w:t>
                            </w:r>
                          </w:p>
                          <w:p w:rsidR="001B7483" w:rsidRDefault="001B7483" w:rsidP="00030D3B">
                            <w:pPr>
                              <w:spacing w:line="240" w:lineRule="auto"/>
                              <w:ind w:firstLine="0"/>
                            </w:pPr>
                            <w:r>
                              <w:t>School of Nursing</w:t>
                            </w:r>
                          </w:p>
                          <w:p w:rsidR="00B054C8" w:rsidRDefault="00B054C8" w:rsidP="00030D3B">
                            <w:pPr>
                              <w:spacing w:line="240" w:lineRule="auto"/>
                              <w:ind w:firstLine="0"/>
                            </w:pPr>
                            <w:r>
                              <w:t>University of Pittsburgh</w:t>
                            </w:r>
                          </w:p>
                          <w:p w:rsidR="00B054C8" w:rsidRDefault="00B054C8" w:rsidP="00030D3B">
                            <w:pPr>
                              <w:spacing w:line="240" w:lineRule="auto"/>
                              <w:ind w:firstLine="0"/>
                            </w:pPr>
                          </w:p>
                          <w:p w:rsidR="00B054C8" w:rsidRDefault="00B054C8" w:rsidP="00030D3B">
                            <w:pPr>
                              <w:spacing w:line="240" w:lineRule="auto"/>
                              <w:ind w:firstLine="0"/>
                            </w:pPr>
                          </w:p>
                          <w:p w:rsidR="00B054C8" w:rsidRDefault="00B054C8" w:rsidP="00030D3B">
                            <w:pPr>
                              <w:spacing w:line="240" w:lineRule="auto"/>
                              <w:ind w:firstLine="0"/>
                            </w:pPr>
                            <w:r>
                              <w:t>Essay Readers:</w:t>
                            </w:r>
                          </w:p>
                          <w:p w:rsidR="00B054C8" w:rsidRDefault="00B054C8" w:rsidP="00030D3B">
                            <w:pPr>
                              <w:spacing w:line="240" w:lineRule="auto"/>
                              <w:ind w:firstLine="0"/>
                            </w:pPr>
                            <w:r>
                              <w:t>Mohamed H Yassin, MD, PhD</w:t>
                            </w:r>
                            <w:r>
                              <w:tab/>
                            </w:r>
                            <w:r>
                              <w:tab/>
                              <w:t>______________________________________</w:t>
                            </w:r>
                          </w:p>
                          <w:p w:rsidR="00B054C8" w:rsidRDefault="00B054C8" w:rsidP="00030D3B">
                            <w:pPr>
                              <w:spacing w:line="240" w:lineRule="auto"/>
                              <w:ind w:firstLine="0"/>
                            </w:pPr>
                            <w:r>
                              <w:t>Division of Infectious Diseases</w:t>
                            </w:r>
                          </w:p>
                          <w:p w:rsidR="00B054C8" w:rsidRDefault="00B054C8" w:rsidP="00030D3B">
                            <w:pPr>
                              <w:spacing w:line="240" w:lineRule="auto"/>
                              <w:ind w:firstLine="0"/>
                            </w:pPr>
                            <w:r>
                              <w:t>School of Medicine</w:t>
                            </w:r>
                          </w:p>
                          <w:p w:rsidR="00B054C8" w:rsidRDefault="00B054C8" w:rsidP="00030D3B">
                            <w:pPr>
                              <w:spacing w:line="240" w:lineRule="auto"/>
                              <w:ind w:firstLine="0"/>
                            </w:pPr>
                            <w:r>
                              <w:t>University of Pittsburgh</w:t>
                            </w:r>
                          </w:p>
                          <w:p w:rsidR="00B054C8" w:rsidRDefault="00B054C8" w:rsidP="00030D3B">
                            <w:pPr>
                              <w:spacing w:line="240" w:lineRule="auto"/>
                              <w:ind w:firstLine="0"/>
                            </w:pPr>
                          </w:p>
                          <w:p w:rsidR="00B054C8" w:rsidRDefault="00B054C8" w:rsidP="00894C7D">
                            <w:pPr>
                              <w:spacing w:line="240" w:lineRule="auto"/>
                              <w:ind w:firstLine="0"/>
                            </w:pPr>
                          </w:p>
                          <w:p w:rsidR="00B054C8" w:rsidRPr="00DA7D47" w:rsidRDefault="00B054C8" w:rsidP="00894C7D">
                            <w:pPr>
                              <w:spacing w:line="240" w:lineRule="auto"/>
                              <w:ind w:firstLine="0"/>
                            </w:pPr>
                            <w:r w:rsidRPr="00DA7D47">
                              <w:t>Marian Pokrywka</w:t>
                            </w:r>
                            <w:r>
                              <w:t>, MS</w:t>
                            </w:r>
                            <w:r w:rsidRPr="00DA7D47">
                              <w:tab/>
                            </w:r>
                            <w:r w:rsidRPr="00DA7D47">
                              <w:tab/>
                            </w:r>
                            <w:r>
                              <w:t xml:space="preserve">            </w:t>
                            </w:r>
                            <w:r w:rsidRPr="00DA7D47">
                              <w:t>______________________________________</w:t>
                            </w:r>
                          </w:p>
                          <w:p w:rsidR="00B054C8" w:rsidRDefault="00B054C8" w:rsidP="00894C7D">
                            <w:pPr>
                              <w:spacing w:line="240" w:lineRule="auto"/>
                              <w:ind w:firstLine="0"/>
                            </w:pPr>
                            <w:r>
                              <w:t>Infection Preventionist</w:t>
                            </w:r>
                          </w:p>
                          <w:p w:rsidR="00B054C8" w:rsidRDefault="00B054C8" w:rsidP="00894C7D">
                            <w:pPr>
                              <w:spacing w:line="240" w:lineRule="auto"/>
                              <w:ind w:firstLine="0"/>
                            </w:pPr>
                            <w:r>
                              <w:t>UPMC Mercy Hospital</w:t>
                            </w:r>
                          </w:p>
                          <w:p w:rsidR="00B054C8" w:rsidRDefault="00B054C8" w:rsidP="00030D3B">
                            <w:pPr>
                              <w:spacing w:line="240" w:lineRule="auto"/>
                              <w:ind w:firstLine="0"/>
                            </w:pPr>
                          </w:p>
                          <w:p w:rsidR="00B054C8" w:rsidRPr="00936D40" w:rsidRDefault="00B054C8"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23.75pt;width:468pt;height:586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DoOQIAAEI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" stroked="f">
                <v:textbox>
                  <w:txbxContent>
                    <w:p w:rsidR="00B054C8" w:rsidRDefault="00B054C8" w:rsidP="006B1124">
                      <w:pPr>
                        <w:ind w:firstLine="0"/>
                        <w:jc w:val="center"/>
                      </w:pPr>
                      <w:r>
                        <w:t>UNIVERSITY OF PITTSBURGH</w:t>
                      </w:r>
                    </w:p>
                    <w:p w:rsidR="00B054C8" w:rsidRDefault="00B054C8" w:rsidP="00536110">
                      <w:pPr>
                        <w:spacing w:line="240" w:lineRule="auto"/>
                        <w:ind w:firstLine="0"/>
                        <w:jc w:val="center"/>
                      </w:pPr>
                      <w:r>
                        <w:t>GRADUATE SCHOOL OF PUBLIC HEALTH</w:t>
                      </w:r>
                    </w:p>
                    <w:p w:rsidR="00B054C8" w:rsidRDefault="00B054C8" w:rsidP="00536110">
                      <w:pPr>
                        <w:spacing w:line="240" w:lineRule="auto"/>
                        <w:ind w:firstLine="0"/>
                        <w:jc w:val="center"/>
                      </w:pPr>
                    </w:p>
                    <w:p w:rsidR="00B054C8" w:rsidRDefault="00B054C8" w:rsidP="00536110">
                      <w:pPr>
                        <w:spacing w:line="240" w:lineRule="auto"/>
                        <w:ind w:firstLine="0"/>
                        <w:jc w:val="center"/>
                      </w:pPr>
                    </w:p>
                    <w:p w:rsidR="00B054C8" w:rsidRDefault="00B054C8" w:rsidP="00536110">
                      <w:pPr>
                        <w:spacing w:line="240" w:lineRule="auto"/>
                        <w:ind w:firstLine="0"/>
                        <w:jc w:val="center"/>
                      </w:pPr>
                    </w:p>
                    <w:p w:rsidR="00B054C8" w:rsidRDefault="00B054C8" w:rsidP="006A5780">
                      <w:pPr>
                        <w:ind w:firstLine="0"/>
                        <w:jc w:val="center"/>
                      </w:pPr>
                      <w:r>
                        <w:t>This essay is submitted</w:t>
                      </w:r>
                    </w:p>
                    <w:p w:rsidR="00B054C8" w:rsidRDefault="00B054C8" w:rsidP="006B1124">
                      <w:pPr>
                        <w:ind w:firstLine="0"/>
                        <w:jc w:val="center"/>
                      </w:pPr>
                      <w:r>
                        <w:t>by</w:t>
                      </w:r>
                    </w:p>
                    <w:p w:rsidR="00B054C8" w:rsidRDefault="00B054C8" w:rsidP="006A5780">
                      <w:pPr>
                        <w:spacing w:line="240" w:lineRule="auto"/>
                        <w:ind w:firstLine="0"/>
                        <w:jc w:val="center"/>
                      </w:pPr>
                      <w:r>
                        <w:t>Emily A Robbins</w:t>
                      </w:r>
                    </w:p>
                    <w:p w:rsidR="00B054C8" w:rsidRDefault="00B054C8" w:rsidP="006A5780">
                      <w:pPr>
                        <w:spacing w:line="240" w:lineRule="auto"/>
                        <w:ind w:firstLine="0"/>
                        <w:jc w:val="center"/>
                      </w:pPr>
                    </w:p>
                    <w:p w:rsidR="00B054C8" w:rsidRDefault="00B054C8" w:rsidP="006A5780">
                      <w:pPr>
                        <w:spacing w:line="240" w:lineRule="auto"/>
                        <w:ind w:firstLine="0"/>
                        <w:jc w:val="center"/>
                      </w:pPr>
                      <w:r>
                        <w:t>on</w:t>
                      </w:r>
                    </w:p>
                    <w:p w:rsidR="00B054C8" w:rsidRDefault="00B054C8" w:rsidP="006A5780">
                      <w:pPr>
                        <w:spacing w:line="240" w:lineRule="auto"/>
                        <w:ind w:firstLine="0"/>
                        <w:jc w:val="center"/>
                      </w:pPr>
                    </w:p>
                    <w:p w:rsidR="00B054C8" w:rsidRDefault="00B054C8" w:rsidP="006A5780">
                      <w:pPr>
                        <w:ind w:firstLine="0"/>
                        <w:jc w:val="center"/>
                      </w:pPr>
                      <w:r>
                        <w:t>November 18, 2016</w:t>
                      </w:r>
                    </w:p>
                    <w:p w:rsidR="00B054C8" w:rsidRDefault="00B054C8" w:rsidP="006A5780">
                      <w:pPr>
                        <w:ind w:firstLine="0"/>
                        <w:jc w:val="center"/>
                      </w:pPr>
                      <w:r>
                        <w:t>and approved by</w:t>
                      </w:r>
                    </w:p>
                    <w:p w:rsidR="00B054C8" w:rsidRDefault="00B054C8" w:rsidP="006A5780">
                      <w:pPr>
                        <w:ind w:firstLine="0"/>
                        <w:jc w:val="center"/>
                      </w:pPr>
                    </w:p>
                    <w:p w:rsidR="00B054C8" w:rsidRDefault="00B054C8" w:rsidP="00030D3B">
                      <w:pPr>
                        <w:spacing w:line="240" w:lineRule="auto"/>
                        <w:ind w:firstLine="0"/>
                      </w:pPr>
                      <w:r>
                        <w:t>Essay Advisor:</w:t>
                      </w:r>
                    </w:p>
                    <w:p w:rsidR="00B054C8" w:rsidRDefault="00B054C8" w:rsidP="00914653">
                      <w:pPr>
                        <w:spacing w:line="240" w:lineRule="auto"/>
                        <w:ind w:firstLine="0"/>
                        <w:jc w:val="left"/>
                      </w:pPr>
                      <w:r>
                        <w:t>Linda Rose Frank, PhD, MSN, ACRN, FAAN   ___________________________________</w:t>
                      </w:r>
                    </w:p>
                    <w:p w:rsidR="00B054C8" w:rsidRDefault="00B054C8" w:rsidP="00914653">
                      <w:pPr>
                        <w:spacing w:line="240" w:lineRule="auto"/>
                        <w:ind w:firstLine="0"/>
                        <w:jc w:val="left"/>
                      </w:pPr>
                      <w:r>
                        <w:t>Associate Professor of Public Health, Medicine &amp; Nursing</w:t>
                      </w:r>
                    </w:p>
                    <w:p w:rsidR="00F75112" w:rsidRDefault="00F75112" w:rsidP="00914653">
                      <w:pPr>
                        <w:spacing w:line="240" w:lineRule="auto"/>
                        <w:ind w:firstLine="0"/>
                        <w:jc w:val="left"/>
                      </w:pPr>
                      <w:r>
                        <w:t>Department of Infectious Diseases and Microbiology</w:t>
                      </w:r>
                    </w:p>
                    <w:p w:rsidR="001B7483" w:rsidRDefault="00B054C8" w:rsidP="00030D3B">
                      <w:pPr>
                        <w:spacing w:line="240" w:lineRule="auto"/>
                        <w:ind w:firstLine="0"/>
                      </w:pPr>
                      <w:r>
                        <w:t>Graduate School of Public Health</w:t>
                      </w:r>
                    </w:p>
                    <w:p w:rsidR="00B054C8" w:rsidRDefault="001B7483" w:rsidP="00030D3B">
                      <w:pPr>
                        <w:spacing w:line="240" w:lineRule="auto"/>
                        <w:ind w:firstLine="0"/>
                      </w:pPr>
                      <w:r>
                        <w:t>School of Medicine</w:t>
                      </w:r>
                    </w:p>
                    <w:p w:rsidR="001B7483" w:rsidRDefault="001B7483" w:rsidP="00030D3B">
                      <w:pPr>
                        <w:spacing w:line="240" w:lineRule="auto"/>
                        <w:ind w:firstLine="0"/>
                      </w:pPr>
                      <w:r>
                        <w:t>School of Nursing</w:t>
                      </w:r>
                    </w:p>
                    <w:p w:rsidR="00B054C8" w:rsidRDefault="00B054C8" w:rsidP="00030D3B">
                      <w:pPr>
                        <w:spacing w:line="240" w:lineRule="auto"/>
                        <w:ind w:firstLine="0"/>
                      </w:pPr>
                      <w:r>
                        <w:t>University of Pittsburgh</w:t>
                      </w:r>
                    </w:p>
                    <w:p w:rsidR="00B054C8" w:rsidRDefault="00B054C8" w:rsidP="00030D3B">
                      <w:pPr>
                        <w:spacing w:line="240" w:lineRule="auto"/>
                        <w:ind w:firstLine="0"/>
                      </w:pPr>
                    </w:p>
                    <w:p w:rsidR="00B054C8" w:rsidRDefault="00B054C8" w:rsidP="00030D3B">
                      <w:pPr>
                        <w:spacing w:line="240" w:lineRule="auto"/>
                        <w:ind w:firstLine="0"/>
                      </w:pPr>
                    </w:p>
                    <w:p w:rsidR="00B054C8" w:rsidRDefault="00B054C8" w:rsidP="00030D3B">
                      <w:pPr>
                        <w:spacing w:line="240" w:lineRule="auto"/>
                        <w:ind w:firstLine="0"/>
                      </w:pPr>
                      <w:r>
                        <w:t>Essay Readers:</w:t>
                      </w:r>
                    </w:p>
                    <w:p w:rsidR="00B054C8" w:rsidRDefault="00B054C8" w:rsidP="00030D3B">
                      <w:pPr>
                        <w:spacing w:line="240" w:lineRule="auto"/>
                        <w:ind w:firstLine="0"/>
                      </w:pPr>
                      <w:r>
                        <w:t>Mohamed H Yassin, MD, PhD</w:t>
                      </w:r>
                      <w:r>
                        <w:tab/>
                      </w:r>
                      <w:r>
                        <w:tab/>
                        <w:t>______________________________________</w:t>
                      </w:r>
                    </w:p>
                    <w:p w:rsidR="00B054C8" w:rsidRDefault="00B054C8" w:rsidP="00030D3B">
                      <w:pPr>
                        <w:spacing w:line="240" w:lineRule="auto"/>
                        <w:ind w:firstLine="0"/>
                      </w:pPr>
                      <w:r>
                        <w:t>Division of Infectious Diseases</w:t>
                      </w:r>
                    </w:p>
                    <w:p w:rsidR="00B054C8" w:rsidRDefault="00B054C8" w:rsidP="00030D3B">
                      <w:pPr>
                        <w:spacing w:line="240" w:lineRule="auto"/>
                        <w:ind w:firstLine="0"/>
                      </w:pPr>
                      <w:r>
                        <w:t>School of Medicine</w:t>
                      </w:r>
                    </w:p>
                    <w:p w:rsidR="00B054C8" w:rsidRDefault="00B054C8" w:rsidP="00030D3B">
                      <w:pPr>
                        <w:spacing w:line="240" w:lineRule="auto"/>
                        <w:ind w:firstLine="0"/>
                      </w:pPr>
                      <w:r>
                        <w:t>University of Pittsburgh</w:t>
                      </w:r>
                    </w:p>
                    <w:p w:rsidR="00B054C8" w:rsidRDefault="00B054C8" w:rsidP="00030D3B">
                      <w:pPr>
                        <w:spacing w:line="240" w:lineRule="auto"/>
                        <w:ind w:firstLine="0"/>
                      </w:pPr>
                    </w:p>
                    <w:p w:rsidR="00B054C8" w:rsidRDefault="00B054C8" w:rsidP="00894C7D">
                      <w:pPr>
                        <w:spacing w:line="240" w:lineRule="auto"/>
                        <w:ind w:firstLine="0"/>
                      </w:pPr>
                    </w:p>
                    <w:p w:rsidR="00B054C8" w:rsidRPr="00DA7D47" w:rsidRDefault="00B054C8" w:rsidP="00894C7D">
                      <w:pPr>
                        <w:spacing w:line="240" w:lineRule="auto"/>
                        <w:ind w:firstLine="0"/>
                      </w:pPr>
                      <w:r w:rsidRPr="00DA7D47">
                        <w:t>Marian Pokrywka</w:t>
                      </w:r>
                      <w:r>
                        <w:t>, MS</w:t>
                      </w:r>
                      <w:r w:rsidRPr="00DA7D47">
                        <w:tab/>
                      </w:r>
                      <w:r w:rsidRPr="00DA7D47">
                        <w:tab/>
                      </w:r>
                      <w:r>
                        <w:t xml:space="preserve">            </w:t>
                      </w:r>
                      <w:r w:rsidRPr="00DA7D47">
                        <w:t>______________________________________</w:t>
                      </w:r>
                    </w:p>
                    <w:p w:rsidR="00B054C8" w:rsidRDefault="00B054C8" w:rsidP="00894C7D">
                      <w:pPr>
                        <w:spacing w:line="240" w:lineRule="auto"/>
                        <w:ind w:firstLine="0"/>
                      </w:pPr>
                      <w:r>
                        <w:t>Infection Preventionist</w:t>
                      </w:r>
                    </w:p>
                    <w:p w:rsidR="00B054C8" w:rsidRDefault="00B054C8" w:rsidP="00894C7D">
                      <w:pPr>
                        <w:spacing w:line="240" w:lineRule="auto"/>
                        <w:ind w:firstLine="0"/>
                      </w:pPr>
                      <w:r>
                        <w:t>UPMC Mercy Hospital</w:t>
                      </w:r>
                    </w:p>
                    <w:p w:rsidR="00B054C8" w:rsidRDefault="00B054C8" w:rsidP="00030D3B">
                      <w:pPr>
                        <w:spacing w:line="240" w:lineRule="auto"/>
                        <w:ind w:firstLine="0"/>
                      </w:pPr>
                    </w:p>
                    <w:p w:rsidR="00B054C8" w:rsidRPr="00936D40" w:rsidRDefault="00B054C8"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54C8" w:rsidRDefault="00B054C8" w:rsidP="006B1124">
                            <w:pPr>
                              <w:ind w:firstLine="0"/>
                              <w:jc w:val="center"/>
                            </w:pPr>
                            <w:r>
                              <w:t>Copyright © by Emily A Robbins</w:t>
                            </w:r>
                          </w:p>
                          <w:p w:rsidR="00B054C8" w:rsidRDefault="00B054C8"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" stroked="f">
                <v:textbox>
                  <w:txbxContent>
                    <w:p w:rsidR="00B054C8" w:rsidRDefault="00B054C8" w:rsidP="006B1124">
                      <w:pPr>
                        <w:ind w:firstLine="0"/>
                        <w:jc w:val="center"/>
                      </w:pPr>
                      <w:r>
                        <w:t>Copyright © by Emily A Robbins</w:t>
                      </w:r>
                    </w:p>
                    <w:p w:rsidR="00B054C8" w:rsidRDefault="00B054C8" w:rsidP="006B1124">
                      <w:pPr>
                        <w:ind w:firstLine="0"/>
                        <w:jc w:val="center"/>
                      </w:pPr>
                      <w:r>
                        <w:t>2016</w:t>
                      </w:r>
                    </w:p>
                  </w:txbxContent>
                </v:textbox>
                <w10:wrap type="square" anchorx="page" anchory="page"/>
              </v:shape>
            </w:pict>
          </mc:Fallback>
        </mc:AlternateContent>
      </w:r>
      <w:r w:rsidR="002D01B1">
        <w:br w:type="page"/>
      </w:r>
      <w:r w:rsidR="007F763B" w:rsidRPr="007F763B">
        <w:rPr>
          <w:b/>
        </w:rPr>
        <w:lastRenderedPageBreak/>
        <w:t>ABSTRACT</w:t>
      </w:r>
    </w:p>
    <w:p w:rsidR="007F763B" w:rsidRDefault="007F763B" w:rsidP="007F763B">
      <w:pPr>
        <w:pStyle w:val="Noindent"/>
        <w:spacing w:line="240" w:lineRule="auto"/>
      </w:pPr>
    </w:p>
    <w:p w:rsidR="007B5CE5" w:rsidRDefault="0045332B" w:rsidP="007B5CE5">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margin">
                  <wp:posOffset>-222250</wp:posOffset>
                </wp:positionV>
                <wp:extent cx="5943600" cy="2041525"/>
                <wp:effectExtent l="0" t="6350" r="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54C8" w:rsidRDefault="00B054C8" w:rsidP="005F1BB6">
                            <w:pPr>
                              <w:ind w:firstLine="0"/>
                              <w:jc w:val="right"/>
                            </w:pPr>
                            <w:r>
                              <w:t>Linda Rose Frank, PhD, MSN, ACRN, FAAN</w:t>
                            </w:r>
                          </w:p>
                          <w:p w:rsidR="00B054C8" w:rsidRDefault="00B054C8" w:rsidP="00DA7D47">
                            <w:pPr>
                              <w:ind w:firstLine="0"/>
                              <w:jc w:val="center"/>
                              <w:rPr>
                                <w:b/>
                              </w:rPr>
                            </w:pPr>
                            <w:r>
                              <w:rPr>
                                <w:b/>
                              </w:rPr>
                              <w:t>CASE STUDY: AN ANALYSIS OF A TUBERCULOSIS POST-EXPOSURE CONTACT INVESTIGATION ORIGINATING FROM AN UNDIAGNOSED ONCOLOGY PATIENT</w:t>
                            </w:r>
                          </w:p>
                          <w:p w:rsidR="00B054C8" w:rsidRDefault="00B054C8" w:rsidP="006B1124">
                            <w:pPr>
                              <w:ind w:firstLine="0"/>
                              <w:jc w:val="center"/>
                            </w:pPr>
                            <w:r>
                              <w:t>Emily A Robbins, MPH</w:t>
                            </w:r>
                          </w:p>
                          <w:p w:rsidR="00B054C8" w:rsidRDefault="00B054C8" w:rsidP="006B1124">
                            <w:pPr>
                              <w:ind w:firstLine="0"/>
                              <w:jc w:val="center"/>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" filled="f" stroked="f">
                <v:textbox>
                  <w:txbxContent>
                    <w:p w:rsidR="00B054C8" w:rsidRDefault="00B054C8" w:rsidP="005F1BB6">
                      <w:pPr>
                        <w:ind w:firstLine="0"/>
                        <w:jc w:val="right"/>
                      </w:pPr>
                      <w:r>
                        <w:t>Linda Rose Frank, PhD, MSN, ACRN, FAAN</w:t>
                      </w:r>
                    </w:p>
                    <w:p w:rsidR="00B054C8" w:rsidRDefault="00B054C8" w:rsidP="00DA7D47">
                      <w:pPr>
                        <w:ind w:firstLine="0"/>
                        <w:jc w:val="center"/>
                        <w:rPr>
                          <w:b/>
                        </w:rPr>
                      </w:pPr>
                      <w:r>
                        <w:rPr>
                          <w:b/>
                        </w:rPr>
                        <w:t>CASE STUDY: AN ANALYSIS OF A TUBERCULOSIS POST-EXPOSURE CONTACT INVESTIGATION ORIGINATING FROM AN UNDIAGNOSED ONCOLOGY PATIENT</w:t>
                      </w:r>
                    </w:p>
                    <w:p w:rsidR="00B054C8" w:rsidRDefault="00B054C8" w:rsidP="006B1124">
                      <w:pPr>
                        <w:ind w:firstLine="0"/>
                        <w:jc w:val="center"/>
                      </w:pPr>
                      <w:r>
                        <w:t>Emily A Robbins, MPH</w:t>
                      </w:r>
                    </w:p>
                    <w:p w:rsidR="00B054C8" w:rsidRDefault="00B054C8" w:rsidP="006B1124">
                      <w:pPr>
                        <w:ind w:firstLine="0"/>
                        <w:jc w:val="center"/>
                      </w:pPr>
                      <w:r>
                        <w:t>University of Pittsburgh, 2016</w:t>
                      </w:r>
                      <w:r>
                        <w:br w:type="page"/>
                      </w:r>
                    </w:p>
                  </w:txbxContent>
                </v:textbox>
                <w10:wrap type="square" anchory="margin"/>
              </v:shape>
            </w:pict>
          </mc:Fallback>
        </mc:AlternateContent>
      </w:r>
      <w:r w:rsidR="007B5CE5" w:rsidRPr="003D7877">
        <w:t xml:space="preserve">Immunosuppressed patients, such as those undergoing chemotherapy and radiation, are </w:t>
      </w:r>
      <w:r w:rsidR="007B5CE5">
        <w:t xml:space="preserve">at greater risk of developing tuberculosis (TB). Without prompt diagnosis </w:t>
      </w:r>
      <w:r w:rsidR="007B5CE5" w:rsidRPr="003D7877">
        <w:t>the risk of</w:t>
      </w:r>
      <w:r w:rsidR="007B5CE5">
        <w:t xml:space="preserve"> nosocomial transmission is increased for patients and the staff providing care for them. At a large </w:t>
      </w:r>
      <w:r w:rsidR="007B5CE5" w:rsidRPr="00855DF3">
        <w:t>university-associated hospital an oncology patient developed pulmonary tuberculosis and went u</w:t>
      </w:r>
      <w:r w:rsidR="007B5CE5">
        <w:t>ndiagnosed for several weeks.</w:t>
      </w:r>
      <w:r w:rsidR="007B5CE5" w:rsidRPr="00855DF3">
        <w:t xml:space="preserve"> </w:t>
      </w:r>
      <w:r w:rsidR="007B5CE5">
        <w:t>The patient exposed</w:t>
      </w:r>
      <w:r w:rsidR="007B5CE5" w:rsidRPr="00855DF3">
        <w:t xml:space="preserve"> numerous o</w:t>
      </w:r>
      <w:r w:rsidR="007B5CE5">
        <w:t>ther immunosuppressed patients to active TB. The infection control (IC) department of the hospital performed a contact investigation in an effort to prevent further transmission.</w:t>
      </w:r>
    </w:p>
    <w:p w:rsidR="007B5CE5" w:rsidRPr="00855DF3" w:rsidRDefault="007B5CE5" w:rsidP="007B5CE5">
      <w:r>
        <w:t>This study is a</w:t>
      </w:r>
      <w:r w:rsidRPr="00855DF3">
        <w:t xml:space="preserve"> retrospective</w:t>
      </w:r>
      <w:r>
        <w:t xml:space="preserve"> analysis</w:t>
      </w:r>
      <w:r w:rsidRPr="00855DF3">
        <w:t xml:space="preserve"> of the tuberculosis contact investigation</w:t>
      </w:r>
      <w:r>
        <w:t xml:space="preserve"> conducted.</w:t>
      </w:r>
      <w:r w:rsidRPr="00855DF3">
        <w:t xml:space="preserve"> </w:t>
      </w:r>
      <w:r>
        <w:t>The results of the contact investigation are reviewed, including the compliance rate of Tuberculosis Skin Test (TST) testing among notified patients as well as TST conversions due to the exposure</w:t>
      </w:r>
      <w:r w:rsidRPr="005667CA">
        <w:t xml:space="preserve">. </w:t>
      </w:r>
      <w:r>
        <w:t xml:space="preserve">Quality improvement recommendations are suggested and an algorithm for use in future tuberculosis exposure events was developed and described. </w:t>
      </w:r>
    </w:p>
    <w:p w:rsidR="007B5CE5" w:rsidRPr="000D5AC8" w:rsidRDefault="00DA1B69" w:rsidP="007B5CE5">
      <w:pPr>
        <w:rPr>
          <w:color w:val="FF0000"/>
        </w:rPr>
      </w:pPr>
      <w:r>
        <w:t>One hundred forty-two</w:t>
      </w:r>
      <w:r w:rsidR="007B5CE5">
        <w:t xml:space="preserve"> patients were identified as potential contacts and of these patients, 120 were successfully notified of the exposure. Among these patients, 39 (32.5%) completed the recommended testing </w:t>
      </w:r>
      <w:r w:rsidR="007B5CE5" w:rsidRPr="005667CA">
        <w:t>and 81 patients (67.5%) were lost to follow-up. Of the 39</w:t>
      </w:r>
      <w:r w:rsidR="007B5CE5">
        <w:t xml:space="preserve"> patients who completed the </w:t>
      </w:r>
      <w:r w:rsidR="007B5CE5" w:rsidRPr="005667CA">
        <w:t xml:space="preserve">testing, there were no conversions as a result of the exposure. </w:t>
      </w:r>
      <w:r>
        <w:t xml:space="preserve">However, </w:t>
      </w:r>
      <w:r w:rsidR="007B5CE5">
        <w:t>latent tuberculosis infection (LTBI) was identified in 3</w:t>
      </w:r>
      <w:r w:rsidR="007B5CE5" w:rsidRPr="005667CA">
        <w:t xml:space="preserve"> patients.</w:t>
      </w:r>
    </w:p>
    <w:p w:rsidR="007B5CE5" w:rsidRDefault="00914653" w:rsidP="007B5CE5">
      <w:r>
        <w:t>This study</w:t>
      </w:r>
      <w:r w:rsidR="007B5CE5">
        <w:t xml:space="preserve"> is </w:t>
      </w:r>
      <w:r>
        <w:t xml:space="preserve">of </w:t>
      </w:r>
      <w:r w:rsidR="007B5CE5">
        <w:t xml:space="preserve">public health significance because it identified three important points related to infection control practices: </w:t>
      </w:r>
      <w:r w:rsidR="00DA1B69">
        <w:t>First,</w:t>
      </w:r>
      <w:r w:rsidR="007B5CE5" w:rsidRPr="00F5198F">
        <w:t xml:space="preserve"> a low </w:t>
      </w:r>
      <w:r w:rsidR="007B5CE5">
        <w:t>testing compliance rate</w:t>
      </w:r>
      <w:r w:rsidR="007B5CE5" w:rsidRPr="00F5198F">
        <w:t xml:space="preserve"> limits the full recogni</w:t>
      </w:r>
      <w:r w:rsidR="00DA1B69">
        <w:t>tion of potential conversions. N</w:t>
      </w:r>
      <w:r w:rsidR="007B5CE5" w:rsidRPr="00F5198F">
        <w:t xml:space="preserve">ew patient notification methodologies should be adopted for future tuberculosis exposure events in an effort to improve compliance with recommended testing. Secondly, there </w:t>
      </w:r>
      <w:r w:rsidR="007B5CE5">
        <w:t xml:space="preserve">were multiple cases </w:t>
      </w:r>
      <w:r w:rsidR="007B5CE5" w:rsidRPr="00F5198F">
        <w:t>of LTBI identified among patient contacts</w:t>
      </w:r>
      <w:r w:rsidR="007B5CE5">
        <w:t>, which</w:t>
      </w:r>
      <w:r w:rsidR="007B5CE5" w:rsidRPr="00F5198F">
        <w:t xml:space="preserve"> emphasize</w:t>
      </w:r>
      <w:r w:rsidR="007B5CE5">
        <w:t>s</w:t>
      </w:r>
      <w:r w:rsidR="007B5CE5" w:rsidRPr="00F5198F">
        <w:t xml:space="preserve"> the importance of </w:t>
      </w:r>
      <w:r w:rsidR="007B5CE5" w:rsidRPr="00061946">
        <w:t xml:space="preserve">TB screening </w:t>
      </w:r>
      <w:r w:rsidR="007B5CE5" w:rsidRPr="00F5198F">
        <w:t xml:space="preserve">in high-risk populations, such as oncology patients. Finally, the contact investigation conducted was highly resource intensive. Therefore, </w:t>
      </w:r>
      <w:r w:rsidR="007B5CE5">
        <w:t>improved</w:t>
      </w:r>
      <w:r w:rsidR="007B5CE5" w:rsidRPr="00F5198F">
        <w:t xml:space="preserve"> policy driven practices should be implemented and </w:t>
      </w:r>
      <w:r w:rsidR="007B5CE5">
        <w:t>prioritized</w:t>
      </w:r>
      <w:r w:rsidR="007B5CE5" w:rsidRPr="00F5198F">
        <w:t xml:space="preserve"> in hospital settings for TB control activities. </w:t>
      </w:r>
      <w:r w:rsidR="007B5CE5">
        <w:t>The t</w:t>
      </w:r>
      <w:r w:rsidR="007B5CE5" w:rsidRPr="00F5198F">
        <w:t xml:space="preserve">uberculosis Contact Investigation Algorithm developed in response to this </w:t>
      </w:r>
      <w:r w:rsidR="007B5CE5">
        <w:t xml:space="preserve">study </w:t>
      </w:r>
      <w:r w:rsidR="007B5CE5" w:rsidRPr="00F5198F">
        <w:t>is a useful tool for IC practiti</w:t>
      </w:r>
      <w:r w:rsidR="007B5CE5">
        <w:t>oners in future exposure events to prevent further transmission of TB.</w:t>
      </w:r>
    </w:p>
    <w:p w:rsidR="006B1124" w:rsidRDefault="006B1124" w:rsidP="007B5CE5"/>
    <w:p w:rsidR="00AA2C6A" w:rsidRDefault="00AA2C6A" w:rsidP="00AA2C6A"/>
    <w:p w:rsidR="00AA2C6A" w:rsidRPr="00AA2C6A" w:rsidRDefault="00AA2C6A" w:rsidP="00AA2C6A"/>
    <w:p w:rsidR="008A110F" w:rsidRDefault="008A110F" w:rsidP="00656EE6">
      <w:pPr>
        <w:pStyle w:val="Preliminary"/>
      </w:pPr>
      <w:bookmarkStart w:id="0" w:name="_Toc106717784"/>
      <w:r w:rsidRPr="00E36565">
        <w:t>TABLE</w:t>
      </w:r>
      <w:r>
        <w:t xml:space="preserve"> OF CONTENTS</w:t>
      </w:r>
      <w:bookmarkEnd w:id="0"/>
    </w:p>
    <w:bookmarkStart w:id="1" w:name="_GoBack"/>
    <w:bookmarkEnd w:id="1"/>
    <w:p w:rsidR="00166174"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83314926" w:history="1">
        <w:r w:rsidR="00166174" w:rsidRPr="00D1488D">
          <w:rPr>
            <w:rStyle w:val="Hyperlink"/>
            <w:noProof/>
          </w:rPr>
          <w:t>1.0</w:t>
        </w:r>
        <w:r w:rsidR="00166174">
          <w:rPr>
            <w:rFonts w:asciiTheme="minorHAnsi" w:eastAsiaTheme="minorEastAsia" w:hAnsiTheme="minorHAnsi" w:cstheme="minorBidi"/>
            <w:b w:val="0"/>
            <w:caps w:val="0"/>
            <w:noProof/>
            <w:sz w:val="22"/>
            <w:szCs w:val="22"/>
          </w:rPr>
          <w:tab/>
        </w:r>
        <w:r w:rsidR="00166174" w:rsidRPr="00D1488D">
          <w:rPr>
            <w:rStyle w:val="Hyperlink"/>
            <w:noProof/>
          </w:rPr>
          <w:t>Introduction</w:t>
        </w:r>
        <w:r w:rsidR="00166174">
          <w:rPr>
            <w:noProof/>
            <w:webHidden/>
          </w:rPr>
          <w:tab/>
        </w:r>
        <w:r w:rsidR="00166174">
          <w:rPr>
            <w:noProof/>
            <w:webHidden/>
          </w:rPr>
          <w:fldChar w:fldCharType="begin"/>
        </w:r>
        <w:r w:rsidR="00166174">
          <w:rPr>
            <w:noProof/>
            <w:webHidden/>
          </w:rPr>
          <w:instrText xml:space="preserve"> PAGEREF _Toc483314926 \h </w:instrText>
        </w:r>
        <w:r w:rsidR="00166174">
          <w:rPr>
            <w:noProof/>
            <w:webHidden/>
          </w:rPr>
        </w:r>
        <w:r w:rsidR="00166174">
          <w:rPr>
            <w:noProof/>
            <w:webHidden/>
          </w:rPr>
          <w:fldChar w:fldCharType="separate"/>
        </w:r>
        <w:r w:rsidR="00166174">
          <w:rPr>
            <w:noProof/>
            <w:webHidden/>
          </w:rPr>
          <w:t>1</w:t>
        </w:r>
        <w:r w:rsidR="00166174">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27" w:history="1">
        <w:r w:rsidRPr="00D1488D">
          <w:rPr>
            <w:rStyle w:val="Hyperlink"/>
            <w:noProof/>
          </w:rPr>
          <w:t>1.1</w:t>
        </w:r>
        <w:r>
          <w:rPr>
            <w:rFonts w:asciiTheme="minorHAnsi" w:eastAsiaTheme="minorEastAsia" w:hAnsiTheme="minorHAnsi" w:cstheme="minorBidi"/>
            <w:b w:val="0"/>
            <w:caps w:val="0"/>
            <w:noProof/>
            <w:sz w:val="22"/>
            <w:szCs w:val="22"/>
          </w:rPr>
          <w:tab/>
        </w:r>
        <w:r w:rsidRPr="00D1488D">
          <w:rPr>
            <w:rStyle w:val="Hyperlink"/>
            <w:noProof/>
          </w:rPr>
          <w:t>index case description</w:t>
        </w:r>
        <w:r>
          <w:rPr>
            <w:noProof/>
            <w:webHidden/>
          </w:rPr>
          <w:tab/>
        </w:r>
        <w:r>
          <w:rPr>
            <w:noProof/>
            <w:webHidden/>
          </w:rPr>
          <w:fldChar w:fldCharType="begin"/>
        </w:r>
        <w:r>
          <w:rPr>
            <w:noProof/>
            <w:webHidden/>
          </w:rPr>
          <w:instrText xml:space="preserve"> PAGEREF _Toc483314927 \h </w:instrText>
        </w:r>
        <w:r>
          <w:rPr>
            <w:noProof/>
            <w:webHidden/>
          </w:rPr>
        </w:r>
        <w:r>
          <w:rPr>
            <w:noProof/>
            <w:webHidden/>
          </w:rPr>
          <w:fldChar w:fldCharType="separate"/>
        </w:r>
        <w:r>
          <w:rPr>
            <w:noProof/>
            <w:webHidden/>
          </w:rPr>
          <w:t>1</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28" w:history="1">
        <w:r w:rsidRPr="00D1488D">
          <w:rPr>
            <w:rStyle w:val="Hyperlink"/>
            <w:noProof/>
          </w:rPr>
          <w:t>1.2</w:t>
        </w:r>
        <w:r>
          <w:rPr>
            <w:rFonts w:asciiTheme="minorHAnsi" w:eastAsiaTheme="minorEastAsia" w:hAnsiTheme="minorHAnsi" w:cstheme="minorBidi"/>
            <w:b w:val="0"/>
            <w:caps w:val="0"/>
            <w:noProof/>
            <w:sz w:val="22"/>
            <w:szCs w:val="22"/>
          </w:rPr>
          <w:tab/>
        </w:r>
        <w:r w:rsidRPr="00D1488D">
          <w:rPr>
            <w:rStyle w:val="Hyperlink"/>
            <w:noProof/>
          </w:rPr>
          <w:t>contact investigation &amp; Need for follow-up</w:t>
        </w:r>
        <w:r>
          <w:rPr>
            <w:noProof/>
            <w:webHidden/>
          </w:rPr>
          <w:tab/>
        </w:r>
        <w:r>
          <w:rPr>
            <w:noProof/>
            <w:webHidden/>
          </w:rPr>
          <w:fldChar w:fldCharType="begin"/>
        </w:r>
        <w:r>
          <w:rPr>
            <w:noProof/>
            <w:webHidden/>
          </w:rPr>
          <w:instrText xml:space="preserve"> PAGEREF _Toc483314928 \h </w:instrText>
        </w:r>
        <w:r>
          <w:rPr>
            <w:noProof/>
            <w:webHidden/>
          </w:rPr>
        </w:r>
        <w:r>
          <w:rPr>
            <w:noProof/>
            <w:webHidden/>
          </w:rPr>
          <w:fldChar w:fldCharType="separate"/>
        </w:r>
        <w:r>
          <w:rPr>
            <w:noProof/>
            <w:webHidden/>
          </w:rPr>
          <w:t>3</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29" w:history="1">
        <w:r w:rsidRPr="00D1488D">
          <w:rPr>
            <w:rStyle w:val="Hyperlink"/>
            <w:noProof/>
          </w:rPr>
          <w:t>1.3</w:t>
        </w:r>
        <w:r>
          <w:rPr>
            <w:rFonts w:asciiTheme="minorHAnsi" w:eastAsiaTheme="minorEastAsia" w:hAnsiTheme="minorHAnsi" w:cstheme="minorBidi"/>
            <w:b w:val="0"/>
            <w:caps w:val="0"/>
            <w:noProof/>
            <w:sz w:val="22"/>
            <w:szCs w:val="22"/>
          </w:rPr>
          <w:tab/>
        </w:r>
        <w:r w:rsidRPr="00D1488D">
          <w:rPr>
            <w:rStyle w:val="Hyperlink"/>
            <w:noProof/>
          </w:rPr>
          <w:t>algorithm development</w:t>
        </w:r>
        <w:r>
          <w:rPr>
            <w:noProof/>
            <w:webHidden/>
          </w:rPr>
          <w:tab/>
        </w:r>
        <w:r>
          <w:rPr>
            <w:noProof/>
            <w:webHidden/>
          </w:rPr>
          <w:fldChar w:fldCharType="begin"/>
        </w:r>
        <w:r>
          <w:rPr>
            <w:noProof/>
            <w:webHidden/>
          </w:rPr>
          <w:instrText xml:space="preserve"> PAGEREF _Toc483314929 \h </w:instrText>
        </w:r>
        <w:r>
          <w:rPr>
            <w:noProof/>
            <w:webHidden/>
          </w:rPr>
        </w:r>
        <w:r>
          <w:rPr>
            <w:noProof/>
            <w:webHidden/>
          </w:rPr>
          <w:fldChar w:fldCharType="separate"/>
        </w:r>
        <w:r>
          <w:rPr>
            <w:noProof/>
            <w:webHidden/>
          </w:rPr>
          <w:t>3</w:t>
        </w:r>
        <w:r>
          <w:rPr>
            <w:noProof/>
            <w:webHidden/>
          </w:rPr>
          <w:fldChar w:fldCharType="end"/>
        </w:r>
      </w:hyperlink>
    </w:p>
    <w:p w:rsidR="00166174" w:rsidRDefault="0016617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3314930" w:history="1">
        <w:r w:rsidRPr="00D1488D">
          <w:rPr>
            <w:rStyle w:val="Hyperlink"/>
            <w:noProof/>
          </w:rPr>
          <w:t>2.0</w:t>
        </w:r>
        <w:r>
          <w:rPr>
            <w:rFonts w:asciiTheme="minorHAnsi" w:eastAsiaTheme="minorEastAsia" w:hAnsiTheme="minorHAnsi" w:cstheme="minorBidi"/>
            <w:b w:val="0"/>
            <w:caps w:val="0"/>
            <w:noProof/>
            <w:sz w:val="22"/>
            <w:szCs w:val="22"/>
          </w:rPr>
          <w:tab/>
        </w:r>
        <w:r w:rsidRPr="00D1488D">
          <w:rPr>
            <w:rStyle w:val="Hyperlink"/>
            <w:noProof/>
          </w:rPr>
          <w:t>review of relevant literature</w:t>
        </w:r>
        <w:r>
          <w:rPr>
            <w:noProof/>
            <w:webHidden/>
          </w:rPr>
          <w:tab/>
        </w:r>
        <w:r>
          <w:rPr>
            <w:noProof/>
            <w:webHidden/>
          </w:rPr>
          <w:fldChar w:fldCharType="begin"/>
        </w:r>
        <w:r>
          <w:rPr>
            <w:noProof/>
            <w:webHidden/>
          </w:rPr>
          <w:instrText xml:space="preserve"> PAGEREF _Toc483314930 \h </w:instrText>
        </w:r>
        <w:r>
          <w:rPr>
            <w:noProof/>
            <w:webHidden/>
          </w:rPr>
        </w:r>
        <w:r>
          <w:rPr>
            <w:noProof/>
            <w:webHidden/>
          </w:rPr>
          <w:fldChar w:fldCharType="separate"/>
        </w:r>
        <w:r>
          <w:rPr>
            <w:noProof/>
            <w:webHidden/>
          </w:rPr>
          <w:t>4</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1" w:history="1">
        <w:r w:rsidRPr="00D1488D">
          <w:rPr>
            <w:rStyle w:val="Hyperlink"/>
            <w:noProof/>
          </w:rPr>
          <w:t>2.1</w:t>
        </w:r>
        <w:r>
          <w:rPr>
            <w:rFonts w:asciiTheme="minorHAnsi" w:eastAsiaTheme="minorEastAsia" w:hAnsiTheme="minorHAnsi" w:cstheme="minorBidi"/>
            <w:b w:val="0"/>
            <w:caps w:val="0"/>
            <w:noProof/>
            <w:sz w:val="22"/>
            <w:szCs w:val="22"/>
          </w:rPr>
          <w:tab/>
        </w:r>
        <w:r w:rsidRPr="00D1488D">
          <w:rPr>
            <w:rStyle w:val="Hyperlink"/>
            <w:noProof/>
          </w:rPr>
          <w:t>Epidemiology</w:t>
        </w:r>
        <w:r>
          <w:rPr>
            <w:noProof/>
            <w:webHidden/>
          </w:rPr>
          <w:tab/>
        </w:r>
        <w:r>
          <w:rPr>
            <w:noProof/>
            <w:webHidden/>
          </w:rPr>
          <w:fldChar w:fldCharType="begin"/>
        </w:r>
        <w:r>
          <w:rPr>
            <w:noProof/>
            <w:webHidden/>
          </w:rPr>
          <w:instrText xml:space="preserve"> PAGEREF _Toc483314931 \h </w:instrText>
        </w:r>
        <w:r>
          <w:rPr>
            <w:noProof/>
            <w:webHidden/>
          </w:rPr>
        </w:r>
        <w:r>
          <w:rPr>
            <w:noProof/>
            <w:webHidden/>
          </w:rPr>
          <w:fldChar w:fldCharType="separate"/>
        </w:r>
        <w:r>
          <w:rPr>
            <w:noProof/>
            <w:webHidden/>
          </w:rPr>
          <w:t>4</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2" w:history="1">
        <w:r w:rsidRPr="00D1488D">
          <w:rPr>
            <w:rStyle w:val="Hyperlink"/>
            <w:noProof/>
          </w:rPr>
          <w:t>2.2</w:t>
        </w:r>
        <w:r>
          <w:rPr>
            <w:rFonts w:asciiTheme="minorHAnsi" w:eastAsiaTheme="minorEastAsia" w:hAnsiTheme="minorHAnsi" w:cstheme="minorBidi"/>
            <w:b w:val="0"/>
            <w:caps w:val="0"/>
            <w:noProof/>
            <w:sz w:val="22"/>
            <w:szCs w:val="22"/>
          </w:rPr>
          <w:tab/>
        </w:r>
        <w:r w:rsidRPr="00D1488D">
          <w:rPr>
            <w:rStyle w:val="Hyperlink"/>
            <w:noProof/>
          </w:rPr>
          <w:t>Microbiology</w:t>
        </w:r>
        <w:r>
          <w:rPr>
            <w:noProof/>
            <w:webHidden/>
          </w:rPr>
          <w:tab/>
        </w:r>
        <w:r>
          <w:rPr>
            <w:noProof/>
            <w:webHidden/>
          </w:rPr>
          <w:fldChar w:fldCharType="begin"/>
        </w:r>
        <w:r>
          <w:rPr>
            <w:noProof/>
            <w:webHidden/>
          </w:rPr>
          <w:instrText xml:space="preserve"> PAGEREF _Toc483314932 \h </w:instrText>
        </w:r>
        <w:r>
          <w:rPr>
            <w:noProof/>
            <w:webHidden/>
          </w:rPr>
        </w:r>
        <w:r>
          <w:rPr>
            <w:noProof/>
            <w:webHidden/>
          </w:rPr>
          <w:fldChar w:fldCharType="separate"/>
        </w:r>
        <w:r>
          <w:rPr>
            <w:noProof/>
            <w:webHidden/>
          </w:rPr>
          <w:t>4</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3" w:history="1">
        <w:r w:rsidRPr="00D1488D">
          <w:rPr>
            <w:rStyle w:val="Hyperlink"/>
            <w:noProof/>
          </w:rPr>
          <w:t>2.3</w:t>
        </w:r>
        <w:r>
          <w:rPr>
            <w:rFonts w:asciiTheme="minorHAnsi" w:eastAsiaTheme="minorEastAsia" w:hAnsiTheme="minorHAnsi" w:cstheme="minorBidi"/>
            <w:b w:val="0"/>
            <w:caps w:val="0"/>
            <w:noProof/>
            <w:sz w:val="22"/>
            <w:szCs w:val="22"/>
          </w:rPr>
          <w:tab/>
        </w:r>
        <w:r w:rsidRPr="00D1488D">
          <w:rPr>
            <w:rStyle w:val="Hyperlink"/>
            <w:noProof/>
          </w:rPr>
          <w:t>Clinical manifestation &amp; Symptoms</w:t>
        </w:r>
        <w:r>
          <w:rPr>
            <w:noProof/>
            <w:webHidden/>
          </w:rPr>
          <w:tab/>
        </w:r>
        <w:r>
          <w:rPr>
            <w:noProof/>
            <w:webHidden/>
          </w:rPr>
          <w:fldChar w:fldCharType="begin"/>
        </w:r>
        <w:r>
          <w:rPr>
            <w:noProof/>
            <w:webHidden/>
          </w:rPr>
          <w:instrText xml:space="preserve"> PAGEREF _Toc483314933 \h </w:instrText>
        </w:r>
        <w:r>
          <w:rPr>
            <w:noProof/>
            <w:webHidden/>
          </w:rPr>
        </w:r>
        <w:r>
          <w:rPr>
            <w:noProof/>
            <w:webHidden/>
          </w:rPr>
          <w:fldChar w:fldCharType="separate"/>
        </w:r>
        <w:r>
          <w:rPr>
            <w:noProof/>
            <w:webHidden/>
          </w:rPr>
          <w:t>5</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4" w:history="1">
        <w:r w:rsidRPr="00D1488D">
          <w:rPr>
            <w:rStyle w:val="Hyperlink"/>
            <w:noProof/>
          </w:rPr>
          <w:t>2.4</w:t>
        </w:r>
        <w:r>
          <w:rPr>
            <w:rFonts w:asciiTheme="minorHAnsi" w:eastAsiaTheme="minorEastAsia" w:hAnsiTheme="minorHAnsi" w:cstheme="minorBidi"/>
            <w:b w:val="0"/>
            <w:caps w:val="0"/>
            <w:noProof/>
            <w:sz w:val="22"/>
            <w:szCs w:val="22"/>
          </w:rPr>
          <w:tab/>
        </w:r>
        <w:r w:rsidRPr="00D1488D">
          <w:rPr>
            <w:rStyle w:val="Hyperlink"/>
            <w:noProof/>
          </w:rPr>
          <w:t>Diagnostic testing</w:t>
        </w:r>
        <w:r>
          <w:rPr>
            <w:noProof/>
            <w:webHidden/>
          </w:rPr>
          <w:tab/>
        </w:r>
        <w:r>
          <w:rPr>
            <w:noProof/>
            <w:webHidden/>
          </w:rPr>
          <w:fldChar w:fldCharType="begin"/>
        </w:r>
        <w:r>
          <w:rPr>
            <w:noProof/>
            <w:webHidden/>
          </w:rPr>
          <w:instrText xml:space="preserve"> PAGEREF _Toc483314934 \h </w:instrText>
        </w:r>
        <w:r>
          <w:rPr>
            <w:noProof/>
            <w:webHidden/>
          </w:rPr>
        </w:r>
        <w:r>
          <w:rPr>
            <w:noProof/>
            <w:webHidden/>
          </w:rPr>
          <w:fldChar w:fldCharType="separate"/>
        </w:r>
        <w:r>
          <w:rPr>
            <w:noProof/>
            <w:webHidden/>
          </w:rPr>
          <w:t>6</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5" w:history="1">
        <w:r w:rsidRPr="00D1488D">
          <w:rPr>
            <w:rStyle w:val="Hyperlink"/>
            <w:noProof/>
          </w:rPr>
          <w:t>2.5</w:t>
        </w:r>
        <w:r>
          <w:rPr>
            <w:rFonts w:asciiTheme="minorHAnsi" w:eastAsiaTheme="minorEastAsia" w:hAnsiTheme="minorHAnsi" w:cstheme="minorBidi"/>
            <w:b w:val="0"/>
            <w:caps w:val="0"/>
            <w:noProof/>
            <w:sz w:val="22"/>
            <w:szCs w:val="22"/>
          </w:rPr>
          <w:tab/>
        </w:r>
        <w:r w:rsidRPr="00D1488D">
          <w:rPr>
            <w:rStyle w:val="Hyperlink"/>
            <w:noProof/>
          </w:rPr>
          <w:t>Treatment</w:t>
        </w:r>
        <w:r>
          <w:rPr>
            <w:noProof/>
            <w:webHidden/>
          </w:rPr>
          <w:tab/>
        </w:r>
        <w:r>
          <w:rPr>
            <w:noProof/>
            <w:webHidden/>
          </w:rPr>
          <w:fldChar w:fldCharType="begin"/>
        </w:r>
        <w:r>
          <w:rPr>
            <w:noProof/>
            <w:webHidden/>
          </w:rPr>
          <w:instrText xml:space="preserve"> PAGEREF _Toc483314935 \h </w:instrText>
        </w:r>
        <w:r>
          <w:rPr>
            <w:noProof/>
            <w:webHidden/>
          </w:rPr>
        </w:r>
        <w:r>
          <w:rPr>
            <w:noProof/>
            <w:webHidden/>
          </w:rPr>
          <w:fldChar w:fldCharType="separate"/>
        </w:r>
        <w:r>
          <w:rPr>
            <w:noProof/>
            <w:webHidden/>
          </w:rPr>
          <w:t>7</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6" w:history="1">
        <w:r w:rsidRPr="00D1488D">
          <w:rPr>
            <w:rStyle w:val="Hyperlink"/>
            <w:noProof/>
          </w:rPr>
          <w:t>2.6</w:t>
        </w:r>
        <w:r>
          <w:rPr>
            <w:rFonts w:asciiTheme="minorHAnsi" w:eastAsiaTheme="minorEastAsia" w:hAnsiTheme="minorHAnsi" w:cstheme="minorBidi"/>
            <w:b w:val="0"/>
            <w:caps w:val="0"/>
            <w:noProof/>
            <w:sz w:val="22"/>
            <w:szCs w:val="22"/>
          </w:rPr>
          <w:tab/>
        </w:r>
        <w:r w:rsidRPr="00D1488D">
          <w:rPr>
            <w:rStyle w:val="Hyperlink"/>
            <w:noProof/>
          </w:rPr>
          <w:t>current situation in the united states</w:t>
        </w:r>
        <w:r>
          <w:rPr>
            <w:noProof/>
            <w:webHidden/>
          </w:rPr>
          <w:tab/>
        </w:r>
        <w:r>
          <w:rPr>
            <w:noProof/>
            <w:webHidden/>
          </w:rPr>
          <w:fldChar w:fldCharType="begin"/>
        </w:r>
        <w:r>
          <w:rPr>
            <w:noProof/>
            <w:webHidden/>
          </w:rPr>
          <w:instrText xml:space="preserve"> PAGEREF _Toc483314936 \h </w:instrText>
        </w:r>
        <w:r>
          <w:rPr>
            <w:noProof/>
            <w:webHidden/>
          </w:rPr>
        </w:r>
        <w:r>
          <w:rPr>
            <w:noProof/>
            <w:webHidden/>
          </w:rPr>
          <w:fldChar w:fldCharType="separate"/>
        </w:r>
        <w:r>
          <w:rPr>
            <w:noProof/>
            <w:webHidden/>
          </w:rPr>
          <w:t>8</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7" w:history="1">
        <w:r w:rsidRPr="00D1488D">
          <w:rPr>
            <w:rStyle w:val="Hyperlink"/>
            <w:noProof/>
          </w:rPr>
          <w:t>2.7</w:t>
        </w:r>
        <w:r>
          <w:rPr>
            <w:rFonts w:asciiTheme="minorHAnsi" w:eastAsiaTheme="minorEastAsia" w:hAnsiTheme="minorHAnsi" w:cstheme="minorBidi"/>
            <w:b w:val="0"/>
            <w:caps w:val="0"/>
            <w:noProof/>
            <w:sz w:val="22"/>
            <w:szCs w:val="22"/>
          </w:rPr>
          <w:tab/>
        </w:r>
        <w:r w:rsidRPr="00D1488D">
          <w:rPr>
            <w:rStyle w:val="Hyperlink"/>
            <w:noProof/>
          </w:rPr>
          <w:t>transmission in hospital settings</w:t>
        </w:r>
        <w:r>
          <w:rPr>
            <w:noProof/>
            <w:webHidden/>
          </w:rPr>
          <w:tab/>
        </w:r>
        <w:r>
          <w:rPr>
            <w:noProof/>
            <w:webHidden/>
          </w:rPr>
          <w:fldChar w:fldCharType="begin"/>
        </w:r>
        <w:r>
          <w:rPr>
            <w:noProof/>
            <w:webHidden/>
          </w:rPr>
          <w:instrText xml:space="preserve"> PAGEREF _Toc483314937 \h </w:instrText>
        </w:r>
        <w:r>
          <w:rPr>
            <w:noProof/>
            <w:webHidden/>
          </w:rPr>
        </w:r>
        <w:r>
          <w:rPr>
            <w:noProof/>
            <w:webHidden/>
          </w:rPr>
          <w:fldChar w:fldCharType="separate"/>
        </w:r>
        <w:r>
          <w:rPr>
            <w:noProof/>
            <w:webHidden/>
          </w:rPr>
          <w:t>9</w:t>
        </w:r>
        <w:r>
          <w:rPr>
            <w:noProof/>
            <w:webHidden/>
          </w:rPr>
          <w:fldChar w:fldCharType="end"/>
        </w:r>
      </w:hyperlink>
    </w:p>
    <w:p w:rsidR="00166174" w:rsidRDefault="0016617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3314938" w:history="1">
        <w:r w:rsidRPr="00D1488D">
          <w:rPr>
            <w:rStyle w:val="Hyperlink"/>
            <w:noProof/>
          </w:rPr>
          <w:t>3.0</w:t>
        </w:r>
        <w:r>
          <w:rPr>
            <w:rFonts w:asciiTheme="minorHAnsi" w:eastAsiaTheme="minorEastAsia" w:hAnsiTheme="minorHAnsi" w:cstheme="minorBidi"/>
            <w:b w:val="0"/>
            <w:caps w:val="0"/>
            <w:noProof/>
            <w:sz w:val="22"/>
            <w:szCs w:val="22"/>
          </w:rPr>
          <w:tab/>
        </w:r>
        <w:r w:rsidRPr="00D1488D">
          <w:rPr>
            <w:rStyle w:val="Hyperlink"/>
            <w:noProof/>
          </w:rPr>
          <w:t>methods</w:t>
        </w:r>
        <w:r>
          <w:rPr>
            <w:noProof/>
            <w:webHidden/>
          </w:rPr>
          <w:tab/>
        </w:r>
        <w:r>
          <w:rPr>
            <w:noProof/>
            <w:webHidden/>
          </w:rPr>
          <w:fldChar w:fldCharType="begin"/>
        </w:r>
        <w:r>
          <w:rPr>
            <w:noProof/>
            <w:webHidden/>
          </w:rPr>
          <w:instrText xml:space="preserve"> PAGEREF _Toc483314938 \h </w:instrText>
        </w:r>
        <w:r>
          <w:rPr>
            <w:noProof/>
            <w:webHidden/>
          </w:rPr>
        </w:r>
        <w:r>
          <w:rPr>
            <w:noProof/>
            <w:webHidden/>
          </w:rPr>
          <w:fldChar w:fldCharType="separate"/>
        </w:r>
        <w:r>
          <w:rPr>
            <w:noProof/>
            <w:webHidden/>
          </w:rPr>
          <w:t>11</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39" w:history="1">
        <w:r w:rsidRPr="00D1488D">
          <w:rPr>
            <w:rStyle w:val="Hyperlink"/>
            <w:noProof/>
          </w:rPr>
          <w:t>3.1</w:t>
        </w:r>
        <w:r>
          <w:rPr>
            <w:rFonts w:asciiTheme="minorHAnsi" w:eastAsiaTheme="minorEastAsia" w:hAnsiTheme="minorHAnsi" w:cstheme="minorBidi"/>
            <w:b w:val="0"/>
            <w:caps w:val="0"/>
            <w:noProof/>
            <w:sz w:val="22"/>
            <w:szCs w:val="22"/>
          </w:rPr>
          <w:tab/>
        </w:r>
        <w:r w:rsidRPr="00D1488D">
          <w:rPr>
            <w:rStyle w:val="Hyperlink"/>
            <w:noProof/>
          </w:rPr>
          <w:t>quality improvement project</w:t>
        </w:r>
        <w:r>
          <w:rPr>
            <w:noProof/>
            <w:webHidden/>
          </w:rPr>
          <w:tab/>
        </w:r>
        <w:r>
          <w:rPr>
            <w:noProof/>
            <w:webHidden/>
          </w:rPr>
          <w:fldChar w:fldCharType="begin"/>
        </w:r>
        <w:r>
          <w:rPr>
            <w:noProof/>
            <w:webHidden/>
          </w:rPr>
          <w:instrText xml:space="preserve"> PAGEREF _Toc483314939 \h </w:instrText>
        </w:r>
        <w:r>
          <w:rPr>
            <w:noProof/>
            <w:webHidden/>
          </w:rPr>
        </w:r>
        <w:r>
          <w:rPr>
            <w:noProof/>
            <w:webHidden/>
          </w:rPr>
          <w:fldChar w:fldCharType="separate"/>
        </w:r>
        <w:r>
          <w:rPr>
            <w:noProof/>
            <w:webHidden/>
          </w:rPr>
          <w:t>11</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0" w:history="1">
        <w:r w:rsidRPr="00D1488D">
          <w:rPr>
            <w:rStyle w:val="Hyperlink"/>
            <w:noProof/>
          </w:rPr>
          <w:t>3.2</w:t>
        </w:r>
        <w:r>
          <w:rPr>
            <w:rFonts w:asciiTheme="minorHAnsi" w:eastAsiaTheme="minorEastAsia" w:hAnsiTheme="minorHAnsi" w:cstheme="minorBidi"/>
            <w:b w:val="0"/>
            <w:caps w:val="0"/>
            <w:noProof/>
            <w:sz w:val="22"/>
            <w:szCs w:val="22"/>
          </w:rPr>
          <w:tab/>
        </w:r>
        <w:r w:rsidRPr="00D1488D">
          <w:rPr>
            <w:rStyle w:val="Hyperlink"/>
            <w:noProof/>
          </w:rPr>
          <w:t>contact investigation description</w:t>
        </w:r>
        <w:r>
          <w:rPr>
            <w:noProof/>
            <w:webHidden/>
          </w:rPr>
          <w:tab/>
        </w:r>
        <w:r>
          <w:rPr>
            <w:noProof/>
            <w:webHidden/>
          </w:rPr>
          <w:fldChar w:fldCharType="begin"/>
        </w:r>
        <w:r>
          <w:rPr>
            <w:noProof/>
            <w:webHidden/>
          </w:rPr>
          <w:instrText xml:space="preserve"> PAGEREF _Toc483314940 \h </w:instrText>
        </w:r>
        <w:r>
          <w:rPr>
            <w:noProof/>
            <w:webHidden/>
          </w:rPr>
        </w:r>
        <w:r>
          <w:rPr>
            <w:noProof/>
            <w:webHidden/>
          </w:rPr>
          <w:fldChar w:fldCharType="separate"/>
        </w:r>
        <w:r>
          <w:rPr>
            <w:noProof/>
            <w:webHidden/>
          </w:rPr>
          <w:t>12</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1" w:history="1">
        <w:r w:rsidRPr="00D1488D">
          <w:rPr>
            <w:rStyle w:val="Hyperlink"/>
            <w:noProof/>
          </w:rPr>
          <w:t>3.3</w:t>
        </w:r>
        <w:r>
          <w:rPr>
            <w:rFonts w:asciiTheme="minorHAnsi" w:eastAsiaTheme="minorEastAsia" w:hAnsiTheme="minorHAnsi" w:cstheme="minorBidi"/>
            <w:b w:val="0"/>
            <w:caps w:val="0"/>
            <w:noProof/>
            <w:sz w:val="22"/>
            <w:szCs w:val="22"/>
          </w:rPr>
          <w:tab/>
        </w:r>
        <w:r w:rsidRPr="00D1488D">
          <w:rPr>
            <w:rStyle w:val="Hyperlink"/>
            <w:noProof/>
          </w:rPr>
          <w:t>contact investigation review</w:t>
        </w:r>
        <w:r>
          <w:rPr>
            <w:noProof/>
            <w:webHidden/>
          </w:rPr>
          <w:tab/>
        </w:r>
        <w:r>
          <w:rPr>
            <w:noProof/>
            <w:webHidden/>
          </w:rPr>
          <w:fldChar w:fldCharType="begin"/>
        </w:r>
        <w:r>
          <w:rPr>
            <w:noProof/>
            <w:webHidden/>
          </w:rPr>
          <w:instrText xml:space="preserve"> PAGEREF _Toc483314941 \h </w:instrText>
        </w:r>
        <w:r>
          <w:rPr>
            <w:noProof/>
            <w:webHidden/>
          </w:rPr>
        </w:r>
        <w:r>
          <w:rPr>
            <w:noProof/>
            <w:webHidden/>
          </w:rPr>
          <w:fldChar w:fldCharType="separate"/>
        </w:r>
        <w:r>
          <w:rPr>
            <w:noProof/>
            <w:webHidden/>
          </w:rPr>
          <w:t>13</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2" w:history="1">
        <w:r w:rsidRPr="00D1488D">
          <w:rPr>
            <w:rStyle w:val="Hyperlink"/>
            <w:noProof/>
          </w:rPr>
          <w:t>3.4</w:t>
        </w:r>
        <w:r>
          <w:rPr>
            <w:rFonts w:asciiTheme="minorHAnsi" w:eastAsiaTheme="minorEastAsia" w:hAnsiTheme="minorHAnsi" w:cstheme="minorBidi"/>
            <w:b w:val="0"/>
            <w:caps w:val="0"/>
            <w:noProof/>
            <w:sz w:val="22"/>
            <w:szCs w:val="22"/>
          </w:rPr>
          <w:tab/>
        </w:r>
        <w:r w:rsidRPr="00D1488D">
          <w:rPr>
            <w:rStyle w:val="Hyperlink"/>
            <w:noProof/>
          </w:rPr>
          <w:t>method limitations</w:t>
        </w:r>
        <w:r>
          <w:rPr>
            <w:noProof/>
            <w:webHidden/>
          </w:rPr>
          <w:tab/>
        </w:r>
        <w:r>
          <w:rPr>
            <w:noProof/>
            <w:webHidden/>
          </w:rPr>
          <w:fldChar w:fldCharType="begin"/>
        </w:r>
        <w:r>
          <w:rPr>
            <w:noProof/>
            <w:webHidden/>
          </w:rPr>
          <w:instrText xml:space="preserve"> PAGEREF _Toc483314942 \h </w:instrText>
        </w:r>
        <w:r>
          <w:rPr>
            <w:noProof/>
            <w:webHidden/>
          </w:rPr>
        </w:r>
        <w:r>
          <w:rPr>
            <w:noProof/>
            <w:webHidden/>
          </w:rPr>
          <w:fldChar w:fldCharType="separate"/>
        </w:r>
        <w:r>
          <w:rPr>
            <w:noProof/>
            <w:webHidden/>
          </w:rPr>
          <w:t>16</w:t>
        </w:r>
        <w:r>
          <w:rPr>
            <w:noProof/>
            <w:webHidden/>
          </w:rPr>
          <w:fldChar w:fldCharType="end"/>
        </w:r>
      </w:hyperlink>
    </w:p>
    <w:p w:rsidR="00166174" w:rsidRDefault="0016617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3314943" w:history="1">
        <w:r w:rsidRPr="00D1488D">
          <w:rPr>
            <w:rStyle w:val="Hyperlink"/>
            <w:noProof/>
          </w:rPr>
          <w:t>4.0</w:t>
        </w:r>
        <w:r>
          <w:rPr>
            <w:rFonts w:asciiTheme="minorHAnsi" w:eastAsiaTheme="minorEastAsia" w:hAnsiTheme="minorHAnsi" w:cstheme="minorBidi"/>
            <w:b w:val="0"/>
            <w:caps w:val="0"/>
            <w:noProof/>
            <w:sz w:val="22"/>
            <w:szCs w:val="22"/>
          </w:rPr>
          <w:tab/>
        </w:r>
        <w:r w:rsidRPr="00D1488D">
          <w:rPr>
            <w:rStyle w:val="Hyperlink"/>
            <w:noProof/>
          </w:rPr>
          <w:t>results</w:t>
        </w:r>
        <w:r>
          <w:rPr>
            <w:noProof/>
            <w:webHidden/>
          </w:rPr>
          <w:tab/>
        </w:r>
        <w:r>
          <w:rPr>
            <w:noProof/>
            <w:webHidden/>
          </w:rPr>
          <w:fldChar w:fldCharType="begin"/>
        </w:r>
        <w:r>
          <w:rPr>
            <w:noProof/>
            <w:webHidden/>
          </w:rPr>
          <w:instrText xml:space="preserve"> PAGEREF _Toc483314943 \h </w:instrText>
        </w:r>
        <w:r>
          <w:rPr>
            <w:noProof/>
            <w:webHidden/>
          </w:rPr>
        </w:r>
        <w:r>
          <w:rPr>
            <w:noProof/>
            <w:webHidden/>
          </w:rPr>
          <w:fldChar w:fldCharType="separate"/>
        </w:r>
        <w:r>
          <w:rPr>
            <w:noProof/>
            <w:webHidden/>
          </w:rPr>
          <w:t>17</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4" w:history="1">
        <w:r w:rsidRPr="00D1488D">
          <w:rPr>
            <w:rStyle w:val="Hyperlink"/>
            <w:noProof/>
          </w:rPr>
          <w:t>4.1</w:t>
        </w:r>
        <w:r>
          <w:rPr>
            <w:rFonts w:asciiTheme="minorHAnsi" w:eastAsiaTheme="minorEastAsia" w:hAnsiTheme="minorHAnsi" w:cstheme="minorBidi"/>
            <w:b w:val="0"/>
            <w:caps w:val="0"/>
            <w:noProof/>
            <w:sz w:val="22"/>
            <w:szCs w:val="22"/>
          </w:rPr>
          <w:tab/>
        </w:r>
        <w:r w:rsidRPr="00D1488D">
          <w:rPr>
            <w:rStyle w:val="Hyperlink"/>
            <w:noProof/>
          </w:rPr>
          <w:t>Contact investigation results</w:t>
        </w:r>
        <w:r>
          <w:rPr>
            <w:noProof/>
            <w:webHidden/>
          </w:rPr>
          <w:tab/>
        </w:r>
        <w:r>
          <w:rPr>
            <w:noProof/>
            <w:webHidden/>
          </w:rPr>
          <w:fldChar w:fldCharType="begin"/>
        </w:r>
        <w:r>
          <w:rPr>
            <w:noProof/>
            <w:webHidden/>
          </w:rPr>
          <w:instrText xml:space="preserve"> PAGEREF _Toc483314944 \h </w:instrText>
        </w:r>
        <w:r>
          <w:rPr>
            <w:noProof/>
            <w:webHidden/>
          </w:rPr>
        </w:r>
        <w:r>
          <w:rPr>
            <w:noProof/>
            <w:webHidden/>
          </w:rPr>
          <w:fldChar w:fldCharType="separate"/>
        </w:r>
        <w:r>
          <w:rPr>
            <w:noProof/>
            <w:webHidden/>
          </w:rPr>
          <w:t>17</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5" w:history="1">
        <w:r w:rsidRPr="00D1488D">
          <w:rPr>
            <w:rStyle w:val="Hyperlink"/>
            <w:noProof/>
          </w:rPr>
          <w:t>4.2</w:t>
        </w:r>
        <w:r>
          <w:rPr>
            <w:rFonts w:asciiTheme="minorHAnsi" w:eastAsiaTheme="minorEastAsia" w:hAnsiTheme="minorHAnsi" w:cstheme="minorBidi"/>
            <w:b w:val="0"/>
            <w:caps w:val="0"/>
            <w:noProof/>
            <w:sz w:val="22"/>
            <w:szCs w:val="22"/>
          </w:rPr>
          <w:tab/>
        </w:r>
        <w:r w:rsidRPr="00D1488D">
          <w:rPr>
            <w:rStyle w:val="Hyperlink"/>
            <w:noProof/>
          </w:rPr>
          <w:t>patient demongraphics</w:t>
        </w:r>
        <w:r>
          <w:rPr>
            <w:noProof/>
            <w:webHidden/>
          </w:rPr>
          <w:tab/>
        </w:r>
        <w:r>
          <w:rPr>
            <w:noProof/>
            <w:webHidden/>
          </w:rPr>
          <w:fldChar w:fldCharType="begin"/>
        </w:r>
        <w:r>
          <w:rPr>
            <w:noProof/>
            <w:webHidden/>
          </w:rPr>
          <w:instrText xml:space="preserve"> PAGEREF _Toc483314945 \h </w:instrText>
        </w:r>
        <w:r>
          <w:rPr>
            <w:noProof/>
            <w:webHidden/>
          </w:rPr>
        </w:r>
        <w:r>
          <w:rPr>
            <w:noProof/>
            <w:webHidden/>
          </w:rPr>
          <w:fldChar w:fldCharType="separate"/>
        </w:r>
        <w:r>
          <w:rPr>
            <w:noProof/>
            <w:webHidden/>
          </w:rPr>
          <w:t>20</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6" w:history="1">
        <w:r w:rsidRPr="00D1488D">
          <w:rPr>
            <w:rStyle w:val="Hyperlink"/>
            <w:noProof/>
          </w:rPr>
          <w:t>4.3</w:t>
        </w:r>
        <w:r>
          <w:rPr>
            <w:rFonts w:asciiTheme="minorHAnsi" w:eastAsiaTheme="minorEastAsia" w:hAnsiTheme="minorHAnsi" w:cstheme="minorBidi"/>
            <w:b w:val="0"/>
            <w:caps w:val="0"/>
            <w:noProof/>
            <w:sz w:val="22"/>
            <w:szCs w:val="22"/>
          </w:rPr>
          <w:tab/>
        </w:r>
        <w:r w:rsidRPr="00D1488D">
          <w:rPr>
            <w:rStyle w:val="Hyperlink"/>
            <w:noProof/>
          </w:rPr>
          <w:t>testing compliance and conversions</w:t>
        </w:r>
        <w:r>
          <w:rPr>
            <w:noProof/>
            <w:webHidden/>
          </w:rPr>
          <w:tab/>
        </w:r>
        <w:r>
          <w:rPr>
            <w:noProof/>
            <w:webHidden/>
          </w:rPr>
          <w:fldChar w:fldCharType="begin"/>
        </w:r>
        <w:r>
          <w:rPr>
            <w:noProof/>
            <w:webHidden/>
          </w:rPr>
          <w:instrText xml:space="preserve"> PAGEREF _Toc483314946 \h </w:instrText>
        </w:r>
        <w:r>
          <w:rPr>
            <w:noProof/>
            <w:webHidden/>
          </w:rPr>
        </w:r>
        <w:r>
          <w:rPr>
            <w:noProof/>
            <w:webHidden/>
          </w:rPr>
          <w:fldChar w:fldCharType="separate"/>
        </w:r>
        <w:r>
          <w:rPr>
            <w:noProof/>
            <w:webHidden/>
          </w:rPr>
          <w:t>21</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7" w:history="1">
        <w:r w:rsidRPr="00D1488D">
          <w:rPr>
            <w:rStyle w:val="Hyperlink"/>
            <w:noProof/>
          </w:rPr>
          <w:t>4.4</w:t>
        </w:r>
        <w:r>
          <w:rPr>
            <w:rFonts w:asciiTheme="minorHAnsi" w:eastAsiaTheme="minorEastAsia" w:hAnsiTheme="minorHAnsi" w:cstheme="minorBidi"/>
            <w:b w:val="0"/>
            <w:caps w:val="0"/>
            <w:noProof/>
            <w:sz w:val="22"/>
            <w:szCs w:val="22"/>
          </w:rPr>
          <w:tab/>
        </w:r>
        <w:r w:rsidRPr="00D1488D">
          <w:rPr>
            <w:rStyle w:val="Hyperlink"/>
            <w:noProof/>
          </w:rPr>
          <w:t>tst testing results of patient tested sample</w:t>
        </w:r>
        <w:r>
          <w:rPr>
            <w:noProof/>
            <w:webHidden/>
          </w:rPr>
          <w:tab/>
        </w:r>
        <w:r>
          <w:rPr>
            <w:noProof/>
            <w:webHidden/>
          </w:rPr>
          <w:fldChar w:fldCharType="begin"/>
        </w:r>
        <w:r>
          <w:rPr>
            <w:noProof/>
            <w:webHidden/>
          </w:rPr>
          <w:instrText xml:space="preserve"> PAGEREF _Toc483314947 \h </w:instrText>
        </w:r>
        <w:r>
          <w:rPr>
            <w:noProof/>
            <w:webHidden/>
          </w:rPr>
        </w:r>
        <w:r>
          <w:rPr>
            <w:noProof/>
            <w:webHidden/>
          </w:rPr>
          <w:fldChar w:fldCharType="separate"/>
        </w:r>
        <w:r>
          <w:rPr>
            <w:noProof/>
            <w:webHidden/>
          </w:rPr>
          <w:t>22</w:t>
        </w:r>
        <w:r>
          <w:rPr>
            <w:noProof/>
            <w:webHidden/>
          </w:rPr>
          <w:fldChar w:fldCharType="end"/>
        </w:r>
      </w:hyperlink>
    </w:p>
    <w:p w:rsidR="00166174" w:rsidRDefault="0016617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3314948" w:history="1">
        <w:r w:rsidRPr="00D1488D">
          <w:rPr>
            <w:rStyle w:val="Hyperlink"/>
            <w:noProof/>
          </w:rPr>
          <w:t>4.5</w:t>
        </w:r>
        <w:r>
          <w:rPr>
            <w:rFonts w:asciiTheme="minorHAnsi" w:eastAsiaTheme="minorEastAsia" w:hAnsiTheme="minorHAnsi" w:cstheme="minorBidi"/>
            <w:b w:val="0"/>
            <w:caps w:val="0"/>
            <w:noProof/>
            <w:sz w:val="22"/>
            <w:szCs w:val="22"/>
          </w:rPr>
          <w:tab/>
        </w:r>
        <w:r w:rsidRPr="00D1488D">
          <w:rPr>
            <w:rStyle w:val="Hyperlink"/>
            <w:noProof/>
          </w:rPr>
          <w:t>algorithm developed</w:t>
        </w:r>
        <w:r>
          <w:rPr>
            <w:noProof/>
            <w:webHidden/>
          </w:rPr>
          <w:tab/>
        </w:r>
        <w:r>
          <w:rPr>
            <w:noProof/>
            <w:webHidden/>
          </w:rPr>
          <w:fldChar w:fldCharType="begin"/>
        </w:r>
        <w:r>
          <w:rPr>
            <w:noProof/>
            <w:webHidden/>
          </w:rPr>
          <w:instrText xml:space="preserve"> PAGEREF _Toc483314948 \h </w:instrText>
        </w:r>
        <w:r>
          <w:rPr>
            <w:noProof/>
            <w:webHidden/>
          </w:rPr>
        </w:r>
        <w:r>
          <w:rPr>
            <w:noProof/>
            <w:webHidden/>
          </w:rPr>
          <w:fldChar w:fldCharType="separate"/>
        </w:r>
        <w:r>
          <w:rPr>
            <w:noProof/>
            <w:webHidden/>
          </w:rPr>
          <w:t>23</w:t>
        </w:r>
        <w:r>
          <w:rPr>
            <w:noProof/>
            <w:webHidden/>
          </w:rPr>
          <w:fldChar w:fldCharType="end"/>
        </w:r>
      </w:hyperlink>
    </w:p>
    <w:p w:rsidR="00166174" w:rsidRDefault="0016617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3314949" w:history="1">
        <w:r w:rsidRPr="00D1488D">
          <w:rPr>
            <w:rStyle w:val="Hyperlink"/>
            <w:noProof/>
          </w:rPr>
          <w:t>5.0</w:t>
        </w:r>
        <w:r>
          <w:rPr>
            <w:rFonts w:asciiTheme="minorHAnsi" w:eastAsiaTheme="minorEastAsia" w:hAnsiTheme="minorHAnsi" w:cstheme="minorBidi"/>
            <w:b w:val="0"/>
            <w:caps w:val="0"/>
            <w:noProof/>
            <w:sz w:val="22"/>
            <w:szCs w:val="22"/>
          </w:rPr>
          <w:tab/>
        </w:r>
        <w:r w:rsidRPr="00D1488D">
          <w:rPr>
            <w:rStyle w:val="Hyperlink"/>
            <w:noProof/>
          </w:rPr>
          <w:t>discussion</w:t>
        </w:r>
        <w:r>
          <w:rPr>
            <w:noProof/>
            <w:webHidden/>
          </w:rPr>
          <w:tab/>
        </w:r>
        <w:r>
          <w:rPr>
            <w:noProof/>
            <w:webHidden/>
          </w:rPr>
          <w:fldChar w:fldCharType="begin"/>
        </w:r>
        <w:r>
          <w:rPr>
            <w:noProof/>
            <w:webHidden/>
          </w:rPr>
          <w:instrText xml:space="preserve"> PAGEREF _Toc483314949 \h </w:instrText>
        </w:r>
        <w:r>
          <w:rPr>
            <w:noProof/>
            <w:webHidden/>
          </w:rPr>
        </w:r>
        <w:r>
          <w:rPr>
            <w:noProof/>
            <w:webHidden/>
          </w:rPr>
          <w:fldChar w:fldCharType="separate"/>
        </w:r>
        <w:r>
          <w:rPr>
            <w:noProof/>
            <w:webHidden/>
          </w:rPr>
          <w:t>25</w:t>
        </w:r>
        <w:r>
          <w:rPr>
            <w:noProof/>
            <w:webHidden/>
          </w:rPr>
          <w:fldChar w:fldCharType="end"/>
        </w:r>
      </w:hyperlink>
    </w:p>
    <w:p w:rsidR="00166174" w:rsidRDefault="0016617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3314950" w:history="1">
        <w:r w:rsidRPr="00D1488D">
          <w:rPr>
            <w:rStyle w:val="Hyperlink"/>
            <w:noProof/>
          </w:rPr>
          <w:t>6.0</w:t>
        </w:r>
        <w:r>
          <w:rPr>
            <w:rFonts w:asciiTheme="minorHAnsi" w:eastAsiaTheme="minorEastAsia" w:hAnsiTheme="minorHAnsi" w:cstheme="minorBidi"/>
            <w:b w:val="0"/>
            <w:caps w:val="0"/>
            <w:noProof/>
            <w:sz w:val="22"/>
            <w:szCs w:val="22"/>
          </w:rPr>
          <w:tab/>
        </w:r>
        <w:r w:rsidRPr="00D1488D">
          <w:rPr>
            <w:rStyle w:val="Hyperlink"/>
            <w:noProof/>
          </w:rPr>
          <w:t>conclusions</w:t>
        </w:r>
        <w:r>
          <w:rPr>
            <w:noProof/>
            <w:webHidden/>
          </w:rPr>
          <w:tab/>
        </w:r>
        <w:r>
          <w:rPr>
            <w:noProof/>
            <w:webHidden/>
          </w:rPr>
          <w:fldChar w:fldCharType="begin"/>
        </w:r>
        <w:r>
          <w:rPr>
            <w:noProof/>
            <w:webHidden/>
          </w:rPr>
          <w:instrText xml:space="preserve"> PAGEREF _Toc483314950 \h </w:instrText>
        </w:r>
        <w:r>
          <w:rPr>
            <w:noProof/>
            <w:webHidden/>
          </w:rPr>
        </w:r>
        <w:r>
          <w:rPr>
            <w:noProof/>
            <w:webHidden/>
          </w:rPr>
          <w:fldChar w:fldCharType="separate"/>
        </w:r>
        <w:r>
          <w:rPr>
            <w:noProof/>
            <w:webHidden/>
          </w:rPr>
          <w:t>28</w:t>
        </w:r>
        <w:r>
          <w:rPr>
            <w:noProof/>
            <w:webHidden/>
          </w:rPr>
          <w:fldChar w:fldCharType="end"/>
        </w:r>
      </w:hyperlink>
    </w:p>
    <w:p w:rsidR="00166174" w:rsidRDefault="00166174">
      <w:pPr>
        <w:pStyle w:val="TOC1"/>
        <w:tabs>
          <w:tab w:val="right" w:leader="dot" w:pos="9350"/>
        </w:tabs>
        <w:rPr>
          <w:rFonts w:asciiTheme="minorHAnsi" w:eastAsiaTheme="minorEastAsia" w:hAnsiTheme="minorHAnsi" w:cstheme="minorBidi"/>
          <w:b w:val="0"/>
          <w:caps w:val="0"/>
          <w:noProof/>
          <w:sz w:val="22"/>
          <w:szCs w:val="22"/>
        </w:rPr>
      </w:pPr>
      <w:hyperlink w:anchor="_Toc483314951" w:history="1">
        <w:r w:rsidRPr="00D1488D">
          <w:rPr>
            <w:rStyle w:val="Hyperlink"/>
            <w:noProof/>
          </w:rPr>
          <w:t>bibliography</w:t>
        </w:r>
        <w:r>
          <w:rPr>
            <w:noProof/>
            <w:webHidden/>
          </w:rPr>
          <w:tab/>
        </w:r>
        <w:r>
          <w:rPr>
            <w:noProof/>
            <w:webHidden/>
          </w:rPr>
          <w:fldChar w:fldCharType="begin"/>
        </w:r>
        <w:r>
          <w:rPr>
            <w:noProof/>
            <w:webHidden/>
          </w:rPr>
          <w:instrText xml:space="preserve"> PAGEREF _Toc483314951 \h </w:instrText>
        </w:r>
        <w:r>
          <w:rPr>
            <w:noProof/>
            <w:webHidden/>
          </w:rPr>
        </w:r>
        <w:r>
          <w:rPr>
            <w:noProof/>
            <w:webHidden/>
          </w:rPr>
          <w:fldChar w:fldCharType="separate"/>
        </w:r>
        <w:r>
          <w:rPr>
            <w:noProof/>
            <w:webHidden/>
          </w:rPr>
          <w:t>30</w:t>
        </w:r>
        <w:r>
          <w:rPr>
            <w:noProof/>
            <w:webHidden/>
          </w:rPr>
          <w:fldChar w:fldCharType="end"/>
        </w:r>
      </w:hyperlink>
    </w:p>
    <w:p w:rsidR="00CB03F9" w:rsidRDefault="00367476" w:rsidP="00035D1E">
      <w:pPr>
        <w:pStyle w:val="Preliminary"/>
      </w:pPr>
      <w:r>
        <w:fldChar w:fldCharType="end"/>
      </w:r>
      <w:r w:rsidR="00CB03F9">
        <w:t xml:space="preserve">List of </w:t>
      </w:r>
      <w:r w:rsidR="00CB03F9" w:rsidRPr="00B424B6">
        <w:t>tables</w:t>
      </w:r>
    </w:p>
    <w:p w:rsidR="00B21B31" w:rsidRPr="002C2079" w:rsidRDefault="00CB03F9">
      <w:pPr>
        <w:pStyle w:val="TableofFigures"/>
        <w:tabs>
          <w:tab w:val="right" w:leader="dot" w:pos="9350"/>
        </w:tabs>
        <w:rPr>
          <w:rFonts w:ascii="Calibri" w:hAnsi="Calibri"/>
          <w:noProof/>
          <w:sz w:val="22"/>
          <w:szCs w:val="22"/>
        </w:rPr>
      </w:pPr>
      <w:r>
        <w:fldChar w:fldCharType="begin"/>
      </w:r>
      <w:r>
        <w:instrText xml:space="preserve"> TOC \h \z \c "Table" </w:instrText>
      </w:r>
      <w:r>
        <w:fldChar w:fldCharType="separate"/>
      </w:r>
      <w:hyperlink w:anchor="_Toc467231912" w:history="1">
        <w:r w:rsidR="00B21B31" w:rsidRPr="001515E3">
          <w:rPr>
            <w:rStyle w:val="Hyperlink"/>
            <w:noProof/>
          </w:rPr>
          <w:t>Table 1: Patient Sample Tested, n=39</w:t>
        </w:r>
        <w:r w:rsidR="00B21B31">
          <w:rPr>
            <w:noProof/>
            <w:webHidden/>
          </w:rPr>
          <w:tab/>
        </w:r>
        <w:r w:rsidR="00B21B31">
          <w:rPr>
            <w:noProof/>
            <w:webHidden/>
          </w:rPr>
          <w:fldChar w:fldCharType="begin"/>
        </w:r>
        <w:r w:rsidR="00B21B31">
          <w:rPr>
            <w:noProof/>
            <w:webHidden/>
          </w:rPr>
          <w:instrText xml:space="preserve"> PAGEREF _Toc467231912 \h </w:instrText>
        </w:r>
        <w:r w:rsidR="00B21B31">
          <w:rPr>
            <w:noProof/>
            <w:webHidden/>
          </w:rPr>
        </w:r>
        <w:r w:rsidR="00B21B31">
          <w:rPr>
            <w:noProof/>
            <w:webHidden/>
          </w:rPr>
          <w:fldChar w:fldCharType="separate"/>
        </w:r>
        <w:r w:rsidR="00166174">
          <w:rPr>
            <w:noProof/>
            <w:webHidden/>
          </w:rPr>
          <w:t>20</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13" w:history="1">
        <w:r w:rsidR="00B21B31" w:rsidRPr="001515E3">
          <w:rPr>
            <w:rStyle w:val="Hyperlink"/>
            <w:noProof/>
          </w:rPr>
          <w:t>Table 2: Entire Patient Population, N=142</w:t>
        </w:r>
        <w:r w:rsidR="00B21B31">
          <w:rPr>
            <w:noProof/>
            <w:webHidden/>
          </w:rPr>
          <w:tab/>
        </w:r>
        <w:r w:rsidR="00B21B31">
          <w:rPr>
            <w:noProof/>
            <w:webHidden/>
          </w:rPr>
          <w:fldChar w:fldCharType="begin"/>
        </w:r>
        <w:r w:rsidR="00B21B31">
          <w:rPr>
            <w:noProof/>
            <w:webHidden/>
          </w:rPr>
          <w:instrText xml:space="preserve"> PAGEREF _Toc467231913 \h </w:instrText>
        </w:r>
        <w:r w:rsidR="00B21B31">
          <w:rPr>
            <w:noProof/>
            <w:webHidden/>
          </w:rPr>
        </w:r>
        <w:r w:rsidR="00B21B31">
          <w:rPr>
            <w:noProof/>
            <w:webHidden/>
          </w:rPr>
          <w:fldChar w:fldCharType="separate"/>
        </w:r>
        <w:r>
          <w:rPr>
            <w:noProof/>
            <w:webHidden/>
          </w:rPr>
          <w:t>21</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14" w:history="1">
        <w:r w:rsidR="00B21B31" w:rsidRPr="001515E3">
          <w:rPr>
            <w:rStyle w:val="Hyperlink"/>
            <w:noProof/>
          </w:rPr>
          <w:t>Table 3: TST Testing of Entire Patient Population</w:t>
        </w:r>
        <w:r w:rsidR="00B21B31">
          <w:rPr>
            <w:noProof/>
            <w:webHidden/>
          </w:rPr>
          <w:tab/>
        </w:r>
        <w:r w:rsidR="00B21B31">
          <w:rPr>
            <w:noProof/>
            <w:webHidden/>
          </w:rPr>
          <w:fldChar w:fldCharType="begin"/>
        </w:r>
        <w:r w:rsidR="00B21B31">
          <w:rPr>
            <w:noProof/>
            <w:webHidden/>
          </w:rPr>
          <w:instrText xml:space="preserve"> PAGEREF _Toc467231914 \h </w:instrText>
        </w:r>
        <w:r w:rsidR="00B21B31">
          <w:rPr>
            <w:noProof/>
            <w:webHidden/>
          </w:rPr>
        </w:r>
        <w:r w:rsidR="00B21B31">
          <w:rPr>
            <w:noProof/>
            <w:webHidden/>
          </w:rPr>
          <w:fldChar w:fldCharType="separate"/>
        </w:r>
        <w:r>
          <w:rPr>
            <w:noProof/>
            <w:webHidden/>
          </w:rPr>
          <w:t>22</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15" w:history="1">
        <w:r w:rsidR="00B21B31" w:rsidRPr="001515E3">
          <w:rPr>
            <w:rStyle w:val="Hyperlink"/>
            <w:noProof/>
          </w:rPr>
          <w:t>Table 4: TST Testing of Patients Who Successfully Received Notification Letter</w:t>
        </w:r>
        <w:r w:rsidR="00B21B31">
          <w:rPr>
            <w:noProof/>
            <w:webHidden/>
          </w:rPr>
          <w:tab/>
        </w:r>
        <w:r w:rsidR="00B21B31">
          <w:rPr>
            <w:noProof/>
            <w:webHidden/>
          </w:rPr>
          <w:fldChar w:fldCharType="begin"/>
        </w:r>
        <w:r w:rsidR="00B21B31">
          <w:rPr>
            <w:noProof/>
            <w:webHidden/>
          </w:rPr>
          <w:instrText xml:space="preserve"> PAGEREF _Toc467231915 \h </w:instrText>
        </w:r>
        <w:r w:rsidR="00B21B31">
          <w:rPr>
            <w:noProof/>
            <w:webHidden/>
          </w:rPr>
        </w:r>
        <w:r w:rsidR="00B21B31">
          <w:rPr>
            <w:noProof/>
            <w:webHidden/>
          </w:rPr>
          <w:fldChar w:fldCharType="separate"/>
        </w:r>
        <w:r>
          <w:rPr>
            <w:noProof/>
            <w:webHidden/>
          </w:rPr>
          <w:t>22</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16" w:history="1">
        <w:r w:rsidR="00B21B31" w:rsidRPr="001515E3">
          <w:rPr>
            <w:rStyle w:val="Hyperlink"/>
            <w:noProof/>
          </w:rPr>
          <w:t>Table 5: TST Testing Results</w:t>
        </w:r>
        <w:r w:rsidR="00B21B31">
          <w:rPr>
            <w:noProof/>
            <w:webHidden/>
          </w:rPr>
          <w:tab/>
        </w:r>
        <w:r w:rsidR="00B21B31">
          <w:rPr>
            <w:noProof/>
            <w:webHidden/>
          </w:rPr>
          <w:fldChar w:fldCharType="begin"/>
        </w:r>
        <w:r w:rsidR="00B21B31">
          <w:rPr>
            <w:noProof/>
            <w:webHidden/>
          </w:rPr>
          <w:instrText xml:space="preserve"> PAGEREF _Toc467231916 \h </w:instrText>
        </w:r>
        <w:r w:rsidR="00B21B31">
          <w:rPr>
            <w:noProof/>
            <w:webHidden/>
          </w:rPr>
        </w:r>
        <w:r w:rsidR="00B21B31">
          <w:rPr>
            <w:noProof/>
            <w:webHidden/>
          </w:rPr>
          <w:fldChar w:fldCharType="separate"/>
        </w:r>
        <w:r>
          <w:rPr>
            <w:noProof/>
            <w:webHidden/>
          </w:rPr>
          <w:t>23</w:t>
        </w:r>
        <w:r w:rsidR="00B21B31">
          <w:rPr>
            <w:noProof/>
            <w:webHidden/>
          </w:rPr>
          <w:fldChar w:fldCharType="end"/>
        </w:r>
      </w:hyperlink>
    </w:p>
    <w:p w:rsidR="00B424B6" w:rsidRDefault="00CB03F9" w:rsidP="00035D1E">
      <w:pPr>
        <w:pStyle w:val="Preliminary"/>
      </w:pPr>
      <w:r>
        <w:fldChar w:fldCharType="end"/>
      </w:r>
      <w:r w:rsidR="00B424B6">
        <w:t>List of figures</w:t>
      </w:r>
    </w:p>
    <w:p w:rsidR="00B21B31" w:rsidRPr="002C2079" w:rsidRDefault="00B424B6">
      <w:pPr>
        <w:pStyle w:val="TableofFigures"/>
        <w:tabs>
          <w:tab w:val="right" w:leader="dot" w:pos="9350"/>
        </w:tabs>
        <w:rPr>
          <w:rFonts w:ascii="Calibri" w:hAnsi="Calibri"/>
          <w:noProof/>
          <w:sz w:val="22"/>
          <w:szCs w:val="22"/>
        </w:rPr>
      </w:pPr>
      <w:r>
        <w:fldChar w:fldCharType="begin"/>
      </w:r>
      <w:r>
        <w:instrText xml:space="preserve"> TOC \h \z \c "Figure" </w:instrText>
      </w:r>
      <w:r>
        <w:fldChar w:fldCharType="separate"/>
      </w:r>
      <w:hyperlink w:anchor="_Toc467231917" w:history="1">
        <w:r w:rsidR="00B21B31" w:rsidRPr="006E7F24">
          <w:rPr>
            <w:rStyle w:val="Hyperlink"/>
            <w:noProof/>
          </w:rPr>
          <w:t>Figure 1: Timeline of the Index Patient at the Hospital Before Diagnosis</w:t>
        </w:r>
        <w:r w:rsidR="00B21B31">
          <w:rPr>
            <w:noProof/>
            <w:webHidden/>
          </w:rPr>
          <w:tab/>
        </w:r>
        <w:r w:rsidR="00B21B31">
          <w:rPr>
            <w:noProof/>
            <w:webHidden/>
          </w:rPr>
          <w:fldChar w:fldCharType="begin"/>
        </w:r>
        <w:r w:rsidR="00B21B31">
          <w:rPr>
            <w:noProof/>
            <w:webHidden/>
          </w:rPr>
          <w:instrText xml:space="preserve"> PAGEREF _Toc467231917 \h </w:instrText>
        </w:r>
        <w:r w:rsidR="00B21B31">
          <w:rPr>
            <w:noProof/>
            <w:webHidden/>
          </w:rPr>
        </w:r>
        <w:r w:rsidR="00B21B31">
          <w:rPr>
            <w:noProof/>
            <w:webHidden/>
          </w:rPr>
          <w:fldChar w:fldCharType="separate"/>
        </w:r>
        <w:r w:rsidR="00166174">
          <w:rPr>
            <w:noProof/>
            <w:webHidden/>
          </w:rPr>
          <w:t>2</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18" w:history="1">
        <w:r w:rsidR="00B21B31" w:rsidRPr="006E7F24">
          <w:rPr>
            <w:rStyle w:val="Hyperlink"/>
            <w:noProof/>
          </w:rPr>
          <w:t>Figure 2: Charlson Comorbidity Index Form</w:t>
        </w:r>
        <w:r w:rsidR="00B21B31">
          <w:rPr>
            <w:noProof/>
            <w:webHidden/>
          </w:rPr>
          <w:tab/>
        </w:r>
        <w:r w:rsidR="00B21B31">
          <w:rPr>
            <w:noProof/>
            <w:webHidden/>
          </w:rPr>
          <w:fldChar w:fldCharType="begin"/>
        </w:r>
        <w:r w:rsidR="00B21B31">
          <w:rPr>
            <w:noProof/>
            <w:webHidden/>
          </w:rPr>
          <w:instrText xml:space="preserve"> PAGEREF _Toc467231918 \h </w:instrText>
        </w:r>
        <w:r w:rsidR="00B21B31">
          <w:rPr>
            <w:noProof/>
            <w:webHidden/>
          </w:rPr>
        </w:r>
        <w:r w:rsidR="00B21B31">
          <w:rPr>
            <w:noProof/>
            <w:webHidden/>
          </w:rPr>
          <w:fldChar w:fldCharType="separate"/>
        </w:r>
        <w:r>
          <w:rPr>
            <w:noProof/>
            <w:webHidden/>
          </w:rPr>
          <w:t>15</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19" w:history="1">
        <w:r w:rsidR="00B21B31" w:rsidRPr="006E7F24">
          <w:rPr>
            <w:rStyle w:val="Hyperlink"/>
            <w:noProof/>
          </w:rPr>
          <w:t>Figure 3: Contact Investigation Results</w:t>
        </w:r>
        <w:r w:rsidR="00B21B31">
          <w:rPr>
            <w:noProof/>
            <w:webHidden/>
          </w:rPr>
          <w:tab/>
        </w:r>
        <w:r w:rsidR="00B21B31">
          <w:rPr>
            <w:noProof/>
            <w:webHidden/>
          </w:rPr>
          <w:fldChar w:fldCharType="begin"/>
        </w:r>
        <w:r w:rsidR="00B21B31">
          <w:rPr>
            <w:noProof/>
            <w:webHidden/>
          </w:rPr>
          <w:instrText xml:space="preserve"> PAGEREF _Toc467231919 \h </w:instrText>
        </w:r>
        <w:r w:rsidR="00B21B31">
          <w:rPr>
            <w:noProof/>
            <w:webHidden/>
          </w:rPr>
        </w:r>
        <w:r w:rsidR="00B21B31">
          <w:rPr>
            <w:noProof/>
            <w:webHidden/>
          </w:rPr>
          <w:fldChar w:fldCharType="separate"/>
        </w:r>
        <w:r>
          <w:rPr>
            <w:noProof/>
            <w:webHidden/>
          </w:rPr>
          <w:t>19</w:t>
        </w:r>
        <w:r w:rsidR="00B21B31">
          <w:rPr>
            <w:noProof/>
            <w:webHidden/>
          </w:rPr>
          <w:fldChar w:fldCharType="end"/>
        </w:r>
      </w:hyperlink>
    </w:p>
    <w:p w:rsidR="00B21B31" w:rsidRPr="002C2079" w:rsidRDefault="00166174">
      <w:pPr>
        <w:pStyle w:val="TableofFigures"/>
        <w:tabs>
          <w:tab w:val="right" w:leader="dot" w:pos="9350"/>
        </w:tabs>
        <w:rPr>
          <w:rFonts w:ascii="Calibri" w:hAnsi="Calibri"/>
          <w:noProof/>
          <w:sz w:val="22"/>
          <w:szCs w:val="22"/>
        </w:rPr>
      </w:pPr>
      <w:hyperlink w:anchor="_Toc467231920" w:history="1">
        <w:r w:rsidR="00B21B31" w:rsidRPr="006E7F24">
          <w:rPr>
            <w:rStyle w:val="Hyperlink"/>
            <w:noProof/>
          </w:rPr>
          <w:t>Figure 4: Tuberculosis Contact Investigation Algorithm</w:t>
        </w:r>
        <w:r w:rsidR="00B21B31">
          <w:rPr>
            <w:noProof/>
            <w:webHidden/>
          </w:rPr>
          <w:tab/>
        </w:r>
        <w:r w:rsidR="00B21B31">
          <w:rPr>
            <w:noProof/>
            <w:webHidden/>
          </w:rPr>
          <w:fldChar w:fldCharType="begin"/>
        </w:r>
        <w:r w:rsidR="00B21B31">
          <w:rPr>
            <w:noProof/>
            <w:webHidden/>
          </w:rPr>
          <w:instrText xml:space="preserve"> PAGEREF _Toc467231920 \h </w:instrText>
        </w:r>
        <w:r w:rsidR="00B21B31">
          <w:rPr>
            <w:noProof/>
            <w:webHidden/>
          </w:rPr>
        </w:r>
        <w:r w:rsidR="00B21B31">
          <w:rPr>
            <w:noProof/>
            <w:webHidden/>
          </w:rPr>
          <w:fldChar w:fldCharType="separate"/>
        </w:r>
        <w:r>
          <w:rPr>
            <w:noProof/>
            <w:webHidden/>
          </w:rPr>
          <w:t>24</w:t>
        </w:r>
        <w:r w:rsidR="00B21B31">
          <w:rPr>
            <w:noProof/>
            <w:webHidden/>
          </w:rPr>
          <w:fldChar w:fldCharType="end"/>
        </w:r>
      </w:hyperlink>
    </w:p>
    <w:p w:rsidR="00AA2C6A" w:rsidRPr="00AA2C6A" w:rsidRDefault="00B424B6" w:rsidP="009C3E87">
      <w:pPr>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r>
        <w:fldChar w:fldCharType="end"/>
      </w:r>
    </w:p>
    <w:p w:rsidR="006B1124" w:rsidRDefault="006B1124" w:rsidP="006B1124">
      <w:pPr>
        <w:pStyle w:val="Heading1"/>
      </w:pPr>
      <w:bookmarkStart w:id="2" w:name="_Toc106513527"/>
      <w:bookmarkStart w:id="3" w:name="_Toc106717785"/>
      <w:bookmarkStart w:id="4" w:name="_Toc483314926"/>
      <w:r>
        <w:t>Introduction</w:t>
      </w:r>
      <w:bookmarkEnd w:id="2"/>
      <w:bookmarkEnd w:id="3"/>
      <w:bookmarkEnd w:id="4"/>
    </w:p>
    <w:p w:rsidR="007B5CE5" w:rsidRDefault="003621B9" w:rsidP="007B5CE5">
      <w:pPr>
        <w:pStyle w:val="Heading2"/>
      </w:pPr>
      <w:bookmarkStart w:id="5" w:name="_Toc483314927"/>
      <w:r>
        <w:t>index case description</w:t>
      </w:r>
      <w:bookmarkEnd w:id="5"/>
    </w:p>
    <w:p w:rsidR="0084482D" w:rsidRDefault="0084482D" w:rsidP="0084482D">
      <w:pPr>
        <w:ind w:firstLine="0"/>
      </w:pPr>
      <w:r w:rsidRPr="0084482D">
        <w:t>During the fal</w:t>
      </w:r>
      <w:r w:rsidR="00DA1B69">
        <w:t xml:space="preserve">l of 2015, a 57-year-old patient </w:t>
      </w:r>
      <w:r w:rsidRPr="0084482D">
        <w:t>was diagnosed with pulmonary tuberculosis while undergoing routine treatment for metastatic neural endocrine cancer of the GI tract at Hospital A, a 495-bed university affiliated medical center. The tuberculosis infection in this patient was undiagnosed for several weeks. Consequently</w:t>
      </w:r>
      <w:r w:rsidR="009C3E87">
        <w:t>,</w:t>
      </w:r>
      <w:r w:rsidRPr="0084482D">
        <w:t xml:space="preserve"> numerous other hospital patients in the oncology, radiology and emergency departments were exposed. In response to this exposure event, the department of Infection Control conducted a retrospective tuberculosis contact investigation.</w:t>
      </w:r>
    </w:p>
    <w:p w:rsidR="0084482D" w:rsidRPr="0084482D" w:rsidRDefault="0084482D" w:rsidP="0084482D">
      <w:r w:rsidRPr="0084482D">
        <w:t xml:space="preserve">Prior to being diagnosed with active tuberculosis, the patient was undergoing oncology treatment and attended routine medical oncology visits on August 4, 11 and 18. Then, on September 3, the index case presented to the emergency department (ED) at Hospital A with lethargy, malaise, difficulty standing up and functioning independently and a productive cough. The ED physician reviewed a CT scan that was completed earlier in the day. In previous CT scans, providers made note of a cavitary lesion that was thought to be a result of the patient’s metastatic disease. Ultimately, the patient was admitted as an inpatient under no TB precautions and was discharged on September 5. The patient again attended a routine medical oncology visit on September 8. On all of these dates, other patients may have been exposed to infectious tuberculosis. </w:t>
      </w:r>
    </w:p>
    <w:p w:rsidR="0084482D" w:rsidRDefault="0084482D" w:rsidP="0084482D">
      <w:pPr>
        <w:rPr>
          <w:b/>
        </w:rPr>
      </w:pPr>
      <w:r>
        <w:t xml:space="preserve">On September 16 the patient returned to the ED with a subjective fever, productive cough and night sweats, which </w:t>
      </w:r>
      <w:r w:rsidR="00DA1B69">
        <w:t>was reported</w:t>
      </w:r>
      <w:r>
        <w:t xml:space="preserve"> to have been </w:t>
      </w:r>
      <w:r w:rsidR="00DA1B69">
        <w:t>occurring</w:t>
      </w:r>
      <w:r>
        <w:t xml:space="preserve"> for a few weeks. She was again admitted as an impatient, but this time the patient was placed in a negative pressure room under tuberc</w:t>
      </w:r>
      <w:r w:rsidR="00DA1B69">
        <w:t>ulosis airborne precautions. The</w:t>
      </w:r>
      <w:r>
        <w:t xml:space="preserve"> attending physician ordered various tuberculosis testing; including a sputum culture and three AFB sputum smears. The patient also underwent testing for HIV, which was negative. </w:t>
      </w:r>
    </w:p>
    <w:p w:rsidR="0084482D" w:rsidRDefault="0084482D" w:rsidP="0084482D">
      <w:pPr>
        <w:rPr>
          <w:b/>
        </w:rPr>
      </w:pPr>
      <w:r>
        <w:t xml:space="preserve">On September 17, the pulmonary department and the infectious disease department evaluated the patient. The pulmonary physician made note of “significant progression of metastatic disease involving left upper and lower lobes with multiple areas of cavitation.” By September 21, all three sputum smears had come back positive and treatment for </w:t>
      </w:r>
      <w:r w:rsidRPr="00DC3238">
        <w:rPr>
          <w:i/>
        </w:rPr>
        <w:t>My</w:t>
      </w:r>
      <w:r>
        <w:rPr>
          <w:i/>
        </w:rPr>
        <w:t>c</w:t>
      </w:r>
      <w:r w:rsidRPr="00DC3238">
        <w:rPr>
          <w:i/>
        </w:rPr>
        <w:t>obacterium tuberculosis (</w:t>
      </w:r>
      <w:r>
        <w:t>MTB) was initiated. The patient was discharged on September 23. On September 25, the microbiology lab confirmed the case as culture positive. Ultimately, the immunosuppressed patient was diagnosed with pulmonary tuberculosis. Upon discharge, the County Health Department assumed r</w:t>
      </w:r>
      <w:r w:rsidR="00DA1B69">
        <w:t>esponsibility for overseeing the patient’s</w:t>
      </w:r>
      <w:r>
        <w:t xml:space="preserve"> treatment. Finally, on December 30, the index patient was evaluated at the C</w:t>
      </w:r>
      <w:r w:rsidR="00DA1B69">
        <w:t xml:space="preserve">ounty Health Department and </w:t>
      </w:r>
      <w:r>
        <w:t>was confirmed to no longer be infectious. Figure 1 below summarizes the timeline of the index case.</w:t>
      </w:r>
    </w:p>
    <w:p w:rsidR="00E01B9A" w:rsidRDefault="0045332B" w:rsidP="00E01B9A">
      <w:pPr>
        <w:keepNext/>
        <w:ind w:firstLine="0"/>
      </w:pPr>
      <w:r>
        <w:rPr>
          <w:b/>
          <w:noProof/>
        </w:rPr>
        <w:drawing>
          <wp:inline distT="0" distB="0" distL="0" distR="0">
            <wp:extent cx="5943600" cy="1828800"/>
            <wp:effectExtent l="25400" t="2540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w="6350" cmpd="sng">
                      <a:solidFill>
                        <a:srgbClr val="000000"/>
                      </a:solidFill>
                      <a:miter lim="800000"/>
                      <a:headEnd/>
                      <a:tailEnd/>
                    </a:ln>
                    <a:effectLst/>
                  </pic:spPr>
                </pic:pic>
              </a:graphicData>
            </a:graphic>
          </wp:inline>
        </w:drawing>
      </w:r>
    </w:p>
    <w:p w:rsidR="0084482D" w:rsidRPr="0084482D" w:rsidRDefault="00E01B9A" w:rsidP="00E01B9A">
      <w:pPr>
        <w:pStyle w:val="Caption"/>
        <w:ind w:firstLine="0"/>
        <w:jc w:val="center"/>
      </w:pPr>
      <w:bookmarkStart w:id="6" w:name="_Toc467231917"/>
      <w:r>
        <w:t xml:space="preserve">Figure </w:t>
      </w:r>
      <w:fldSimple w:instr=" SEQ Figure \* ARABIC ">
        <w:r w:rsidR="00B054C8">
          <w:rPr>
            <w:noProof/>
          </w:rPr>
          <w:t>1</w:t>
        </w:r>
      </w:fldSimple>
      <w:r>
        <w:t>:</w:t>
      </w:r>
      <w:r w:rsidR="00DD2F2C">
        <w:t xml:space="preserve"> Timeline of the Index Patient at the Hospital Before D</w:t>
      </w:r>
      <w:r>
        <w:t>iagnosis</w:t>
      </w:r>
      <w:bookmarkEnd w:id="6"/>
    </w:p>
    <w:p w:rsidR="0084482D" w:rsidRPr="0084482D" w:rsidRDefault="0084482D" w:rsidP="0084482D">
      <w:pPr>
        <w:ind w:firstLine="0"/>
      </w:pPr>
    </w:p>
    <w:p w:rsidR="00B917F0" w:rsidRDefault="003621B9" w:rsidP="00B917F0">
      <w:pPr>
        <w:pStyle w:val="Heading2"/>
      </w:pPr>
      <w:bookmarkStart w:id="7" w:name="_Toc483314928"/>
      <w:r>
        <w:t>contact investigation &amp; Need for follow-up</w:t>
      </w:r>
      <w:bookmarkEnd w:id="7"/>
    </w:p>
    <w:p w:rsidR="00244471" w:rsidRPr="00244471" w:rsidRDefault="00244471" w:rsidP="00244471">
      <w:pPr>
        <w:ind w:firstLine="0"/>
      </w:pPr>
      <w:r w:rsidRPr="00244471">
        <w:t xml:space="preserve">This case of pulmonary tuberculosis in this patient was undiagnosed for several weeks and exposed other patients, many whom are immunocompromized, to an active infection. As part of Infection Control’s responsibilities, the department initiated a contact investigation after a tuberculosis diagnosis was confirmed. A review of each patient contact is necessary in order to conclude the contact investigation and determine if any patient conversions occurred. Furthermore, understanding the demographics, comorbidities and risk factors of those exposed will provide further insight about this population.  </w:t>
      </w:r>
    </w:p>
    <w:p w:rsidR="00244471" w:rsidRPr="00624E6C" w:rsidRDefault="00244471" w:rsidP="00244471">
      <w:pPr>
        <w:rPr>
          <w:b/>
        </w:rPr>
      </w:pPr>
      <w:r>
        <w:t xml:space="preserve">Determining the rate of recommended testing compliance among patient contacts is of important. Testing compliance can provide insight into the effectiveness of the current contact notification methodology and determine if new methods should </w:t>
      </w:r>
      <w:r w:rsidRPr="00624E6C">
        <w:t xml:space="preserve">be adopted to improve outcomes. Comparing testing compliance rates with similar studies is especially valuable. </w:t>
      </w:r>
    </w:p>
    <w:p w:rsidR="00B917F0" w:rsidRDefault="003621B9" w:rsidP="003621B9">
      <w:pPr>
        <w:pStyle w:val="Heading2"/>
      </w:pPr>
      <w:bookmarkStart w:id="8" w:name="_Toc483314929"/>
      <w:r>
        <w:t>algorithm development</w:t>
      </w:r>
      <w:bookmarkEnd w:id="8"/>
    </w:p>
    <w:p w:rsidR="00244471" w:rsidRPr="00244471" w:rsidRDefault="00244471" w:rsidP="00244471">
      <w:pPr>
        <w:ind w:firstLine="0"/>
      </w:pPr>
      <w:r w:rsidRPr="00244471">
        <w:t xml:space="preserve">Currently, there is no </w:t>
      </w:r>
      <w:r w:rsidR="00DC49CB">
        <w:t xml:space="preserve">written </w:t>
      </w:r>
      <w:r w:rsidRPr="00244471">
        <w:t>tuberculosis contact investigation algorithm available for use within this hospital system. The development of an algorithm for use by professional infection cont</w:t>
      </w:r>
      <w:r w:rsidR="0046022C">
        <w:t>rol practitioners as a guide in</w:t>
      </w:r>
      <w:r w:rsidRPr="00244471">
        <w:t xml:space="preserve"> future exposure events in the hospital and outpatient settings was </w:t>
      </w:r>
      <w:r w:rsidR="00DA1B69">
        <w:t xml:space="preserve">needed. Such an algorithm is a useful </w:t>
      </w:r>
      <w:r w:rsidRPr="00244471">
        <w:t>to streamline contact investigation processes and ensure all appropriate steps are taken in order to protect the health of patients and staff alike.</w:t>
      </w:r>
    </w:p>
    <w:p w:rsidR="00B917F0" w:rsidRDefault="003621B9" w:rsidP="00B917F0">
      <w:pPr>
        <w:pStyle w:val="Heading1"/>
      </w:pPr>
      <w:bookmarkStart w:id="9" w:name="_Toc483314930"/>
      <w:r>
        <w:t>review of relevant literature</w:t>
      </w:r>
      <w:bookmarkEnd w:id="9"/>
    </w:p>
    <w:p w:rsidR="00244471" w:rsidRPr="00244471" w:rsidRDefault="00244471" w:rsidP="00244471">
      <w:pPr>
        <w:pStyle w:val="Heading2"/>
      </w:pPr>
      <w:bookmarkStart w:id="10" w:name="_Toc483314931"/>
      <w:r>
        <w:t>Epidemiology</w:t>
      </w:r>
      <w:bookmarkEnd w:id="10"/>
    </w:p>
    <w:p w:rsidR="00244471" w:rsidRDefault="00244471" w:rsidP="00244471">
      <w:pPr>
        <w:ind w:firstLine="0"/>
      </w:pPr>
      <w:r w:rsidRPr="000C3599">
        <w:t>Tuberculosis (TB)</w:t>
      </w:r>
      <w:r>
        <w:t xml:space="preserve"> is one of the leading causes of death globally due to an infectious disease (1). Every 21 seconds, a person dies as a result of tuberculosis and therefore it has become one of the largest biological threats worldwide (2). In 2014 alone, TB caused 1.5 million deaths and 9.6 new infections globally (1). Similarly to other infectious diseases, TB is most prevalent in low- and middle-income countries, especially among those living in poverty-stricken areas. Overall, these countries account for about 95% of tuberculosis related deaths (1). However, high-income countries, such as the United States, are also still struggling with the control of this disease.</w:t>
      </w:r>
    </w:p>
    <w:p w:rsidR="00244471" w:rsidRDefault="00244471" w:rsidP="00244471">
      <w:pPr>
        <w:pStyle w:val="Heading2"/>
      </w:pPr>
      <w:bookmarkStart w:id="11" w:name="_Toc483314932"/>
      <w:r>
        <w:t>Microbiology</w:t>
      </w:r>
      <w:bookmarkEnd w:id="11"/>
    </w:p>
    <w:p w:rsidR="002706BA" w:rsidRPr="002706BA" w:rsidRDefault="00244471" w:rsidP="00244471">
      <w:pPr>
        <w:ind w:firstLine="0"/>
      </w:pPr>
      <w:r w:rsidRPr="00293E55">
        <w:t>Tuberculosis infection is caused by M</w:t>
      </w:r>
      <w:r w:rsidRPr="00293E55">
        <w:rPr>
          <w:i/>
        </w:rPr>
        <w:t>ycobacterium tuberculosis</w:t>
      </w:r>
      <w:r w:rsidRPr="00293E55">
        <w:t>, a non-motile, acid-fact, rod-shaped bacterium</w:t>
      </w:r>
      <w:r>
        <w:t xml:space="preserve">. </w:t>
      </w:r>
      <w:r w:rsidRPr="00622562">
        <w:t>TB is an aerosol-transmitted disease and aerosolization occurs when an infected person coughs, sneezes or talks releasing infected droplets into the air</w:t>
      </w:r>
      <w:r>
        <w:rPr>
          <w:b/>
        </w:rPr>
        <w:t xml:space="preserve"> </w:t>
      </w:r>
      <w:r>
        <w:t>(3)</w:t>
      </w:r>
      <w:r w:rsidRPr="00622562">
        <w:t>. When a susceptible individual inhales the infected respiratory droplets suspended in the a</w:t>
      </w:r>
      <w:r>
        <w:t xml:space="preserve">ir, new TB infections can occur (3). </w:t>
      </w:r>
      <w:r w:rsidRPr="00622562">
        <w:t>Because the disease is respiratory in nature, the bacterium most often invades the lung parenchyma, known as pulmonary tuberculosis (</w:t>
      </w:r>
      <w:r>
        <w:t xml:space="preserve">4). </w:t>
      </w:r>
      <w:r w:rsidRPr="00622562">
        <w:t xml:space="preserve">However, </w:t>
      </w:r>
      <w:r w:rsidRPr="00622562">
        <w:rPr>
          <w:i/>
        </w:rPr>
        <w:t>M. tuberculosis</w:t>
      </w:r>
      <w:r w:rsidRPr="00622562">
        <w:t xml:space="preserve"> can affect other organs as well including the pleura, brain, bones, lymph nodes and kidneys; this is known as extra-pulmonary tuberculosis (</w:t>
      </w:r>
      <w:r>
        <w:t>4).</w:t>
      </w:r>
    </w:p>
    <w:p w:rsidR="00B917F0" w:rsidRDefault="00244471" w:rsidP="00B917F0">
      <w:pPr>
        <w:pStyle w:val="Heading2"/>
      </w:pPr>
      <w:bookmarkStart w:id="12" w:name="_Toc483314933"/>
      <w:r>
        <w:t>Clinical manifestation &amp; Symptoms</w:t>
      </w:r>
      <w:bookmarkEnd w:id="12"/>
    </w:p>
    <w:p w:rsidR="00244471" w:rsidRPr="00224580" w:rsidRDefault="00244471" w:rsidP="00244471">
      <w:pPr>
        <w:ind w:firstLine="0"/>
      </w:pPr>
      <w:bookmarkStart w:id="13" w:name="_Toc106513534"/>
      <w:bookmarkStart w:id="14" w:name="_Toc106717792"/>
      <w:r w:rsidRPr="00C767D1">
        <w:t xml:space="preserve">When someone becomes infected with </w:t>
      </w:r>
      <w:r>
        <w:t xml:space="preserve">the </w:t>
      </w:r>
      <w:r w:rsidRPr="00C767D1">
        <w:rPr>
          <w:i/>
        </w:rPr>
        <w:t>M. tuberculosis</w:t>
      </w:r>
      <w:r>
        <w:t xml:space="preserve"> pathogen, the disease can manifest in several different </w:t>
      </w:r>
      <w:r w:rsidRPr="00541DAE">
        <w:t>ways; remain latent, become active or progress from latent TB to active TB later in life (</w:t>
      </w:r>
      <w:r>
        <w:t>5</w:t>
      </w:r>
      <w:r w:rsidRPr="00541DAE">
        <w:t>).</w:t>
      </w:r>
      <w:r w:rsidRPr="00244471">
        <w:rPr>
          <w:color w:val="4BACC6"/>
        </w:rPr>
        <w:t xml:space="preserve"> </w:t>
      </w:r>
      <w:r>
        <w:t>A person with a latent tuberculosis infection (LTBI)</w:t>
      </w:r>
      <w:r w:rsidRPr="00622562">
        <w:t xml:space="preserve"> is infected with </w:t>
      </w:r>
      <w:r w:rsidRPr="00622562">
        <w:rPr>
          <w:i/>
        </w:rPr>
        <w:t>M. tuberculosis</w:t>
      </w:r>
      <w:r w:rsidRPr="00622562">
        <w:t xml:space="preserve"> but does not develop </w:t>
      </w:r>
      <w:r>
        <w:t xml:space="preserve">clinical </w:t>
      </w:r>
      <w:r w:rsidRPr="00622562">
        <w:t xml:space="preserve">disease </w:t>
      </w:r>
      <w:r w:rsidRPr="00C767D1">
        <w:t xml:space="preserve">and is incapable of spreading tuberculosis to </w:t>
      </w:r>
      <w:r w:rsidRPr="007F3110">
        <w:t xml:space="preserve">others </w:t>
      </w:r>
      <w:r>
        <w:t>(1)</w:t>
      </w:r>
      <w:r w:rsidRPr="007F3110">
        <w:t>.</w:t>
      </w:r>
      <w:r w:rsidRPr="00C767D1">
        <w:t xml:space="preserve"> These individuals do not feel ill or experience any TB-related sy</w:t>
      </w:r>
      <w:r>
        <w:t>mptoms, however they do react positively to diagnostic tests</w:t>
      </w:r>
      <w:r w:rsidRPr="00C767D1">
        <w:t xml:space="preserve"> (</w:t>
      </w:r>
      <w:r>
        <w:t>6</w:t>
      </w:r>
      <w:r w:rsidRPr="00C767D1">
        <w:t xml:space="preserve">). </w:t>
      </w:r>
      <w:r w:rsidRPr="00224580">
        <w:t xml:space="preserve">Individuals with latent TB generally have a 10% lifetime risk of later developing tuberculosis disease through the reactivation of </w:t>
      </w:r>
      <w:r w:rsidRPr="00224580">
        <w:rPr>
          <w:i/>
        </w:rPr>
        <w:t xml:space="preserve">M. tuberculosis </w:t>
      </w:r>
      <w:r w:rsidRPr="00224580">
        <w:t>that previously infected the individual (</w:t>
      </w:r>
      <w:r>
        <w:t>6</w:t>
      </w:r>
      <w:r w:rsidRPr="00224580">
        <w:t>).</w:t>
      </w:r>
      <w:r>
        <w:t xml:space="preserve"> However, the likelihood of undergoing endogenous reactivation of a latent TB infection decreases with the age of the latent infection (5). Currently, about one-third of the human population is infected with latent tuberculosis (7).</w:t>
      </w:r>
    </w:p>
    <w:p w:rsidR="00244471" w:rsidRDefault="00244471" w:rsidP="00244471">
      <w:pPr>
        <w:rPr>
          <w:rFonts w:ascii="Cambria" w:hAnsi="Cambria"/>
          <w:sz w:val="20"/>
          <w:szCs w:val="20"/>
        </w:rPr>
      </w:pPr>
      <w:r w:rsidRPr="004F5512">
        <w:t xml:space="preserve">Active TB occurs when </w:t>
      </w:r>
      <w:r w:rsidRPr="004F5512">
        <w:rPr>
          <w:i/>
        </w:rPr>
        <w:t>M. tuberculosis</w:t>
      </w:r>
      <w:r w:rsidRPr="004F5512">
        <w:t xml:space="preserve"> overcomes the immune system and symptomatic disease occurs (</w:t>
      </w:r>
      <w:r>
        <w:t>6</w:t>
      </w:r>
      <w:r w:rsidRPr="004F5512">
        <w:t>).</w:t>
      </w:r>
      <w:r w:rsidRPr="004F5512">
        <w:rPr>
          <w:b/>
        </w:rPr>
        <w:t xml:space="preserve"> </w:t>
      </w:r>
      <w:r w:rsidRPr="004F5512">
        <w:t>Individuals with a compromised immune system are at higher risk for developing active tuberculosis (</w:t>
      </w:r>
      <w:r>
        <w:t>6</w:t>
      </w:r>
      <w:r w:rsidRPr="004F5512">
        <w:t>). Furthe</w:t>
      </w:r>
      <w:r w:rsidR="00914653">
        <w:t xml:space="preserve">rmore, studies have shown that </w:t>
      </w:r>
      <w:r w:rsidRPr="004F5512">
        <w:t>patients with immunodeficiencies are particularly vulnerable to progressi</w:t>
      </w:r>
      <w:r w:rsidR="00914653">
        <w:t>on from LTBI to active disease</w:t>
      </w:r>
      <w:r w:rsidRPr="004F5512">
        <w:t xml:space="preserve"> (</w:t>
      </w:r>
      <w:r>
        <w:t>8</w:t>
      </w:r>
      <w:r w:rsidRPr="004F5512">
        <w:t>)</w:t>
      </w:r>
      <w:r>
        <w:t>.</w:t>
      </w:r>
    </w:p>
    <w:p w:rsidR="00244471" w:rsidRPr="00D03947" w:rsidRDefault="00244471" w:rsidP="00244471">
      <w:pPr>
        <w:rPr>
          <w:rFonts w:ascii="Cambria" w:hAnsi="Cambria"/>
          <w:sz w:val="20"/>
          <w:szCs w:val="20"/>
        </w:rPr>
      </w:pPr>
      <w:r w:rsidRPr="00622562">
        <w:t>Common symptoms of an active TB infection include a cough with sputum,</w:t>
      </w:r>
      <w:r>
        <w:t xml:space="preserve"> hemoptysis (blood with cough),</w:t>
      </w:r>
      <w:r w:rsidRPr="00622562">
        <w:t xml:space="preserve"> chest pain, general weakness, weight loss, fever and </w:t>
      </w:r>
      <w:r w:rsidRPr="00541DAE">
        <w:t xml:space="preserve">night sweats </w:t>
      </w:r>
      <w:r>
        <w:t>(1</w:t>
      </w:r>
      <w:r w:rsidRPr="00541DAE">
        <w:t>). Unlike latent TB,</w:t>
      </w:r>
      <w:r w:rsidRPr="00541DAE">
        <w:rPr>
          <w:b/>
        </w:rPr>
        <w:t xml:space="preserve"> </w:t>
      </w:r>
      <w:r w:rsidRPr="00541DAE">
        <w:t>those with active TB are capable of spreading the disease to others.</w:t>
      </w:r>
      <w:r w:rsidRPr="00541DAE">
        <w:rPr>
          <w:b/>
        </w:rPr>
        <w:t xml:space="preserve"> </w:t>
      </w:r>
      <w:r w:rsidRPr="00541DAE">
        <w:t xml:space="preserve">Over the course a year, an active TB case can potentially infect 10-15 other people of whom they are in close contact with </w:t>
      </w:r>
      <w:r>
        <w:t>(1</w:t>
      </w:r>
      <w:r w:rsidRPr="00541DAE">
        <w:t>).</w:t>
      </w:r>
    </w:p>
    <w:p w:rsidR="00B917F0" w:rsidRDefault="00244471" w:rsidP="00B917F0">
      <w:pPr>
        <w:pStyle w:val="Heading2"/>
      </w:pPr>
      <w:bookmarkStart w:id="15" w:name="_Toc483314934"/>
      <w:bookmarkEnd w:id="13"/>
      <w:bookmarkEnd w:id="14"/>
      <w:r>
        <w:t>Diagnostic testing</w:t>
      </w:r>
      <w:bookmarkEnd w:id="15"/>
    </w:p>
    <w:p w:rsidR="00244471" w:rsidRDefault="00244471" w:rsidP="00244471">
      <w:pPr>
        <w:ind w:firstLine="0"/>
      </w:pPr>
      <w:r w:rsidRPr="00D64120">
        <w:t>When tuberculosis is suspected, s</w:t>
      </w:r>
      <w:r>
        <w:t>everal diagnostic measures are typically initiated</w:t>
      </w:r>
      <w:r w:rsidRPr="00D64120">
        <w:t xml:space="preserve">. </w:t>
      </w:r>
      <w:r>
        <w:t>There are two methods</w:t>
      </w:r>
      <w:r w:rsidRPr="00D64120">
        <w:t xml:space="preserve"> to determine if a person has been infected with </w:t>
      </w:r>
      <w:r w:rsidRPr="00D64120">
        <w:rPr>
          <w:i/>
        </w:rPr>
        <w:t>M. tuberculosis</w:t>
      </w:r>
      <w:r>
        <w:t xml:space="preserve">, the Mantoux </w:t>
      </w:r>
      <w:r w:rsidRPr="00D64120">
        <w:t>tuberculin skin test (TST) or</w:t>
      </w:r>
      <w:r>
        <w:t xml:space="preserve"> an</w:t>
      </w:r>
      <w:r w:rsidRPr="00D64120">
        <w:t xml:space="preserve"> interferon-gamma release assay (</w:t>
      </w:r>
      <w:r>
        <w:t>IGRA) (9</w:t>
      </w:r>
      <w:r w:rsidRPr="00D64120">
        <w:t>).</w:t>
      </w:r>
      <w:r>
        <w:t xml:space="preserve"> A negative result from the TST or IGRA indicts that both LTBI and active disease are not likely (9). However, a positive TST or IGRA result confirms that the person has been infected with </w:t>
      </w:r>
      <w:r w:rsidRPr="004923D1">
        <w:rPr>
          <w:i/>
        </w:rPr>
        <w:t>M. tuberculosis</w:t>
      </w:r>
      <w:r>
        <w:t xml:space="preserve">, but the results do not specify if the patient has latent TB or active disease (9). Therefore, additional tests are needed. </w:t>
      </w:r>
    </w:p>
    <w:p w:rsidR="00244471" w:rsidRDefault="00244471" w:rsidP="00244471">
      <w:r>
        <w:t>All persons suspected of active TB disease should undergo sputum smear and culture testing (10). Smear microscopy is the quickest way to detect acid-fast bacilli (AFB) in the sputum and therefore typically provides the initial bacteriologic evidence of active tuberculosis (10). If AFB is detected under microscopic evaluation, the sample is classified as smear-positive, but this only permits a presumptive diagnosis of TB (10,</w:t>
      </w:r>
      <w:r w:rsidR="00914653">
        <w:t xml:space="preserve"> </w:t>
      </w:r>
      <w:r>
        <w:t xml:space="preserve">11). Patients with smear-positive results are more infectious and proven to increase </w:t>
      </w:r>
      <w:r w:rsidRPr="00775E90">
        <w:rPr>
          <w:i/>
        </w:rPr>
        <w:t>M. tuberculosis</w:t>
      </w:r>
      <w:r>
        <w:t xml:space="preserve"> transmission compared to patients with smear-negative results (12). The infectious period of patients with smear-positive results is three months whereas </w:t>
      </w:r>
      <w:r w:rsidR="00914653">
        <w:t>a patient</w:t>
      </w:r>
      <w:r>
        <w:t xml:space="preserve"> with smear-negative results is one month </w:t>
      </w:r>
      <w:r w:rsidR="00914653">
        <w:t xml:space="preserve">duration </w:t>
      </w:r>
      <w:r>
        <w:t>(13). However, not all persons with active pulmonary TB have smear-positive results, so a smear-negative result should not exclude TB disease (3).</w:t>
      </w:r>
    </w:p>
    <w:p w:rsidR="00244471" w:rsidRPr="00A72FFC" w:rsidRDefault="00244471" w:rsidP="00244471">
      <w:pPr>
        <w:rPr>
          <w:b/>
          <w:i/>
        </w:rPr>
      </w:pPr>
      <w:r w:rsidRPr="00A72FFC">
        <w:t xml:space="preserve">Airborne precautions are initiated based on clinical suspicion of TB. A patient is kept in airborne isolation until three sputum smears </w:t>
      </w:r>
      <w:r w:rsidR="00914653">
        <w:t>are</w:t>
      </w:r>
      <w:r w:rsidRPr="00A72FFC">
        <w:t xml:space="preserve"> negative. These three specimens must be collected at least eight hours apart and one of them has to be collected in the morning. If three AFB smears are negative, the airborne precautions can be lifted prior to receiving culture results.</w:t>
      </w:r>
    </w:p>
    <w:p w:rsidR="00244471" w:rsidRPr="00A72FFC" w:rsidRDefault="00244471" w:rsidP="00244471">
      <w:r w:rsidRPr="00A72FFC">
        <w:t>Mycobacterial cultures are performed on all specimens of suspected TB disease regardless of sputum smear results (10). Solid mycobacterial cultures are time-intensive and take an average of six weeks. Microscopic examination and liquid mycobacterial allows for faster identification of positive mycobacterial cultures, an average of two weeks.</w:t>
      </w:r>
      <w:r w:rsidRPr="00244471">
        <w:rPr>
          <w:color w:val="4BACC6"/>
        </w:rPr>
        <w:t xml:space="preserve"> </w:t>
      </w:r>
      <w:r w:rsidRPr="00A72FFC">
        <w:t>In high-burden countries, rapid molecular diagnostic tools have been developed for detection of MTB and any drug-resistance. Such tools allow for MTB detection within two hours (</w:t>
      </w:r>
      <w:r>
        <w:t>14</w:t>
      </w:r>
      <w:r w:rsidRPr="00A72FFC">
        <w:t>).</w:t>
      </w:r>
    </w:p>
    <w:p w:rsidR="00244471" w:rsidRPr="00A72FFC" w:rsidRDefault="00244471" w:rsidP="00244471">
      <w:r w:rsidRPr="00A72FFC">
        <w:t xml:space="preserve">Once there is growth of mycobacterium, the culture is sent for a DNA probe to identify the species as </w:t>
      </w:r>
      <w:r w:rsidRPr="00A72FFC">
        <w:rPr>
          <w:i/>
        </w:rPr>
        <w:t>mycobacterium tuberculosis</w:t>
      </w:r>
      <w:r w:rsidRPr="00A72FFC">
        <w:t xml:space="preserve"> or </w:t>
      </w:r>
      <w:r w:rsidRPr="00A72FFC">
        <w:rPr>
          <w:i/>
        </w:rPr>
        <w:t>mycobacterium avium.</w:t>
      </w:r>
      <w:r w:rsidRPr="00A72FFC">
        <w:t xml:space="preserve"> Mycobacterial cultures are also beneficial in identifying susceptibility to different TB medications.</w:t>
      </w:r>
    </w:p>
    <w:p w:rsidR="00244471" w:rsidRPr="00D03947" w:rsidRDefault="00244471" w:rsidP="00244471">
      <w:r>
        <w:t>Clinical presentation and c</w:t>
      </w:r>
      <w:r w:rsidRPr="00B47499">
        <w:t xml:space="preserve">hest radiographs </w:t>
      </w:r>
      <w:r>
        <w:t>also</w:t>
      </w:r>
      <w:r w:rsidRPr="00B47499">
        <w:t xml:space="preserve"> help to distinguish between LTBI and active infections. </w:t>
      </w:r>
      <w:r>
        <w:t>Cavitary lesions in the</w:t>
      </w:r>
      <w:r w:rsidRPr="00B47499">
        <w:t xml:space="preserve"> chest x-rays indicate that the infection has invaded the respirat</w:t>
      </w:r>
      <w:r>
        <w:t>ory system, signifying active</w:t>
      </w:r>
      <w:r w:rsidRPr="00B47499">
        <w:t xml:space="preserve"> </w:t>
      </w:r>
      <w:r>
        <w:t xml:space="preserve">pulmonary TB </w:t>
      </w:r>
      <w:r w:rsidRPr="00B47499">
        <w:t>disease</w:t>
      </w:r>
      <w:r>
        <w:t xml:space="preserve"> (10).</w:t>
      </w:r>
    </w:p>
    <w:p w:rsidR="00244471" w:rsidRDefault="00244471" w:rsidP="00244471">
      <w:pPr>
        <w:pStyle w:val="Heading2"/>
      </w:pPr>
      <w:bookmarkStart w:id="16" w:name="_Toc483314935"/>
      <w:r>
        <w:t>Treatment</w:t>
      </w:r>
      <w:bookmarkEnd w:id="16"/>
    </w:p>
    <w:p w:rsidR="00244471" w:rsidRDefault="00244471" w:rsidP="00244471">
      <w:pPr>
        <w:ind w:firstLine="0"/>
      </w:pPr>
      <w:r>
        <w:t>The treatment of latent TB is either 9 months of daily isoniazid (INH) or 12 weekly doses of INH and rifapentine (15, 16). Both regimens are equally effective with reasonable safety profile. Effective drug treatment for active TB typically lasts 6-9 months for non-drug resistant TB and includes</w:t>
      </w:r>
      <w:r w:rsidRPr="00014B91">
        <w:t xml:space="preserve"> two distinct phases of drug treatment. The initial phase aims to kill actively growing bacteria and decrease the risk of TB transmission to others. This phase lasts two months and includes four drugs: isoniazid</w:t>
      </w:r>
      <w:r>
        <w:t xml:space="preserve"> (INH), rifamp</w:t>
      </w:r>
      <w:r w:rsidRPr="00014B91">
        <w:t>in</w:t>
      </w:r>
      <w:r>
        <w:t xml:space="preserve"> (RIF)</w:t>
      </w:r>
      <w:r w:rsidRPr="00014B91">
        <w:t>, pyrazinamide</w:t>
      </w:r>
      <w:r>
        <w:t xml:space="preserve"> (PZA)</w:t>
      </w:r>
      <w:r w:rsidRPr="00014B91">
        <w:t xml:space="preserve"> and ethambutol</w:t>
      </w:r>
      <w:r>
        <w:rPr>
          <w:b/>
        </w:rPr>
        <w:t xml:space="preserve"> </w:t>
      </w:r>
      <w:r w:rsidRPr="00261F90">
        <w:t>(ETB)</w:t>
      </w:r>
      <w:r>
        <w:rPr>
          <w:b/>
        </w:rPr>
        <w:t xml:space="preserve"> </w:t>
      </w:r>
      <w:r w:rsidRPr="00014B91">
        <w:t>(</w:t>
      </w:r>
      <w:r>
        <w:t>16</w:t>
      </w:r>
      <w:r w:rsidRPr="00014B91">
        <w:t>).</w:t>
      </w:r>
      <w:r w:rsidRPr="00014B91">
        <w:rPr>
          <w:b/>
        </w:rPr>
        <w:t xml:space="preserve"> </w:t>
      </w:r>
      <w:r w:rsidRPr="00014B91">
        <w:t>The second phase of treatment, known as the continuation phase, should include</w:t>
      </w:r>
      <w:r>
        <w:t xml:space="preserve"> INH</w:t>
      </w:r>
      <w:r w:rsidRPr="00014B91">
        <w:t xml:space="preserve"> and </w:t>
      </w:r>
      <w:r>
        <w:t>RIF</w:t>
      </w:r>
      <w:r w:rsidRPr="00014B91">
        <w:t xml:space="preserve"> for four or more months (</w:t>
      </w:r>
      <w:r>
        <w:t>16</w:t>
      </w:r>
      <w:r w:rsidRPr="00014B91">
        <w:t xml:space="preserve">). Overall, studies have shown that treatment regimens shorter than six months result in a high rate of relapse, therefore it is important for TB patients to complete 6 or more months of treatment in order to prevent further tuberculosis cases. </w:t>
      </w:r>
    </w:p>
    <w:p w:rsidR="00244471" w:rsidRDefault="00244471" w:rsidP="00244471">
      <w:pPr>
        <w:pStyle w:val="Heading2"/>
      </w:pPr>
      <w:bookmarkStart w:id="17" w:name="_Toc483314936"/>
      <w:r>
        <w:t>current situation in the united states</w:t>
      </w:r>
      <w:bookmarkEnd w:id="17"/>
    </w:p>
    <w:p w:rsidR="00244471" w:rsidRDefault="00244471" w:rsidP="00244471">
      <w:pPr>
        <w:tabs>
          <w:tab w:val="left" w:pos="720"/>
        </w:tabs>
        <w:ind w:firstLine="0"/>
        <w:rPr>
          <w:color w:val="FF0000"/>
        </w:rPr>
      </w:pPr>
      <w:r>
        <w:t xml:space="preserve">The United States is classified as a low tuberculosis incidence country. Low tuberculosis incidence countries have been defined as those with a crude case notification rate &lt;10 (all cases) per 100,000 inhabitants and declining (17). However, in the US between 1985 and 1991 there was a significant resurgence in tuberculosis cases; during this time period all forms of TB increased by 18.4% (18). Several factors contributed to this dramatic increase in TB rates, including the HIV epidemic, the emergence of multidrug resistant (MDR) TB, increased immigration to the US and increased use of mass transport (5). Furthermore, the CDC describes TB transmission in congregate settings as a factor that fueled the resurgence of TB in the United States (10). Fortunately, since 1992 the incidence of TB has declined annually (19). </w:t>
      </w:r>
    </w:p>
    <w:p w:rsidR="00244471" w:rsidRPr="00332698" w:rsidRDefault="00244471" w:rsidP="00244471">
      <w:pPr>
        <w:tabs>
          <w:tab w:val="left" w:pos="720"/>
        </w:tabs>
      </w:pPr>
      <w:r w:rsidRPr="00332698">
        <w:t xml:space="preserve">The decrease in TB incidence can be attributed to increased use of antiretroviral therapy (ART) and significant reduction in HIV/AIDs. There is a close interaction of TB and HIV epidemics. </w:t>
      </w:r>
      <w:r w:rsidRPr="00C42DFB">
        <w:t>Since the decline in HIV incidence in the mid-1990s, there has also been a reduction in TB incidence (20).</w:t>
      </w:r>
    </w:p>
    <w:p w:rsidR="00244471" w:rsidRPr="00657DB9" w:rsidRDefault="00244471" w:rsidP="00244471">
      <w:pPr>
        <w:tabs>
          <w:tab w:val="left" w:pos="720"/>
        </w:tabs>
      </w:pPr>
      <w:r>
        <w:t>Currently, immigration and foreign travel continues to pose a specific threat to tuberculosis control in the United States. In 2002, for the first time, TB cases among foreign born persons accounted for a majority (51.2%) of TB cases in the US (10). The percentage of TB cases attributable to immigrants increased from 29% to 63% in 1992 to 2012 (7). Additionally, the number of states that reported that 50% or more of their cases were among foreign born persons increased from 23 states in 2001 to 34 states ten years later (10). Although the US can do its best effort to eliminate tuberculosis throughout the country, individuals emigrating from high tuberculosis burden countries will continue to import in new infections with them. Specifically, Asians had the highest TB rates in the United States from 2003 to 2011 (10). Furthermore, large urban areas have the highest rate of tuberculosis incidence in the United States (21).</w:t>
      </w:r>
    </w:p>
    <w:p w:rsidR="00244471" w:rsidRDefault="00244471" w:rsidP="00244471">
      <w:pPr>
        <w:pStyle w:val="Heading2"/>
      </w:pPr>
      <w:bookmarkStart w:id="18" w:name="_Toc483314937"/>
      <w:r>
        <w:t>transmission in hospital settings</w:t>
      </w:r>
      <w:bookmarkEnd w:id="18"/>
    </w:p>
    <w:p w:rsidR="00244471" w:rsidRPr="003B4338" w:rsidRDefault="00244471" w:rsidP="00244471">
      <w:pPr>
        <w:tabs>
          <w:tab w:val="left" w:pos="720"/>
        </w:tabs>
        <w:ind w:firstLine="0"/>
      </w:pPr>
      <w:r>
        <w:t xml:space="preserve">The risk of obtaining nosocomial tuberculosis is high for both healthcare workers (HCW) and patients, alike (22). </w:t>
      </w:r>
      <w:r w:rsidRPr="0007476E">
        <w:t xml:space="preserve">According to the </w:t>
      </w:r>
      <w:r>
        <w:t>World Health Organization</w:t>
      </w:r>
      <w:r w:rsidRPr="0007476E">
        <w:t>, those who live or work in congregate</w:t>
      </w:r>
      <w:r>
        <w:t xml:space="preserve"> settings, such as hospitals, </w:t>
      </w:r>
      <w:r w:rsidRPr="0007476E">
        <w:t>nursing homes</w:t>
      </w:r>
      <w:r>
        <w:t xml:space="preserve"> or prisons</w:t>
      </w:r>
      <w:r w:rsidRPr="0007476E">
        <w:t>, have a greater incidence of tuberculosis infection than the general population</w:t>
      </w:r>
      <w:r>
        <w:t xml:space="preserve"> (23)</w:t>
      </w:r>
      <w:r w:rsidRPr="0007476E">
        <w:t xml:space="preserve">. Specifically, </w:t>
      </w:r>
      <w:r>
        <w:t>HCWs</w:t>
      </w:r>
      <w:r w:rsidRPr="0007476E">
        <w:t xml:space="preserve"> are three times more likely to obtain </w:t>
      </w:r>
      <w:r>
        <w:t>TB</w:t>
      </w:r>
      <w:r w:rsidRPr="0007476E">
        <w:t xml:space="preserve"> than the general population (</w:t>
      </w:r>
      <w:r>
        <w:t>24</w:t>
      </w:r>
      <w:r w:rsidRPr="0091721B">
        <w:t>). A systematic review comp</w:t>
      </w:r>
      <w:r>
        <w:t xml:space="preserve">leted by Hatherill et al. found that the </w:t>
      </w:r>
      <w:r w:rsidRPr="0091721B">
        <w:t xml:space="preserve">annual incidence of TB disease among </w:t>
      </w:r>
      <w:r>
        <w:t>HCWs</w:t>
      </w:r>
      <w:r w:rsidRPr="0091721B">
        <w:t xml:space="preserve"> in countries with low TB preva</w:t>
      </w:r>
      <w:r>
        <w:t xml:space="preserve">lence is 67 per 100,000 whereas the </w:t>
      </w:r>
      <w:r w:rsidRPr="0091721B">
        <w:t>median incidence rate in the general pop</w:t>
      </w:r>
      <w:r>
        <w:t>ulation of 33 per 100,000 (25). This statistic demonstrates the public health significance of TB transmission in health-care facilities and thus the importance of infection control practices to protect both patients and staff from infection.</w:t>
      </w:r>
    </w:p>
    <w:p w:rsidR="00244471" w:rsidRDefault="00244471" w:rsidP="00244471">
      <w:r>
        <w:rPr>
          <w:rFonts w:ascii="Times" w:hAnsi="Times"/>
        </w:rPr>
        <w:t xml:space="preserve">The transmission of TB within a health-care setting occurs when a </w:t>
      </w:r>
      <w:r>
        <w:t xml:space="preserve">TB case goes undiagnosed and appropriate airborne precautions are not adopted, thus exposing numerous other individuals to active disease. Highly infectious cavitary or endobronchial TB cases were reported to be associated with the largest nosocomial outbreaks (19). Tuberculosis contact investigations </w:t>
      </w:r>
      <w:r w:rsidRPr="005F1C77">
        <w:t>are an effective epidemiological method focused on breaking the chain of infection transmission. Early detection of exposed individuals using LTBI methods (TST or IGRA) and offering LTBI therapy is very effective in preventing active TB.</w:t>
      </w:r>
    </w:p>
    <w:p w:rsidR="00244471" w:rsidRDefault="00244471" w:rsidP="00244471">
      <w:r>
        <w:t>In a hospital setting, contact investigations are typically initiated when possible person-to-person transmission among patients and/or HCWs occurs or in situations when “persons with active tuberculosis were not promptly identified and isolated” (13)</w:t>
      </w:r>
      <w:r>
        <w:rPr>
          <w:color w:val="FF0000"/>
        </w:rPr>
        <w:t xml:space="preserve">. </w:t>
      </w:r>
      <w:r>
        <w:t xml:space="preserve">During a contact investigation, persons potentially exposed to the infectious TB case (contacts) are identified, notified of the exposure and then diagnostically evaluated for tuberculosis infection. Most commonly, contacts are assessed using TST or IGRA testing to determine if they have been infected with </w:t>
      </w:r>
      <w:r w:rsidRPr="0021621A">
        <w:rPr>
          <w:i/>
        </w:rPr>
        <w:t>M. tuberculosis</w:t>
      </w:r>
      <w:r>
        <w:t>. Contact investigations, while resource intensive, are an effective tool for preventing the transmission of M. tuberculosis within health-care settings because they are focused on the early identification of infection, thus reducing disease severity and transmissibility to others.</w:t>
      </w:r>
    </w:p>
    <w:p w:rsidR="00244471" w:rsidRPr="00244471" w:rsidRDefault="00244471" w:rsidP="00244471">
      <w:pPr>
        <w:rPr>
          <w:color w:val="FF0000"/>
        </w:rPr>
      </w:pPr>
    </w:p>
    <w:p w:rsidR="00B917F0" w:rsidRDefault="00E936AA" w:rsidP="00E936AA">
      <w:pPr>
        <w:pStyle w:val="Heading1"/>
      </w:pPr>
      <w:bookmarkStart w:id="19" w:name="_Toc483314938"/>
      <w:r>
        <w:t>methods</w:t>
      </w:r>
      <w:bookmarkEnd w:id="19"/>
    </w:p>
    <w:p w:rsidR="00754A0E" w:rsidRPr="00754A0E" w:rsidRDefault="00754A0E" w:rsidP="00754A0E">
      <w:pPr>
        <w:pStyle w:val="Noindent"/>
      </w:pPr>
      <w:r>
        <w:rPr>
          <w:szCs w:val="20"/>
        </w:rPr>
        <w:t>This is a retrospective observational epidemiological study describing and analyzing a tuberculosis contact investigation that was recently conducted at a large, university-associated hospital. In this review, the contact investigation is first summarized, including the methodology taken by the Infection Control department. Second, the patient contact population is described and reviewed to determine if any conversions occurred as a result of exposure to the index patient. Hospital employee contacts are also briefly reviewed for potential conversions. Finally, a developed algorithm is presented based on this review for use in future tuberculosis exposure events.</w:t>
      </w:r>
    </w:p>
    <w:p w:rsidR="00E936AA" w:rsidRDefault="00E936AA" w:rsidP="00E936AA">
      <w:pPr>
        <w:pStyle w:val="Heading2"/>
      </w:pPr>
      <w:bookmarkStart w:id="20" w:name="_Toc483314939"/>
      <w:r>
        <w:t>quality improvement project</w:t>
      </w:r>
      <w:bookmarkEnd w:id="20"/>
    </w:p>
    <w:p w:rsidR="009E1A18" w:rsidRDefault="00726B92" w:rsidP="00726B92">
      <w:pPr>
        <w:pStyle w:val="Default"/>
        <w:spacing w:line="480" w:lineRule="auto"/>
        <w:jc w:val="both"/>
        <w:rPr>
          <w:rFonts w:ascii="Times New Roman" w:hAnsi="Times New Roman" w:cs="Times New Roman"/>
          <w:color w:val="auto"/>
        </w:rPr>
      </w:pPr>
      <w:r w:rsidRPr="00F06DDE">
        <w:rPr>
          <w:rFonts w:ascii="Times New Roman" w:hAnsi="Times New Roman" w:cs="Times New Roman"/>
          <w:color w:val="auto"/>
          <w:szCs w:val="20"/>
        </w:rPr>
        <w:t>The hospital’s total quality council reviewed and approved this project, titled</w:t>
      </w:r>
      <w:r w:rsidRPr="00F06DDE">
        <w:rPr>
          <w:rFonts w:ascii="Times New Roman" w:hAnsi="Times New Roman" w:cs="Times New Roman"/>
          <w:color w:val="auto"/>
        </w:rPr>
        <w:t xml:space="preserve"> “TB Exposure in Inpatient and Outpatient Facility: QI Study</w:t>
      </w:r>
      <w:r>
        <w:rPr>
          <w:rFonts w:ascii="Times New Roman" w:hAnsi="Times New Roman" w:cs="Times New Roman"/>
          <w:color w:val="auto"/>
        </w:rPr>
        <w:t>.</w:t>
      </w:r>
      <w:r w:rsidRPr="00F06DDE">
        <w:rPr>
          <w:rFonts w:ascii="Times New Roman" w:hAnsi="Times New Roman" w:cs="Times New Roman"/>
          <w:color w:val="auto"/>
        </w:rPr>
        <w:t xml:space="preserve">” The study, Project ID: 682, was conducted under the sponsorship of the Infection Control Medical Director. According to the University of Pittsburgh’s </w:t>
      </w:r>
      <w:r w:rsidRPr="00F06DDE">
        <w:rPr>
          <w:rFonts w:ascii="Times New Roman" w:hAnsi="Times New Roman" w:cs="Times New Roman"/>
          <w:i/>
          <w:iCs/>
          <w:color w:val="auto"/>
        </w:rPr>
        <w:t>Guidance on Activities Not Under the Jurisdiction of the Institutional Review Board</w:t>
      </w:r>
      <w:r w:rsidRPr="00F06DDE">
        <w:rPr>
          <w:rFonts w:ascii="Times New Roman" w:hAnsi="Times New Roman" w:cs="Times New Roman"/>
          <w:iCs/>
          <w:color w:val="auto"/>
        </w:rPr>
        <w:t>,</w:t>
      </w:r>
      <w:r w:rsidRPr="00F06DDE">
        <w:rPr>
          <w:rFonts w:ascii="Times New Roman" w:hAnsi="Times New Roman" w:cs="Times New Roman"/>
          <w:i/>
          <w:iCs/>
          <w:color w:val="auto"/>
        </w:rPr>
        <w:t xml:space="preserve"> </w:t>
      </w:r>
      <w:r w:rsidRPr="00F06DDE">
        <w:rPr>
          <w:rFonts w:ascii="Times New Roman" w:hAnsi="Times New Roman" w:cs="Times New Roman"/>
          <w:color w:val="auto"/>
        </w:rPr>
        <w:t>“quality assurance and improvement projects do not require IRB review and approval except when they involve ‘Research’ as defined by the federal regulations” (28).</w:t>
      </w:r>
      <w:r w:rsidR="00DA1B69">
        <w:rPr>
          <w:rFonts w:ascii="Times New Roman" w:hAnsi="Times New Roman" w:cs="Times New Roman"/>
          <w:color w:val="auto"/>
        </w:rPr>
        <w:t xml:space="preserve"> The researcher was</w:t>
      </w:r>
    </w:p>
    <w:p w:rsidR="009E1A18" w:rsidRDefault="009E1A18" w:rsidP="00726B92">
      <w:pPr>
        <w:pStyle w:val="Default"/>
        <w:spacing w:line="480" w:lineRule="auto"/>
        <w:jc w:val="both"/>
        <w:rPr>
          <w:rFonts w:ascii="Times New Roman" w:hAnsi="Times New Roman" w:cs="Times New Roman"/>
          <w:color w:val="auto"/>
        </w:rPr>
      </w:pPr>
    </w:p>
    <w:p w:rsidR="00726B92" w:rsidRPr="00F06DDE" w:rsidRDefault="00DA1B69" w:rsidP="00726B92">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 required to </w:t>
      </w:r>
      <w:r w:rsidRPr="00DA1B69">
        <w:rPr>
          <w:rFonts w:ascii="Times New Roman" w:hAnsi="Times New Roman" w:cs="Times New Roman"/>
          <w:color w:val="auto"/>
        </w:rPr>
        <w:t xml:space="preserve">sign a </w:t>
      </w:r>
      <w:r w:rsidRPr="00DA1B69">
        <w:rPr>
          <w:rStyle w:val="tgc"/>
          <w:rFonts w:ascii="Times New Roman" w:hAnsi="Times New Roman" w:cs="Times New Roman"/>
        </w:rPr>
        <w:t>Health Insurance Portability and Accountability Act</w:t>
      </w:r>
      <w:r w:rsidRPr="00DA1B69">
        <w:rPr>
          <w:rFonts w:ascii="Times New Roman" w:hAnsi="Times New Roman" w:cs="Times New Roman"/>
          <w:color w:val="auto"/>
        </w:rPr>
        <w:t xml:space="preserve"> (HIPAA) agreement</w:t>
      </w:r>
      <w:r>
        <w:rPr>
          <w:rFonts w:ascii="Times New Roman" w:hAnsi="Times New Roman" w:cs="Times New Roman"/>
          <w:color w:val="auto"/>
        </w:rPr>
        <w:t xml:space="preserve"> to maintain confidentially of any records reviewed for this study.</w:t>
      </w:r>
    </w:p>
    <w:p w:rsidR="00726B92" w:rsidRPr="00726B92" w:rsidRDefault="00726B92" w:rsidP="00726B92">
      <w:pPr>
        <w:rPr>
          <w:shd w:val="clear" w:color="auto" w:fill="FFFFFF"/>
        </w:rPr>
      </w:pPr>
      <w:r>
        <w:rPr>
          <w:shd w:val="clear" w:color="auto" w:fill="FFFFFF"/>
        </w:rPr>
        <w:t xml:space="preserve">Quality improvement projects are systematic and continuous actions focused on improving health care to a specific patient population or within a specific setting, such as a hospital (29). In general, the information gained from such projects is used to improve services rather than provide generalizable information. This study is classified as a quality improvement project and was submitted to the hospital’s quality council review because the objective of this study is to review and evaluate a recent tuberculosis contact investigation and not intended to draw generalizable conclusions. </w:t>
      </w:r>
    </w:p>
    <w:p w:rsidR="00E936AA" w:rsidRDefault="00E936AA" w:rsidP="00E936AA">
      <w:pPr>
        <w:pStyle w:val="Heading2"/>
      </w:pPr>
      <w:bookmarkStart w:id="21" w:name="_Toc483314940"/>
      <w:r>
        <w:t>contact investigation description</w:t>
      </w:r>
      <w:bookmarkEnd w:id="21"/>
    </w:p>
    <w:p w:rsidR="006471E3" w:rsidRPr="002872FD" w:rsidRDefault="006471E3" w:rsidP="006471E3">
      <w:pPr>
        <w:ind w:firstLine="0"/>
        <w:rPr>
          <w:szCs w:val="20"/>
        </w:rPr>
      </w:pPr>
      <w:r>
        <w:rPr>
          <w:szCs w:val="20"/>
        </w:rPr>
        <w:t>In this event, Hospital Infection Control (IC) monitored all patients that were potentially exposed and Employee Health (Occunet) monitored all staff members potentially exposed. Once notified of the confirmed case, IC compiled a list of patient contacts by acquiring patient visitation logs according to date from the oncology, radiology and emergency departments. To determine potential contacts, exposure periods were set by the IC Medical Director based on the index patient’s appointment times. All those seen in the oncology, radiology and emergency departments within the following timeframe were included as contacts; approximately one hour before the index patient’s appointment, the time spent by the index patient in the waiting and treatment rooms and up to one hour after the index patient’s appointment was over. Based on those criteria, IC identified 142 patient contacts.</w:t>
      </w:r>
    </w:p>
    <w:p w:rsidR="006471E3" w:rsidRDefault="006471E3" w:rsidP="006471E3">
      <w:pPr>
        <w:rPr>
          <w:szCs w:val="20"/>
        </w:rPr>
      </w:pPr>
      <w:r>
        <w:rPr>
          <w:szCs w:val="20"/>
        </w:rPr>
        <w:t xml:space="preserve">Once a list of patient contacts was compiled, Infection Control contacted all exposed patients with a notification letter sent via certified mail. The letter informed contacts about the potential exposure to TB and advised them to see their primary care physician for TST testing. Also explained in the letter was that TST testing costs not covered by the patient’s insurance will be reimbursed by the hospital when submitted properly. On October 13, 2015, Infection Control sent all notification letters to patient contacts, 18 days after confirmation that the index case was culture positive. </w:t>
      </w:r>
    </w:p>
    <w:p w:rsidR="00E936AA" w:rsidRDefault="00E936AA" w:rsidP="00E936AA">
      <w:pPr>
        <w:pStyle w:val="Heading2"/>
      </w:pPr>
      <w:bookmarkStart w:id="22" w:name="_Toc483314941"/>
      <w:r>
        <w:t>contact investigation review</w:t>
      </w:r>
      <w:bookmarkEnd w:id="22"/>
    </w:p>
    <w:p w:rsidR="006471E3" w:rsidRDefault="006471E3" w:rsidP="004948D1">
      <w:pPr>
        <w:ind w:firstLine="0"/>
      </w:pPr>
      <w:r>
        <w:t>In an effort to describe the exposed population, patient demographic data, comorbidities, risk factors and TST testing results were collected from the hospital’s electronic medical record system—Cerner PowerChart</w:t>
      </w:r>
      <w:r w:rsidRPr="00007C75">
        <w:rPr>
          <w:rFonts w:ascii="Lucida Grande" w:hAnsi="Lucida Grande" w:cs="Lucida Grande"/>
          <w:b/>
          <w:color w:val="000000"/>
        </w:rPr>
        <w:t>®</w:t>
      </w:r>
      <w:r>
        <w:t xml:space="preserve">. Patients were searched for in the system by name and birth date and each chart was reviewed. </w:t>
      </w:r>
      <w:r>
        <w:rPr>
          <w:szCs w:val="20"/>
        </w:rPr>
        <w:t>At the initiation of this contact investigation review, IC collected information regarding employee contacts from Employee Health, (Occunet).</w:t>
      </w:r>
      <w:r>
        <w:rPr>
          <w:color w:val="FF0000"/>
        </w:rPr>
        <w:t xml:space="preserve"> </w:t>
      </w:r>
      <w:r>
        <w:t>The following patient data was collected and entered into a HIPPA protected Excel Spreadsheet:</w:t>
      </w:r>
    </w:p>
    <w:tbl>
      <w:tblPr>
        <w:tblW w:w="0" w:type="auto"/>
        <w:tblLook w:val="04A0" w:firstRow="1" w:lastRow="0" w:firstColumn="1" w:lastColumn="0" w:noHBand="0" w:noVBand="1"/>
      </w:tblPr>
      <w:tblGrid>
        <w:gridCol w:w="4788"/>
        <w:gridCol w:w="4788"/>
      </w:tblGrid>
      <w:tr w:rsidR="0082766B" w:rsidRPr="00D95B63" w:rsidTr="00D95B63">
        <w:tc>
          <w:tcPr>
            <w:tcW w:w="4788" w:type="dxa"/>
            <w:shd w:val="clear" w:color="auto" w:fill="auto"/>
          </w:tcPr>
          <w:p w:rsidR="0082766B" w:rsidRPr="00212F95" w:rsidRDefault="0082766B" w:rsidP="00D95B63">
            <w:pPr>
              <w:numPr>
                <w:ilvl w:val="0"/>
                <w:numId w:val="3"/>
              </w:numPr>
              <w:spacing w:line="240" w:lineRule="auto"/>
            </w:pPr>
            <w:r w:rsidRPr="00212F95">
              <w:t>Age</w:t>
            </w:r>
          </w:p>
        </w:tc>
        <w:tc>
          <w:tcPr>
            <w:tcW w:w="4788" w:type="dxa"/>
            <w:shd w:val="clear" w:color="auto" w:fill="auto"/>
          </w:tcPr>
          <w:p w:rsidR="0082766B" w:rsidRPr="00212F95" w:rsidRDefault="00212F95" w:rsidP="00D95B63">
            <w:pPr>
              <w:numPr>
                <w:ilvl w:val="0"/>
                <w:numId w:val="3"/>
              </w:numPr>
              <w:spacing w:line="240" w:lineRule="auto"/>
            </w:pPr>
            <w:r w:rsidRPr="00212F95">
              <w:t>Hospital Location</w:t>
            </w:r>
          </w:p>
        </w:tc>
      </w:tr>
      <w:tr w:rsidR="0082766B" w:rsidRPr="00D95B63" w:rsidTr="00D95B63">
        <w:tc>
          <w:tcPr>
            <w:tcW w:w="4788" w:type="dxa"/>
            <w:shd w:val="clear" w:color="auto" w:fill="auto"/>
          </w:tcPr>
          <w:p w:rsidR="0082766B" w:rsidRPr="00212F95" w:rsidRDefault="0082766B" w:rsidP="00D95B63">
            <w:pPr>
              <w:numPr>
                <w:ilvl w:val="0"/>
                <w:numId w:val="3"/>
              </w:numPr>
              <w:spacing w:line="240" w:lineRule="auto"/>
            </w:pPr>
            <w:r w:rsidRPr="00212F95">
              <w:t>Gender</w:t>
            </w:r>
          </w:p>
        </w:tc>
        <w:tc>
          <w:tcPr>
            <w:tcW w:w="4788" w:type="dxa"/>
            <w:shd w:val="clear" w:color="auto" w:fill="auto"/>
          </w:tcPr>
          <w:p w:rsidR="0082766B" w:rsidRPr="00212F95" w:rsidRDefault="00212F95" w:rsidP="00D95B63">
            <w:pPr>
              <w:numPr>
                <w:ilvl w:val="0"/>
                <w:numId w:val="3"/>
              </w:numPr>
              <w:spacing w:line="240" w:lineRule="auto"/>
            </w:pPr>
            <w:r w:rsidRPr="00212F95">
              <w:t>Discharge Diagnoses</w:t>
            </w:r>
          </w:p>
        </w:tc>
      </w:tr>
      <w:tr w:rsidR="0082766B" w:rsidRPr="00D95B63" w:rsidTr="00D95B63">
        <w:tc>
          <w:tcPr>
            <w:tcW w:w="4788" w:type="dxa"/>
            <w:shd w:val="clear" w:color="auto" w:fill="auto"/>
          </w:tcPr>
          <w:p w:rsidR="0082766B" w:rsidRPr="00212F95" w:rsidRDefault="0082766B" w:rsidP="00D95B63">
            <w:pPr>
              <w:numPr>
                <w:ilvl w:val="0"/>
                <w:numId w:val="3"/>
              </w:numPr>
              <w:spacing w:line="240" w:lineRule="auto"/>
            </w:pPr>
            <w:r w:rsidRPr="00212F95">
              <w:t>Race</w:t>
            </w:r>
          </w:p>
        </w:tc>
        <w:tc>
          <w:tcPr>
            <w:tcW w:w="4788" w:type="dxa"/>
            <w:shd w:val="clear" w:color="auto" w:fill="auto"/>
          </w:tcPr>
          <w:p w:rsidR="0082766B" w:rsidRPr="00212F95" w:rsidRDefault="00212F95" w:rsidP="00D95B63">
            <w:pPr>
              <w:numPr>
                <w:ilvl w:val="0"/>
                <w:numId w:val="3"/>
              </w:numPr>
              <w:spacing w:line="240" w:lineRule="auto"/>
            </w:pPr>
            <w:r w:rsidRPr="00212F95">
              <w:t>Charlson Comorbidity Score</w:t>
            </w:r>
          </w:p>
        </w:tc>
      </w:tr>
      <w:tr w:rsidR="0082766B" w:rsidRPr="00D95B63" w:rsidTr="00D95B63">
        <w:tc>
          <w:tcPr>
            <w:tcW w:w="4788" w:type="dxa"/>
            <w:shd w:val="clear" w:color="auto" w:fill="auto"/>
          </w:tcPr>
          <w:p w:rsidR="0082766B" w:rsidRPr="00212F95" w:rsidRDefault="0082766B" w:rsidP="00D95B63">
            <w:pPr>
              <w:numPr>
                <w:ilvl w:val="0"/>
                <w:numId w:val="3"/>
              </w:numPr>
              <w:spacing w:line="240" w:lineRule="auto"/>
            </w:pPr>
            <w:r w:rsidRPr="00212F95">
              <w:t>Zip Code</w:t>
            </w:r>
          </w:p>
        </w:tc>
        <w:tc>
          <w:tcPr>
            <w:tcW w:w="4788" w:type="dxa"/>
            <w:shd w:val="clear" w:color="auto" w:fill="auto"/>
          </w:tcPr>
          <w:p w:rsidR="0082766B" w:rsidRPr="00212F95" w:rsidRDefault="00212F95" w:rsidP="00D95B63">
            <w:pPr>
              <w:numPr>
                <w:ilvl w:val="0"/>
                <w:numId w:val="3"/>
              </w:numPr>
              <w:spacing w:line="240" w:lineRule="auto"/>
            </w:pPr>
            <w:r w:rsidRPr="00212F95">
              <w:t>Returned Notification Letter</w:t>
            </w:r>
          </w:p>
        </w:tc>
      </w:tr>
      <w:tr w:rsidR="0082766B" w:rsidRPr="00D95B63" w:rsidTr="00D95B63">
        <w:tc>
          <w:tcPr>
            <w:tcW w:w="4788" w:type="dxa"/>
            <w:shd w:val="clear" w:color="auto" w:fill="auto"/>
          </w:tcPr>
          <w:p w:rsidR="0082766B" w:rsidRPr="00212F95" w:rsidRDefault="0082766B" w:rsidP="00D95B63">
            <w:pPr>
              <w:numPr>
                <w:ilvl w:val="0"/>
                <w:numId w:val="3"/>
              </w:numPr>
              <w:spacing w:line="240" w:lineRule="auto"/>
            </w:pPr>
            <w:r w:rsidRPr="00212F95">
              <w:t>Height</w:t>
            </w:r>
          </w:p>
        </w:tc>
        <w:tc>
          <w:tcPr>
            <w:tcW w:w="4788" w:type="dxa"/>
            <w:shd w:val="clear" w:color="auto" w:fill="auto"/>
          </w:tcPr>
          <w:p w:rsidR="0082766B" w:rsidRPr="00212F95" w:rsidRDefault="00212F95" w:rsidP="00D95B63">
            <w:pPr>
              <w:numPr>
                <w:ilvl w:val="0"/>
                <w:numId w:val="3"/>
              </w:numPr>
              <w:spacing w:line="240" w:lineRule="auto"/>
            </w:pPr>
            <w:r w:rsidRPr="00212F95">
              <w:t>Completion of TST Test</w:t>
            </w:r>
          </w:p>
        </w:tc>
      </w:tr>
      <w:tr w:rsidR="0082766B" w:rsidRPr="00D95B63" w:rsidTr="00D95B63">
        <w:tc>
          <w:tcPr>
            <w:tcW w:w="4788" w:type="dxa"/>
            <w:shd w:val="clear" w:color="auto" w:fill="auto"/>
          </w:tcPr>
          <w:p w:rsidR="0082766B" w:rsidRPr="00212F95" w:rsidRDefault="00212F95" w:rsidP="00D95B63">
            <w:pPr>
              <w:numPr>
                <w:ilvl w:val="0"/>
                <w:numId w:val="3"/>
              </w:numPr>
              <w:spacing w:line="240" w:lineRule="auto"/>
            </w:pPr>
            <w:r w:rsidRPr="00212F95">
              <w:t>Weight</w:t>
            </w:r>
          </w:p>
        </w:tc>
        <w:tc>
          <w:tcPr>
            <w:tcW w:w="4788" w:type="dxa"/>
            <w:shd w:val="clear" w:color="auto" w:fill="auto"/>
          </w:tcPr>
          <w:p w:rsidR="0082766B" w:rsidRPr="00212F95" w:rsidRDefault="00212F95" w:rsidP="00D95B63">
            <w:pPr>
              <w:numPr>
                <w:ilvl w:val="0"/>
                <w:numId w:val="3"/>
              </w:numPr>
              <w:spacing w:line="240" w:lineRule="auto"/>
            </w:pPr>
            <w:r w:rsidRPr="00212F95">
              <w:t>Results of TST Test</w:t>
            </w:r>
          </w:p>
        </w:tc>
      </w:tr>
      <w:tr w:rsidR="0082766B" w:rsidRPr="00D95B63" w:rsidTr="00D95B63">
        <w:tc>
          <w:tcPr>
            <w:tcW w:w="4788" w:type="dxa"/>
            <w:shd w:val="clear" w:color="auto" w:fill="auto"/>
          </w:tcPr>
          <w:p w:rsidR="0082766B" w:rsidRPr="00212F95" w:rsidRDefault="00212F95" w:rsidP="00D95B63">
            <w:pPr>
              <w:numPr>
                <w:ilvl w:val="0"/>
                <w:numId w:val="3"/>
              </w:numPr>
              <w:spacing w:line="240" w:lineRule="auto"/>
            </w:pPr>
            <w:r w:rsidRPr="00212F95">
              <w:t>BMI</w:t>
            </w:r>
          </w:p>
        </w:tc>
        <w:tc>
          <w:tcPr>
            <w:tcW w:w="4788" w:type="dxa"/>
            <w:shd w:val="clear" w:color="auto" w:fill="auto"/>
          </w:tcPr>
          <w:p w:rsidR="0082766B" w:rsidRPr="00212F95" w:rsidRDefault="00212F95" w:rsidP="00D95B63">
            <w:pPr>
              <w:numPr>
                <w:ilvl w:val="0"/>
                <w:numId w:val="3"/>
              </w:numPr>
              <w:spacing w:line="240" w:lineRule="auto"/>
            </w:pPr>
            <w:r w:rsidRPr="00212F95">
              <w:t>Completion of Chest X-Ray</w:t>
            </w:r>
          </w:p>
        </w:tc>
      </w:tr>
      <w:tr w:rsidR="0082766B" w:rsidRPr="00D95B63" w:rsidTr="00D95B63">
        <w:tc>
          <w:tcPr>
            <w:tcW w:w="4788" w:type="dxa"/>
            <w:shd w:val="clear" w:color="auto" w:fill="auto"/>
          </w:tcPr>
          <w:p w:rsidR="0082766B" w:rsidRPr="00212F95" w:rsidRDefault="00212F95" w:rsidP="00D95B63">
            <w:pPr>
              <w:numPr>
                <w:ilvl w:val="0"/>
                <w:numId w:val="3"/>
              </w:numPr>
              <w:spacing w:line="240" w:lineRule="auto"/>
            </w:pPr>
            <w:r w:rsidRPr="00212F95">
              <w:t>Exposed Visitation Date(s)</w:t>
            </w:r>
          </w:p>
        </w:tc>
        <w:tc>
          <w:tcPr>
            <w:tcW w:w="4788" w:type="dxa"/>
            <w:shd w:val="clear" w:color="auto" w:fill="auto"/>
          </w:tcPr>
          <w:p w:rsidR="0082766B" w:rsidRPr="00212F95" w:rsidRDefault="00212F95" w:rsidP="00D95B63">
            <w:pPr>
              <w:numPr>
                <w:ilvl w:val="0"/>
                <w:numId w:val="3"/>
              </w:numPr>
              <w:spacing w:line="240" w:lineRule="auto"/>
            </w:pPr>
            <w:r w:rsidRPr="00212F95">
              <w:t>Diagnosed with HIV</w:t>
            </w:r>
          </w:p>
        </w:tc>
      </w:tr>
      <w:tr w:rsidR="00212F95" w:rsidRPr="00D95B63" w:rsidTr="00D95B63">
        <w:tc>
          <w:tcPr>
            <w:tcW w:w="4788" w:type="dxa"/>
            <w:shd w:val="clear" w:color="auto" w:fill="auto"/>
          </w:tcPr>
          <w:p w:rsidR="00212F95" w:rsidRPr="00212F95" w:rsidRDefault="00212F95" w:rsidP="00D95B63">
            <w:pPr>
              <w:numPr>
                <w:ilvl w:val="0"/>
                <w:numId w:val="3"/>
              </w:numPr>
              <w:spacing w:line="240" w:lineRule="auto"/>
            </w:pPr>
            <w:r w:rsidRPr="00212F95">
              <w:t>Reason for Visit(s)</w:t>
            </w:r>
          </w:p>
        </w:tc>
        <w:tc>
          <w:tcPr>
            <w:tcW w:w="4788" w:type="dxa"/>
            <w:shd w:val="clear" w:color="auto" w:fill="auto"/>
          </w:tcPr>
          <w:p w:rsidR="00212F95" w:rsidRPr="00212F95" w:rsidRDefault="00212F95" w:rsidP="00D95B63">
            <w:pPr>
              <w:numPr>
                <w:ilvl w:val="0"/>
                <w:numId w:val="3"/>
              </w:numPr>
              <w:spacing w:line="240" w:lineRule="auto"/>
            </w:pPr>
            <w:r w:rsidRPr="00212F95">
              <w:t>Smoking Status</w:t>
            </w:r>
          </w:p>
        </w:tc>
      </w:tr>
    </w:tbl>
    <w:p w:rsidR="00212F95" w:rsidRDefault="00212F95" w:rsidP="00212F95">
      <w:pPr>
        <w:pStyle w:val="ColorfulList-Accent11"/>
        <w:spacing w:line="480" w:lineRule="auto"/>
        <w:ind w:left="0"/>
        <w:rPr>
          <w:rFonts w:ascii="Times New Roman" w:eastAsia="Times New Roman" w:hAnsi="Times New Roman"/>
          <w:color w:val="FF0000"/>
          <w:sz w:val="24"/>
          <w:szCs w:val="24"/>
        </w:rPr>
      </w:pPr>
    </w:p>
    <w:p w:rsidR="0082766B" w:rsidRDefault="004948D1" w:rsidP="00212F95">
      <w:pPr>
        <w:pStyle w:val="ColorfulList-Accent11"/>
        <w:spacing w:line="480" w:lineRule="auto"/>
        <w:ind w:left="0" w:firstLine="720"/>
        <w:jc w:val="both"/>
        <w:rPr>
          <w:rFonts w:ascii="Times New Roman" w:hAnsi="Times New Roman"/>
          <w:sz w:val="24"/>
          <w:szCs w:val="24"/>
        </w:rPr>
      </w:pPr>
      <w:r w:rsidRPr="0082766B">
        <w:rPr>
          <w:rFonts w:ascii="Times New Roman" w:hAnsi="Times New Roman"/>
          <w:sz w:val="24"/>
          <w:szCs w:val="24"/>
        </w:rPr>
        <w:t xml:space="preserve">The Charlson Comorbidity Index is a useful score for describing the overall health of a patient, which includes the cumulative severity of a patient’s chronic comorbidities in addition to the patient’s age. In the first component, the index categorizes comorbidity components, each of which is assigned a weighted score from 1-6 based on adjusted risk of mortality (26). Each component is only counted once, even if the patient has a history of two or more of the component specifications. All component scores are summed together to determine a patient’s Comorbidity Component Score. </w:t>
      </w:r>
    </w:p>
    <w:p w:rsidR="0082766B" w:rsidRPr="0082766B" w:rsidRDefault="004948D1" w:rsidP="00212F95">
      <w:pPr>
        <w:pStyle w:val="ColorfulList-Accent11"/>
        <w:spacing w:line="480" w:lineRule="auto"/>
        <w:ind w:left="0" w:firstLine="720"/>
        <w:jc w:val="both"/>
        <w:rPr>
          <w:rFonts w:ascii="Times New Roman" w:hAnsi="Times New Roman"/>
          <w:sz w:val="24"/>
          <w:szCs w:val="24"/>
        </w:rPr>
      </w:pPr>
      <w:r w:rsidRPr="0082766B">
        <w:rPr>
          <w:rFonts w:ascii="Times New Roman" w:hAnsi="Times New Roman"/>
          <w:sz w:val="24"/>
          <w:szCs w:val="24"/>
        </w:rPr>
        <w:t xml:space="preserve">The second component is the Age Index Score, which is based on the patient’s age. The two components, the Comorbidity Component Score and the Age Index Score, are added together to get the Total Comorbidity Score. A higher score indicates more severe comorbidities and thus poorer health, whereas a score of zero signifies the patient has no chronic comorbidities and is in good health. The Charlson Comorbidity Index is a valuable tool for describing the overall health of patients. The form used to calculate the Comorbidity Score of each patient is shown below in Figure 2. </w:t>
      </w:r>
    </w:p>
    <w:p w:rsidR="004948D1" w:rsidRPr="0082766B" w:rsidRDefault="004948D1" w:rsidP="00212F95">
      <w:pPr>
        <w:pStyle w:val="ColorfulList-Accent11"/>
        <w:spacing w:line="480" w:lineRule="auto"/>
        <w:ind w:left="0" w:firstLine="720"/>
        <w:jc w:val="both"/>
        <w:rPr>
          <w:rFonts w:ascii="Times New Roman" w:hAnsi="Times New Roman"/>
          <w:sz w:val="24"/>
          <w:szCs w:val="24"/>
        </w:rPr>
      </w:pPr>
      <w:r w:rsidRPr="0082766B">
        <w:rPr>
          <w:rFonts w:ascii="Times New Roman" w:hAnsi="Times New Roman"/>
          <w:sz w:val="24"/>
          <w:szCs w:val="24"/>
        </w:rPr>
        <w:t>Data analysis was performed using Stata/SE 12.1 (27). Summary and descriptive statistics are given for patient demographics and testing performed. Frequency and percentage are presented for categorical variables, including smoking status, race and gender. The frequency and percentage of TST testing among the patient population and TST results are also shown. The mean and 95% confidence interval are presented for continuous variables, including age, BMI and Charlson Comorbidity Index score.</w:t>
      </w:r>
    </w:p>
    <w:p w:rsidR="004948D1" w:rsidRDefault="004948D1" w:rsidP="004948D1">
      <w:pPr>
        <w:ind w:firstLine="0"/>
      </w:pPr>
    </w:p>
    <w:p w:rsidR="00212F95" w:rsidRDefault="0045332B" w:rsidP="00212F95">
      <w:pPr>
        <w:keepNext/>
        <w:ind w:firstLine="0"/>
      </w:pPr>
      <w:r>
        <w:rPr>
          <w:noProof/>
        </w:rPr>
        <w:drawing>
          <wp:inline distT="0" distB="0" distL="0" distR="0">
            <wp:extent cx="5918200" cy="7315200"/>
            <wp:effectExtent l="25400" t="25400" r="25400" b="25400"/>
            <wp:docPr id="2" name="Picture 2" descr="Screen Shot 2016-09-13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3 a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7315200"/>
                    </a:xfrm>
                    <a:prstGeom prst="rect">
                      <a:avLst/>
                    </a:prstGeom>
                    <a:noFill/>
                    <a:ln w="6350" cmpd="sng">
                      <a:solidFill>
                        <a:srgbClr val="000000"/>
                      </a:solidFill>
                      <a:miter lim="800000"/>
                      <a:headEnd/>
                      <a:tailEnd/>
                    </a:ln>
                    <a:effectLst/>
                  </pic:spPr>
                </pic:pic>
              </a:graphicData>
            </a:graphic>
          </wp:inline>
        </w:drawing>
      </w:r>
    </w:p>
    <w:p w:rsidR="0082766B" w:rsidRDefault="00212F95" w:rsidP="00212F95">
      <w:pPr>
        <w:pStyle w:val="Caption"/>
        <w:ind w:firstLine="0"/>
        <w:jc w:val="center"/>
      </w:pPr>
      <w:bookmarkStart w:id="23" w:name="_Toc467231918"/>
      <w:r>
        <w:t xml:space="preserve">Figure </w:t>
      </w:r>
      <w:fldSimple w:instr=" SEQ Figure \* ARABIC ">
        <w:r w:rsidR="00B054C8">
          <w:rPr>
            <w:noProof/>
          </w:rPr>
          <w:t>2</w:t>
        </w:r>
      </w:fldSimple>
      <w:r>
        <w:t>: Charlson Comorbidity Index Form</w:t>
      </w:r>
      <w:bookmarkEnd w:id="23"/>
    </w:p>
    <w:p w:rsidR="00E936AA" w:rsidRDefault="00E936AA" w:rsidP="0082766B">
      <w:pPr>
        <w:pStyle w:val="Heading2"/>
      </w:pPr>
      <w:bookmarkStart w:id="24" w:name="_Toc483314942"/>
      <w:r>
        <w:t>method limitations</w:t>
      </w:r>
      <w:bookmarkEnd w:id="24"/>
    </w:p>
    <w:p w:rsidR="002F7B6B" w:rsidRPr="00B41145" w:rsidRDefault="002F7B6B" w:rsidP="002F7B6B">
      <w:pPr>
        <w:ind w:firstLine="0"/>
        <w:rPr>
          <w:szCs w:val="20"/>
        </w:rPr>
      </w:pPr>
      <w:r w:rsidRPr="00B41145">
        <w:rPr>
          <w:szCs w:val="20"/>
        </w:rPr>
        <w:t>This is an observational epidemiological case study and conclusions drawn from the study cannot be generalized. Information gathered from the individuals that underwent recommended testing cannot be applied to the entire exposed patient population. This is because bias could arise due to the potential differences among those who underwent recommended testing and those who did not.</w:t>
      </w:r>
    </w:p>
    <w:p w:rsidR="002F7B6B" w:rsidRPr="00B41145" w:rsidRDefault="002F7B6B" w:rsidP="002F7B6B">
      <w:pPr>
        <w:rPr>
          <w:szCs w:val="20"/>
        </w:rPr>
      </w:pPr>
      <w:r w:rsidRPr="00B41145">
        <w:rPr>
          <w:szCs w:val="20"/>
        </w:rPr>
        <w:t>Additionally, various forms of error related to the collection of patient demographics and test results are possible. There is potential for information bias related to the compilation of patient information, including accidental failure to recognize and collect certain medical data.</w:t>
      </w:r>
    </w:p>
    <w:p w:rsidR="002F7B6B" w:rsidRPr="00B41145" w:rsidRDefault="002F7B6B" w:rsidP="002F7B6B">
      <w:pPr>
        <w:ind w:firstLine="0"/>
        <w:rPr>
          <w:szCs w:val="20"/>
        </w:rPr>
      </w:pPr>
      <w:r w:rsidRPr="00B41145">
        <w:rPr>
          <w:szCs w:val="20"/>
        </w:rPr>
        <w:t>This study only collected information from the hospital system’s electronic medical record system. Any medical information or test results not reported to or stored in the hospital’s system could be missing in the analysis.</w:t>
      </w:r>
    </w:p>
    <w:p w:rsidR="002F7B6B" w:rsidRPr="002F7B6B" w:rsidRDefault="002F7B6B" w:rsidP="002F7B6B">
      <w:pPr>
        <w:pStyle w:val="Noindent"/>
      </w:pPr>
    </w:p>
    <w:p w:rsidR="00E35361" w:rsidRDefault="00244471" w:rsidP="00244471">
      <w:pPr>
        <w:pStyle w:val="Heading1"/>
      </w:pPr>
      <w:bookmarkStart w:id="25" w:name="_Toc483314943"/>
      <w:r>
        <w:t>results</w:t>
      </w:r>
      <w:bookmarkEnd w:id="25"/>
    </w:p>
    <w:p w:rsidR="00C467DB" w:rsidRPr="00C467DB" w:rsidRDefault="00244471" w:rsidP="00C467DB">
      <w:pPr>
        <w:pStyle w:val="Heading2"/>
      </w:pPr>
      <w:bookmarkStart w:id="26" w:name="_Toc483314944"/>
      <w:r>
        <w:t>Contact investigation results</w:t>
      </w:r>
      <w:bookmarkEnd w:id="26"/>
    </w:p>
    <w:p w:rsidR="00C467DB" w:rsidRDefault="00C467DB" w:rsidP="00C467DB">
      <w:pPr>
        <w:ind w:firstLine="0"/>
        <w:rPr>
          <w:szCs w:val="20"/>
        </w:rPr>
      </w:pPr>
      <w:r>
        <w:rPr>
          <w:szCs w:val="20"/>
        </w:rPr>
        <w:t>From this contact investigation, a total of 202 individuals were identified as potential contacts. Infection Control identified 142 patients and Employee Health identified 60 staff members. IC was unable to contact 15.5% (n=22) of the patient contacts; 20 patient letters were undeliverable/returned to sender and two individuals died prior to the start of exposure notifications. Therefore, 84.5% (n=120) of all patient contacts were successfully notified.</w:t>
      </w:r>
    </w:p>
    <w:p w:rsidR="00C467DB" w:rsidRDefault="00C467DB" w:rsidP="00C467DB">
      <w:pPr>
        <w:rPr>
          <w:szCs w:val="20"/>
        </w:rPr>
      </w:pPr>
      <w:r>
        <w:rPr>
          <w:szCs w:val="20"/>
        </w:rPr>
        <w:t xml:space="preserve">Of the 120 patients successfully notified, 32.5% (n=39) completed TST testing and the remaining 67.5% (n=81) of patients were lost to follow-up. 71.8% (n=28) of patients who complied with the recommended testing had negative TST results and required no further follow-up. 20.5% (n=8) of patients who underwent TST had no results recorded in their electronic chart; this could be because these patients did not return for the results reading. The remaining 7.7% of test compliant patients (n=3) had positive TST results. These three patients were referred to the Infectious Disease Clinic. Upon further evaluation, all three patients with positive TST results were confirmed to have latent tuberculosis infection (LTBI) from previous exposures and were not a result of the recent nosocomial exposure. </w:t>
      </w:r>
    </w:p>
    <w:p w:rsidR="00C467DB" w:rsidRDefault="00C467DB" w:rsidP="00C467DB">
      <w:pPr>
        <w:rPr>
          <w:szCs w:val="20"/>
        </w:rPr>
      </w:pPr>
      <w:r>
        <w:rPr>
          <w:szCs w:val="20"/>
        </w:rPr>
        <w:t>Employee Health identified 60 staff members from the following departments: cancer center, radiology, emergency medicine, phlebotomy, environmental services, dietary and CT scan. Among these individuals, Employee Health confirmed there were no conversions due to the TB exposure. The results of the contact investigation conducted are depicted visually in Figure 3 below.</w:t>
      </w:r>
    </w:p>
    <w:p w:rsidR="00C467DB" w:rsidRDefault="0045332B" w:rsidP="00C467DB">
      <w:pPr>
        <w:keepNext/>
        <w:ind w:firstLine="0"/>
        <w:jc w:val="center"/>
      </w:pPr>
      <w:r>
        <w:rPr>
          <w:noProof/>
          <w:szCs w:val="20"/>
        </w:rPr>
        <w:drawing>
          <wp:inline distT="0" distB="0" distL="0" distR="0">
            <wp:extent cx="5753100" cy="6832600"/>
            <wp:effectExtent l="25400" t="25400" r="38100" b="2540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832600"/>
                    </a:xfrm>
                    <a:prstGeom prst="rect">
                      <a:avLst/>
                    </a:prstGeom>
                    <a:noFill/>
                    <a:ln w="6350" cmpd="sng">
                      <a:solidFill>
                        <a:srgbClr val="000000"/>
                      </a:solidFill>
                      <a:miter lim="800000"/>
                      <a:headEnd/>
                      <a:tailEnd/>
                    </a:ln>
                    <a:effectLst/>
                  </pic:spPr>
                </pic:pic>
              </a:graphicData>
            </a:graphic>
          </wp:inline>
        </w:drawing>
      </w:r>
    </w:p>
    <w:p w:rsidR="00C467DB" w:rsidRPr="00C467DB" w:rsidRDefault="00C467DB" w:rsidP="00C467DB">
      <w:pPr>
        <w:pStyle w:val="Caption"/>
        <w:ind w:firstLine="0"/>
        <w:jc w:val="center"/>
      </w:pPr>
      <w:bookmarkStart w:id="27" w:name="_Toc467231919"/>
      <w:r>
        <w:t xml:space="preserve">Figure </w:t>
      </w:r>
      <w:fldSimple w:instr=" SEQ Figure \* ARABIC ">
        <w:r w:rsidR="00B054C8">
          <w:rPr>
            <w:noProof/>
          </w:rPr>
          <w:t>3</w:t>
        </w:r>
      </w:fldSimple>
      <w:r>
        <w:t>: Contact Investigation Results</w:t>
      </w:r>
      <w:bookmarkEnd w:id="27"/>
    </w:p>
    <w:p w:rsidR="00244471" w:rsidRDefault="00244471" w:rsidP="00244471">
      <w:pPr>
        <w:pStyle w:val="Heading2"/>
      </w:pPr>
      <w:bookmarkStart w:id="28" w:name="_Toc483314945"/>
      <w:r>
        <w:t>patient demongraphics</w:t>
      </w:r>
      <w:bookmarkEnd w:id="28"/>
    </w:p>
    <w:p w:rsidR="00C467DB" w:rsidRPr="00624E6C" w:rsidRDefault="00C467DB" w:rsidP="00C467DB">
      <w:pPr>
        <w:ind w:firstLine="0"/>
        <w:rPr>
          <w:szCs w:val="20"/>
        </w:rPr>
      </w:pPr>
      <w:r>
        <w:rPr>
          <w:szCs w:val="20"/>
        </w:rPr>
        <w:t>Although the tested patient sample is not identical to the entire exposed patient population, the two groups are very similar. The mean age of the two groups are very similar, sample mean age is 58.59 years and population mean age is 55.10 years. The average BMI of the two groups are also similar, 29.53 and 29.31 respectively. This puts the average individual of each group at the border of overweight and obese. The mean Charlson Comorbidity Index of each group shows that the average overall health of the patients is similar as well, 4.69 and 4.16. Furthermore, smoking status, race/ethnicity and gende</w:t>
      </w:r>
      <w:r w:rsidR="00914653">
        <w:rPr>
          <w:szCs w:val="20"/>
        </w:rPr>
        <w:t>r composition of both groups is</w:t>
      </w:r>
      <w:r>
        <w:rPr>
          <w:szCs w:val="20"/>
        </w:rPr>
        <w:t xml:space="preserve"> comparable.  Patient demographics of both groups are depicted in Table 1 and Table 2 below.</w:t>
      </w:r>
    </w:p>
    <w:p w:rsidR="00C467DB" w:rsidRDefault="00C467DB" w:rsidP="00C467DB">
      <w:pPr>
        <w:pStyle w:val="Caption"/>
        <w:keepNext/>
        <w:ind w:firstLine="0"/>
        <w:jc w:val="center"/>
      </w:pPr>
      <w:bookmarkStart w:id="29" w:name="_Toc467231912"/>
      <w:r>
        <w:t xml:space="preserve">Table </w:t>
      </w:r>
      <w:fldSimple w:instr=" SEQ Table \* ARABIC ">
        <w:r w:rsidR="00B054C8">
          <w:rPr>
            <w:noProof/>
          </w:rPr>
          <w:t>1</w:t>
        </w:r>
      </w:fldSimple>
      <w:r>
        <w:t>: Patient Sample Tested, n=39</w:t>
      </w:r>
      <w:bookmarkEnd w:id="29"/>
    </w:p>
    <w:tbl>
      <w:tblPr>
        <w:tblW w:w="0" w:type="auto"/>
        <w:jc w:val="center"/>
        <w:tblLook w:val="04A0" w:firstRow="1" w:lastRow="0" w:firstColumn="1" w:lastColumn="0" w:noHBand="0" w:noVBand="1"/>
      </w:tblPr>
      <w:tblGrid>
        <w:gridCol w:w="3078"/>
        <w:gridCol w:w="1883"/>
        <w:gridCol w:w="1980"/>
      </w:tblGrid>
      <w:tr w:rsidR="00C467DB" w:rsidTr="00C467DB">
        <w:trPr>
          <w:trHeight w:hRule="exact" w:val="360"/>
          <w:jc w:val="center"/>
        </w:trPr>
        <w:tc>
          <w:tcPr>
            <w:tcW w:w="3078" w:type="dxa"/>
            <w:tcBorders>
              <w:top w:val="single" w:sz="4" w:space="0" w:color="auto"/>
              <w:left w:val="single" w:sz="4" w:space="0" w:color="auto"/>
              <w:bottom w:val="single" w:sz="4" w:space="0" w:color="auto"/>
            </w:tcBorders>
            <w:shd w:val="clear" w:color="auto" w:fill="auto"/>
          </w:tcPr>
          <w:p w:rsidR="00C467DB" w:rsidRPr="00C467DB" w:rsidRDefault="00C467DB" w:rsidP="002C567A">
            <w:pPr>
              <w:ind w:firstLine="0"/>
              <w:rPr>
                <w:b/>
              </w:rPr>
            </w:pPr>
            <w:r w:rsidRPr="00C467DB">
              <w:rPr>
                <w:b/>
              </w:rPr>
              <w:t>Variable</w:t>
            </w:r>
          </w:p>
        </w:tc>
        <w:tc>
          <w:tcPr>
            <w:tcW w:w="1883" w:type="dxa"/>
            <w:tcBorders>
              <w:top w:val="single" w:sz="4" w:space="0" w:color="auto"/>
              <w:bottom w:val="single" w:sz="4" w:space="0" w:color="auto"/>
            </w:tcBorders>
            <w:shd w:val="clear" w:color="auto" w:fill="auto"/>
          </w:tcPr>
          <w:p w:rsidR="00C467DB" w:rsidRPr="00C467DB" w:rsidRDefault="00C467DB" w:rsidP="002C567A">
            <w:pPr>
              <w:ind w:firstLine="0"/>
              <w:jc w:val="right"/>
              <w:rPr>
                <w:b/>
              </w:rPr>
            </w:pPr>
            <w:r w:rsidRPr="00C467DB">
              <w:rPr>
                <w:b/>
              </w:rPr>
              <w:t>Mean</w:t>
            </w:r>
          </w:p>
        </w:tc>
        <w:tc>
          <w:tcPr>
            <w:tcW w:w="1980" w:type="dxa"/>
            <w:tcBorders>
              <w:top w:val="single" w:sz="4" w:space="0" w:color="auto"/>
              <w:bottom w:val="single" w:sz="4" w:space="0" w:color="auto"/>
              <w:right w:val="single" w:sz="4" w:space="0" w:color="auto"/>
            </w:tcBorders>
            <w:shd w:val="clear" w:color="auto" w:fill="auto"/>
          </w:tcPr>
          <w:p w:rsidR="00C467DB" w:rsidRPr="00C467DB" w:rsidRDefault="00C467DB" w:rsidP="002C567A">
            <w:pPr>
              <w:ind w:firstLine="0"/>
              <w:jc w:val="right"/>
              <w:rPr>
                <w:b/>
              </w:rPr>
            </w:pPr>
            <w:r w:rsidRPr="00C467DB">
              <w:rPr>
                <w:b/>
              </w:rPr>
              <w:t>95% CI</w:t>
            </w:r>
          </w:p>
        </w:tc>
      </w:tr>
      <w:tr w:rsidR="00C467DB" w:rsidTr="00C467DB">
        <w:trPr>
          <w:trHeight w:hRule="exact" w:val="360"/>
          <w:jc w:val="center"/>
        </w:trPr>
        <w:tc>
          <w:tcPr>
            <w:tcW w:w="3078" w:type="dxa"/>
            <w:tcBorders>
              <w:top w:val="single" w:sz="4" w:space="0" w:color="auto"/>
              <w:left w:val="single" w:sz="4" w:space="0" w:color="auto"/>
            </w:tcBorders>
            <w:shd w:val="clear" w:color="auto" w:fill="auto"/>
          </w:tcPr>
          <w:p w:rsidR="00C467DB" w:rsidRPr="00C467DB" w:rsidRDefault="00C467DB" w:rsidP="002C567A">
            <w:pPr>
              <w:ind w:firstLine="0"/>
              <w:rPr>
                <w:szCs w:val="20"/>
              </w:rPr>
            </w:pPr>
            <w:r w:rsidRPr="0038127B">
              <w:t>Age</w:t>
            </w:r>
          </w:p>
        </w:tc>
        <w:tc>
          <w:tcPr>
            <w:tcW w:w="1883" w:type="dxa"/>
            <w:tcBorders>
              <w:top w:val="single" w:sz="4" w:space="0" w:color="auto"/>
            </w:tcBorders>
            <w:shd w:val="clear" w:color="auto" w:fill="auto"/>
          </w:tcPr>
          <w:p w:rsidR="00C467DB" w:rsidRPr="00C467DB" w:rsidRDefault="00C467DB" w:rsidP="002C567A">
            <w:pPr>
              <w:ind w:left="6" w:firstLine="0"/>
              <w:jc w:val="right"/>
              <w:rPr>
                <w:szCs w:val="20"/>
              </w:rPr>
            </w:pPr>
            <w:r w:rsidRPr="0038127B">
              <w:t>58.59</w:t>
            </w:r>
          </w:p>
        </w:tc>
        <w:tc>
          <w:tcPr>
            <w:tcW w:w="1980" w:type="dxa"/>
            <w:tcBorders>
              <w:top w:val="single" w:sz="4" w:space="0" w:color="auto"/>
              <w:right w:val="single" w:sz="4" w:space="0" w:color="auto"/>
            </w:tcBorders>
            <w:shd w:val="clear" w:color="auto" w:fill="auto"/>
          </w:tcPr>
          <w:p w:rsidR="00C467DB" w:rsidRPr="00C467DB" w:rsidRDefault="00C467DB" w:rsidP="002C567A">
            <w:pPr>
              <w:ind w:firstLine="0"/>
              <w:jc w:val="right"/>
              <w:rPr>
                <w:szCs w:val="20"/>
              </w:rPr>
            </w:pPr>
            <w:r w:rsidRPr="0038127B">
              <w:t>52.60 - 64.58</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38127B">
              <w:t>BMI</w:t>
            </w:r>
          </w:p>
        </w:tc>
        <w:tc>
          <w:tcPr>
            <w:tcW w:w="1883" w:type="dxa"/>
            <w:shd w:val="clear" w:color="auto" w:fill="auto"/>
          </w:tcPr>
          <w:p w:rsidR="00C467DB" w:rsidRPr="00C467DB" w:rsidRDefault="00C467DB" w:rsidP="002C567A">
            <w:pPr>
              <w:ind w:firstLine="0"/>
              <w:jc w:val="right"/>
              <w:rPr>
                <w:szCs w:val="20"/>
              </w:rPr>
            </w:pPr>
            <w:r w:rsidRPr="0038127B">
              <w:t xml:space="preserve">29.53   </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38127B">
              <w:t>26.30 - 32.76</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38127B">
              <w:t>Charlson Comorbidity Index</w:t>
            </w:r>
          </w:p>
        </w:tc>
        <w:tc>
          <w:tcPr>
            <w:tcW w:w="1883" w:type="dxa"/>
            <w:shd w:val="clear" w:color="auto" w:fill="auto"/>
          </w:tcPr>
          <w:p w:rsidR="00C467DB" w:rsidRPr="00C467DB" w:rsidRDefault="00C467DB" w:rsidP="002C567A">
            <w:pPr>
              <w:ind w:firstLine="0"/>
              <w:jc w:val="right"/>
              <w:rPr>
                <w:szCs w:val="20"/>
              </w:rPr>
            </w:pPr>
            <w:r w:rsidRPr="0038127B">
              <w:t xml:space="preserve">4.69  </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t xml:space="preserve">  </w:t>
            </w:r>
            <w:r w:rsidRPr="0038127B">
              <w:t>3.63 - 5.75</w:t>
            </w:r>
          </w:p>
        </w:tc>
      </w:tr>
      <w:tr w:rsidR="00C467DB" w:rsidTr="00C467DB">
        <w:trPr>
          <w:trHeight w:hRule="exact" w:val="360"/>
          <w:jc w:val="center"/>
        </w:trPr>
        <w:tc>
          <w:tcPr>
            <w:tcW w:w="3078" w:type="dxa"/>
            <w:tcBorders>
              <w:left w:val="single" w:sz="4" w:space="0" w:color="auto"/>
              <w:bottom w:val="single" w:sz="4" w:space="0" w:color="auto"/>
            </w:tcBorders>
            <w:shd w:val="clear" w:color="auto" w:fill="auto"/>
          </w:tcPr>
          <w:p w:rsidR="00C467DB" w:rsidRDefault="00C467DB" w:rsidP="002C567A">
            <w:pPr>
              <w:ind w:firstLine="0"/>
            </w:pPr>
          </w:p>
        </w:tc>
        <w:tc>
          <w:tcPr>
            <w:tcW w:w="1883" w:type="dxa"/>
            <w:tcBorders>
              <w:bottom w:val="single" w:sz="4" w:space="0" w:color="auto"/>
            </w:tcBorders>
            <w:shd w:val="clear" w:color="auto" w:fill="auto"/>
          </w:tcPr>
          <w:p w:rsidR="00C467DB" w:rsidRPr="0038127B" w:rsidRDefault="00C467DB" w:rsidP="002C567A">
            <w:pPr>
              <w:ind w:firstLine="0"/>
              <w:jc w:val="right"/>
            </w:pPr>
          </w:p>
        </w:tc>
        <w:tc>
          <w:tcPr>
            <w:tcW w:w="1980" w:type="dxa"/>
            <w:tcBorders>
              <w:bottom w:val="single" w:sz="4" w:space="0" w:color="auto"/>
              <w:right w:val="single" w:sz="4" w:space="0" w:color="auto"/>
            </w:tcBorders>
            <w:shd w:val="clear" w:color="auto" w:fill="auto"/>
          </w:tcPr>
          <w:p w:rsidR="00C467DB" w:rsidRPr="0038127B" w:rsidRDefault="00C467DB" w:rsidP="002C567A">
            <w:pPr>
              <w:ind w:firstLine="0"/>
              <w:jc w:val="right"/>
            </w:pPr>
          </w:p>
        </w:tc>
      </w:tr>
      <w:tr w:rsidR="00C467DB" w:rsidTr="00C467DB">
        <w:trPr>
          <w:trHeight w:hRule="exact" w:val="360"/>
          <w:jc w:val="center"/>
        </w:trPr>
        <w:tc>
          <w:tcPr>
            <w:tcW w:w="3078" w:type="dxa"/>
            <w:tcBorders>
              <w:top w:val="single" w:sz="4" w:space="0" w:color="auto"/>
              <w:left w:val="single" w:sz="4" w:space="0" w:color="auto"/>
              <w:bottom w:val="single" w:sz="4" w:space="0" w:color="auto"/>
            </w:tcBorders>
            <w:shd w:val="clear" w:color="auto" w:fill="auto"/>
          </w:tcPr>
          <w:p w:rsidR="00C467DB" w:rsidRPr="00C467DB" w:rsidRDefault="00C467DB" w:rsidP="002C567A">
            <w:pPr>
              <w:ind w:firstLine="0"/>
              <w:rPr>
                <w:b/>
                <w:szCs w:val="20"/>
              </w:rPr>
            </w:pPr>
            <w:r w:rsidRPr="00C467DB">
              <w:rPr>
                <w:b/>
                <w:szCs w:val="20"/>
              </w:rPr>
              <w:t>Variable</w:t>
            </w:r>
          </w:p>
        </w:tc>
        <w:tc>
          <w:tcPr>
            <w:tcW w:w="1883" w:type="dxa"/>
            <w:tcBorders>
              <w:top w:val="single" w:sz="4" w:space="0" w:color="auto"/>
              <w:bottom w:val="single" w:sz="4" w:space="0" w:color="auto"/>
            </w:tcBorders>
            <w:shd w:val="clear" w:color="auto" w:fill="auto"/>
          </w:tcPr>
          <w:p w:rsidR="00C467DB" w:rsidRPr="00C467DB" w:rsidRDefault="00C467DB" w:rsidP="002C567A">
            <w:pPr>
              <w:ind w:firstLine="0"/>
              <w:jc w:val="right"/>
              <w:rPr>
                <w:b/>
                <w:szCs w:val="20"/>
              </w:rPr>
            </w:pPr>
            <w:r w:rsidRPr="00C467DB">
              <w:rPr>
                <w:b/>
                <w:szCs w:val="20"/>
              </w:rPr>
              <w:t>Percentage (%)</w:t>
            </w:r>
          </w:p>
        </w:tc>
        <w:tc>
          <w:tcPr>
            <w:tcW w:w="1980" w:type="dxa"/>
            <w:tcBorders>
              <w:top w:val="single" w:sz="4" w:space="0" w:color="auto"/>
              <w:bottom w:val="single" w:sz="4" w:space="0" w:color="auto"/>
              <w:right w:val="single" w:sz="4" w:space="0" w:color="auto"/>
            </w:tcBorders>
            <w:shd w:val="clear" w:color="auto" w:fill="auto"/>
          </w:tcPr>
          <w:p w:rsidR="00C467DB" w:rsidRPr="00C467DB" w:rsidRDefault="00C467DB" w:rsidP="002C567A">
            <w:pPr>
              <w:ind w:firstLine="0"/>
              <w:jc w:val="right"/>
              <w:rPr>
                <w:b/>
                <w:szCs w:val="20"/>
              </w:rPr>
            </w:pPr>
            <w:r w:rsidRPr="00C467DB">
              <w:rPr>
                <w:b/>
                <w:szCs w:val="20"/>
              </w:rPr>
              <w:t>95% CI</w:t>
            </w:r>
          </w:p>
        </w:tc>
      </w:tr>
      <w:tr w:rsidR="00C467DB" w:rsidTr="00C467DB">
        <w:trPr>
          <w:trHeight w:hRule="exact" w:val="360"/>
          <w:jc w:val="center"/>
        </w:trPr>
        <w:tc>
          <w:tcPr>
            <w:tcW w:w="3078" w:type="dxa"/>
            <w:tcBorders>
              <w:top w:val="single" w:sz="4" w:space="0" w:color="auto"/>
              <w:left w:val="single" w:sz="4" w:space="0" w:color="auto"/>
            </w:tcBorders>
            <w:shd w:val="clear" w:color="auto" w:fill="auto"/>
          </w:tcPr>
          <w:p w:rsidR="00C467DB" w:rsidRPr="00C467DB" w:rsidRDefault="00C467DB" w:rsidP="002C567A">
            <w:pPr>
              <w:ind w:firstLine="0"/>
              <w:rPr>
                <w:i/>
                <w:szCs w:val="20"/>
              </w:rPr>
            </w:pPr>
            <w:r w:rsidRPr="00C467DB">
              <w:rPr>
                <w:i/>
                <w:szCs w:val="20"/>
              </w:rPr>
              <w:t>Smoking Status</w:t>
            </w:r>
          </w:p>
        </w:tc>
        <w:tc>
          <w:tcPr>
            <w:tcW w:w="1883" w:type="dxa"/>
            <w:tcBorders>
              <w:top w:val="single" w:sz="4" w:space="0" w:color="auto"/>
            </w:tcBorders>
            <w:shd w:val="clear" w:color="auto" w:fill="auto"/>
          </w:tcPr>
          <w:p w:rsidR="00C467DB" w:rsidRPr="00C467DB" w:rsidRDefault="00C467DB" w:rsidP="002C567A">
            <w:pPr>
              <w:ind w:firstLine="0"/>
              <w:jc w:val="right"/>
              <w:rPr>
                <w:szCs w:val="20"/>
              </w:rPr>
            </w:pPr>
          </w:p>
        </w:tc>
        <w:tc>
          <w:tcPr>
            <w:tcW w:w="1980" w:type="dxa"/>
            <w:tcBorders>
              <w:top w:val="single" w:sz="4" w:space="0" w:color="auto"/>
              <w:right w:val="single" w:sz="4" w:space="0" w:color="auto"/>
            </w:tcBorders>
            <w:shd w:val="clear" w:color="auto" w:fill="auto"/>
          </w:tcPr>
          <w:p w:rsidR="00C467DB" w:rsidRPr="00C467DB" w:rsidRDefault="00C467DB" w:rsidP="002C567A">
            <w:pPr>
              <w:ind w:firstLine="0"/>
              <w:jc w:val="right"/>
              <w:rPr>
                <w:szCs w:val="20"/>
              </w:rPr>
            </w:pP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Current Smoker</w:t>
            </w:r>
          </w:p>
        </w:tc>
        <w:tc>
          <w:tcPr>
            <w:tcW w:w="1883" w:type="dxa"/>
            <w:shd w:val="clear" w:color="auto" w:fill="auto"/>
          </w:tcPr>
          <w:p w:rsidR="00C467DB" w:rsidRPr="00C467DB" w:rsidRDefault="00C467DB" w:rsidP="002C567A">
            <w:pPr>
              <w:ind w:firstLine="0"/>
              <w:jc w:val="right"/>
              <w:rPr>
                <w:szCs w:val="20"/>
              </w:rPr>
            </w:pPr>
            <w:r w:rsidRPr="00C467DB">
              <w:rPr>
                <w:szCs w:val="20"/>
              </w:rPr>
              <w:t>10.26</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 xml:space="preserve">  4.65 - 31.06</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Never Smoker</w:t>
            </w:r>
          </w:p>
        </w:tc>
        <w:tc>
          <w:tcPr>
            <w:tcW w:w="1883" w:type="dxa"/>
            <w:shd w:val="clear" w:color="auto" w:fill="auto"/>
          </w:tcPr>
          <w:p w:rsidR="00C467DB" w:rsidRPr="00C467DB" w:rsidRDefault="00C467DB" w:rsidP="002C567A">
            <w:pPr>
              <w:ind w:firstLine="0"/>
              <w:jc w:val="right"/>
              <w:rPr>
                <w:szCs w:val="20"/>
              </w:rPr>
            </w:pPr>
            <w:r w:rsidRPr="00C467DB">
              <w:rPr>
                <w:szCs w:val="20"/>
              </w:rPr>
              <w:t>35.90</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28.02 - 63.53</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Former Smoker</w:t>
            </w:r>
          </w:p>
        </w:tc>
        <w:tc>
          <w:tcPr>
            <w:tcW w:w="1883" w:type="dxa"/>
            <w:shd w:val="clear" w:color="auto" w:fill="auto"/>
          </w:tcPr>
          <w:p w:rsidR="00C467DB" w:rsidRPr="00C467DB" w:rsidRDefault="00C467DB" w:rsidP="002C567A">
            <w:pPr>
              <w:ind w:firstLine="0"/>
              <w:jc w:val="right"/>
              <w:rPr>
                <w:szCs w:val="20"/>
              </w:rPr>
            </w:pPr>
            <w:r w:rsidRPr="00C467DB">
              <w:rPr>
                <w:szCs w:val="20"/>
              </w:rPr>
              <w:t>33.33</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25.33 - 60.59</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Not Listed</w:t>
            </w:r>
          </w:p>
        </w:tc>
        <w:tc>
          <w:tcPr>
            <w:tcW w:w="1883" w:type="dxa"/>
            <w:shd w:val="clear" w:color="auto" w:fill="auto"/>
          </w:tcPr>
          <w:p w:rsidR="00C467DB" w:rsidRPr="00C467DB" w:rsidRDefault="00C467DB" w:rsidP="002C567A">
            <w:pPr>
              <w:ind w:firstLine="0"/>
              <w:jc w:val="right"/>
              <w:rPr>
                <w:szCs w:val="20"/>
              </w:rPr>
            </w:pPr>
            <w:r w:rsidRPr="00C467DB">
              <w:rPr>
                <w:szCs w:val="20"/>
              </w:rPr>
              <w:t>20.51</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10.27 - 36.79</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i/>
                <w:szCs w:val="20"/>
              </w:rPr>
            </w:pPr>
            <w:r w:rsidRPr="00C467DB">
              <w:rPr>
                <w:i/>
                <w:szCs w:val="20"/>
              </w:rPr>
              <w:t>Race</w:t>
            </w:r>
          </w:p>
        </w:tc>
        <w:tc>
          <w:tcPr>
            <w:tcW w:w="1883" w:type="dxa"/>
            <w:shd w:val="clear" w:color="auto" w:fill="auto"/>
          </w:tcPr>
          <w:p w:rsidR="00C467DB" w:rsidRPr="00C467DB" w:rsidRDefault="00C467DB" w:rsidP="002C567A">
            <w:pPr>
              <w:ind w:firstLine="0"/>
              <w:jc w:val="right"/>
              <w:rPr>
                <w:szCs w:val="20"/>
              </w:rPr>
            </w:pP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African American</w:t>
            </w:r>
          </w:p>
        </w:tc>
        <w:tc>
          <w:tcPr>
            <w:tcW w:w="1883" w:type="dxa"/>
            <w:shd w:val="clear" w:color="auto" w:fill="auto"/>
          </w:tcPr>
          <w:p w:rsidR="00C467DB" w:rsidRPr="00C467DB" w:rsidRDefault="00C467DB" w:rsidP="002C567A">
            <w:pPr>
              <w:ind w:firstLine="0"/>
              <w:jc w:val="right"/>
              <w:rPr>
                <w:szCs w:val="20"/>
              </w:rPr>
            </w:pPr>
            <w:r w:rsidRPr="00C467DB">
              <w:rPr>
                <w:szCs w:val="20"/>
              </w:rPr>
              <w:t xml:space="preserve">17.95   </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 xml:space="preserve">  8.51 - 33.98</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White</w:t>
            </w:r>
          </w:p>
        </w:tc>
        <w:tc>
          <w:tcPr>
            <w:tcW w:w="1883" w:type="dxa"/>
            <w:shd w:val="clear" w:color="auto" w:fill="auto"/>
          </w:tcPr>
          <w:p w:rsidR="00C467DB" w:rsidRPr="00C467DB" w:rsidRDefault="00C467DB" w:rsidP="002C567A">
            <w:pPr>
              <w:ind w:firstLine="0"/>
              <w:jc w:val="right"/>
              <w:rPr>
                <w:szCs w:val="20"/>
              </w:rPr>
            </w:pPr>
            <w:r w:rsidRPr="00C467DB">
              <w:rPr>
                <w:szCs w:val="20"/>
              </w:rPr>
              <w:t xml:space="preserve">79.49   </w:t>
            </w:r>
          </w:p>
        </w:tc>
        <w:tc>
          <w:tcPr>
            <w:tcW w:w="1980" w:type="dxa"/>
            <w:tcBorders>
              <w:right w:val="single" w:sz="4" w:space="0" w:color="auto"/>
            </w:tcBorders>
            <w:shd w:val="clear" w:color="auto" w:fill="auto"/>
          </w:tcPr>
          <w:p w:rsidR="00C467DB" w:rsidRPr="00C467DB" w:rsidRDefault="00C467DB" w:rsidP="002C567A">
            <w:pPr>
              <w:ind w:left="6" w:firstLine="0"/>
              <w:jc w:val="right"/>
              <w:rPr>
                <w:szCs w:val="20"/>
              </w:rPr>
            </w:pPr>
            <w:r w:rsidRPr="00C467DB">
              <w:rPr>
                <w:szCs w:val="20"/>
              </w:rPr>
              <w:t>63.21 - 89.73</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Asian</w:t>
            </w:r>
          </w:p>
        </w:tc>
        <w:tc>
          <w:tcPr>
            <w:tcW w:w="1883" w:type="dxa"/>
            <w:shd w:val="clear" w:color="auto" w:fill="auto"/>
          </w:tcPr>
          <w:p w:rsidR="00C467DB" w:rsidRPr="00C467DB" w:rsidRDefault="00C467DB" w:rsidP="002C567A">
            <w:pPr>
              <w:ind w:firstLine="0"/>
              <w:jc w:val="right"/>
              <w:rPr>
                <w:szCs w:val="20"/>
              </w:rPr>
            </w:pPr>
            <w:r w:rsidRPr="00C467DB">
              <w:rPr>
                <w:szCs w:val="20"/>
              </w:rPr>
              <w:t xml:space="preserve">  2.56   </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 xml:space="preserve">  0.33 - 17.37</w:t>
            </w: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i/>
                <w:szCs w:val="20"/>
              </w:rPr>
            </w:pPr>
            <w:r w:rsidRPr="00C467DB">
              <w:rPr>
                <w:i/>
                <w:szCs w:val="20"/>
              </w:rPr>
              <w:t>Gender</w:t>
            </w:r>
          </w:p>
        </w:tc>
        <w:tc>
          <w:tcPr>
            <w:tcW w:w="1883" w:type="dxa"/>
            <w:shd w:val="clear" w:color="auto" w:fill="auto"/>
          </w:tcPr>
          <w:p w:rsidR="00C467DB" w:rsidRPr="00C467DB" w:rsidRDefault="00C467DB" w:rsidP="002C567A">
            <w:pPr>
              <w:ind w:firstLine="0"/>
              <w:jc w:val="right"/>
              <w:rPr>
                <w:szCs w:val="20"/>
              </w:rPr>
            </w:pP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p>
        </w:tc>
      </w:tr>
      <w:tr w:rsidR="00C467DB" w:rsidTr="00C467DB">
        <w:trPr>
          <w:trHeight w:hRule="exact" w:val="360"/>
          <w:jc w:val="center"/>
        </w:trPr>
        <w:tc>
          <w:tcPr>
            <w:tcW w:w="3078" w:type="dxa"/>
            <w:tcBorders>
              <w:left w:val="single" w:sz="4" w:space="0" w:color="auto"/>
            </w:tcBorders>
            <w:shd w:val="clear" w:color="auto" w:fill="auto"/>
          </w:tcPr>
          <w:p w:rsidR="00C467DB" w:rsidRPr="00C467DB" w:rsidRDefault="00C467DB" w:rsidP="002C567A">
            <w:pPr>
              <w:ind w:firstLine="0"/>
              <w:rPr>
                <w:szCs w:val="20"/>
              </w:rPr>
            </w:pPr>
            <w:r w:rsidRPr="00C467DB">
              <w:rPr>
                <w:szCs w:val="20"/>
              </w:rPr>
              <w:t xml:space="preserve">    Male</w:t>
            </w:r>
          </w:p>
        </w:tc>
        <w:tc>
          <w:tcPr>
            <w:tcW w:w="1883" w:type="dxa"/>
            <w:shd w:val="clear" w:color="auto" w:fill="auto"/>
          </w:tcPr>
          <w:p w:rsidR="00C467DB" w:rsidRPr="00C467DB" w:rsidRDefault="00C467DB" w:rsidP="002C567A">
            <w:pPr>
              <w:ind w:firstLine="0"/>
              <w:jc w:val="right"/>
              <w:rPr>
                <w:szCs w:val="20"/>
              </w:rPr>
            </w:pPr>
            <w:r w:rsidRPr="00C467DB">
              <w:rPr>
                <w:szCs w:val="20"/>
              </w:rPr>
              <w:t>43.59</w:t>
            </w:r>
          </w:p>
        </w:tc>
        <w:tc>
          <w:tcPr>
            <w:tcW w:w="1980" w:type="dxa"/>
            <w:tcBorders>
              <w:right w:val="single" w:sz="4" w:space="0" w:color="auto"/>
            </w:tcBorders>
            <w:shd w:val="clear" w:color="auto" w:fill="auto"/>
          </w:tcPr>
          <w:p w:rsidR="00C467DB" w:rsidRPr="00C467DB" w:rsidRDefault="00C467DB" w:rsidP="002C567A">
            <w:pPr>
              <w:ind w:firstLine="0"/>
              <w:jc w:val="right"/>
              <w:rPr>
                <w:szCs w:val="20"/>
              </w:rPr>
            </w:pPr>
            <w:r w:rsidRPr="00C467DB">
              <w:rPr>
                <w:szCs w:val="20"/>
              </w:rPr>
              <w:t>28.49 - 59.98</w:t>
            </w:r>
          </w:p>
        </w:tc>
      </w:tr>
      <w:tr w:rsidR="00C467DB" w:rsidTr="00C467DB">
        <w:trPr>
          <w:trHeight w:hRule="exact" w:val="360"/>
          <w:jc w:val="center"/>
        </w:trPr>
        <w:tc>
          <w:tcPr>
            <w:tcW w:w="3078" w:type="dxa"/>
            <w:tcBorders>
              <w:left w:val="single" w:sz="4" w:space="0" w:color="auto"/>
              <w:bottom w:val="single" w:sz="4" w:space="0" w:color="auto"/>
            </w:tcBorders>
            <w:shd w:val="clear" w:color="auto" w:fill="auto"/>
          </w:tcPr>
          <w:p w:rsidR="00C467DB" w:rsidRPr="00C467DB" w:rsidRDefault="00C467DB" w:rsidP="002C567A">
            <w:pPr>
              <w:ind w:firstLine="0"/>
              <w:rPr>
                <w:szCs w:val="20"/>
              </w:rPr>
            </w:pPr>
            <w:r w:rsidRPr="00C467DB">
              <w:rPr>
                <w:szCs w:val="20"/>
              </w:rPr>
              <w:t xml:space="preserve">    Female</w:t>
            </w:r>
          </w:p>
        </w:tc>
        <w:tc>
          <w:tcPr>
            <w:tcW w:w="1883" w:type="dxa"/>
            <w:tcBorders>
              <w:bottom w:val="single" w:sz="4" w:space="0" w:color="auto"/>
            </w:tcBorders>
            <w:shd w:val="clear" w:color="auto" w:fill="auto"/>
          </w:tcPr>
          <w:p w:rsidR="00C467DB" w:rsidRPr="00C467DB" w:rsidRDefault="00C467DB" w:rsidP="002C567A">
            <w:pPr>
              <w:ind w:firstLine="0"/>
              <w:jc w:val="right"/>
              <w:rPr>
                <w:szCs w:val="20"/>
              </w:rPr>
            </w:pPr>
            <w:r w:rsidRPr="00C467DB">
              <w:rPr>
                <w:szCs w:val="20"/>
              </w:rPr>
              <w:t>56.41</w:t>
            </w:r>
          </w:p>
        </w:tc>
        <w:tc>
          <w:tcPr>
            <w:tcW w:w="1980" w:type="dxa"/>
            <w:tcBorders>
              <w:bottom w:val="single" w:sz="4" w:space="0" w:color="auto"/>
              <w:right w:val="single" w:sz="4" w:space="0" w:color="auto"/>
            </w:tcBorders>
            <w:shd w:val="clear" w:color="auto" w:fill="auto"/>
          </w:tcPr>
          <w:p w:rsidR="00C467DB" w:rsidRPr="00C467DB" w:rsidRDefault="00C467DB" w:rsidP="002C567A">
            <w:pPr>
              <w:ind w:firstLine="0"/>
              <w:jc w:val="right"/>
              <w:rPr>
                <w:szCs w:val="20"/>
              </w:rPr>
            </w:pPr>
            <w:r w:rsidRPr="00C467DB">
              <w:rPr>
                <w:szCs w:val="20"/>
              </w:rPr>
              <w:t>40.02 - 71.51</w:t>
            </w:r>
          </w:p>
        </w:tc>
      </w:tr>
    </w:tbl>
    <w:p w:rsidR="00C467DB" w:rsidRDefault="00C467DB" w:rsidP="00C467DB">
      <w:pPr>
        <w:pStyle w:val="Noindent"/>
      </w:pPr>
    </w:p>
    <w:p w:rsidR="002C567A" w:rsidRDefault="002C567A" w:rsidP="002C567A">
      <w:pPr>
        <w:pStyle w:val="Caption"/>
        <w:keepNext/>
        <w:ind w:firstLine="0"/>
        <w:jc w:val="center"/>
      </w:pPr>
      <w:bookmarkStart w:id="30" w:name="_Toc467231913"/>
      <w:r>
        <w:t xml:space="preserve">Table </w:t>
      </w:r>
      <w:fldSimple w:instr=" SEQ Table \* ARABIC ">
        <w:r w:rsidR="00B054C8">
          <w:rPr>
            <w:noProof/>
          </w:rPr>
          <w:t>2</w:t>
        </w:r>
      </w:fldSimple>
      <w:r>
        <w:t>: Entire Patient Population, N=142</w:t>
      </w:r>
      <w:bookmarkEnd w:id="30"/>
    </w:p>
    <w:tbl>
      <w:tblPr>
        <w:tblW w:w="0" w:type="auto"/>
        <w:jc w:val="center"/>
        <w:tblLook w:val="04A0" w:firstRow="1" w:lastRow="0" w:firstColumn="1" w:lastColumn="0" w:noHBand="0" w:noVBand="1"/>
      </w:tblPr>
      <w:tblGrid>
        <w:gridCol w:w="3078"/>
        <w:gridCol w:w="1883"/>
        <w:gridCol w:w="1980"/>
      </w:tblGrid>
      <w:tr w:rsidR="002C567A" w:rsidRPr="006A43C6" w:rsidTr="002C567A">
        <w:trPr>
          <w:trHeight w:hRule="exact" w:val="360"/>
          <w:jc w:val="center"/>
        </w:trPr>
        <w:tc>
          <w:tcPr>
            <w:tcW w:w="3078" w:type="dxa"/>
            <w:tcBorders>
              <w:top w:val="single" w:sz="4" w:space="0" w:color="auto"/>
              <w:left w:val="single" w:sz="4" w:space="0" w:color="auto"/>
              <w:bottom w:val="single" w:sz="4" w:space="0" w:color="auto"/>
            </w:tcBorders>
            <w:shd w:val="clear" w:color="auto" w:fill="auto"/>
          </w:tcPr>
          <w:p w:rsidR="002C567A" w:rsidRPr="002C567A" w:rsidRDefault="002C567A" w:rsidP="002C567A">
            <w:pPr>
              <w:ind w:firstLine="0"/>
              <w:rPr>
                <w:b/>
              </w:rPr>
            </w:pPr>
            <w:r w:rsidRPr="002C567A">
              <w:rPr>
                <w:b/>
              </w:rPr>
              <w:t>Variable</w:t>
            </w:r>
          </w:p>
        </w:tc>
        <w:tc>
          <w:tcPr>
            <w:tcW w:w="1883" w:type="dxa"/>
            <w:tcBorders>
              <w:top w:val="single" w:sz="4" w:space="0" w:color="auto"/>
              <w:bottom w:val="single" w:sz="4" w:space="0" w:color="auto"/>
            </w:tcBorders>
            <w:shd w:val="clear" w:color="auto" w:fill="auto"/>
          </w:tcPr>
          <w:p w:rsidR="002C567A" w:rsidRPr="002C567A" w:rsidRDefault="002C567A" w:rsidP="002C567A">
            <w:pPr>
              <w:ind w:firstLine="0"/>
              <w:jc w:val="right"/>
              <w:rPr>
                <w:b/>
              </w:rPr>
            </w:pPr>
            <w:r w:rsidRPr="002C567A">
              <w:rPr>
                <w:b/>
              </w:rPr>
              <w:t>Mean</w:t>
            </w:r>
          </w:p>
        </w:tc>
        <w:tc>
          <w:tcPr>
            <w:tcW w:w="1980" w:type="dxa"/>
            <w:tcBorders>
              <w:top w:val="single" w:sz="4" w:space="0" w:color="auto"/>
              <w:bottom w:val="single" w:sz="4" w:space="0" w:color="auto"/>
              <w:right w:val="single" w:sz="4" w:space="0" w:color="auto"/>
            </w:tcBorders>
            <w:shd w:val="clear" w:color="auto" w:fill="auto"/>
          </w:tcPr>
          <w:p w:rsidR="002C567A" w:rsidRPr="002C567A" w:rsidRDefault="002C567A" w:rsidP="002C567A">
            <w:pPr>
              <w:ind w:firstLine="0"/>
              <w:jc w:val="right"/>
              <w:rPr>
                <w:b/>
              </w:rPr>
            </w:pPr>
            <w:r w:rsidRPr="002C567A">
              <w:rPr>
                <w:b/>
              </w:rPr>
              <w:t>95% CI</w:t>
            </w:r>
          </w:p>
        </w:tc>
      </w:tr>
      <w:tr w:rsidR="002C567A" w:rsidRPr="006A43C6" w:rsidTr="002C567A">
        <w:trPr>
          <w:trHeight w:hRule="exact" w:val="360"/>
          <w:jc w:val="center"/>
        </w:trPr>
        <w:tc>
          <w:tcPr>
            <w:tcW w:w="3078" w:type="dxa"/>
            <w:tcBorders>
              <w:top w:val="single" w:sz="4" w:space="0" w:color="auto"/>
              <w:left w:val="single" w:sz="4" w:space="0" w:color="auto"/>
            </w:tcBorders>
            <w:shd w:val="clear" w:color="auto" w:fill="auto"/>
          </w:tcPr>
          <w:p w:rsidR="002C567A" w:rsidRPr="002C567A" w:rsidRDefault="002C567A" w:rsidP="002C567A">
            <w:pPr>
              <w:ind w:firstLine="0"/>
              <w:rPr>
                <w:szCs w:val="20"/>
              </w:rPr>
            </w:pPr>
            <w:r w:rsidRPr="006A43C6">
              <w:t>Age</w:t>
            </w:r>
          </w:p>
        </w:tc>
        <w:tc>
          <w:tcPr>
            <w:tcW w:w="1883" w:type="dxa"/>
            <w:tcBorders>
              <w:top w:val="single" w:sz="4" w:space="0" w:color="auto"/>
            </w:tcBorders>
            <w:shd w:val="clear" w:color="auto" w:fill="auto"/>
          </w:tcPr>
          <w:p w:rsidR="002C567A" w:rsidRPr="002C567A" w:rsidRDefault="002C567A" w:rsidP="002C567A">
            <w:pPr>
              <w:ind w:left="6" w:firstLine="0"/>
              <w:jc w:val="right"/>
              <w:rPr>
                <w:szCs w:val="20"/>
              </w:rPr>
            </w:pPr>
            <w:r w:rsidRPr="006A43C6">
              <w:t>55.10</w:t>
            </w:r>
          </w:p>
        </w:tc>
        <w:tc>
          <w:tcPr>
            <w:tcW w:w="1980" w:type="dxa"/>
            <w:tcBorders>
              <w:top w:val="single" w:sz="4" w:space="0" w:color="auto"/>
              <w:right w:val="single" w:sz="4" w:space="0" w:color="auto"/>
            </w:tcBorders>
            <w:shd w:val="clear" w:color="auto" w:fill="auto"/>
          </w:tcPr>
          <w:p w:rsidR="002C567A" w:rsidRPr="002C567A" w:rsidRDefault="002C567A" w:rsidP="002C567A">
            <w:pPr>
              <w:ind w:firstLine="0"/>
              <w:jc w:val="right"/>
              <w:rPr>
                <w:szCs w:val="20"/>
              </w:rPr>
            </w:pPr>
            <w:r w:rsidRPr="006A43C6">
              <w:t>51.97 - 58.23</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6A43C6">
              <w:t>BMI</w:t>
            </w:r>
          </w:p>
        </w:tc>
        <w:tc>
          <w:tcPr>
            <w:tcW w:w="1883" w:type="dxa"/>
            <w:shd w:val="clear" w:color="auto" w:fill="auto"/>
          </w:tcPr>
          <w:p w:rsidR="002C567A" w:rsidRPr="002C567A" w:rsidRDefault="002C567A" w:rsidP="002C567A">
            <w:pPr>
              <w:ind w:firstLine="0"/>
              <w:jc w:val="right"/>
              <w:rPr>
                <w:szCs w:val="20"/>
              </w:rPr>
            </w:pPr>
            <w:r w:rsidRPr="006A43C6">
              <w:t xml:space="preserve">29.31   </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6A43C6">
              <w:t>27.69 - 30.92</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6A43C6">
              <w:t>Charlson Comorbidity Index</w:t>
            </w:r>
          </w:p>
        </w:tc>
        <w:tc>
          <w:tcPr>
            <w:tcW w:w="1883" w:type="dxa"/>
            <w:shd w:val="clear" w:color="auto" w:fill="auto"/>
          </w:tcPr>
          <w:p w:rsidR="002C567A" w:rsidRPr="002C567A" w:rsidRDefault="002C567A" w:rsidP="002C567A">
            <w:pPr>
              <w:ind w:firstLine="0"/>
              <w:jc w:val="right"/>
              <w:rPr>
                <w:szCs w:val="20"/>
              </w:rPr>
            </w:pPr>
            <w:r w:rsidRPr="006A43C6">
              <w:t xml:space="preserve">4.16  </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6A43C6">
              <w:t xml:space="preserve">  3.60 - 4.71</w:t>
            </w:r>
          </w:p>
        </w:tc>
      </w:tr>
      <w:tr w:rsidR="002C567A" w:rsidRPr="006A43C6" w:rsidTr="002C567A">
        <w:trPr>
          <w:trHeight w:hRule="exact" w:val="360"/>
          <w:jc w:val="center"/>
        </w:trPr>
        <w:tc>
          <w:tcPr>
            <w:tcW w:w="3078" w:type="dxa"/>
            <w:tcBorders>
              <w:left w:val="single" w:sz="4" w:space="0" w:color="auto"/>
              <w:bottom w:val="single" w:sz="4" w:space="0" w:color="auto"/>
            </w:tcBorders>
            <w:shd w:val="clear" w:color="auto" w:fill="auto"/>
          </w:tcPr>
          <w:p w:rsidR="002C567A" w:rsidRPr="006A43C6" w:rsidRDefault="002C567A" w:rsidP="002C567A">
            <w:pPr>
              <w:ind w:firstLine="0"/>
            </w:pPr>
          </w:p>
        </w:tc>
        <w:tc>
          <w:tcPr>
            <w:tcW w:w="1883" w:type="dxa"/>
            <w:tcBorders>
              <w:bottom w:val="single" w:sz="4" w:space="0" w:color="auto"/>
            </w:tcBorders>
            <w:shd w:val="clear" w:color="auto" w:fill="auto"/>
          </w:tcPr>
          <w:p w:rsidR="002C567A" w:rsidRPr="006A43C6" w:rsidRDefault="002C567A" w:rsidP="002C567A">
            <w:pPr>
              <w:ind w:firstLine="0"/>
              <w:jc w:val="right"/>
            </w:pPr>
          </w:p>
        </w:tc>
        <w:tc>
          <w:tcPr>
            <w:tcW w:w="1980" w:type="dxa"/>
            <w:tcBorders>
              <w:bottom w:val="single" w:sz="4" w:space="0" w:color="auto"/>
              <w:right w:val="single" w:sz="4" w:space="0" w:color="auto"/>
            </w:tcBorders>
            <w:shd w:val="clear" w:color="auto" w:fill="auto"/>
          </w:tcPr>
          <w:p w:rsidR="002C567A" w:rsidRPr="006A43C6" w:rsidRDefault="002C567A" w:rsidP="002C567A">
            <w:pPr>
              <w:ind w:firstLine="0"/>
              <w:jc w:val="right"/>
            </w:pPr>
          </w:p>
        </w:tc>
      </w:tr>
      <w:tr w:rsidR="002C567A" w:rsidRPr="006A43C6" w:rsidTr="002C567A">
        <w:trPr>
          <w:trHeight w:hRule="exact" w:val="360"/>
          <w:jc w:val="center"/>
        </w:trPr>
        <w:tc>
          <w:tcPr>
            <w:tcW w:w="3078" w:type="dxa"/>
            <w:tcBorders>
              <w:top w:val="single" w:sz="4" w:space="0" w:color="auto"/>
              <w:left w:val="single" w:sz="4" w:space="0" w:color="auto"/>
              <w:bottom w:val="single" w:sz="4" w:space="0" w:color="auto"/>
            </w:tcBorders>
            <w:shd w:val="clear" w:color="auto" w:fill="auto"/>
          </w:tcPr>
          <w:p w:rsidR="002C567A" w:rsidRPr="002C567A" w:rsidRDefault="002C567A" w:rsidP="002C567A">
            <w:pPr>
              <w:ind w:firstLine="0"/>
              <w:rPr>
                <w:b/>
                <w:szCs w:val="20"/>
              </w:rPr>
            </w:pPr>
            <w:r w:rsidRPr="002C567A">
              <w:rPr>
                <w:b/>
                <w:szCs w:val="20"/>
              </w:rPr>
              <w:t>Variable</w:t>
            </w:r>
          </w:p>
        </w:tc>
        <w:tc>
          <w:tcPr>
            <w:tcW w:w="1883" w:type="dxa"/>
            <w:tcBorders>
              <w:top w:val="single" w:sz="4" w:space="0" w:color="auto"/>
              <w:bottom w:val="single" w:sz="4" w:space="0" w:color="auto"/>
            </w:tcBorders>
            <w:shd w:val="clear" w:color="auto" w:fill="auto"/>
          </w:tcPr>
          <w:p w:rsidR="002C567A" w:rsidRPr="002C567A" w:rsidRDefault="002C567A" w:rsidP="002C567A">
            <w:pPr>
              <w:ind w:firstLine="0"/>
              <w:jc w:val="right"/>
              <w:rPr>
                <w:b/>
                <w:szCs w:val="20"/>
              </w:rPr>
            </w:pPr>
            <w:r w:rsidRPr="002C567A">
              <w:rPr>
                <w:b/>
                <w:szCs w:val="20"/>
              </w:rPr>
              <w:t>Percentage (%)</w:t>
            </w:r>
          </w:p>
        </w:tc>
        <w:tc>
          <w:tcPr>
            <w:tcW w:w="1980" w:type="dxa"/>
            <w:tcBorders>
              <w:top w:val="single" w:sz="4" w:space="0" w:color="auto"/>
              <w:bottom w:val="single" w:sz="4" w:space="0" w:color="auto"/>
              <w:right w:val="single" w:sz="4" w:space="0" w:color="auto"/>
            </w:tcBorders>
            <w:shd w:val="clear" w:color="auto" w:fill="auto"/>
          </w:tcPr>
          <w:p w:rsidR="002C567A" w:rsidRPr="002C567A" w:rsidRDefault="002C567A" w:rsidP="002C567A">
            <w:pPr>
              <w:ind w:firstLine="0"/>
              <w:jc w:val="right"/>
              <w:rPr>
                <w:b/>
                <w:szCs w:val="20"/>
              </w:rPr>
            </w:pPr>
            <w:r w:rsidRPr="002C567A">
              <w:rPr>
                <w:b/>
                <w:szCs w:val="20"/>
              </w:rPr>
              <w:t>95% CI</w:t>
            </w:r>
          </w:p>
        </w:tc>
      </w:tr>
      <w:tr w:rsidR="002C567A" w:rsidRPr="006A43C6" w:rsidTr="002C567A">
        <w:trPr>
          <w:trHeight w:hRule="exact" w:val="360"/>
          <w:jc w:val="center"/>
        </w:trPr>
        <w:tc>
          <w:tcPr>
            <w:tcW w:w="3078" w:type="dxa"/>
            <w:tcBorders>
              <w:top w:val="single" w:sz="4" w:space="0" w:color="auto"/>
              <w:left w:val="single" w:sz="4" w:space="0" w:color="auto"/>
            </w:tcBorders>
            <w:shd w:val="clear" w:color="auto" w:fill="auto"/>
          </w:tcPr>
          <w:p w:rsidR="002C567A" w:rsidRPr="002C567A" w:rsidRDefault="002C567A" w:rsidP="002C567A">
            <w:pPr>
              <w:ind w:firstLine="0"/>
              <w:rPr>
                <w:i/>
                <w:szCs w:val="20"/>
              </w:rPr>
            </w:pPr>
            <w:r w:rsidRPr="002C567A">
              <w:rPr>
                <w:i/>
                <w:szCs w:val="20"/>
              </w:rPr>
              <w:t>Smoking Status</w:t>
            </w:r>
          </w:p>
        </w:tc>
        <w:tc>
          <w:tcPr>
            <w:tcW w:w="1883" w:type="dxa"/>
            <w:tcBorders>
              <w:top w:val="single" w:sz="4" w:space="0" w:color="auto"/>
            </w:tcBorders>
            <w:shd w:val="clear" w:color="auto" w:fill="auto"/>
          </w:tcPr>
          <w:p w:rsidR="002C567A" w:rsidRPr="002C567A" w:rsidRDefault="002C567A" w:rsidP="002C567A">
            <w:pPr>
              <w:ind w:firstLine="0"/>
              <w:jc w:val="right"/>
              <w:rPr>
                <w:szCs w:val="20"/>
              </w:rPr>
            </w:pPr>
          </w:p>
        </w:tc>
        <w:tc>
          <w:tcPr>
            <w:tcW w:w="1980" w:type="dxa"/>
            <w:tcBorders>
              <w:top w:val="single" w:sz="4" w:space="0" w:color="auto"/>
              <w:right w:val="single" w:sz="4" w:space="0" w:color="auto"/>
            </w:tcBorders>
            <w:shd w:val="clear" w:color="auto" w:fill="auto"/>
          </w:tcPr>
          <w:p w:rsidR="002C567A" w:rsidRPr="002C567A" w:rsidRDefault="002C567A" w:rsidP="002C567A">
            <w:pPr>
              <w:ind w:firstLine="0"/>
              <w:jc w:val="right"/>
              <w:rPr>
                <w:szCs w:val="20"/>
              </w:rPr>
            </w:pP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Current Smoker</w:t>
            </w:r>
          </w:p>
        </w:tc>
        <w:tc>
          <w:tcPr>
            <w:tcW w:w="1883" w:type="dxa"/>
            <w:shd w:val="clear" w:color="auto" w:fill="auto"/>
          </w:tcPr>
          <w:p w:rsidR="002C567A" w:rsidRPr="002C567A" w:rsidRDefault="002C567A" w:rsidP="002C567A">
            <w:pPr>
              <w:ind w:firstLine="0"/>
              <w:jc w:val="right"/>
              <w:rPr>
                <w:szCs w:val="20"/>
              </w:rPr>
            </w:pPr>
            <w:r w:rsidRPr="002C567A">
              <w:rPr>
                <w:szCs w:val="20"/>
              </w:rPr>
              <w:t>17.61</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 xml:space="preserve">  12.13 - 24.86</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Never Smoker</w:t>
            </w:r>
          </w:p>
        </w:tc>
        <w:tc>
          <w:tcPr>
            <w:tcW w:w="1883" w:type="dxa"/>
            <w:shd w:val="clear" w:color="auto" w:fill="auto"/>
          </w:tcPr>
          <w:p w:rsidR="002C567A" w:rsidRPr="002C567A" w:rsidRDefault="002C567A" w:rsidP="002C567A">
            <w:pPr>
              <w:ind w:firstLine="0"/>
              <w:jc w:val="right"/>
              <w:rPr>
                <w:szCs w:val="20"/>
              </w:rPr>
            </w:pPr>
            <w:r w:rsidRPr="002C567A">
              <w:rPr>
                <w:szCs w:val="20"/>
              </w:rPr>
              <w:t>40.14</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32.32 - 48.50</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Former Smoker</w:t>
            </w:r>
          </w:p>
        </w:tc>
        <w:tc>
          <w:tcPr>
            <w:tcW w:w="1883" w:type="dxa"/>
            <w:shd w:val="clear" w:color="auto" w:fill="auto"/>
          </w:tcPr>
          <w:p w:rsidR="002C567A" w:rsidRPr="002C567A" w:rsidRDefault="002C567A" w:rsidP="002C567A">
            <w:pPr>
              <w:ind w:firstLine="0"/>
              <w:jc w:val="right"/>
              <w:rPr>
                <w:szCs w:val="20"/>
              </w:rPr>
            </w:pPr>
            <w:r w:rsidRPr="002C567A">
              <w:rPr>
                <w:szCs w:val="20"/>
              </w:rPr>
              <w:t>28.17</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21.31 - 36.22</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Not Listed</w:t>
            </w:r>
          </w:p>
        </w:tc>
        <w:tc>
          <w:tcPr>
            <w:tcW w:w="1883" w:type="dxa"/>
            <w:shd w:val="clear" w:color="auto" w:fill="auto"/>
          </w:tcPr>
          <w:p w:rsidR="002C567A" w:rsidRPr="002C567A" w:rsidRDefault="002C567A" w:rsidP="002C567A">
            <w:pPr>
              <w:ind w:firstLine="0"/>
              <w:jc w:val="right"/>
              <w:rPr>
                <w:szCs w:val="20"/>
              </w:rPr>
            </w:pPr>
            <w:r w:rsidRPr="002C567A">
              <w:rPr>
                <w:szCs w:val="20"/>
              </w:rPr>
              <w:t>14.08</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9.22 - 20.92</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i/>
                <w:szCs w:val="20"/>
              </w:rPr>
            </w:pPr>
            <w:r w:rsidRPr="002C567A">
              <w:rPr>
                <w:i/>
                <w:szCs w:val="20"/>
              </w:rPr>
              <w:t>Race</w:t>
            </w:r>
          </w:p>
        </w:tc>
        <w:tc>
          <w:tcPr>
            <w:tcW w:w="1883" w:type="dxa"/>
            <w:shd w:val="clear" w:color="auto" w:fill="auto"/>
          </w:tcPr>
          <w:p w:rsidR="002C567A" w:rsidRPr="002C567A" w:rsidRDefault="002C567A" w:rsidP="002C567A">
            <w:pPr>
              <w:ind w:firstLine="0"/>
              <w:jc w:val="right"/>
              <w:rPr>
                <w:szCs w:val="20"/>
              </w:rPr>
            </w:pP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African American</w:t>
            </w:r>
          </w:p>
        </w:tc>
        <w:tc>
          <w:tcPr>
            <w:tcW w:w="1883" w:type="dxa"/>
            <w:shd w:val="clear" w:color="auto" w:fill="auto"/>
          </w:tcPr>
          <w:p w:rsidR="002C567A" w:rsidRPr="002C567A" w:rsidRDefault="002C567A" w:rsidP="002C567A">
            <w:pPr>
              <w:ind w:firstLine="0"/>
              <w:jc w:val="right"/>
              <w:rPr>
                <w:szCs w:val="20"/>
              </w:rPr>
            </w:pPr>
            <w:r w:rsidRPr="002C567A">
              <w:rPr>
                <w:szCs w:val="20"/>
              </w:rPr>
              <w:t xml:space="preserve">16.20   </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 xml:space="preserve">  10.95 - 23.30</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White</w:t>
            </w:r>
          </w:p>
        </w:tc>
        <w:tc>
          <w:tcPr>
            <w:tcW w:w="1883" w:type="dxa"/>
            <w:shd w:val="clear" w:color="auto" w:fill="auto"/>
          </w:tcPr>
          <w:p w:rsidR="002C567A" w:rsidRPr="002C567A" w:rsidRDefault="002C567A" w:rsidP="002C567A">
            <w:pPr>
              <w:ind w:firstLine="0"/>
              <w:jc w:val="right"/>
              <w:rPr>
                <w:szCs w:val="20"/>
              </w:rPr>
            </w:pPr>
            <w:r w:rsidRPr="002C567A">
              <w:rPr>
                <w:szCs w:val="20"/>
              </w:rPr>
              <w:t xml:space="preserve">81.69  </w:t>
            </w:r>
          </w:p>
        </w:tc>
        <w:tc>
          <w:tcPr>
            <w:tcW w:w="1980" w:type="dxa"/>
            <w:tcBorders>
              <w:right w:val="single" w:sz="4" w:space="0" w:color="auto"/>
            </w:tcBorders>
            <w:shd w:val="clear" w:color="auto" w:fill="auto"/>
          </w:tcPr>
          <w:p w:rsidR="002C567A" w:rsidRPr="002C567A" w:rsidRDefault="002C567A" w:rsidP="002C567A">
            <w:pPr>
              <w:ind w:left="6" w:firstLine="0"/>
              <w:jc w:val="right"/>
              <w:rPr>
                <w:szCs w:val="20"/>
              </w:rPr>
            </w:pPr>
            <w:r w:rsidRPr="002C567A">
              <w:rPr>
                <w:szCs w:val="20"/>
              </w:rPr>
              <w:t>74.36 - 87.28</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Asian</w:t>
            </w:r>
          </w:p>
        </w:tc>
        <w:tc>
          <w:tcPr>
            <w:tcW w:w="1883" w:type="dxa"/>
            <w:shd w:val="clear" w:color="auto" w:fill="auto"/>
          </w:tcPr>
          <w:p w:rsidR="002C567A" w:rsidRPr="002C567A" w:rsidRDefault="002C567A" w:rsidP="002C567A">
            <w:pPr>
              <w:ind w:firstLine="0"/>
              <w:jc w:val="right"/>
              <w:rPr>
                <w:szCs w:val="20"/>
              </w:rPr>
            </w:pPr>
            <w:r w:rsidRPr="002C567A">
              <w:rPr>
                <w:szCs w:val="20"/>
              </w:rPr>
              <w:t xml:space="preserve">  0.70   </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 xml:space="preserve">  0.10 - 4.94</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Not Listed</w:t>
            </w:r>
          </w:p>
        </w:tc>
        <w:tc>
          <w:tcPr>
            <w:tcW w:w="1883" w:type="dxa"/>
            <w:shd w:val="clear" w:color="auto" w:fill="auto"/>
          </w:tcPr>
          <w:p w:rsidR="002C567A" w:rsidRPr="002C567A" w:rsidRDefault="002C567A" w:rsidP="002C567A">
            <w:pPr>
              <w:ind w:firstLine="0"/>
              <w:jc w:val="right"/>
              <w:rPr>
                <w:szCs w:val="20"/>
              </w:rPr>
            </w:pPr>
            <w:r w:rsidRPr="002C567A">
              <w:rPr>
                <w:szCs w:val="20"/>
              </w:rPr>
              <w:t>1.41</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3.47 - 5.54</w:t>
            </w: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i/>
                <w:szCs w:val="20"/>
              </w:rPr>
            </w:pPr>
            <w:r w:rsidRPr="002C567A">
              <w:rPr>
                <w:i/>
                <w:szCs w:val="20"/>
              </w:rPr>
              <w:t>Gender</w:t>
            </w:r>
          </w:p>
        </w:tc>
        <w:tc>
          <w:tcPr>
            <w:tcW w:w="1883" w:type="dxa"/>
            <w:shd w:val="clear" w:color="auto" w:fill="auto"/>
          </w:tcPr>
          <w:p w:rsidR="002C567A" w:rsidRPr="002C567A" w:rsidRDefault="002C567A" w:rsidP="002C567A">
            <w:pPr>
              <w:ind w:firstLine="0"/>
              <w:jc w:val="right"/>
              <w:rPr>
                <w:szCs w:val="20"/>
              </w:rPr>
            </w:pP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p>
        </w:tc>
      </w:tr>
      <w:tr w:rsidR="002C567A" w:rsidRPr="006A43C6" w:rsidTr="002C567A">
        <w:trPr>
          <w:trHeight w:hRule="exact" w:val="360"/>
          <w:jc w:val="center"/>
        </w:trPr>
        <w:tc>
          <w:tcPr>
            <w:tcW w:w="3078" w:type="dxa"/>
            <w:tcBorders>
              <w:left w:val="single" w:sz="4" w:space="0" w:color="auto"/>
            </w:tcBorders>
            <w:shd w:val="clear" w:color="auto" w:fill="auto"/>
          </w:tcPr>
          <w:p w:rsidR="002C567A" w:rsidRPr="002C567A" w:rsidRDefault="002C567A" w:rsidP="002C567A">
            <w:pPr>
              <w:ind w:firstLine="0"/>
              <w:rPr>
                <w:szCs w:val="20"/>
              </w:rPr>
            </w:pPr>
            <w:r w:rsidRPr="002C567A">
              <w:rPr>
                <w:szCs w:val="20"/>
              </w:rPr>
              <w:t xml:space="preserve">    Male</w:t>
            </w:r>
          </w:p>
        </w:tc>
        <w:tc>
          <w:tcPr>
            <w:tcW w:w="1883" w:type="dxa"/>
            <w:shd w:val="clear" w:color="auto" w:fill="auto"/>
          </w:tcPr>
          <w:p w:rsidR="002C567A" w:rsidRPr="002C567A" w:rsidRDefault="002C567A" w:rsidP="002C567A">
            <w:pPr>
              <w:ind w:firstLine="0"/>
              <w:jc w:val="right"/>
              <w:rPr>
                <w:szCs w:val="20"/>
              </w:rPr>
            </w:pPr>
            <w:r w:rsidRPr="002C567A">
              <w:rPr>
                <w:szCs w:val="20"/>
              </w:rPr>
              <w:t>45.77</w:t>
            </w:r>
          </w:p>
        </w:tc>
        <w:tc>
          <w:tcPr>
            <w:tcW w:w="1980" w:type="dxa"/>
            <w:tcBorders>
              <w:right w:val="single" w:sz="4" w:space="0" w:color="auto"/>
            </w:tcBorders>
            <w:shd w:val="clear" w:color="auto" w:fill="auto"/>
          </w:tcPr>
          <w:p w:rsidR="002C567A" w:rsidRPr="002C567A" w:rsidRDefault="002C567A" w:rsidP="002C567A">
            <w:pPr>
              <w:ind w:firstLine="0"/>
              <w:jc w:val="right"/>
              <w:rPr>
                <w:szCs w:val="20"/>
              </w:rPr>
            </w:pPr>
            <w:r w:rsidRPr="002C567A">
              <w:rPr>
                <w:szCs w:val="20"/>
              </w:rPr>
              <w:t>37.67 - 54.11</w:t>
            </w:r>
          </w:p>
        </w:tc>
      </w:tr>
      <w:tr w:rsidR="002C567A" w:rsidRPr="006A43C6" w:rsidTr="002C567A">
        <w:trPr>
          <w:trHeight w:hRule="exact" w:val="360"/>
          <w:jc w:val="center"/>
        </w:trPr>
        <w:tc>
          <w:tcPr>
            <w:tcW w:w="3078" w:type="dxa"/>
            <w:tcBorders>
              <w:left w:val="single" w:sz="4" w:space="0" w:color="auto"/>
              <w:bottom w:val="single" w:sz="4" w:space="0" w:color="auto"/>
            </w:tcBorders>
            <w:shd w:val="clear" w:color="auto" w:fill="auto"/>
          </w:tcPr>
          <w:p w:rsidR="002C567A" w:rsidRPr="002C567A" w:rsidRDefault="002C567A" w:rsidP="002C567A">
            <w:pPr>
              <w:ind w:firstLine="0"/>
              <w:rPr>
                <w:szCs w:val="20"/>
              </w:rPr>
            </w:pPr>
            <w:r w:rsidRPr="002C567A">
              <w:rPr>
                <w:szCs w:val="20"/>
              </w:rPr>
              <w:t xml:space="preserve">    Female</w:t>
            </w:r>
          </w:p>
        </w:tc>
        <w:tc>
          <w:tcPr>
            <w:tcW w:w="1883" w:type="dxa"/>
            <w:tcBorders>
              <w:bottom w:val="single" w:sz="4" w:space="0" w:color="auto"/>
            </w:tcBorders>
            <w:shd w:val="clear" w:color="auto" w:fill="auto"/>
          </w:tcPr>
          <w:p w:rsidR="002C567A" w:rsidRPr="002C567A" w:rsidRDefault="002C567A" w:rsidP="002C567A">
            <w:pPr>
              <w:ind w:firstLine="0"/>
              <w:jc w:val="right"/>
              <w:rPr>
                <w:szCs w:val="20"/>
              </w:rPr>
            </w:pPr>
            <w:r w:rsidRPr="002C567A">
              <w:rPr>
                <w:szCs w:val="20"/>
              </w:rPr>
              <w:t>54.23</w:t>
            </w:r>
          </w:p>
        </w:tc>
        <w:tc>
          <w:tcPr>
            <w:tcW w:w="1980" w:type="dxa"/>
            <w:tcBorders>
              <w:bottom w:val="single" w:sz="4" w:space="0" w:color="auto"/>
              <w:right w:val="single" w:sz="4" w:space="0" w:color="auto"/>
            </w:tcBorders>
            <w:shd w:val="clear" w:color="auto" w:fill="auto"/>
          </w:tcPr>
          <w:p w:rsidR="002C567A" w:rsidRPr="002C567A" w:rsidRDefault="002C567A" w:rsidP="002C567A">
            <w:pPr>
              <w:ind w:firstLine="0"/>
              <w:jc w:val="right"/>
              <w:rPr>
                <w:szCs w:val="20"/>
              </w:rPr>
            </w:pPr>
            <w:r w:rsidRPr="002C567A">
              <w:rPr>
                <w:szCs w:val="20"/>
              </w:rPr>
              <w:t>45.89 - 62.33</w:t>
            </w:r>
          </w:p>
        </w:tc>
      </w:tr>
    </w:tbl>
    <w:p w:rsidR="00244471" w:rsidRDefault="00244471" w:rsidP="00244471">
      <w:pPr>
        <w:pStyle w:val="Heading2"/>
      </w:pPr>
      <w:bookmarkStart w:id="31" w:name="_Toc483314946"/>
      <w:r>
        <w:t>testing compliance and conversions</w:t>
      </w:r>
      <w:bookmarkEnd w:id="31"/>
    </w:p>
    <w:p w:rsidR="002C567A" w:rsidRDefault="002C567A" w:rsidP="002C567A">
      <w:pPr>
        <w:ind w:firstLine="0"/>
        <w:rPr>
          <w:szCs w:val="20"/>
        </w:rPr>
      </w:pPr>
      <w:r>
        <w:rPr>
          <w:szCs w:val="20"/>
        </w:rPr>
        <w:t>In total, 142 patients were identified as potential contacts. If the entire population is considered, 27.46% of patient contacts complied with the recommended testing. However, as discussed above, 20 patient letters were returned as undeliverable and two patients died prior to the start of the investigation. Table 3 outlines this data below. Therefore, it is more appropriate to only consider patients who successfully received the notification letter in TST compliance rate calculation. When considering the 120 patients who successfully received the notification letter, 32.5% (n=39) complied with the recommended testing and 67.5% (n=81) were lost to follow-up. This data is outlined in Table 4 below.</w:t>
      </w:r>
    </w:p>
    <w:p w:rsidR="002C567A" w:rsidRDefault="002C567A" w:rsidP="002C567A">
      <w:pPr>
        <w:pStyle w:val="Caption"/>
        <w:keepNext/>
        <w:ind w:firstLine="0"/>
        <w:jc w:val="center"/>
      </w:pPr>
      <w:bookmarkStart w:id="32" w:name="_Toc467231914"/>
      <w:r>
        <w:t xml:space="preserve">Table </w:t>
      </w:r>
      <w:fldSimple w:instr=" SEQ Table \* ARABIC ">
        <w:r w:rsidR="00B054C8">
          <w:rPr>
            <w:noProof/>
          </w:rPr>
          <w:t>3</w:t>
        </w:r>
      </w:fldSimple>
      <w:r>
        <w:t>: TST Testing of Entire Patient Population</w:t>
      </w:r>
      <w:bookmarkEnd w:id="32"/>
    </w:p>
    <w:tbl>
      <w:tblPr>
        <w:tblW w:w="0" w:type="auto"/>
        <w:jc w:val="center"/>
        <w:tblLook w:val="04A0" w:firstRow="1" w:lastRow="0" w:firstColumn="1" w:lastColumn="0" w:noHBand="0" w:noVBand="1"/>
      </w:tblPr>
      <w:tblGrid>
        <w:gridCol w:w="2816"/>
        <w:gridCol w:w="1133"/>
        <w:gridCol w:w="2046"/>
        <w:gridCol w:w="1980"/>
      </w:tblGrid>
      <w:tr w:rsidR="002C567A" w:rsidRPr="00634E66" w:rsidTr="002C567A">
        <w:trPr>
          <w:trHeight w:hRule="exact" w:val="360"/>
          <w:jc w:val="center"/>
        </w:trPr>
        <w:tc>
          <w:tcPr>
            <w:tcW w:w="2816" w:type="dxa"/>
            <w:tcBorders>
              <w:top w:val="single" w:sz="4" w:space="0" w:color="auto"/>
              <w:left w:val="single" w:sz="4" w:space="0" w:color="auto"/>
              <w:bottom w:val="single" w:sz="4" w:space="0" w:color="auto"/>
            </w:tcBorders>
            <w:shd w:val="clear" w:color="auto" w:fill="auto"/>
          </w:tcPr>
          <w:p w:rsidR="002C567A" w:rsidRPr="002C567A" w:rsidRDefault="002C567A" w:rsidP="002C567A">
            <w:pPr>
              <w:ind w:firstLine="10"/>
              <w:rPr>
                <w:b/>
              </w:rPr>
            </w:pPr>
            <w:r w:rsidRPr="002C567A">
              <w:rPr>
                <w:b/>
              </w:rPr>
              <w:t>TST Testing</w:t>
            </w:r>
          </w:p>
        </w:tc>
        <w:tc>
          <w:tcPr>
            <w:tcW w:w="1133" w:type="dxa"/>
            <w:tcBorders>
              <w:top w:val="single" w:sz="4" w:space="0" w:color="auto"/>
              <w:bottom w:val="single" w:sz="4" w:space="0" w:color="auto"/>
            </w:tcBorders>
            <w:shd w:val="clear" w:color="auto" w:fill="auto"/>
          </w:tcPr>
          <w:p w:rsidR="002C567A" w:rsidRPr="002C567A" w:rsidRDefault="002C567A" w:rsidP="002C567A">
            <w:pPr>
              <w:ind w:firstLine="10"/>
              <w:jc w:val="right"/>
              <w:rPr>
                <w:b/>
              </w:rPr>
            </w:pPr>
            <w:r w:rsidRPr="002C567A">
              <w:rPr>
                <w:b/>
              </w:rPr>
              <w:t>Count</w:t>
            </w:r>
          </w:p>
        </w:tc>
        <w:tc>
          <w:tcPr>
            <w:tcW w:w="2046" w:type="dxa"/>
            <w:tcBorders>
              <w:top w:val="single" w:sz="4" w:space="0" w:color="auto"/>
              <w:bottom w:val="single" w:sz="4" w:space="0" w:color="auto"/>
            </w:tcBorders>
            <w:shd w:val="clear" w:color="auto" w:fill="auto"/>
          </w:tcPr>
          <w:p w:rsidR="002C567A" w:rsidRPr="002C567A" w:rsidRDefault="002C567A" w:rsidP="002C567A">
            <w:pPr>
              <w:ind w:firstLine="10"/>
              <w:jc w:val="right"/>
              <w:rPr>
                <w:b/>
              </w:rPr>
            </w:pPr>
            <w:r w:rsidRPr="002C567A">
              <w:rPr>
                <w:b/>
              </w:rPr>
              <w:t>Percentage</w:t>
            </w:r>
          </w:p>
        </w:tc>
        <w:tc>
          <w:tcPr>
            <w:tcW w:w="1980" w:type="dxa"/>
            <w:tcBorders>
              <w:top w:val="single" w:sz="4" w:space="0" w:color="auto"/>
              <w:bottom w:val="single" w:sz="4" w:space="0" w:color="auto"/>
              <w:right w:val="single" w:sz="4" w:space="0" w:color="auto"/>
            </w:tcBorders>
            <w:shd w:val="clear" w:color="auto" w:fill="auto"/>
          </w:tcPr>
          <w:p w:rsidR="002C567A" w:rsidRPr="002C567A" w:rsidRDefault="002C567A" w:rsidP="002C567A">
            <w:pPr>
              <w:ind w:firstLine="10"/>
              <w:jc w:val="right"/>
              <w:rPr>
                <w:b/>
              </w:rPr>
            </w:pPr>
            <w:r w:rsidRPr="002C567A">
              <w:rPr>
                <w:b/>
              </w:rPr>
              <w:t>95% CI</w:t>
            </w:r>
          </w:p>
        </w:tc>
      </w:tr>
      <w:tr w:rsidR="002C567A" w:rsidTr="002C567A">
        <w:trPr>
          <w:trHeight w:hRule="exact" w:val="360"/>
          <w:jc w:val="center"/>
        </w:trPr>
        <w:tc>
          <w:tcPr>
            <w:tcW w:w="2816" w:type="dxa"/>
            <w:tcBorders>
              <w:top w:val="single" w:sz="4" w:space="0" w:color="auto"/>
              <w:left w:val="single" w:sz="4" w:space="0" w:color="auto"/>
            </w:tcBorders>
            <w:shd w:val="clear" w:color="auto" w:fill="auto"/>
          </w:tcPr>
          <w:p w:rsidR="002C567A" w:rsidRPr="002C567A" w:rsidRDefault="002C567A" w:rsidP="002C567A">
            <w:pPr>
              <w:ind w:firstLine="10"/>
              <w:rPr>
                <w:szCs w:val="20"/>
              </w:rPr>
            </w:pPr>
            <w:r>
              <w:t>Yes</w:t>
            </w:r>
          </w:p>
        </w:tc>
        <w:tc>
          <w:tcPr>
            <w:tcW w:w="1133" w:type="dxa"/>
            <w:tcBorders>
              <w:top w:val="single" w:sz="4" w:space="0" w:color="auto"/>
            </w:tcBorders>
            <w:shd w:val="clear" w:color="auto" w:fill="auto"/>
          </w:tcPr>
          <w:p w:rsidR="002C567A" w:rsidRDefault="002C567A" w:rsidP="002C567A">
            <w:pPr>
              <w:ind w:firstLine="10"/>
              <w:jc w:val="right"/>
            </w:pPr>
            <w:r>
              <w:t>39</w:t>
            </w:r>
          </w:p>
        </w:tc>
        <w:tc>
          <w:tcPr>
            <w:tcW w:w="2046" w:type="dxa"/>
            <w:tcBorders>
              <w:top w:val="single" w:sz="4" w:space="0" w:color="auto"/>
            </w:tcBorders>
            <w:shd w:val="clear" w:color="auto" w:fill="auto"/>
          </w:tcPr>
          <w:p w:rsidR="002C567A" w:rsidRPr="002C567A" w:rsidRDefault="002C567A" w:rsidP="002C567A">
            <w:pPr>
              <w:ind w:firstLine="10"/>
              <w:jc w:val="right"/>
              <w:rPr>
                <w:szCs w:val="20"/>
              </w:rPr>
            </w:pPr>
            <w:r>
              <w:t>27.46</w:t>
            </w:r>
          </w:p>
        </w:tc>
        <w:tc>
          <w:tcPr>
            <w:tcW w:w="1980" w:type="dxa"/>
            <w:tcBorders>
              <w:top w:val="single" w:sz="4" w:space="0" w:color="auto"/>
              <w:right w:val="single" w:sz="4" w:space="0" w:color="auto"/>
            </w:tcBorders>
            <w:shd w:val="clear" w:color="auto" w:fill="auto"/>
          </w:tcPr>
          <w:p w:rsidR="002C567A" w:rsidRPr="002C567A" w:rsidRDefault="002C567A" w:rsidP="002C567A">
            <w:pPr>
              <w:ind w:firstLine="10"/>
              <w:jc w:val="right"/>
              <w:rPr>
                <w:szCs w:val="20"/>
              </w:rPr>
            </w:pPr>
            <w:r w:rsidRPr="002C567A">
              <w:rPr>
                <w:szCs w:val="20"/>
              </w:rPr>
              <w:t>20.68 - 35.48</w:t>
            </w:r>
          </w:p>
        </w:tc>
      </w:tr>
      <w:tr w:rsidR="002C567A" w:rsidTr="002C567A">
        <w:trPr>
          <w:trHeight w:hRule="exact" w:val="360"/>
          <w:jc w:val="center"/>
        </w:trPr>
        <w:tc>
          <w:tcPr>
            <w:tcW w:w="2816" w:type="dxa"/>
            <w:tcBorders>
              <w:left w:val="single" w:sz="4" w:space="0" w:color="auto"/>
            </w:tcBorders>
            <w:shd w:val="clear" w:color="auto" w:fill="auto"/>
          </w:tcPr>
          <w:p w:rsidR="002C567A" w:rsidRPr="002C567A" w:rsidRDefault="002C567A" w:rsidP="002C567A">
            <w:pPr>
              <w:ind w:firstLine="10"/>
              <w:rPr>
                <w:szCs w:val="20"/>
              </w:rPr>
            </w:pPr>
            <w:r>
              <w:t>No</w:t>
            </w:r>
          </w:p>
        </w:tc>
        <w:tc>
          <w:tcPr>
            <w:tcW w:w="1133" w:type="dxa"/>
            <w:shd w:val="clear" w:color="auto" w:fill="auto"/>
          </w:tcPr>
          <w:p w:rsidR="002C567A" w:rsidRDefault="002C567A" w:rsidP="002C567A">
            <w:pPr>
              <w:ind w:firstLine="10"/>
              <w:jc w:val="right"/>
            </w:pPr>
            <w:r>
              <w:t xml:space="preserve">81  </w:t>
            </w:r>
          </w:p>
        </w:tc>
        <w:tc>
          <w:tcPr>
            <w:tcW w:w="2046" w:type="dxa"/>
            <w:shd w:val="clear" w:color="auto" w:fill="auto"/>
          </w:tcPr>
          <w:p w:rsidR="002C567A" w:rsidRPr="002C567A" w:rsidRDefault="002C567A" w:rsidP="002C567A">
            <w:pPr>
              <w:ind w:firstLine="10"/>
              <w:jc w:val="right"/>
              <w:rPr>
                <w:szCs w:val="20"/>
              </w:rPr>
            </w:pPr>
            <w:r>
              <w:t xml:space="preserve">  57.04</w:t>
            </w:r>
            <w:r w:rsidRPr="0038127B">
              <w:t xml:space="preserve">   </w:t>
            </w:r>
          </w:p>
        </w:tc>
        <w:tc>
          <w:tcPr>
            <w:tcW w:w="1980" w:type="dxa"/>
            <w:tcBorders>
              <w:right w:val="single" w:sz="4" w:space="0" w:color="auto"/>
            </w:tcBorders>
            <w:shd w:val="clear" w:color="auto" w:fill="auto"/>
          </w:tcPr>
          <w:p w:rsidR="002C567A" w:rsidRPr="002C567A" w:rsidRDefault="002C567A" w:rsidP="002C567A">
            <w:pPr>
              <w:ind w:firstLine="10"/>
              <w:jc w:val="right"/>
              <w:rPr>
                <w:szCs w:val="20"/>
              </w:rPr>
            </w:pPr>
            <w:r>
              <w:t xml:space="preserve">  48.68 - 65.02</w:t>
            </w:r>
          </w:p>
        </w:tc>
      </w:tr>
      <w:tr w:rsidR="002C567A" w:rsidTr="002C567A">
        <w:trPr>
          <w:trHeight w:hRule="exact" w:val="360"/>
          <w:jc w:val="center"/>
        </w:trPr>
        <w:tc>
          <w:tcPr>
            <w:tcW w:w="2816" w:type="dxa"/>
            <w:tcBorders>
              <w:left w:val="single" w:sz="4" w:space="0" w:color="auto"/>
            </w:tcBorders>
            <w:shd w:val="clear" w:color="auto" w:fill="auto"/>
          </w:tcPr>
          <w:p w:rsidR="002C567A" w:rsidRPr="002C567A" w:rsidRDefault="002C567A" w:rsidP="002C567A">
            <w:pPr>
              <w:ind w:firstLine="10"/>
              <w:rPr>
                <w:szCs w:val="20"/>
              </w:rPr>
            </w:pPr>
            <w:r>
              <w:t>Died prior to investigation</w:t>
            </w:r>
          </w:p>
        </w:tc>
        <w:tc>
          <w:tcPr>
            <w:tcW w:w="1133" w:type="dxa"/>
            <w:shd w:val="clear" w:color="auto" w:fill="auto"/>
          </w:tcPr>
          <w:p w:rsidR="002C567A" w:rsidRDefault="002C567A" w:rsidP="002C567A">
            <w:pPr>
              <w:ind w:firstLine="10"/>
              <w:jc w:val="right"/>
            </w:pPr>
            <w:r>
              <w:t xml:space="preserve">  2</w:t>
            </w:r>
          </w:p>
        </w:tc>
        <w:tc>
          <w:tcPr>
            <w:tcW w:w="2046" w:type="dxa"/>
            <w:shd w:val="clear" w:color="auto" w:fill="auto"/>
          </w:tcPr>
          <w:p w:rsidR="002C567A" w:rsidRPr="002C567A" w:rsidRDefault="002C567A" w:rsidP="002C567A">
            <w:pPr>
              <w:ind w:firstLine="10"/>
              <w:jc w:val="right"/>
              <w:rPr>
                <w:szCs w:val="20"/>
              </w:rPr>
            </w:pPr>
            <w:r>
              <w:t>1.41</w:t>
            </w:r>
            <w:r w:rsidRPr="0038127B">
              <w:t xml:space="preserve">  </w:t>
            </w:r>
          </w:p>
        </w:tc>
        <w:tc>
          <w:tcPr>
            <w:tcW w:w="1980" w:type="dxa"/>
            <w:tcBorders>
              <w:right w:val="single" w:sz="4" w:space="0" w:color="auto"/>
            </w:tcBorders>
            <w:shd w:val="clear" w:color="auto" w:fill="auto"/>
          </w:tcPr>
          <w:p w:rsidR="002C567A" w:rsidRPr="002C567A" w:rsidRDefault="002C567A" w:rsidP="002C567A">
            <w:pPr>
              <w:ind w:firstLine="10"/>
              <w:jc w:val="right"/>
              <w:rPr>
                <w:szCs w:val="20"/>
              </w:rPr>
            </w:pPr>
            <w:r>
              <w:t>0.35 - 5.54</w:t>
            </w:r>
          </w:p>
        </w:tc>
      </w:tr>
      <w:tr w:rsidR="002C567A" w:rsidTr="002C567A">
        <w:trPr>
          <w:trHeight w:hRule="exact" w:val="360"/>
          <w:jc w:val="center"/>
        </w:trPr>
        <w:tc>
          <w:tcPr>
            <w:tcW w:w="2816" w:type="dxa"/>
            <w:tcBorders>
              <w:left w:val="single" w:sz="4" w:space="0" w:color="auto"/>
              <w:bottom w:val="single" w:sz="4" w:space="0" w:color="auto"/>
            </w:tcBorders>
            <w:shd w:val="clear" w:color="auto" w:fill="auto"/>
          </w:tcPr>
          <w:p w:rsidR="002C567A" w:rsidRDefault="002C567A" w:rsidP="002C567A">
            <w:pPr>
              <w:ind w:firstLine="10"/>
            </w:pPr>
            <w:r>
              <w:t>Letter Returned to Sender</w:t>
            </w:r>
          </w:p>
        </w:tc>
        <w:tc>
          <w:tcPr>
            <w:tcW w:w="1133" w:type="dxa"/>
            <w:tcBorders>
              <w:bottom w:val="single" w:sz="4" w:space="0" w:color="auto"/>
            </w:tcBorders>
            <w:shd w:val="clear" w:color="auto" w:fill="auto"/>
          </w:tcPr>
          <w:p w:rsidR="002C567A" w:rsidRDefault="002C567A" w:rsidP="002C567A">
            <w:pPr>
              <w:ind w:firstLine="10"/>
              <w:jc w:val="right"/>
            </w:pPr>
            <w:r>
              <w:t>20</w:t>
            </w:r>
          </w:p>
        </w:tc>
        <w:tc>
          <w:tcPr>
            <w:tcW w:w="2046" w:type="dxa"/>
            <w:tcBorders>
              <w:bottom w:val="single" w:sz="4" w:space="0" w:color="auto"/>
            </w:tcBorders>
            <w:shd w:val="clear" w:color="auto" w:fill="auto"/>
          </w:tcPr>
          <w:p w:rsidR="002C567A" w:rsidRDefault="002C567A" w:rsidP="002C567A">
            <w:pPr>
              <w:ind w:firstLine="10"/>
              <w:jc w:val="right"/>
            </w:pPr>
            <w:r>
              <w:t>14.08</w:t>
            </w:r>
          </w:p>
        </w:tc>
        <w:tc>
          <w:tcPr>
            <w:tcW w:w="1980" w:type="dxa"/>
            <w:tcBorders>
              <w:bottom w:val="single" w:sz="4" w:space="0" w:color="auto"/>
              <w:right w:val="single" w:sz="4" w:space="0" w:color="auto"/>
            </w:tcBorders>
            <w:shd w:val="clear" w:color="auto" w:fill="auto"/>
          </w:tcPr>
          <w:p w:rsidR="002C567A" w:rsidRDefault="002C567A" w:rsidP="002C567A">
            <w:pPr>
              <w:ind w:firstLine="10"/>
              <w:jc w:val="right"/>
            </w:pPr>
            <w:r>
              <w:t>9.22 - 20.92</w:t>
            </w:r>
          </w:p>
        </w:tc>
      </w:tr>
      <w:tr w:rsidR="002C567A" w:rsidTr="002C567A">
        <w:trPr>
          <w:trHeight w:hRule="exact" w:val="360"/>
          <w:jc w:val="center"/>
        </w:trPr>
        <w:tc>
          <w:tcPr>
            <w:tcW w:w="2816" w:type="dxa"/>
            <w:tcBorders>
              <w:top w:val="single" w:sz="4" w:space="0" w:color="auto"/>
              <w:left w:val="single" w:sz="4" w:space="0" w:color="auto"/>
              <w:bottom w:val="single" w:sz="4" w:space="0" w:color="auto"/>
            </w:tcBorders>
            <w:shd w:val="clear" w:color="auto" w:fill="auto"/>
          </w:tcPr>
          <w:p w:rsidR="002C567A" w:rsidRDefault="002C567A" w:rsidP="002C567A">
            <w:pPr>
              <w:ind w:firstLine="10"/>
            </w:pPr>
            <w:r>
              <w:t>Total</w:t>
            </w:r>
          </w:p>
        </w:tc>
        <w:tc>
          <w:tcPr>
            <w:tcW w:w="1133" w:type="dxa"/>
            <w:tcBorders>
              <w:top w:val="single" w:sz="4" w:space="0" w:color="auto"/>
              <w:bottom w:val="single" w:sz="4" w:space="0" w:color="auto"/>
            </w:tcBorders>
            <w:shd w:val="clear" w:color="auto" w:fill="auto"/>
          </w:tcPr>
          <w:p w:rsidR="002C567A" w:rsidRDefault="002C567A" w:rsidP="002C567A">
            <w:pPr>
              <w:ind w:firstLine="10"/>
              <w:jc w:val="right"/>
            </w:pPr>
            <w:r>
              <w:t>142</w:t>
            </w:r>
          </w:p>
        </w:tc>
        <w:tc>
          <w:tcPr>
            <w:tcW w:w="2046" w:type="dxa"/>
            <w:tcBorders>
              <w:top w:val="single" w:sz="4" w:space="0" w:color="auto"/>
              <w:bottom w:val="single" w:sz="4" w:space="0" w:color="auto"/>
            </w:tcBorders>
            <w:shd w:val="clear" w:color="auto" w:fill="auto"/>
          </w:tcPr>
          <w:p w:rsidR="002C567A" w:rsidRDefault="002C567A" w:rsidP="002C567A">
            <w:pPr>
              <w:ind w:firstLine="10"/>
              <w:jc w:val="right"/>
            </w:pPr>
          </w:p>
        </w:tc>
        <w:tc>
          <w:tcPr>
            <w:tcW w:w="1980" w:type="dxa"/>
            <w:tcBorders>
              <w:top w:val="single" w:sz="4" w:space="0" w:color="auto"/>
              <w:bottom w:val="single" w:sz="4" w:space="0" w:color="auto"/>
              <w:right w:val="single" w:sz="4" w:space="0" w:color="auto"/>
            </w:tcBorders>
            <w:shd w:val="clear" w:color="auto" w:fill="auto"/>
          </w:tcPr>
          <w:p w:rsidR="002C567A" w:rsidRDefault="002C567A" w:rsidP="002C567A">
            <w:pPr>
              <w:ind w:firstLine="10"/>
              <w:jc w:val="right"/>
            </w:pPr>
          </w:p>
        </w:tc>
      </w:tr>
    </w:tbl>
    <w:p w:rsidR="002C567A" w:rsidRPr="002C567A" w:rsidRDefault="002C567A" w:rsidP="002C567A">
      <w:pPr>
        <w:pStyle w:val="Noindent"/>
        <w:tabs>
          <w:tab w:val="left" w:pos="3000"/>
        </w:tabs>
      </w:pPr>
      <w:r>
        <w:tab/>
      </w:r>
    </w:p>
    <w:p w:rsidR="002C567A" w:rsidRDefault="002C567A" w:rsidP="002C567A">
      <w:pPr>
        <w:pStyle w:val="Caption"/>
        <w:keepNext/>
        <w:ind w:firstLine="0"/>
        <w:jc w:val="center"/>
      </w:pPr>
      <w:bookmarkStart w:id="33" w:name="_Toc467231915"/>
      <w:r>
        <w:t xml:space="preserve">Table </w:t>
      </w:r>
      <w:fldSimple w:instr=" SEQ Table \* ARABIC ">
        <w:r w:rsidR="00B054C8">
          <w:rPr>
            <w:noProof/>
          </w:rPr>
          <w:t>4</w:t>
        </w:r>
      </w:fldSimple>
      <w:r>
        <w:t>: TST Testing of Patients Who Successfully Received Notification Letter</w:t>
      </w:r>
      <w:bookmarkEnd w:id="33"/>
    </w:p>
    <w:tbl>
      <w:tblPr>
        <w:tblW w:w="0" w:type="auto"/>
        <w:jc w:val="center"/>
        <w:tblLook w:val="04A0" w:firstRow="1" w:lastRow="0" w:firstColumn="1" w:lastColumn="0" w:noHBand="0" w:noVBand="1"/>
      </w:tblPr>
      <w:tblGrid>
        <w:gridCol w:w="2816"/>
        <w:gridCol w:w="1133"/>
        <w:gridCol w:w="2046"/>
        <w:gridCol w:w="1980"/>
      </w:tblGrid>
      <w:tr w:rsidR="002C567A" w:rsidRPr="00634E66" w:rsidTr="002C567A">
        <w:trPr>
          <w:trHeight w:hRule="exact" w:val="379"/>
          <w:jc w:val="center"/>
        </w:trPr>
        <w:tc>
          <w:tcPr>
            <w:tcW w:w="2816" w:type="dxa"/>
            <w:tcBorders>
              <w:top w:val="single" w:sz="4" w:space="0" w:color="auto"/>
              <w:left w:val="single" w:sz="4" w:space="0" w:color="auto"/>
              <w:bottom w:val="single" w:sz="4" w:space="0" w:color="auto"/>
            </w:tcBorders>
            <w:shd w:val="clear" w:color="auto" w:fill="auto"/>
          </w:tcPr>
          <w:p w:rsidR="002C567A" w:rsidRPr="002C567A" w:rsidRDefault="002C567A" w:rsidP="002C567A">
            <w:pPr>
              <w:spacing w:line="240" w:lineRule="auto"/>
              <w:ind w:firstLine="0"/>
              <w:jc w:val="left"/>
              <w:rPr>
                <w:b/>
              </w:rPr>
            </w:pPr>
            <w:r>
              <w:rPr>
                <w:b/>
              </w:rPr>
              <w:t xml:space="preserve">TST </w:t>
            </w:r>
            <w:r w:rsidRPr="002C567A">
              <w:rPr>
                <w:b/>
              </w:rPr>
              <w:t>Testing</w:t>
            </w:r>
          </w:p>
        </w:tc>
        <w:tc>
          <w:tcPr>
            <w:tcW w:w="1133" w:type="dxa"/>
            <w:tcBorders>
              <w:top w:val="single" w:sz="4" w:space="0" w:color="auto"/>
              <w:bottom w:val="single" w:sz="4" w:space="0" w:color="auto"/>
            </w:tcBorders>
            <w:shd w:val="clear" w:color="auto" w:fill="auto"/>
          </w:tcPr>
          <w:p w:rsidR="002C567A" w:rsidRPr="002C567A" w:rsidRDefault="002C567A" w:rsidP="002C567A">
            <w:pPr>
              <w:spacing w:line="240" w:lineRule="auto"/>
              <w:ind w:firstLine="0"/>
              <w:jc w:val="right"/>
              <w:rPr>
                <w:b/>
              </w:rPr>
            </w:pPr>
            <w:r w:rsidRPr="002C567A">
              <w:rPr>
                <w:b/>
              </w:rPr>
              <w:t>Count</w:t>
            </w:r>
          </w:p>
        </w:tc>
        <w:tc>
          <w:tcPr>
            <w:tcW w:w="2046" w:type="dxa"/>
            <w:tcBorders>
              <w:top w:val="single" w:sz="4" w:space="0" w:color="auto"/>
              <w:bottom w:val="single" w:sz="4" w:space="0" w:color="auto"/>
            </w:tcBorders>
            <w:shd w:val="clear" w:color="auto" w:fill="auto"/>
          </w:tcPr>
          <w:p w:rsidR="002C567A" w:rsidRPr="002C567A" w:rsidRDefault="002C567A" w:rsidP="002C567A">
            <w:pPr>
              <w:spacing w:line="240" w:lineRule="auto"/>
              <w:ind w:firstLine="0"/>
              <w:jc w:val="right"/>
              <w:rPr>
                <w:b/>
              </w:rPr>
            </w:pPr>
            <w:r w:rsidRPr="002C567A">
              <w:rPr>
                <w:b/>
              </w:rPr>
              <w:t>Percentage</w:t>
            </w:r>
          </w:p>
        </w:tc>
        <w:tc>
          <w:tcPr>
            <w:tcW w:w="1980" w:type="dxa"/>
            <w:tcBorders>
              <w:top w:val="single" w:sz="4" w:space="0" w:color="auto"/>
              <w:bottom w:val="single" w:sz="4" w:space="0" w:color="auto"/>
              <w:right w:val="single" w:sz="4" w:space="0" w:color="auto"/>
            </w:tcBorders>
            <w:shd w:val="clear" w:color="auto" w:fill="auto"/>
          </w:tcPr>
          <w:p w:rsidR="002C567A" w:rsidRPr="002C567A" w:rsidRDefault="002C567A" w:rsidP="002C567A">
            <w:pPr>
              <w:spacing w:line="240" w:lineRule="auto"/>
              <w:ind w:firstLine="0"/>
              <w:jc w:val="right"/>
              <w:rPr>
                <w:b/>
              </w:rPr>
            </w:pPr>
            <w:r w:rsidRPr="002C567A">
              <w:rPr>
                <w:b/>
              </w:rPr>
              <w:t>95% CI</w:t>
            </w:r>
          </w:p>
        </w:tc>
      </w:tr>
      <w:tr w:rsidR="002C567A" w:rsidTr="002C567A">
        <w:trPr>
          <w:trHeight w:hRule="exact" w:val="360"/>
          <w:jc w:val="center"/>
        </w:trPr>
        <w:tc>
          <w:tcPr>
            <w:tcW w:w="2816" w:type="dxa"/>
            <w:tcBorders>
              <w:top w:val="single" w:sz="4" w:space="0" w:color="auto"/>
              <w:left w:val="single" w:sz="4" w:space="0" w:color="auto"/>
            </w:tcBorders>
            <w:shd w:val="clear" w:color="auto" w:fill="auto"/>
          </w:tcPr>
          <w:p w:rsidR="002C567A" w:rsidRPr="002C567A" w:rsidRDefault="002C567A" w:rsidP="002C567A">
            <w:pPr>
              <w:ind w:firstLine="0"/>
              <w:rPr>
                <w:szCs w:val="20"/>
              </w:rPr>
            </w:pPr>
            <w:r>
              <w:t>Yes</w:t>
            </w:r>
          </w:p>
        </w:tc>
        <w:tc>
          <w:tcPr>
            <w:tcW w:w="1133" w:type="dxa"/>
            <w:tcBorders>
              <w:top w:val="single" w:sz="4" w:space="0" w:color="auto"/>
            </w:tcBorders>
            <w:shd w:val="clear" w:color="auto" w:fill="auto"/>
          </w:tcPr>
          <w:p w:rsidR="002C567A" w:rsidRDefault="002C567A" w:rsidP="002C567A">
            <w:pPr>
              <w:spacing w:line="240" w:lineRule="auto"/>
              <w:ind w:firstLine="0"/>
              <w:jc w:val="right"/>
            </w:pPr>
            <w:r>
              <w:t>39</w:t>
            </w:r>
          </w:p>
        </w:tc>
        <w:tc>
          <w:tcPr>
            <w:tcW w:w="2046" w:type="dxa"/>
            <w:tcBorders>
              <w:top w:val="single" w:sz="4" w:space="0" w:color="auto"/>
            </w:tcBorders>
            <w:shd w:val="clear" w:color="auto" w:fill="auto"/>
          </w:tcPr>
          <w:p w:rsidR="002C567A" w:rsidRPr="002C567A" w:rsidRDefault="002C567A" w:rsidP="002C567A">
            <w:pPr>
              <w:spacing w:line="240" w:lineRule="auto"/>
              <w:ind w:firstLine="0"/>
              <w:jc w:val="right"/>
              <w:rPr>
                <w:szCs w:val="20"/>
              </w:rPr>
            </w:pPr>
            <w:r>
              <w:t>32.50</w:t>
            </w:r>
          </w:p>
        </w:tc>
        <w:tc>
          <w:tcPr>
            <w:tcW w:w="1980" w:type="dxa"/>
            <w:tcBorders>
              <w:top w:val="single" w:sz="4" w:space="0" w:color="auto"/>
              <w:right w:val="single" w:sz="4" w:space="0" w:color="auto"/>
            </w:tcBorders>
            <w:shd w:val="clear" w:color="auto" w:fill="auto"/>
          </w:tcPr>
          <w:p w:rsidR="002C567A" w:rsidRPr="002C567A" w:rsidRDefault="002C567A" w:rsidP="002C567A">
            <w:pPr>
              <w:spacing w:line="240" w:lineRule="auto"/>
              <w:ind w:firstLine="0"/>
              <w:jc w:val="right"/>
              <w:rPr>
                <w:szCs w:val="20"/>
              </w:rPr>
            </w:pPr>
            <w:r w:rsidRPr="002C567A">
              <w:rPr>
                <w:szCs w:val="20"/>
              </w:rPr>
              <w:t>20.83 - 35.71</w:t>
            </w:r>
          </w:p>
        </w:tc>
      </w:tr>
      <w:tr w:rsidR="002C567A" w:rsidTr="002C567A">
        <w:trPr>
          <w:trHeight w:hRule="exact" w:val="360"/>
          <w:jc w:val="center"/>
        </w:trPr>
        <w:tc>
          <w:tcPr>
            <w:tcW w:w="2816" w:type="dxa"/>
            <w:tcBorders>
              <w:left w:val="single" w:sz="4" w:space="0" w:color="auto"/>
              <w:bottom w:val="single" w:sz="4" w:space="0" w:color="auto"/>
            </w:tcBorders>
            <w:shd w:val="clear" w:color="auto" w:fill="auto"/>
          </w:tcPr>
          <w:p w:rsidR="002C567A" w:rsidRPr="002C567A" w:rsidRDefault="002C567A" w:rsidP="002C567A">
            <w:pPr>
              <w:ind w:firstLine="0"/>
              <w:rPr>
                <w:szCs w:val="20"/>
              </w:rPr>
            </w:pPr>
            <w:r>
              <w:t>No</w:t>
            </w:r>
          </w:p>
        </w:tc>
        <w:tc>
          <w:tcPr>
            <w:tcW w:w="1133" w:type="dxa"/>
            <w:tcBorders>
              <w:bottom w:val="single" w:sz="4" w:space="0" w:color="auto"/>
            </w:tcBorders>
            <w:shd w:val="clear" w:color="auto" w:fill="auto"/>
          </w:tcPr>
          <w:p w:rsidR="002C567A" w:rsidRDefault="002C567A" w:rsidP="002C567A">
            <w:pPr>
              <w:ind w:firstLine="0"/>
              <w:jc w:val="right"/>
            </w:pPr>
            <w:r>
              <w:t xml:space="preserve">81  </w:t>
            </w:r>
          </w:p>
        </w:tc>
        <w:tc>
          <w:tcPr>
            <w:tcW w:w="2046" w:type="dxa"/>
            <w:tcBorders>
              <w:bottom w:val="single" w:sz="4" w:space="0" w:color="auto"/>
            </w:tcBorders>
            <w:shd w:val="clear" w:color="auto" w:fill="auto"/>
          </w:tcPr>
          <w:p w:rsidR="002C567A" w:rsidRDefault="002C567A" w:rsidP="002C567A">
            <w:pPr>
              <w:ind w:firstLine="0"/>
              <w:jc w:val="right"/>
            </w:pPr>
            <w:r>
              <w:t xml:space="preserve">  67.50</w:t>
            </w:r>
          </w:p>
          <w:p w:rsidR="002C567A" w:rsidRPr="002C567A" w:rsidRDefault="002C567A" w:rsidP="002C567A">
            <w:pPr>
              <w:ind w:firstLine="0"/>
              <w:jc w:val="right"/>
              <w:rPr>
                <w:szCs w:val="20"/>
              </w:rPr>
            </w:pPr>
            <w:r w:rsidRPr="0038127B">
              <w:t xml:space="preserve">   </w:t>
            </w:r>
          </w:p>
        </w:tc>
        <w:tc>
          <w:tcPr>
            <w:tcW w:w="1980" w:type="dxa"/>
            <w:tcBorders>
              <w:bottom w:val="single" w:sz="4" w:space="0" w:color="auto"/>
              <w:right w:val="single" w:sz="4" w:space="0" w:color="auto"/>
            </w:tcBorders>
            <w:shd w:val="clear" w:color="auto" w:fill="auto"/>
          </w:tcPr>
          <w:p w:rsidR="002C567A" w:rsidRPr="002C567A" w:rsidRDefault="002C567A" w:rsidP="002C567A">
            <w:pPr>
              <w:ind w:firstLine="0"/>
              <w:jc w:val="right"/>
              <w:rPr>
                <w:szCs w:val="20"/>
              </w:rPr>
            </w:pPr>
            <w:r>
              <w:t xml:space="preserve">  48.35 - 64.76</w:t>
            </w:r>
          </w:p>
        </w:tc>
      </w:tr>
      <w:tr w:rsidR="002C567A" w:rsidTr="002C567A">
        <w:trPr>
          <w:trHeight w:hRule="exact" w:val="360"/>
          <w:jc w:val="center"/>
        </w:trPr>
        <w:tc>
          <w:tcPr>
            <w:tcW w:w="2816" w:type="dxa"/>
            <w:tcBorders>
              <w:top w:val="single" w:sz="4" w:space="0" w:color="auto"/>
              <w:left w:val="single" w:sz="4" w:space="0" w:color="auto"/>
              <w:bottom w:val="single" w:sz="4" w:space="0" w:color="auto"/>
            </w:tcBorders>
            <w:shd w:val="clear" w:color="auto" w:fill="auto"/>
          </w:tcPr>
          <w:p w:rsidR="002C567A" w:rsidRDefault="002C567A" w:rsidP="002C567A">
            <w:pPr>
              <w:ind w:firstLine="0"/>
            </w:pPr>
            <w:r>
              <w:t>Total</w:t>
            </w:r>
          </w:p>
        </w:tc>
        <w:tc>
          <w:tcPr>
            <w:tcW w:w="1133" w:type="dxa"/>
            <w:tcBorders>
              <w:top w:val="single" w:sz="4" w:space="0" w:color="auto"/>
              <w:bottom w:val="single" w:sz="4" w:space="0" w:color="auto"/>
            </w:tcBorders>
            <w:shd w:val="clear" w:color="auto" w:fill="auto"/>
          </w:tcPr>
          <w:p w:rsidR="002C567A" w:rsidRDefault="002C567A" w:rsidP="002C567A">
            <w:pPr>
              <w:ind w:firstLine="0"/>
              <w:jc w:val="right"/>
            </w:pPr>
            <w:r>
              <w:t>120</w:t>
            </w:r>
          </w:p>
          <w:p w:rsidR="002C567A" w:rsidRDefault="002C567A" w:rsidP="002C567A">
            <w:pPr>
              <w:ind w:firstLine="0"/>
              <w:jc w:val="right"/>
            </w:pPr>
          </w:p>
        </w:tc>
        <w:tc>
          <w:tcPr>
            <w:tcW w:w="2046" w:type="dxa"/>
            <w:tcBorders>
              <w:top w:val="single" w:sz="4" w:space="0" w:color="auto"/>
              <w:bottom w:val="single" w:sz="4" w:space="0" w:color="auto"/>
            </w:tcBorders>
            <w:shd w:val="clear" w:color="auto" w:fill="auto"/>
          </w:tcPr>
          <w:p w:rsidR="002C567A" w:rsidRDefault="002C567A" w:rsidP="002C567A">
            <w:pPr>
              <w:ind w:firstLine="0"/>
              <w:jc w:val="right"/>
            </w:pPr>
          </w:p>
        </w:tc>
        <w:tc>
          <w:tcPr>
            <w:tcW w:w="1980" w:type="dxa"/>
            <w:tcBorders>
              <w:top w:val="single" w:sz="4" w:space="0" w:color="auto"/>
              <w:bottom w:val="single" w:sz="4" w:space="0" w:color="auto"/>
              <w:right w:val="single" w:sz="4" w:space="0" w:color="auto"/>
            </w:tcBorders>
            <w:shd w:val="clear" w:color="auto" w:fill="auto"/>
          </w:tcPr>
          <w:p w:rsidR="002C567A" w:rsidRDefault="002C567A" w:rsidP="002C567A">
            <w:pPr>
              <w:ind w:firstLine="0"/>
              <w:jc w:val="right"/>
            </w:pPr>
          </w:p>
        </w:tc>
      </w:tr>
    </w:tbl>
    <w:p w:rsidR="00244471" w:rsidRDefault="00244471" w:rsidP="00244471">
      <w:pPr>
        <w:pStyle w:val="Heading2"/>
      </w:pPr>
      <w:bookmarkStart w:id="34" w:name="_Toc483314947"/>
      <w:r>
        <w:t>tst testing results of patient tested sample</w:t>
      </w:r>
      <w:bookmarkEnd w:id="34"/>
    </w:p>
    <w:p w:rsidR="008E0B94" w:rsidRDefault="008E0B94" w:rsidP="008E0B94">
      <w:pPr>
        <w:ind w:firstLine="0"/>
        <w:rPr>
          <w:szCs w:val="20"/>
        </w:rPr>
      </w:pPr>
      <w:r>
        <w:rPr>
          <w:szCs w:val="20"/>
        </w:rPr>
        <w:t>Of the 39 patients that complied with the recommended testing, 71.79% (n=28) had negative test results. According to patient medical records, another eight patients underwent TST testing but the test results are unknown. Probable causes are the patient did not return for results or the test results were not entered into the hospital’s electronic medical system. These patients with unknown TST test results represent 20.51% of patients who underwent testing. Finally, 7.69% (n=3) patients had positive TST results and thus were referred to the infectious disease clinic for evaluation. This data is shown in Table 5. As discussed previously, after evaluation all three patients were confirmed to have latent tuberculosis infection due to previous exposures. All three patients were treated appropriately. From the patient data collected, there are no known conversions as a result of exposure to the index patient.</w:t>
      </w:r>
    </w:p>
    <w:p w:rsidR="0085048F" w:rsidRDefault="0085048F" w:rsidP="0085048F">
      <w:pPr>
        <w:pStyle w:val="Caption"/>
        <w:keepNext/>
        <w:ind w:firstLine="0"/>
        <w:jc w:val="center"/>
      </w:pPr>
      <w:bookmarkStart w:id="35" w:name="_Toc467231916"/>
      <w:r>
        <w:t xml:space="preserve">Table </w:t>
      </w:r>
      <w:fldSimple w:instr=" SEQ Table \* ARABIC ">
        <w:r w:rsidR="00B054C8">
          <w:rPr>
            <w:noProof/>
          </w:rPr>
          <w:t>5</w:t>
        </w:r>
      </w:fldSimple>
      <w:r>
        <w:t>: TST Testing Results</w:t>
      </w:r>
      <w:bookmarkEnd w:id="35"/>
    </w:p>
    <w:tbl>
      <w:tblPr>
        <w:tblW w:w="0" w:type="auto"/>
        <w:jc w:val="center"/>
        <w:tblLook w:val="04A0" w:firstRow="1" w:lastRow="0" w:firstColumn="1" w:lastColumn="0" w:noHBand="0" w:noVBand="1"/>
      </w:tblPr>
      <w:tblGrid>
        <w:gridCol w:w="2816"/>
        <w:gridCol w:w="1133"/>
        <w:gridCol w:w="2046"/>
        <w:gridCol w:w="1980"/>
      </w:tblGrid>
      <w:tr w:rsidR="008E0B94" w:rsidRPr="00634E66" w:rsidTr="008E0B94">
        <w:trPr>
          <w:trHeight w:hRule="exact" w:val="360"/>
          <w:jc w:val="center"/>
        </w:trPr>
        <w:tc>
          <w:tcPr>
            <w:tcW w:w="2816" w:type="dxa"/>
            <w:tcBorders>
              <w:top w:val="single" w:sz="4" w:space="0" w:color="auto"/>
              <w:left w:val="single" w:sz="4" w:space="0" w:color="auto"/>
              <w:bottom w:val="single" w:sz="4" w:space="0" w:color="auto"/>
            </w:tcBorders>
            <w:shd w:val="clear" w:color="auto" w:fill="auto"/>
          </w:tcPr>
          <w:p w:rsidR="008E0B94" w:rsidRPr="008E0B94" w:rsidRDefault="008E0B94" w:rsidP="0085048F">
            <w:pPr>
              <w:ind w:firstLine="0"/>
              <w:rPr>
                <w:b/>
              </w:rPr>
            </w:pPr>
            <w:r w:rsidRPr="008E0B94">
              <w:rPr>
                <w:b/>
              </w:rPr>
              <w:t>TST Results</w:t>
            </w:r>
          </w:p>
        </w:tc>
        <w:tc>
          <w:tcPr>
            <w:tcW w:w="1133" w:type="dxa"/>
            <w:tcBorders>
              <w:top w:val="single" w:sz="4" w:space="0" w:color="auto"/>
              <w:bottom w:val="single" w:sz="4" w:space="0" w:color="auto"/>
            </w:tcBorders>
            <w:shd w:val="clear" w:color="auto" w:fill="auto"/>
          </w:tcPr>
          <w:p w:rsidR="008E0B94" w:rsidRPr="008E0B94" w:rsidRDefault="008E0B94" w:rsidP="0085048F">
            <w:pPr>
              <w:ind w:firstLine="0"/>
              <w:jc w:val="right"/>
              <w:rPr>
                <w:b/>
              </w:rPr>
            </w:pPr>
            <w:r w:rsidRPr="008E0B94">
              <w:rPr>
                <w:b/>
              </w:rPr>
              <w:t>Count</w:t>
            </w:r>
          </w:p>
        </w:tc>
        <w:tc>
          <w:tcPr>
            <w:tcW w:w="2046" w:type="dxa"/>
            <w:tcBorders>
              <w:top w:val="single" w:sz="4" w:space="0" w:color="auto"/>
              <w:bottom w:val="single" w:sz="4" w:space="0" w:color="auto"/>
            </w:tcBorders>
            <w:shd w:val="clear" w:color="auto" w:fill="auto"/>
          </w:tcPr>
          <w:p w:rsidR="008E0B94" w:rsidRPr="008E0B94" w:rsidRDefault="008E0B94" w:rsidP="0085048F">
            <w:pPr>
              <w:ind w:firstLine="0"/>
              <w:jc w:val="right"/>
              <w:rPr>
                <w:b/>
              </w:rPr>
            </w:pPr>
            <w:r w:rsidRPr="008E0B94">
              <w:rPr>
                <w:b/>
              </w:rPr>
              <w:t>Percentage</w:t>
            </w:r>
          </w:p>
        </w:tc>
        <w:tc>
          <w:tcPr>
            <w:tcW w:w="1980" w:type="dxa"/>
            <w:tcBorders>
              <w:top w:val="single" w:sz="4" w:space="0" w:color="auto"/>
              <w:bottom w:val="single" w:sz="4" w:space="0" w:color="auto"/>
              <w:right w:val="single" w:sz="4" w:space="0" w:color="auto"/>
            </w:tcBorders>
            <w:shd w:val="clear" w:color="auto" w:fill="auto"/>
          </w:tcPr>
          <w:p w:rsidR="008E0B94" w:rsidRPr="008E0B94" w:rsidRDefault="008E0B94" w:rsidP="0085048F">
            <w:pPr>
              <w:ind w:firstLine="0"/>
              <w:jc w:val="right"/>
              <w:rPr>
                <w:b/>
              </w:rPr>
            </w:pPr>
            <w:r w:rsidRPr="008E0B94">
              <w:rPr>
                <w:b/>
              </w:rPr>
              <w:t>95% CI</w:t>
            </w:r>
          </w:p>
        </w:tc>
      </w:tr>
      <w:tr w:rsidR="008E0B94" w:rsidTr="008E0B94">
        <w:trPr>
          <w:trHeight w:hRule="exact" w:val="360"/>
          <w:jc w:val="center"/>
        </w:trPr>
        <w:tc>
          <w:tcPr>
            <w:tcW w:w="2816" w:type="dxa"/>
            <w:tcBorders>
              <w:top w:val="single" w:sz="4" w:space="0" w:color="auto"/>
              <w:left w:val="single" w:sz="4" w:space="0" w:color="auto"/>
            </w:tcBorders>
            <w:shd w:val="clear" w:color="auto" w:fill="auto"/>
          </w:tcPr>
          <w:p w:rsidR="008E0B94" w:rsidRPr="008E0B94" w:rsidRDefault="008E0B94" w:rsidP="0085048F">
            <w:pPr>
              <w:ind w:firstLine="0"/>
              <w:rPr>
                <w:szCs w:val="20"/>
              </w:rPr>
            </w:pPr>
            <w:r>
              <w:t>Negative</w:t>
            </w:r>
          </w:p>
        </w:tc>
        <w:tc>
          <w:tcPr>
            <w:tcW w:w="1133" w:type="dxa"/>
            <w:tcBorders>
              <w:top w:val="single" w:sz="4" w:space="0" w:color="auto"/>
            </w:tcBorders>
            <w:shd w:val="clear" w:color="auto" w:fill="auto"/>
          </w:tcPr>
          <w:p w:rsidR="008E0B94" w:rsidRDefault="008E0B94" w:rsidP="0085048F">
            <w:pPr>
              <w:ind w:firstLine="0"/>
              <w:jc w:val="right"/>
            </w:pPr>
            <w:r>
              <w:t>28</w:t>
            </w:r>
          </w:p>
        </w:tc>
        <w:tc>
          <w:tcPr>
            <w:tcW w:w="2046" w:type="dxa"/>
            <w:tcBorders>
              <w:top w:val="single" w:sz="4" w:space="0" w:color="auto"/>
            </w:tcBorders>
            <w:shd w:val="clear" w:color="auto" w:fill="auto"/>
          </w:tcPr>
          <w:p w:rsidR="008E0B94" w:rsidRPr="008E0B94" w:rsidRDefault="008E0B94" w:rsidP="0085048F">
            <w:pPr>
              <w:ind w:firstLine="0"/>
              <w:jc w:val="right"/>
              <w:rPr>
                <w:szCs w:val="20"/>
              </w:rPr>
            </w:pPr>
            <w:r>
              <w:t>71.79</w:t>
            </w:r>
          </w:p>
        </w:tc>
        <w:tc>
          <w:tcPr>
            <w:tcW w:w="1980" w:type="dxa"/>
            <w:tcBorders>
              <w:top w:val="single" w:sz="4" w:space="0" w:color="auto"/>
              <w:right w:val="single" w:sz="4" w:space="0" w:color="auto"/>
            </w:tcBorders>
            <w:shd w:val="clear" w:color="auto" w:fill="auto"/>
          </w:tcPr>
          <w:p w:rsidR="008E0B94" w:rsidRPr="008E0B94" w:rsidRDefault="008E0B94" w:rsidP="0085048F">
            <w:pPr>
              <w:ind w:firstLine="0"/>
              <w:jc w:val="right"/>
              <w:rPr>
                <w:szCs w:val="20"/>
              </w:rPr>
            </w:pPr>
            <w:r>
              <w:t>55.09 - 84.08</w:t>
            </w:r>
          </w:p>
        </w:tc>
      </w:tr>
      <w:tr w:rsidR="008E0B94" w:rsidTr="008E0B94">
        <w:trPr>
          <w:trHeight w:hRule="exact" w:val="360"/>
          <w:jc w:val="center"/>
        </w:trPr>
        <w:tc>
          <w:tcPr>
            <w:tcW w:w="2816" w:type="dxa"/>
            <w:tcBorders>
              <w:left w:val="single" w:sz="4" w:space="0" w:color="auto"/>
            </w:tcBorders>
            <w:shd w:val="clear" w:color="auto" w:fill="auto"/>
          </w:tcPr>
          <w:p w:rsidR="008E0B94" w:rsidRPr="008E0B94" w:rsidRDefault="008E0B94" w:rsidP="0085048F">
            <w:pPr>
              <w:ind w:firstLine="0"/>
              <w:rPr>
                <w:szCs w:val="20"/>
              </w:rPr>
            </w:pPr>
            <w:r>
              <w:t>Positive</w:t>
            </w:r>
          </w:p>
        </w:tc>
        <w:tc>
          <w:tcPr>
            <w:tcW w:w="1133" w:type="dxa"/>
            <w:shd w:val="clear" w:color="auto" w:fill="auto"/>
          </w:tcPr>
          <w:p w:rsidR="008E0B94" w:rsidRDefault="008E0B94" w:rsidP="0085048F">
            <w:pPr>
              <w:ind w:firstLine="0"/>
              <w:jc w:val="right"/>
            </w:pPr>
            <w:r>
              <w:t xml:space="preserve">  3</w:t>
            </w:r>
          </w:p>
        </w:tc>
        <w:tc>
          <w:tcPr>
            <w:tcW w:w="2046" w:type="dxa"/>
            <w:shd w:val="clear" w:color="auto" w:fill="auto"/>
          </w:tcPr>
          <w:p w:rsidR="008E0B94" w:rsidRPr="008E0B94" w:rsidRDefault="008E0B94" w:rsidP="0085048F">
            <w:pPr>
              <w:ind w:firstLine="0"/>
              <w:jc w:val="right"/>
              <w:rPr>
                <w:szCs w:val="20"/>
              </w:rPr>
            </w:pPr>
            <w:r>
              <w:t xml:space="preserve">  7.69</w:t>
            </w:r>
            <w:r w:rsidRPr="0038127B">
              <w:t xml:space="preserve">   </w:t>
            </w:r>
          </w:p>
        </w:tc>
        <w:tc>
          <w:tcPr>
            <w:tcW w:w="1980" w:type="dxa"/>
            <w:tcBorders>
              <w:right w:val="single" w:sz="4" w:space="0" w:color="auto"/>
            </w:tcBorders>
            <w:shd w:val="clear" w:color="auto" w:fill="auto"/>
          </w:tcPr>
          <w:p w:rsidR="008E0B94" w:rsidRPr="008E0B94" w:rsidRDefault="008E0B94" w:rsidP="0085048F">
            <w:pPr>
              <w:ind w:firstLine="0"/>
              <w:jc w:val="right"/>
              <w:rPr>
                <w:szCs w:val="20"/>
              </w:rPr>
            </w:pPr>
            <w:r>
              <w:t xml:space="preserve">  2.37 - 2</w:t>
            </w:r>
            <w:r w:rsidRPr="0038127B">
              <w:t>2.</w:t>
            </w:r>
            <w:r>
              <w:t>22</w:t>
            </w:r>
          </w:p>
        </w:tc>
      </w:tr>
      <w:tr w:rsidR="008E0B94" w:rsidTr="008E0B94">
        <w:trPr>
          <w:trHeight w:hRule="exact" w:val="360"/>
          <w:jc w:val="center"/>
        </w:trPr>
        <w:tc>
          <w:tcPr>
            <w:tcW w:w="2816" w:type="dxa"/>
            <w:tcBorders>
              <w:left w:val="single" w:sz="4" w:space="0" w:color="auto"/>
              <w:bottom w:val="single" w:sz="4" w:space="0" w:color="auto"/>
            </w:tcBorders>
            <w:shd w:val="clear" w:color="auto" w:fill="auto"/>
          </w:tcPr>
          <w:p w:rsidR="008E0B94" w:rsidRPr="008E0B94" w:rsidRDefault="008E0B94" w:rsidP="0085048F">
            <w:pPr>
              <w:ind w:firstLine="0"/>
              <w:rPr>
                <w:szCs w:val="20"/>
              </w:rPr>
            </w:pPr>
            <w:r>
              <w:t>Unknown/Did not return</w:t>
            </w:r>
          </w:p>
        </w:tc>
        <w:tc>
          <w:tcPr>
            <w:tcW w:w="1133" w:type="dxa"/>
            <w:tcBorders>
              <w:bottom w:val="single" w:sz="4" w:space="0" w:color="auto"/>
            </w:tcBorders>
            <w:shd w:val="clear" w:color="auto" w:fill="auto"/>
          </w:tcPr>
          <w:p w:rsidR="008E0B94" w:rsidRDefault="008E0B94" w:rsidP="0085048F">
            <w:pPr>
              <w:ind w:firstLine="0"/>
              <w:jc w:val="right"/>
            </w:pPr>
            <w:r>
              <w:t xml:space="preserve">  8</w:t>
            </w:r>
          </w:p>
        </w:tc>
        <w:tc>
          <w:tcPr>
            <w:tcW w:w="2046" w:type="dxa"/>
            <w:tcBorders>
              <w:bottom w:val="single" w:sz="4" w:space="0" w:color="auto"/>
            </w:tcBorders>
            <w:shd w:val="clear" w:color="auto" w:fill="auto"/>
          </w:tcPr>
          <w:p w:rsidR="008E0B94" w:rsidRPr="008E0B94" w:rsidRDefault="008E0B94" w:rsidP="0085048F">
            <w:pPr>
              <w:ind w:firstLine="0"/>
              <w:jc w:val="right"/>
              <w:rPr>
                <w:szCs w:val="20"/>
              </w:rPr>
            </w:pPr>
            <w:r>
              <w:t>20.51</w:t>
            </w:r>
            <w:r w:rsidRPr="0038127B">
              <w:t xml:space="preserve">  </w:t>
            </w:r>
          </w:p>
        </w:tc>
        <w:tc>
          <w:tcPr>
            <w:tcW w:w="1980" w:type="dxa"/>
            <w:tcBorders>
              <w:bottom w:val="single" w:sz="4" w:space="0" w:color="auto"/>
              <w:right w:val="single" w:sz="4" w:space="0" w:color="auto"/>
            </w:tcBorders>
            <w:shd w:val="clear" w:color="auto" w:fill="auto"/>
          </w:tcPr>
          <w:p w:rsidR="008E0B94" w:rsidRPr="008E0B94" w:rsidRDefault="008E0B94" w:rsidP="0085048F">
            <w:pPr>
              <w:ind w:firstLine="0"/>
              <w:jc w:val="right"/>
              <w:rPr>
                <w:szCs w:val="20"/>
              </w:rPr>
            </w:pPr>
            <w:r>
              <w:t>10.27 - 36.79</w:t>
            </w:r>
          </w:p>
        </w:tc>
      </w:tr>
      <w:tr w:rsidR="008E0B94" w:rsidTr="008E0B94">
        <w:trPr>
          <w:trHeight w:hRule="exact" w:val="360"/>
          <w:jc w:val="center"/>
        </w:trPr>
        <w:tc>
          <w:tcPr>
            <w:tcW w:w="2816" w:type="dxa"/>
            <w:tcBorders>
              <w:top w:val="single" w:sz="4" w:space="0" w:color="auto"/>
              <w:left w:val="single" w:sz="4" w:space="0" w:color="auto"/>
              <w:bottom w:val="single" w:sz="4" w:space="0" w:color="auto"/>
            </w:tcBorders>
            <w:shd w:val="clear" w:color="auto" w:fill="auto"/>
          </w:tcPr>
          <w:p w:rsidR="008E0B94" w:rsidRDefault="008E0B94" w:rsidP="0085048F">
            <w:pPr>
              <w:ind w:firstLine="0"/>
            </w:pPr>
            <w:r>
              <w:t>Total</w:t>
            </w:r>
          </w:p>
        </w:tc>
        <w:tc>
          <w:tcPr>
            <w:tcW w:w="1133" w:type="dxa"/>
            <w:tcBorders>
              <w:top w:val="single" w:sz="4" w:space="0" w:color="auto"/>
              <w:bottom w:val="single" w:sz="4" w:space="0" w:color="auto"/>
            </w:tcBorders>
            <w:shd w:val="clear" w:color="auto" w:fill="auto"/>
          </w:tcPr>
          <w:p w:rsidR="008E0B94" w:rsidRDefault="008E0B94" w:rsidP="0085048F">
            <w:pPr>
              <w:ind w:firstLine="0"/>
              <w:jc w:val="right"/>
            </w:pPr>
            <w:r>
              <w:t>39</w:t>
            </w:r>
          </w:p>
        </w:tc>
        <w:tc>
          <w:tcPr>
            <w:tcW w:w="2046" w:type="dxa"/>
            <w:tcBorders>
              <w:top w:val="single" w:sz="4" w:space="0" w:color="auto"/>
              <w:bottom w:val="single" w:sz="4" w:space="0" w:color="auto"/>
            </w:tcBorders>
            <w:shd w:val="clear" w:color="auto" w:fill="auto"/>
          </w:tcPr>
          <w:p w:rsidR="008E0B94" w:rsidRDefault="008E0B94" w:rsidP="0085048F">
            <w:pPr>
              <w:ind w:firstLine="0"/>
              <w:jc w:val="right"/>
            </w:pPr>
          </w:p>
        </w:tc>
        <w:tc>
          <w:tcPr>
            <w:tcW w:w="1980" w:type="dxa"/>
            <w:tcBorders>
              <w:top w:val="single" w:sz="4" w:space="0" w:color="auto"/>
              <w:bottom w:val="single" w:sz="4" w:space="0" w:color="auto"/>
              <w:right w:val="single" w:sz="4" w:space="0" w:color="auto"/>
            </w:tcBorders>
            <w:shd w:val="clear" w:color="auto" w:fill="auto"/>
          </w:tcPr>
          <w:p w:rsidR="008E0B94" w:rsidRDefault="008E0B94" w:rsidP="0085048F">
            <w:pPr>
              <w:ind w:firstLine="0"/>
              <w:jc w:val="right"/>
            </w:pPr>
          </w:p>
        </w:tc>
      </w:tr>
    </w:tbl>
    <w:p w:rsidR="00E01B9A" w:rsidRDefault="00E01B9A" w:rsidP="00E01B9A">
      <w:pPr>
        <w:pStyle w:val="Heading2"/>
      </w:pPr>
      <w:bookmarkStart w:id="36" w:name="_Toc483314948"/>
      <w:r>
        <w:t>algorithm developed</w:t>
      </w:r>
      <w:bookmarkEnd w:id="36"/>
    </w:p>
    <w:p w:rsidR="0085048F" w:rsidRPr="00D71D03" w:rsidRDefault="0085048F" w:rsidP="0085048F">
      <w:pPr>
        <w:ind w:firstLine="0"/>
        <w:rPr>
          <w:color w:val="FF0000"/>
          <w:szCs w:val="20"/>
        </w:rPr>
      </w:pPr>
      <w:r>
        <w:rPr>
          <w:szCs w:val="20"/>
        </w:rPr>
        <w:t xml:space="preserve">As no </w:t>
      </w:r>
      <w:r w:rsidR="00DA1B69">
        <w:rPr>
          <w:szCs w:val="20"/>
        </w:rPr>
        <w:t xml:space="preserve">written </w:t>
      </w:r>
      <w:r>
        <w:rPr>
          <w:szCs w:val="20"/>
        </w:rPr>
        <w:t xml:space="preserve">Tuberculosis Contact Investigation outline currently exists in this hospital system, </w:t>
      </w:r>
      <w:r w:rsidRPr="005B0277">
        <w:rPr>
          <w:szCs w:val="20"/>
        </w:rPr>
        <w:t xml:space="preserve">an algorithm was developed in response to this case study review. </w:t>
      </w:r>
      <w:r>
        <w:rPr>
          <w:szCs w:val="20"/>
        </w:rPr>
        <w:t xml:space="preserve">The algorithm was developed in collaboration with one of the IC department’s Infection Preventionists by mapping out all activities needed to complete a thorough contact investigation. The developed outline involves stakeholders at all levels of the institution and community. It also ensures that all exposed patients are included in the investigation and incorporates the completion of a final report to conclude the contact investigation. </w:t>
      </w:r>
    </w:p>
    <w:p w:rsidR="0085048F" w:rsidRDefault="0085048F" w:rsidP="0085048F">
      <w:pPr>
        <w:rPr>
          <w:szCs w:val="20"/>
        </w:rPr>
      </w:pPr>
      <w:r w:rsidRPr="005B0277">
        <w:rPr>
          <w:szCs w:val="20"/>
        </w:rPr>
        <w:t>The algorithm developed has potential to be a beneficial tool for professional infection control practitioners to use as guide in future exposure events.</w:t>
      </w:r>
      <w:r>
        <w:rPr>
          <w:szCs w:val="20"/>
        </w:rPr>
        <w:t xml:space="preserve"> In the future, infection control practitioners and other hospital staff may refer to the document to guide activities in an organized and systematic manner.</w:t>
      </w:r>
      <w:r w:rsidRPr="005B0277">
        <w:rPr>
          <w:szCs w:val="20"/>
        </w:rPr>
        <w:t xml:space="preserve"> </w:t>
      </w:r>
      <w:r>
        <w:rPr>
          <w:szCs w:val="20"/>
        </w:rPr>
        <w:t xml:space="preserve">The algorithm created </w:t>
      </w:r>
      <w:r w:rsidRPr="005B0277">
        <w:rPr>
          <w:szCs w:val="20"/>
        </w:rPr>
        <w:t>will be presented at a hospital-wide system meeting in October 2016. Once a month, all infection control managers and coordinators of the hospital system gather for a systems meeting to share new ideas and make decisions regarding infection control practices.</w:t>
      </w:r>
      <w:r>
        <w:rPr>
          <w:szCs w:val="20"/>
        </w:rPr>
        <w:t xml:space="preserve"> The algorithm created is shown in Figure 4 below.</w:t>
      </w:r>
    </w:p>
    <w:p w:rsidR="00590124" w:rsidRDefault="0045332B" w:rsidP="00590124">
      <w:pPr>
        <w:pStyle w:val="Noindent"/>
        <w:keepNext/>
        <w:jc w:val="center"/>
      </w:pPr>
      <w:r>
        <w:rPr>
          <w:noProof/>
          <w:color w:val="FF0000"/>
          <w:szCs w:val="20"/>
        </w:rPr>
        <w:drawing>
          <wp:inline distT="0" distB="0" distL="0" distR="0">
            <wp:extent cx="5641975" cy="7791450"/>
            <wp:effectExtent l="19050" t="19050" r="158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749" cy="7804947"/>
                    </a:xfrm>
                    <a:prstGeom prst="rect">
                      <a:avLst/>
                    </a:prstGeom>
                    <a:noFill/>
                    <a:ln w="6350" cmpd="sng">
                      <a:solidFill>
                        <a:srgbClr val="000000"/>
                      </a:solidFill>
                      <a:miter lim="800000"/>
                      <a:headEnd/>
                      <a:tailEnd/>
                    </a:ln>
                    <a:effectLst/>
                  </pic:spPr>
                </pic:pic>
              </a:graphicData>
            </a:graphic>
          </wp:inline>
        </w:drawing>
      </w:r>
    </w:p>
    <w:p w:rsidR="0085048F" w:rsidRPr="0085048F" w:rsidRDefault="00590124" w:rsidP="00590124">
      <w:pPr>
        <w:pStyle w:val="Caption"/>
        <w:jc w:val="center"/>
      </w:pPr>
      <w:bookmarkStart w:id="37" w:name="_Toc467231920"/>
      <w:r>
        <w:t xml:space="preserve">Figure </w:t>
      </w:r>
      <w:fldSimple w:instr=" SEQ Figure \* ARABIC ">
        <w:r w:rsidR="00B054C8">
          <w:rPr>
            <w:noProof/>
          </w:rPr>
          <w:t>4</w:t>
        </w:r>
      </w:fldSimple>
      <w:r>
        <w:t>: Tuberculosis Contact Investigation Algorithm</w:t>
      </w:r>
      <w:bookmarkEnd w:id="37"/>
    </w:p>
    <w:p w:rsidR="00244471" w:rsidRDefault="00244471" w:rsidP="00244471">
      <w:pPr>
        <w:pStyle w:val="Heading1"/>
      </w:pPr>
      <w:bookmarkStart w:id="38" w:name="_Toc483314949"/>
      <w:r>
        <w:t>discussion</w:t>
      </w:r>
      <w:bookmarkEnd w:id="38"/>
    </w:p>
    <w:p w:rsidR="00732895" w:rsidRDefault="00732895" w:rsidP="00732895">
      <w:pPr>
        <w:ind w:firstLine="0"/>
        <w:rPr>
          <w:szCs w:val="20"/>
        </w:rPr>
      </w:pPr>
      <w:r>
        <w:rPr>
          <w:szCs w:val="20"/>
        </w:rPr>
        <w:t>Failure to identify potential tuberculosis cases, including diagnosis and initiation of appropriate treatment and precautions, can result in the transmission of tuberculosis. Due to the delay in diagnosis of the index patient, numerous other individuals were exposed to active tuberculosis infection within a hospital setting. Therefore, IC initiated a contact investigation in order to identify and notify exposed patients of the incident. The analysis of this tuberculosis case study allows conclusions to be drawn about the contact investigation conducted.</w:t>
      </w:r>
    </w:p>
    <w:p w:rsidR="00732895" w:rsidRPr="002938D6" w:rsidRDefault="00732895" w:rsidP="00732895">
      <w:pPr>
        <w:rPr>
          <w:szCs w:val="20"/>
        </w:rPr>
      </w:pPr>
      <w:r>
        <w:rPr>
          <w:szCs w:val="20"/>
        </w:rPr>
        <w:t xml:space="preserve">As the result of this investigation, it was found that there are no known conversions as a result of exposure to the index patient. However, the low testing compliance rate of notified patients of 32.5% limits the complete identification of potential conversions. </w:t>
      </w:r>
      <w:r w:rsidRPr="00181423">
        <w:rPr>
          <w:szCs w:val="20"/>
        </w:rPr>
        <w:t>A similar case study of a tuberculosis exposure within an emergency department waiting room showed similar patient testing compliance</w:t>
      </w:r>
      <w:r>
        <w:rPr>
          <w:szCs w:val="20"/>
        </w:rPr>
        <w:t xml:space="preserve">; </w:t>
      </w:r>
      <w:r w:rsidRPr="00181423">
        <w:rPr>
          <w:szCs w:val="20"/>
        </w:rPr>
        <w:t>less than one-third of non-staff complied with the recommended testing (</w:t>
      </w:r>
      <w:r>
        <w:t>30</w:t>
      </w:r>
      <w:r w:rsidRPr="00181423">
        <w:t>)</w:t>
      </w:r>
      <w:r>
        <w:t>.</w:t>
      </w:r>
      <w:r>
        <w:rPr>
          <w:szCs w:val="20"/>
        </w:rPr>
        <w:t xml:space="preserve"> </w:t>
      </w:r>
      <w:r w:rsidRPr="004F5512">
        <w:t xml:space="preserve">This shows that the testing compliance rate of this study is comparable to that of similar studies. </w:t>
      </w:r>
    </w:p>
    <w:p w:rsidR="00732895" w:rsidRPr="000E6FC3" w:rsidRDefault="00732895" w:rsidP="00732895">
      <w:pPr>
        <w:pStyle w:val="ColorfulList-Accent11"/>
        <w:spacing w:line="480" w:lineRule="auto"/>
        <w:ind w:left="0" w:firstLine="720"/>
        <w:rPr>
          <w:rFonts w:ascii="Times New Roman" w:hAnsi="Times New Roman"/>
          <w:sz w:val="24"/>
        </w:rPr>
      </w:pPr>
      <w:r>
        <w:rPr>
          <w:rFonts w:ascii="Times New Roman" w:hAnsi="Times New Roman"/>
          <w:sz w:val="24"/>
        </w:rPr>
        <w:t>A significant implication for infection control practitioners and the hospital IC program is the low testing compliance of</w:t>
      </w:r>
      <w:r w:rsidRPr="00C21E5B">
        <w:rPr>
          <w:rFonts w:ascii="Times New Roman" w:hAnsi="Times New Roman"/>
          <w:sz w:val="24"/>
        </w:rPr>
        <w:t xml:space="preserve"> this contact investigation. With such</w:t>
      </w:r>
      <w:r>
        <w:rPr>
          <w:rFonts w:ascii="Times New Roman" w:hAnsi="Times New Roman"/>
          <w:sz w:val="24"/>
        </w:rPr>
        <w:t xml:space="preserve"> a</w:t>
      </w:r>
      <w:r w:rsidRPr="00C21E5B">
        <w:rPr>
          <w:rFonts w:ascii="Times New Roman" w:hAnsi="Times New Roman"/>
          <w:sz w:val="24"/>
        </w:rPr>
        <w:t xml:space="preserve"> low </w:t>
      </w:r>
      <w:r>
        <w:rPr>
          <w:rFonts w:ascii="Times New Roman" w:hAnsi="Times New Roman"/>
          <w:sz w:val="24"/>
        </w:rPr>
        <w:t>testing compliance rate</w:t>
      </w:r>
      <w:r w:rsidRPr="00C21E5B">
        <w:rPr>
          <w:rFonts w:ascii="Times New Roman" w:hAnsi="Times New Roman"/>
          <w:sz w:val="24"/>
        </w:rPr>
        <w:t xml:space="preserve">, infection control practitioners should adopt new methodologies for patient contact notification in an effort to improve testing compliance. </w:t>
      </w:r>
      <w:r>
        <w:rPr>
          <w:rFonts w:ascii="Times New Roman" w:hAnsi="Times New Roman"/>
          <w:sz w:val="24"/>
        </w:rPr>
        <w:t xml:space="preserve">With improved testing compliance, the IC department will gain a better understanding of contact investigation completed, including the potential for transmission and the overall extent to which transmission of TB occurred. Outbreak management focuses on reducing the prevalence of tuberculosis in the hospital population. A high testing compliance rate ensures early detection of tuberculosis patients, thereby limiting the potential for transmission. </w:t>
      </w:r>
    </w:p>
    <w:p w:rsidR="00732895" w:rsidRPr="000E6FC3" w:rsidRDefault="00732895" w:rsidP="00732895">
      <w:pPr>
        <w:pStyle w:val="ColorfulList-Accent11"/>
        <w:spacing w:after="0" w:line="480" w:lineRule="auto"/>
        <w:ind w:left="0" w:firstLine="720"/>
        <w:rPr>
          <w:rFonts w:ascii="Times New Roman" w:hAnsi="Times New Roman"/>
          <w:sz w:val="24"/>
          <w:szCs w:val="20"/>
        </w:rPr>
      </w:pPr>
      <w:r>
        <w:rPr>
          <w:rFonts w:ascii="Times New Roman" w:hAnsi="Times New Roman"/>
          <w:sz w:val="24"/>
        </w:rPr>
        <w:t xml:space="preserve">For future contact investigations, additional modes of notification could be adopted in an effort to improve testing compliance among patient contacts. In addition to contacting and notifying each patient, contacting and notifying each patient’s primary care provider (PCP) of the potential exposure has the potential to improve adherence to TST testing recommendations. With additional support and encouragement from patients’ PCPs and clinical staff, patients may be more likely to adhere to testing recommendations. Moreover, calling patients individually in addition to sending letters via certified mail may improve the number of patients successfully notified. </w:t>
      </w:r>
      <w:r w:rsidRPr="00C21E5B">
        <w:rPr>
          <w:rFonts w:ascii="Times New Roman" w:hAnsi="Times New Roman"/>
          <w:sz w:val="24"/>
        </w:rPr>
        <w:t xml:space="preserve">In instances such as the tuberculosis case described in this paper, improved </w:t>
      </w:r>
      <w:r w:rsidRPr="00C21E5B">
        <w:rPr>
          <w:rFonts w:ascii="Times New Roman" w:hAnsi="Times New Roman"/>
          <w:sz w:val="24"/>
          <w:szCs w:val="20"/>
        </w:rPr>
        <w:t>testing compliance could not only lead to improvements in infection control within the hospital but also in the community setting.</w:t>
      </w:r>
    </w:p>
    <w:p w:rsidR="00732895" w:rsidRDefault="00732895" w:rsidP="00732895">
      <w:pPr>
        <w:pStyle w:val="ColorfulList-Accent11"/>
        <w:spacing w:after="0" w:line="480" w:lineRule="auto"/>
        <w:ind w:left="0" w:firstLine="720"/>
        <w:rPr>
          <w:rFonts w:ascii="Times New Roman" w:hAnsi="Times New Roman"/>
          <w:sz w:val="24"/>
          <w:szCs w:val="24"/>
        </w:rPr>
      </w:pPr>
      <w:r w:rsidRPr="00C21E5B">
        <w:rPr>
          <w:rFonts w:ascii="Times New Roman" w:hAnsi="Times New Roman"/>
          <w:sz w:val="24"/>
          <w:szCs w:val="24"/>
        </w:rPr>
        <w:t>A signif</w:t>
      </w:r>
      <w:r w:rsidR="00DA1B69">
        <w:rPr>
          <w:rFonts w:ascii="Times New Roman" w:hAnsi="Times New Roman"/>
          <w:sz w:val="24"/>
          <w:szCs w:val="24"/>
        </w:rPr>
        <w:t>icant contribution of this contact investigation study</w:t>
      </w:r>
      <w:r w:rsidRPr="00C21E5B">
        <w:rPr>
          <w:rFonts w:ascii="Times New Roman" w:hAnsi="Times New Roman"/>
          <w:sz w:val="24"/>
          <w:szCs w:val="24"/>
        </w:rPr>
        <w:t xml:space="preserve"> was the identification of 3 previously unknown cases of LTBI. These three LTBI cases represent 9.67% of the patients with known testing results, which emphasizes the importance of TB screening among high-risk populations, such as oncology patients. This is a significant implication for health professionals and hospital staff. As previously discussed, immunosuppressed patients such as those undergoing chemotherapy and radiation are at greater risk of developing active tuberculosis from a latent tuberculosis infection (</w:t>
      </w:r>
      <w:r>
        <w:rPr>
          <w:rFonts w:ascii="Times New Roman" w:hAnsi="Times New Roman"/>
          <w:sz w:val="24"/>
          <w:szCs w:val="24"/>
        </w:rPr>
        <w:t>8</w:t>
      </w:r>
      <w:r w:rsidRPr="00C21E5B">
        <w:rPr>
          <w:rFonts w:ascii="Times New Roman" w:hAnsi="Times New Roman"/>
          <w:sz w:val="24"/>
          <w:szCs w:val="24"/>
        </w:rPr>
        <w:t xml:space="preserve">). This research emphasizes the importance of screening for LTBI and active TB in order identify and treat </w:t>
      </w:r>
      <w:r w:rsidRPr="00A33F06">
        <w:rPr>
          <w:rFonts w:ascii="Times New Roman" w:hAnsi="Times New Roman"/>
          <w:sz w:val="24"/>
          <w:szCs w:val="24"/>
        </w:rPr>
        <w:t>tuberculosis infections earlier rather than later.</w:t>
      </w:r>
    </w:p>
    <w:p w:rsidR="00732895" w:rsidRPr="007675BE" w:rsidRDefault="00732895" w:rsidP="00732895">
      <w:r w:rsidRPr="000D7F86">
        <w:rPr>
          <w:szCs w:val="20"/>
        </w:rPr>
        <w:t xml:space="preserve">Finally, the contact investigation conducted was highly resource intensive, including personnel and hospital funds. Therefore, </w:t>
      </w:r>
      <w:r>
        <w:rPr>
          <w:szCs w:val="20"/>
        </w:rPr>
        <w:t>this study reinforces the importance of</w:t>
      </w:r>
      <w:r w:rsidRPr="000D7F86">
        <w:rPr>
          <w:szCs w:val="20"/>
        </w:rPr>
        <w:t xml:space="preserve"> public health policy</w:t>
      </w:r>
      <w:r>
        <w:rPr>
          <w:szCs w:val="20"/>
        </w:rPr>
        <w:t xml:space="preserve"> and administration</w:t>
      </w:r>
      <w:r w:rsidRPr="000D7F86">
        <w:rPr>
          <w:szCs w:val="20"/>
        </w:rPr>
        <w:t xml:space="preserve">. In contrast to outbreak management, prevention measures are an easier and more effective approach to tuberculosis control. </w:t>
      </w:r>
      <w:r w:rsidRPr="007675BE">
        <w:t xml:space="preserve">The World Health Organization </w:t>
      </w:r>
      <w:r>
        <w:t>“</w:t>
      </w:r>
      <w:r w:rsidRPr="007675BE">
        <w:t>recommends utilizing administrative controls to establish and implement a written facility plan for all tuberculosis infection control activities</w:t>
      </w:r>
      <w:r>
        <w:t>”</w:t>
      </w:r>
      <w:r w:rsidRPr="007675BE">
        <w:t xml:space="preserve"> (</w:t>
      </w:r>
      <w:r>
        <w:t>24</w:t>
      </w:r>
      <w:r w:rsidRPr="007675BE">
        <w:t>).</w:t>
      </w:r>
      <w:r>
        <w:t xml:space="preserve"> Focusing on more stringent policies and procedures and use of an algorithm should remain as a primary tool for infection control measures in hospital settings.</w:t>
      </w:r>
    </w:p>
    <w:p w:rsidR="00732895" w:rsidRPr="00732895" w:rsidRDefault="00732895" w:rsidP="00732895">
      <w:pPr>
        <w:pStyle w:val="Noindent"/>
      </w:pPr>
    </w:p>
    <w:p w:rsidR="00244471" w:rsidRDefault="00244471" w:rsidP="00244471">
      <w:pPr>
        <w:pStyle w:val="Heading1"/>
      </w:pPr>
      <w:bookmarkStart w:id="39" w:name="_Toc483314950"/>
      <w:r>
        <w:t>conclusions</w:t>
      </w:r>
      <w:bookmarkEnd w:id="39"/>
    </w:p>
    <w:p w:rsidR="00E01B9A" w:rsidRDefault="00E01B9A" w:rsidP="00E01B9A">
      <w:pPr>
        <w:ind w:firstLine="0"/>
      </w:pPr>
      <w:r>
        <w:t>As discussed, the aim of tuberculosis</w:t>
      </w:r>
      <w:r w:rsidRPr="007675BE">
        <w:t xml:space="preserve"> contac</w:t>
      </w:r>
      <w:r>
        <w:t>t investigations is to reduce tuberculosis</w:t>
      </w:r>
      <w:r w:rsidRPr="007675BE">
        <w:t xml:space="preserve"> morbidity, prevent further transmission and provide preventative treatment of infected individuals to prevent development of TB disease</w:t>
      </w:r>
      <w:r>
        <w:t xml:space="preserve"> (11). Therefore, the goal of the contact investigation described was to notify any patient contacts of the exposure and to identify any conversions as a result of the exposure. With this effort, the hope is to stop the chain of transmission. Fortunately, there are no known conversions as a result of exposure to the index patient. However, the low compliance rate of recommended testing among patient contacts is of concern and limits the full recognition of any potential conversions. Therefore, new methodologies for patient notification should be adopted for any future tuberculosis exposure events.</w:t>
      </w:r>
    </w:p>
    <w:p w:rsidR="00E01B9A" w:rsidRDefault="00E01B9A" w:rsidP="00E01B9A">
      <w:r>
        <w:t>Furthermore, the high rate of LTBI among patient contacts that complied with recommended testing should not be ignored. As discussed, immunosuppressed patients, such as oncology patients, are more susceptible to developing tuberculosis. Therefore, the findings of this study emphasize the importance of screening high-risk populations for tuberculosis.</w:t>
      </w:r>
    </w:p>
    <w:p w:rsidR="00E01B9A" w:rsidRDefault="00E01B9A" w:rsidP="00E01B9A">
      <w:r>
        <w:t xml:space="preserve">Finally, the contact investigation conducted was highly resource intensive and prevention measures are a more effective method for tuberculosis infection control. Additionally, as recommended by the WHO, administrative and policy driven practices should be implemented in hospital settings for tuberculosis infection control activities (24). Therefore, the Tuberculosis Contact Investigation Algorithm developed in response to this analysis is a useful tool for IC practitioners in future exposure events. </w:t>
      </w:r>
    </w:p>
    <w:p w:rsidR="00E01B9A" w:rsidRPr="00E01B9A" w:rsidRDefault="00E01B9A" w:rsidP="00E01B9A">
      <w:pPr>
        <w:pStyle w:val="Noindent"/>
      </w:pPr>
    </w:p>
    <w:p w:rsidR="00DA5BA8" w:rsidRDefault="00DA5BA8" w:rsidP="00DA5BA8">
      <w:pPr>
        <w:pStyle w:val="Heading"/>
      </w:pPr>
      <w:bookmarkStart w:id="40" w:name="_Toc483314951"/>
      <w:r>
        <w:t>bibliography</w:t>
      </w:r>
      <w:bookmarkEnd w:id="40"/>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World Health Organization. (2016, March). </w:t>
      </w:r>
      <w:r w:rsidRPr="00C42DFB">
        <w:rPr>
          <w:rFonts w:ascii="Times New Roman" w:eastAsia="Times New Roman" w:hAnsi="Times New Roman"/>
          <w:i/>
          <w:sz w:val="24"/>
          <w:szCs w:val="24"/>
        </w:rPr>
        <w:t>Tuberculosis (TB).</w:t>
      </w:r>
      <w:r w:rsidRPr="00C42DFB">
        <w:rPr>
          <w:rFonts w:ascii="Times New Roman" w:eastAsia="Times New Roman" w:hAnsi="Times New Roman"/>
          <w:sz w:val="24"/>
          <w:szCs w:val="24"/>
        </w:rPr>
        <w:t xml:space="preserve"> Retrieved August 12, 2016, from http://www.who.int/mediacentre/factsheets/fs104/en/</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Evans, T. G., &amp; Bekker, L. (2016, May 15). Tuberculosis and Healthcare Workers in  Underresourced Settings. </w:t>
      </w:r>
      <w:r w:rsidRPr="00C42DFB">
        <w:rPr>
          <w:rFonts w:ascii="Times New Roman" w:eastAsia="Times New Roman" w:hAnsi="Times New Roman"/>
          <w:i/>
          <w:iCs/>
          <w:sz w:val="24"/>
          <w:szCs w:val="24"/>
        </w:rPr>
        <w:t>Clinical Infectious Diseases,</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62</w:t>
      </w:r>
      <w:r w:rsidRPr="00C42DFB">
        <w:rPr>
          <w:rFonts w:ascii="Times New Roman" w:eastAsia="Times New Roman" w:hAnsi="Times New Roman"/>
          <w:sz w:val="24"/>
          <w:szCs w:val="24"/>
        </w:rPr>
        <w:t>(Supplement 3), S229-S230. doi:10.1093/cid/ciw015</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Centers for Disease Control and Prevention. (2012, March 13). </w:t>
      </w:r>
      <w:r w:rsidRPr="00C42DFB">
        <w:rPr>
          <w:rFonts w:ascii="Times New Roman" w:eastAsia="Times New Roman" w:hAnsi="Times New Roman"/>
          <w:i/>
          <w:sz w:val="24"/>
          <w:szCs w:val="24"/>
        </w:rPr>
        <w:t xml:space="preserve">Basic TB Facts. </w:t>
      </w:r>
      <w:r w:rsidRPr="00C42DFB">
        <w:rPr>
          <w:rFonts w:ascii="Times New Roman" w:eastAsia="Times New Roman" w:hAnsi="Times New Roman"/>
          <w:sz w:val="24"/>
          <w:szCs w:val="24"/>
        </w:rPr>
        <w:t xml:space="preserve">Retrieved August 11, 2016, from http://www.cdc.gov/tb/topic/basics/default.htm </w:t>
      </w:r>
    </w:p>
    <w:p w:rsidR="00FB6604" w:rsidRPr="00C42DFB" w:rsidRDefault="00FB6604" w:rsidP="00914653">
      <w:pPr>
        <w:pStyle w:val="ColorfulList-Accent11"/>
        <w:numPr>
          <w:ilvl w:val="0"/>
          <w:numId w:val="4"/>
        </w:numPr>
        <w:spacing w:after="0" w:line="240" w:lineRule="auto"/>
        <w:ind w:left="360"/>
        <w:rPr>
          <w:rFonts w:ascii="Times New Roman" w:eastAsia="Times New Roman" w:hAnsi="Times New Roman"/>
          <w:sz w:val="24"/>
          <w:szCs w:val="24"/>
        </w:rPr>
      </w:pPr>
      <w:r w:rsidRPr="00C42DFB">
        <w:rPr>
          <w:rFonts w:ascii="Times New Roman" w:eastAsia="Times New Roman" w:hAnsi="Times New Roman"/>
          <w:sz w:val="24"/>
          <w:szCs w:val="24"/>
        </w:rPr>
        <w:t xml:space="preserve">World Health Organization. (2010). </w:t>
      </w:r>
      <w:r w:rsidRPr="00C42DFB">
        <w:rPr>
          <w:rFonts w:ascii="Times New Roman" w:eastAsia="Times New Roman" w:hAnsi="Times New Roman"/>
          <w:i/>
          <w:sz w:val="24"/>
          <w:szCs w:val="24"/>
        </w:rPr>
        <w:t>Guidelines for treatment of tuberculosis, fourth edition.</w:t>
      </w:r>
      <w:r w:rsidR="00914653">
        <w:rPr>
          <w:rFonts w:ascii="Times New Roman" w:eastAsia="Times New Roman" w:hAnsi="Times New Roman"/>
          <w:sz w:val="24"/>
          <w:szCs w:val="24"/>
        </w:rPr>
        <w:t xml:space="preserve"> Retrieved August 11, 2016, </w:t>
      </w:r>
      <w:r w:rsidRPr="00C42DFB">
        <w:rPr>
          <w:rFonts w:ascii="Times New Roman" w:eastAsia="Times New Roman" w:hAnsi="Times New Roman"/>
          <w:sz w:val="24"/>
          <w:szCs w:val="24"/>
        </w:rPr>
        <w:t>from http://www.who.int/tb/publications/2010/9789241547833/en/</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Ozcaglar, C., Shabbeer, A., Vandenberg, S. L., Yener, B., &amp; Bennett, K. P. (2012, March 1). Epidemiological models of Mycobacterium tuberculosis complex infections. </w:t>
      </w:r>
      <w:r w:rsidRPr="00C42DFB">
        <w:rPr>
          <w:rFonts w:ascii="Times New Roman" w:eastAsia="Times New Roman" w:hAnsi="Times New Roman"/>
          <w:i/>
          <w:iCs/>
          <w:sz w:val="24"/>
          <w:szCs w:val="24"/>
        </w:rPr>
        <w:t>Mathematical Biosciences,</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236</w:t>
      </w:r>
      <w:r w:rsidRPr="00C42DFB">
        <w:rPr>
          <w:rFonts w:ascii="Times New Roman" w:eastAsia="Times New Roman" w:hAnsi="Times New Roman"/>
          <w:sz w:val="24"/>
          <w:szCs w:val="24"/>
        </w:rPr>
        <w:t>(2), 77-96. doi:10.1016/j.mbs.2012.02.003</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Centers for Disease Control and Prevention. (2014a). </w:t>
      </w:r>
      <w:r w:rsidRPr="00C42DFB">
        <w:rPr>
          <w:rFonts w:ascii="Times New Roman" w:eastAsia="Times New Roman" w:hAnsi="Times New Roman"/>
          <w:i/>
          <w:sz w:val="24"/>
          <w:szCs w:val="24"/>
        </w:rPr>
        <w:t>Fact Sheets</w:t>
      </w:r>
      <w:r w:rsidRPr="00C42DFB">
        <w:rPr>
          <w:rFonts w:ascii="Times New Roman" w:eastAsia="Times New Roman" w:hAnsi="Times New Roman"/>
          <w:sz w:val="24"/>
          <w:szCs w:val="24"/>
        </w:rPr>
        <w:t>. Retrieved August 11, 2016, from http://www.cdc.gov/tb/publications/factsheets/general/ltbiandactivetb.htm</w:t>
      </w:r>
    </w:p>
    <w:p w:rsidR="00FB6604"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Lin, S. &amp; Melendez-Torres, G. J. (2016). Systematic review of risk factors for nonadherence to TB treatment in immigrant populations. </w:t>
      </w:r>
      <w:r w:rsidRPr="00C42DFB">
        <w:rPr>
          <w:rFonts w:ascii="Times New Roman" w:eastAsia="Times New Roman" w:hAnsi="Times New Roman"/>
          <w:i/>
          <w:iCs/>
          <w:sz w:val="24"/>
          <w:szCs w:val="24"/>
        </w:rPr>
        <w:t>Transactions of The Royal Society of Tropical Medicine and Hygiene,</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110</w:t>
      </w:r>
      <w:r w:rsidRPr="00C42DFB">
        <w:rPr>
          <w:rFonts w:ascii="Times New Roman" w:eastAsia="Times New Roman" w:hAnsi="Times New Roman"/>
          <w:sz w:val="24"/>
          <w:szCs w:val="24"/>
        </w:rPr>
        <w:t>(5), 268-280. doi:10.1093/trstmh/trw025</w:t>
      </w:r>
    </w:p>
    <w:p w:rsidR="00FB6604" w:rsidRPr="00FB6604"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t xml:space="preserve">Sester, M., Leth, F. V., Bruchfeld, J., Bumbacea, D., Cirillo, D. M., Dilektasli, A. G., . . . Lange, C. (2014, November 15). Risk Assessment of Tuberculosis in Immunocompromised Patients. A TBNET Study. </w:t>
      </w:r>
      <w:r w:rsidRPr="00FB6604">
        <w:rPr>
          <w:i/>
          <w:iCs/>
        </w:rPr>
        <w:t>American Journal of Respiratory and Critical Care Medicine,</w:t>
      </w:r>
      <w:r w:rsidRPr="00C42DFB">
        <w:t xml:space="preserve"> </w:t>
      </w:r>
      <w:r w:rsidRPr="00FB6604">
        <w:rPr>
          <w:i/>
          <w:iCs/>
        </w:rPr>
        <w:t>190</w:t>
      </w:r>
      <w:r w:rsidRPr="00C42DFB">
        <w:t>(10), 1168-1176. doi:10.1164/rccm.201405-0967oc</w:t>
      </w:r>
    </w:p>
    <w:p w:rsidR="00FB6604" w:rsidRPr="00C42DFB" w:rsidRDefault="00FB6604" w:rsidP="00914653">
      <w:pPr>
        <w:pStyle w:val="NormalWeb"/>
        <w:numPr>
          <w:ilvl w:val="0"/>
          <w:numId w:val="4"/>
        </w:numPr>
        <w:spacing w:before="0" w:beforeAutospacing="0" w:after="0" w:afterAutospacing="0"/>
        <w:ind w:left="360"/>
        <w:rPr>
          <w:rFonts w:ascii="Times New Roman" w:hAnsi="Times New Roman"/>
          <w:sz w:val="24"/>
          <w:szCs w:val="24"/>
        </w:rPr>
      </w:pPr>
      <w:r w:rsidRPr="00C42DFB">
        <w:rPr>
          <w:rFonts w:ascii="Times New Roman" w:hAnsi="Times New Roman"/>
          <w:sz w:val="24"/>
          <w:szCs w:val="24"/>
        </w:rPr>
        <w:t xml:space="preserve">Centers for Disease Control and Prevention. (2014b). </w:t>
      </w:r>
      <w:r w:rsidRPr="00C42DFB">
        <w:rPr>
          <w:rFonts w:ascii="Times New Roman" w:hAnsi="Times New Roman"/>
          <w:i/>
          <w:sz w:val="24"/>
          <w:szCs w:val="24"/>
        </w:rPr>
        <w:t xml:space="preserve">Testing for Tuberculosis (TB). </w:t>
      </w:r>
      <w:r w:rsidRPr="00C42DFB">
        <w:rPr>
          <w:rFonts w:ascii="Times New Roman" w:hAnsi="Times New Roman"/>
          <w:sz w:val="24"/>
          <w:szCs w:val="24"/>
        </w:rPr>
        <w:t>Retrieved August 11, 2016, from http://www.cdc.gov/tb/publications/factsheets/testing/tb_testing.htm</w:t>
      </w:r>
    </w:p>
    <w:p w:rsidR="00FB6604" w:rsidRPr="00C42DFB" w:rsidRDefault="00FB6604" w:rsidP="00D95B63">
      <w:pPr>
        <w:pStyle w:val="Pa7"/>
        <w:numPr>
          <w:ilvl w:val="0"/>
          <w:numId w:val="4"/>
        </w:numPr>
        <w:ind w:left="360"/>
        <w:jc w:val="both"/>
        <w:rPr>
          <w:rFonts w:ascii="Times New Roman" w:hAnsi="Times New Roman"/>
          <w:i/>
        </w:rPr>
      </w:pPr>
      <w:r w:rsidRPr="00C42DFB">
        <w:rPr>
          <w:rFonts w:ascii="Times New Roman" w:hAnsi="Times New Roman"/>
        </w:rPr>
        <w:t xml:space="preserve">Centers for Disease Control and Prevention. (2013). </w:t>
      </w:r>
      <w:r w:rsidRPr="00C42DFB">
        <w:rPr>
          <w:rFonts w:ascii="Times New Roman" w:hAnsi="Times New Roman"/>
          <w:i/>
        </w:rPr>
        <w:t xml:space="preserve">Core Curriculum on Tuberculosis: What the Clinician Should Know </w:t>
      </w:r>
      <w:r w:rsidRPr="00C42DFB">
        <w:rPr>
          <w:rFonts w:ascii="Times New Roman" w:hAnsi="Times New Roman"/>
        </w:rPr>
        <w:t>(6</w:t>
      </w:r>
      <w:r w:rsidRPr="00C42DFB">
        <w:rPr>
          <w:rFonts w:ascii="Times New Roman" w:hAnsi="Times New Roman"/>
          <w:vertAlign w:val="superscript"/>
        </w:rPr>
        <w:t>th</w:t>
      </w:r>
      <w:r w:rsidRPr="00C42DFB">
        <w:rPr>
          <w:rFonts w:ascii="Times New Roman" w:hAnsi="Times New Roman"/>
        </w:rPr>
        <w:t xml:space="preserve"> ed.). Atlanta, Georgia. Retrieved from http://www.cdc.gov/tb/education/corecurr/</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Bartu, V. (2016). Importance of TB contact investigations. </w:t>
      </w:r>
      <w:r w:rsidRPr="00C42DFB">
        <w:rPr>
          <w:rFonts w:ascii="Times New Roman" w:eastAsia="Times New Roman" w:hAnsi="Times New Roman"/>
          <w:i/>
          <w:iCs/>
          <w:sz w:val="24"/>
          <w:szCs w:val="24"/>
        </w:rPr>
        <w:t>Respiratory Medicine Case Reports,</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18</w:t>
      </w:r>
      <w:r w:rsidRPr="00C42DFB">
        <w:rPr>
          <w:rFonts w:ascii="Times New Roman" w:eastAsia="Times New Roman" w:hAnsi="Times New Roman"/>
          <w:sz w:val="24"/>
          <w:szCs w:val="24"/>
        </w:rPr>
        <w:t xml:space="preserve">, 87-89. doi:10.1016/j.rmcr.2016.05.001 </w:t>
      </w:r>
    </w:p>
    <w:p w:rsidR="00FB6604" w:rsidRPr="006769A3"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6769A3">
        <w:rPr>
          <w:rFonts w:ascii="Times New Roman" w:eastAsia="Times New Roman" w:hAnsi="Times New Roman"/>
          <w:sz w:val="24"/>
          <w:szCs w:val="24"/>
        </w:rPr>
        <w:t xml:space="preserve">Nania, J. J., Skinner, J., Wilkerson, K., Warkentin, J. V., Thayer, V., Swift, M., . . . Talbot, T. R. (2007, June). Exposure to Pulmonary Tuberculosis in a Neonatal Intensive Care Unit: Unique Aspects of Contact Investigation and Management of Hospitalized Neonates. </w:t>
      </w:r>
      <w:r w:rsidRPr="006769A3">
        <w:rPr>
          <w:rFonts w:ascii="Times New Roman" w:eastAsia="Times New Roman" w:hAnsi="Times New Roman"/>
          <w:i/>
          <w:iCs/>
          <w:sz w:val="24"/>
          <w:szCs w:val="24"/>
        </w:rPr>
        <w:t>Infection Control and Hospital Epidemiology,</w:t>
      </w:r>
      <w:r w:rsidRPr="006769A3">
        <w:rPr>
          <w:rFonts w:ascii="Times New Roman" w:eastAsia="Times New Roman" w:hAnsi="Times New Roman"/>
          <w:sz w:val="24"/>
          <w:szCs w:val="24"/>
        </w:rPr>
        <w:t xml:space="preserve"> </w:t>
      </w:r>
      <w:r w:rsidRPr="006769A3">
        <w:rPr>
          <w:rFonts w:ascii="Times New Roman" w:eastAsia="Times New Roman" w:hAnsi="Times New Roman"/>
          <w:i/>
          <w:iCs/>
          <w:sz w:val="24"/>
          <w:szCs w:val="24"/>
        </w:rPr>
        <w:t>28</w:t>
      </w:r>
      <w:r w:rsidRPr="006769A3">
        <w:rPr>
          <w:rFonts w:ascii="Times New Roman" w:eastAsia="Times New Roman" w:hAnsi="Times New Roman"/>
          <w:sz w:val="24"/>
          <w:szCs w:val="24"/>
        </w:rPr>
        <w:t>(6), 661-665. doi:10.1086/517975</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Jensen, P. A., Lambert, L. A., Iademarco, M. F., Ridzon, R., &amp; CDC. (2005). Guidelines for Preventing the Transmission of Mycobacterium tuberculosis in Health-Care Settings, 2005.</w:t>
      </w:r>
      <w:r w:rsidRPr="00C42DFB">
        <w:rPr>
          <w:rFonts w:ascii="Times New Roman" w:eastAsia="Times New Roman" w:hAnsi="Times New Roman"/>
          <w:i/>
          <w:iCs/>
          <w:sz w:val="24"/>
          <w:szCs w:val="24"/>
        </w:rPr>
        <w:t xml:space="preserve"> Morbidity and Mortality Weekly Report: Recommendations and Reports, 54</w:t>
      </w:r>
      <w:r w:rsidRPr="00C42DFB">
        <w:rPr>
          <w:rFonts w:ascii="Times New Roman" w:eastAsia="Times New Roman" w:hAnsi="Times New Roman"/>
          <w:sz w:val="24"/>
          <w:szCs w:val="24"/>
        </w:rPr>
        <w:t>(RR 17), 32-36. Retrieved from www.cdc.gov/mmwr/PDF/rr/rr5417.pdf</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Boehme C.C., Nabeta, P., Hillemann, D., Nicol, M.P., Shenai. S., Krapp, F., et al. (2010). Rapid molecular detection of tuberculosis and rifampin resistance. </w:t>
      </w:r>
      <w:r w:rsidRPr="00C42DFB">
        <w:rPr>
          <w:rFonts w:ascii="Times New Roman" w:eastAsia="Times New Roman" w:hAnsi="Times New Roman"/>
          <w:i/>
          <w:sz w:val="24"/>
          <w:szCs w:val="24"/>
        </w:rPr>
        <w:t>The New England Journal of Medicine, 363</w:t>
      </w:r>
      <w:r w:rsidRPr="00C42DFB">
        <w:rPr>
          <w:rFonts w:ascii="Times New Roman" w:eastAsia="Times New Roman" w:hAnsi="Times New Roman"/>
          <w:sz w:val="24"/>
          <w:szCs w:val="24"/>
        </w:rPr>
        <w:t>(11), 1005-1015. dio:</w:t>
      </w:r>
      <w:r w:rsidRPr="00C42DFB">
        <w:rPr>
          <w:rStyle w:val="doi"/>
          <w:rFonts w:ascii="Times New Roman" w:eastAsia="Times New Roman" w:hAnsi="Times New Roman"/>
          <w:sz w:val="24"/>
          <w:szCs w:val="24"/>
        </w:rPr>
        <w:t>10.1056/NEJMoa0907847</w:t>
      </w:r>
    </w:p>
    <w:p w:rsidR="00FB6604" w:rsidRPr="00C42DFB" w:rsidRDefault="00FB6604" w:rsidP="00D95B63">
      <w:pPr>
        <w:pStyle w:val="ColorfulList-Accent11"/>
        <w:numPr>
          <w:ilvl w:val="0"/>
          <w:numId w:val="4"/>
        </w:numPr>
        <w:spacing w:after="0" w:line="240" w:lineRule="auto"/>
        <w:ind w:left="360"/>
        <w:jc w:val="both"/>
        <w:rPr>
          <w:rStyle w:val="doi"/>
          <w:rFonts w:ascii="Times New Roman" w:eastAsia="Times New Roman" w:hAnsi="Times New Roman"/>
          <w:sz w:val="24"/>
          <w:szCs w:val="24"/>
        </w:rPr>
      </w:pPr>
      <w:r w:rsidRPr="00C42DFB">
        <w:rPr>
          <w:rFonts w:ascii="Times New Roman" w:eastAsia="Times New Roman" w:hAnsi="Times New Roman"/>
          <w:sz w:val="24"/>
          <w:szCs w:val="24"/>
        </w:rPr>
        <w:t xml:space="preserve">Sterling T.R., Villarino, M.E., Borisov A.S., Shang, N., Gordin, F., Bliven-Sizemore, E., et al. (2011). Three months of rifapentine and isoniazid for latent tuberculosis infection. </w:t>
      </w:r>
      <w:r w:rsidRPr="00C42DFB">
        <w:rPr>
          <w:rFonts w:ascii="Times New Roman" w:eastAsia="Times New Roman" w:hAnsi="Times New Roman"/>
          <w:i/>
          <w:sz w:val="24"/>
          <w:szCs w:val="24"/>
        </w:rPr>
        <w:t>The New England Journal of Medicine, 365</w:t>
      </w:r>
      <w:r w:rsidRPr="00C42DFB">
        <w:rPr>
          <w:rFonts w:ascii="Times New Roman" w:eastAsia="Times New Roman" w:hAnsi="Times New Roman"/>
          <w:sz w:val="24"/>
          <w:szCs w:val="24"/>
        </w:rPr>
        <w:t>(23), 2155-2166. dio:</w:t>
      </w:r>
      <w:r w:rsidRPr="00C42DFB">
        <w:rPr>
          <w:rStyle w:val="doi"/>
          <w:rFonts w:ascii="Times New Roman" w:eastAsia="Times New Roman" w:hAnsi="Times New Roman"/>
          <w:sz w:val="24"/>
          <w:szCs w:val="24"/>
        </w:rPr>
        <w:t>10.1056/NEJMoa1104875</w:t>
      </w:r>
    </w:p>
    <w:p w:rsidR="00FB6604" w:rsidRPr="00C42DFB" w:rsidRDefault="00FB6604" w:rsidP="00914653">
      <w:pPr>
        <w:pStyle w:val="ColorfulList-Accent11"/>
        <w:numPr>
          <w:ilvl w:val="0"/>
          <w:numId w:val="4"/>
        </w:numPr>
        <w:spacing w:after="0" w:line="240" w:lineRule="auto"/>
        <w:ind w:left="360"/>
        <w:rPr>
          <w:rFonts w:ascii="Times New Roman" w:hAnsi="Times New Roman"/>
          <w:i/>
          <w:sz w:val="24"/>
          <w:szCs w:val="24"/>
        </w:rPr>
      </w:pPr>
      <w:r w:rsidRPr="00C42DFB">
        <w:rPr>
          <w:rFonts w:ascii="Times New Roman" w:hAnsi="Times New Roman"/>
          <w:sz w:val="24"/>
          <w:szCs w:val="24"/>
        </w:rPr>
        <w:t xml:space="preserve">Tuberculosis Coalition for Technical Assistance (TBCTA). 2009. </w:t>
      </w:r>
      <w:r w:rsidRPr="00C42DFB">
        <w:rPr>
          <w:rFonts w:ascii="Times New Roman" w:hAnsi="Times New Roman"/>
          <w:i/>
          <w:sz w:val="24"/>
          <w:szCs w:val="24"/>
        </w:rPr>
        <w:t>International Standards for Tuberculosis Care</w:t>
      </w:r>
      <w:r w:rsidRPr="00C42DFB">
        <w:rPr>
          <w:rFonts w:ascii="Times New Roman" w:hAnsi="Times New Roman"/>
          <w:sz w:val="24"/>
          <w:szCs w:val="24"/>
        </w:rPr>
        <w:t xml:space="preserve"> (2</w:t>
      </w:r>
      <w:r w:rsidRPr="00C42DFB">
        <w:rPr>
          <w:rFonts w:ascii="Times New Roman" w:hAnsi="Times New Roman"/>
          <w:sz w:val="24"/>
          <w:szCs w:val="24"/>
          <w:vertAlign w:val="superscript"/>
        </w:rPr>
        <w:t>nd</w:t>
      </w:r>
      <w:r w:rsidRPr="00C42DFB">
        <w:rPr>
          <w:rFonts w:ascii="Times New Roman" w:hAnsi="Times New Roman"/>
          <w:sz w:val="24"/>
          <w:szCs w:val="24"/>
        </w:rPr>
        <w:t xml:space="preserve"> ed.). Retrieved from </w:t>
      </w:r>
      <w:r w:rsidRPr="00C42DFB">
        <w:rPr>
          <w:rFonts w:ascii="Times New Roman" w:eastAsia="Times New Roman" w:hAnsi="Times New Roman"/>
          <w:sz w:val="24"/>
          <w:szCs w:val="24"/>
        </w:rPr>
        <w:t>http://www.who.int/entity/tb/ISTC_Report_2ndEd_Nov2009.pdf</w:t>
      </w:r>
    </w:p>
    <w:p w:rsidR="00FB6604" w:rsidRPr="00C42DFB" w:rsidRDefault="00FB6604" w:rsidP="00D95B63">
      <w:pPr>
        <w:pStyle w:val="ColorfulList-Accent11"/>
        <w:numPr>
          <w:ilvl w:val="0"/>
          <w:numId w:val="4"/>
        </w:numPr>
        <w:spacing w:after="0" w:line="240" w:lineRule="auto"/>
        <w:ind w:left="360"/>
        <w:jc w:val="both"/>
        <w:rPr>
          <w:rFonts w:ascii="Times New Roman" w:hAnsi="Times New Roman"/>
          <w:i/>
          <w:sz w:val="24"/>
          <w:szCs w:val="24"/>
        </w:rPr>
      </w:pPr>
      <w:r w:rsidRPr="00C42DFB">
        <w:rPr>
          <w:rFonts w:ascii="Times New Roman" w:eastAsia="Times New Roman" w:hAnsi="Times New Roman"/>
          <w:sz w:val="24"/>
          <w:szCs w:val="24"/>
        </w:rPr>
        <w:t xml:space="preserve">Broekmans, J. F., Migliori, G. B., Rieder, H. L., Lees, J., Ruutu, P., Loddenkemper, R., &amp; Raviglione, M. C. (2002). European framework for tuberculosis control and elimination in countries with a low incidence. </w:t>
      </w:r>
      <w:r w:rsidRPr="00C42DFB">
        <w:rPr>
          <w:rFonts w:ascii="Times New Roman" w:eastAsia="Times New Roman" w:hAnsi="Times New Roman"/>
          <w:i/>
          <w:iCs/>
          <w:sz w:val="24"/>
          <w:szCs w:val="24"/>
        </w:rPr>
        <w:t>European Respiratory Journal,</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19</w:t>
      </w:r>
      <w:r w:rsidRPr="00C42DFB">
        <w:rPr>
          <w:rFonts w:ascii="Times New Roman" w:eastAsia="Times New Roman" w:hAnsi="Times New Roman"/>
          <w:sz w:val="24"/>
          <w:szCs w:val="24"/>
        </w:rPr>
        <w:t>(4), 765-775. doi:10.1183/09031936.02.00261402</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Menzies, D., Fanning, A., Yuan, L., &amp; Fitzgerald, M. (1995, January 12). Tuberculosis among Health Care Workers. </w:t>
      </w:r>
      <w:r w:rsidRPr="00C42DFB">
        <w:rPr>
          <w:rFonts w:ascii="Times New Roman" w:eastAsia="Times New Roman" w:hAnsi="Times New Roman"/>
          <w:i/>
          <w:iCs/>
          <w:sz w:val="24"/>
          <w:szCs w:val="24"/>
        </w:rPr>
        <w:t>New England Journal of Medicine,</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332</w:t>
      </w:r>
      <w:r w:rsidRPr="00C42DFB">
        <w:rPr>
          <w:rFonts w:ascii="Times New Roman" w:eastAsia="Times New Roman" w:hAnsi="Times New Roman"/>
          <w:sz w:val="24"/>
          <w:szCs w:val="24"/>
        </w:rPr>
        <w:t xml:space="preserve">(2), 92-98. doi:10.1056/nejm199501123320206 </w:t>
      </w:r>
    </w:p>
    <w:p w:rsidR="00FB6604" w:rsidRPr="006769A3"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6769A3">
        <w:rPr>
          <w:rFonts w:ascii="Times New Roman" w:eastAsia="Times New Roman" w:hAnsi="Times New Roman"/>
          <w:sz w:val="24"/>
          <w:szCs w:val="24"/>
        </w:rPr>
        <w:t xml:space="preserve">Andre, M., Ijaz, K., Tillinghast, J. D., Krebs, V. E., Diem, L. A., Metchock, B., . . . Mcelroy, P. D. (2007, March). Transmission Network Analysis to Complement Routine Tuberculosis Contact Investigations. </w:t>
      </w:r>
      <w:r w:rsidRPr="006769A3">
        <w:rPr>
          <w:rFonts w:ascii="Times New Roman" w:eastAsia="Times New Roman" w:hAnsi="Times New Roman"/>
          <w:i/>
          <w:iCs/>
          <w:sz w:val="24"/>
          <w:szCs w:val="24"/>
        </w:rPr>
        <w:t>American Journal of Public Health,</w:t>
      </w:r>
      <w:r w:rsidRPr="006769A3">
        <w:rPr>
          <w:rFonts w:ascii="Times New Roman" w:eastAsia="Times New Roman" w:hAnsi="Times New Roman"/>
          <w:sz w:val="24"/>
          <w:szCs w:val="24"/>
        </w:rPr>
        <w:t xml:space="preserve"> </w:t>
      </w:r>
      <w:r w:rsidRPr="006769A3">
        <w:rPr>
          <w:rFonts w:ascii="Times New Roman" w:eastAsia="Times New Roman" w:hAnsi="Times New Roman"/>
          <w:i/>
          <w:iCs/>
          <w:sz w:val="24"/>
          <w:szCs w:val="24"/>
        </w:rPr>
        <w:t>97</w:t>
      </w:r>
      <w:r w:rsidRPr="006769A3">
        <w:rPr>
          <w:rFonts w:ascii="Times New Roman" w:eastAsia="Times New Roman" w:hAnsi="Times New Roman"/>
          <w:sz w:val="24"/>
          <w:szCs w:val="24"/>
        </w:rPr>
        <w:t xml:space="preserve">(3), 470-477. </w:t>
      </w:r>
    </w:p>
    <w:p w:rsidR="00FB6604" w:rsidRPr="006769A3" w:rsidRDefault="00FB6604" w:rsidP="00FB6604">
      <w:pPr>
        <w:pStyle w:val="ColorfulList-Accent11"/>
        <w:ind w:left="360"/>
        <w:jc w:val="both"/>
        <w:rPr>
          <w:rFonts w:ascii="Times New Roman" w:eastAsia="Times New Roman" w:hAnsi="Times New Roman"/>
          <w:sz w:val="24"/>
          <w:szCs w:val="24"/>
        </w:rPr>
      </w:pPr>
      <w:r w:rsidRPr="006769A3">
        <w:rPr>
          <w:rFonts w:ascii="Times New Roman" w:eastAsia="Times New Roman" w:hAnsi="Times New Roman"/>
          <w:sz w:val="24"/>
          <w:szCs w:val="24"/>
        </w:rPr>
        <w:t xml:space="preserve">doi:10.2105/ajph.2005.071936 </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Murray, C. J. L., Ortblad, K. F., Guinovart, C., Lim, S. S., Wolock, T. M., Roberts, D. A., … Vos, T. (2014). Global, regional, and national incidence and mortality for HIV, tuberculosis, and malaria during 1990–2013: a systematic analysis for the Global Burden of Disease Study 2013. </w:t>
      </w:r>
      <w:r w:rsidRPr="00C42DFB">
        <w:rPr>
          <w:rFonts w:ascii="Times New Roman" w:eastAsia="Times New Roman" w:hAnsi="Times New Roman"/>
          <w:i/>
          <w:iCs/>
          <w:sz w:val="24"/>
          <w:szCs w:val="24"/>
        </w:rPr>
        <w:t>Lancet</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384</w:t>
      </w:r>
      <w:r w:rsidRPr="00C42DFB">
        <w:rPr>
          <w:rFonts w:ascii="Times New Roman" w:eastAsia="Times New Roman" w:hAnsi="Times New Roman"/>
          <w:sz w:val="24"/>
          <w:szCs w:val="24"/>
        </w:rPr>
        <w:t xml:space="preserve">(9947), 1005–1070. http://doi.org/10.1016/S0140-6736(14)60844-8 </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Scales, D., Brownstein, J. S., Khan, K., &amp; Cetron, M. S. (2014). Toward a County-Level Map of Tuberculosis Rates in the U.S. </w:t>
      </w:r>
      <w:r w:rsidRPr="00C42DFB">
        <w:rPr>
          <w:rFonts w:ascii="Times New Roman" w:eastAsia="Times New Roman" w:hAnsi="Times New Roman"/>
          <w:i/>
          <w:iCs/>
          <w:sz w:val="24"/>
          <w:szCs w:val="24"/>
        </w:rPr>
        <w:t>American Journal of Preventive Medicine</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46</w:t>
      </w:r>
      <w:r w:rsidRPr="00C42DFB">
        <w:rPr>
          <w:rFonts w:ascii="Times New Roman" w:eastAsia="Times New Roman" w:hAnsi="Times New Roman"/>
          <w:sz w:val="24"/>
          <w:szCs w:val="24"/>
        </w:rPr>
        <w:t>(5), e49–e51. http://doi.org/10.1016/j.amepre.2014.02.001</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Cutsem, G. V., Isaakidis, P., Farley, J., Nardell, E., Volchenkov, G., &amp; Cox, H. (2016, May 15). Infection Control for Drug-Resistant Tuberculosis: Early Diagnosis and Treatment Is the Key. </w:t>
      </w:r>
      <w:r w:rsidRPr="00C42DFB">
        <w:rPr>
          <w:rFonts w:ascii="Times New Roman" w:eastAsia="Times New Roman" w:hAnsi="Times New Roman"/>
          <w:i/>
          <w:iCs/>
          <w:sz w:val="24"/>
          <w:szCs w:val="24"/>
        </w:rPr>
        <w:t>Clinical Infectious Diseases,</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62</w:t>
      </w:r>
      <w:r w:rsidRPr="00C42DFB">
        <w:rPr>
          <w:rFonts w:ascii="Times New Roman" w:eastAsia="Times New Roman" w:hAnsi="Times New Roman"/>
          <w:sz w:val="24"/>
          <w:szCs w:val="24"/>
        </w:rPr>
        <w:t>(Supplement 3), S238-S243. doi:10.1093/cid/ciw012</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i/>
          <w:sz w:val="24"/>
          <w:szCs w:val="24"/>
        </w:rPr>
      </w:pPr>
      <w:r w:rsidRPr="00C42DFB">
        <w:rPr>
          <w:rFonts w:ascii="Times New Roman" w:eastAsia="Times New Roman" w:hAnsi="Times New Roman"/>
          <w:sz w:val="24"/>
          <w:szCs w:val="24"/>
        </w:rPr>
        <w:t xml:space="preserve">World Health Organization. (2009). </w:t>
      </w:r>
      <w:r w:rsidRPr="00C42DFB">
        <w:rPr>
          <w:rFonts w:ascii="Times New Roman" w:eastAsia="Times New Roman" w:hAnsi="Times New Roman"/>
          <w:i/>
          <w:sz w:val="24"/>
          <w:szCs w:val="24"/>
        </w:rPr>
        <w:t>WHO Policy on TB Infection Control in Health-Care Facilities, Congregate Settings and Households.</w:t>
      </w:r>
      <w:r w:rsidRPr="00C42DFB">
        <w:rPr>
          <w:rFonts w:ascii="Times New Roman" w:eastAsia="Times New Roman" w:hAnsi="Times New Roman"/>
          <w:sz w:val="24"/>
          <w:szCs w:val="24"/>
        </w:rPr>
        <w:t xml:space="preserve"> Retrieved August 29, 2016, from </w:t>
      </w:r>
    </w:p>
    <w:p w:rsidR="00FB6604" w:rsidRPr="00C42DFB" w:rsidRDefault="00FB6604" w:rsidP="00FB6604">
      <w:pPr>
        <w:pStyle w:val="ColorfulList-Accent11"/>
        <w:ind w:left="360"/>
        <w:jc w:val="both"/>
        <w:rPr>
          <w:rFonts w:ascii="Times New Roman" w:eastAsia="Times New Roman" w:hAnsi="Times New Roman"/>
          <w:sz w:val="24"/>
          <w:szCs w:val="24"/>
        </w:rPr>
      </w:pPr>
      <w:r w:rsidRPr="00C42DFB">
        <w:rPr>
          <w:rFonts w:ascii="Times New Roman" w:eastAsia="Times New Roman" w:hAnsi="Times New Roman"/>
          <w:sz w:val="24"/>
          <w:szCs w:val="24"/>
        </w:rPr>
        <w:t>http://www.who.int/tb/publications/2009/infection_control/en/</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Verkuijl, S., &amp; Middelkoop, K. (2016, May 15). Protecting Our Front-liners: Occupational Tuberculosis Prevention Through Infection Control Strategies. </w:t>
      </w:r>
      <w:r w:rsidRPr="00C42DFB">
        <w:rPr>
          <w:rFonts w:ascii="Times New Roman" w:eastAsia="Times New Roman" w:hAnsi="Times New Roman"/>
          <w:i/>
          <w:iCs/>
          <w:sz w:val="24"/>
          <w:szCs w:val="24"/>
        </w:rPr>
        <w:t>Clinical Infectious Diseases,</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62</w:t>
      </w:r>
      <w:r w:rsidRPr="00C42DFB">
        <w:rPr>
          <w:rFonts w:ascii="Times New Roman" w:eastAsia="Times New Roman" w:hAnsi="Times New Roman"/>
          <w:sz w:val="24"/>
          <w:szCs w:val="24"/>
        </w:rPr>
        <w:t>(Supplement 3), S231-S237. doi:10.1093/cid/civ1184</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Hatherill, M., Scriba, T. J., Udwadia, Z. F., Mullerpattan, J. B., Hawkridge, A., Mahomed, H., &amp; Dye, C. (2016, May 15). BCG and New Preventive Tuberculosis Vaccines: Implications or Healthcare Workers. </w:t>
      </w:r>
      <w:r w:rsidRPr="00C42DFB">
        <w:rPr>
          <w:rFonts w:ascii="Times New Roman" w:eastAsia="Times New Roman" w:hAnsi="Times New Roman"/>
          <w:i/>
          <w:iCs/>
          <w:sz w:val="24"/>
          <w:szCs w:val="24"/>
        </w:rPr>
        <w:t>Clinical Infectious Diseases,</w:t>
      </w:r>
      <w:r w:rsidRPr="00C42DFB">
        <w:rPr>
          <w:rFonts w:ascii="Times New Roman" w:eastAsia="Times New Roman" w:hAnsi="Times New Roman"/>
          <w:sz w:val="24"/>
          <w:szCs w:val="24"/>
        </w:rPr>
        <w:t xml:space="preserve"> </w:t>
      </w:r>
      <w:r w:rsidRPr="00C42DFB">
        <w:rPr>
          <w:rFonts w:ascii="Times New Roman" w:eastAsia="Times New Roman" w:hAnsi="Times New Roman"/>
          <w:i/>
          <w:iCs/>
          <w:sz w:val="24"/>
          <w:szCs w:val="24"/>
        </w:rPr>
        <w:t>62</w:t>
      </w:r>
      <w:r w:rsidRPr="00C42DFB">
        <w:rPr>
          <w:rFonts w:ascii="Times New Roman" w:eastAsia="Times New Roman" w:hAnsi="Times New Roman"/>
          <w:sz w:val="24"/>
          <w:szCs w:val="24"/>
        </w:rPr>
        <w:t>(Supplement 3), S262-S267. doi:10.1093/cid/ciw025</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eastAsia="Times New Roman" w:hAnsi="Times New Roman"/>
          <w:sz w:val="24"/>
          <w:szCs w:val="24"/>
        </w:rPr>
        <w:t xml:space="preserve">University of Manitoba. (2014, October 6). </w:t>
      </w:r>
      <w:r w:rsidRPr="00C42DFB">
        <w:rPr>
          <w:rFonts w:ascii="Times New Roman" w:eastAsia="Times New Roman" w:hAnsi="Times New Roman"/>
          <w:i/>
          <w:sz w:val="24"/>
          <w:szCs w:val="24"/>
        </w:rPr>
        <w:t xml:space="preserve">Term: Charlson Comorbidity Index. </w:t>
      </w:r>
      <w:r w:rsidRPr="00C42DFB">
        <w:rPr>
          <w:rFonts w:ascii="Times New Roman" w:eastAsia="Times New Roman" w:hAnsi="Times New Roman"/>
          <w:sz w:val="24"/>
          <w:szCs w:val="24"/>
        </w:rPr>
        <w:t>Retrieved from http://mchpappserv.cpe.umanitoba.ca/viewDefinition.php?definitionID=102410</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C42DFB">
        <w:rPr>
          <w:rFonts w:ascii="Times New Roman" w:hAnsi="Times New Roman"/>
          <w:sz w:val="24"/>
          <w:szCs w:val="24"/>
        </w:rPr>
        <w:t>StataCorp LP. (2016). STATA Special Edition (Version 14.1). [Software]. Available from http://www.technology.pitt.edu/software/stata-for-students</w:t>
      </w:r>
    </w:p>
    <w:p w:rsidR="00FB6604" w:rsidRPr="00211397"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211397">
        <w:rPr>
          <w:rFonts w:ascii="Times New Roman" w:hAnsi="Times New Roman"/>
          <w:iCs/>
          <w:sz w:val="24"/>
          <w:szCs w:val="24"/>
        </w:rPr>
        <w:t xml:space="preserve">University of Pittsburgh. (2011). </w:t>
      </w:r>
      <w:r w:rsidRPr="00211397">
        <w:rPr>
          <w:rFonts w:ascii="Times New Roman" w:hAnsi="Times New Roman"/>
          <w:i/>
          <w:iCs/>
          <w:sz w:val="24"/>
          <w:szCs w:val="24"/>
        </w:rPr>
        <w:t xml:space="preserve">Guidance on Activities Not Under the Jurisdiction of the Institutional Review Board. </w:t>
      </w:r>
      <w:r w:rsidRPr="00211397">
        <w:rPr>
          <w:rFonts w:ascii="Times New Roman" w:hAnsi="Times New Roman"/>
          <w:iCs/>
          <w:sz w:val="24"/>
          <w:szCs w:val="24"/>
        </w:rPr>
        <w:t xml:space="preserve">Retrieved from </w:t>
      </w:r>
      <w:r w:rsidRPr="00211397">
        <w:rPr>
          <w:rFonts w:ascii="Times New Roman" w:eastAsia="Times New Roman" w:hAnsi="Times New Roman"/>
          <w:sz w:val="24"/>
          <w:szCs w:val="24"/>
        </w:rPr>
        <w:t>http://www.irb.pitt.edu/sites/default/files</w:t>
      </w:r>
    </w:p>
    <w:p w:rsidR="00FB6604" w:rsidRPr="00211397" w:rsidRDefault="00FB6604" w:rsidP="00FB6604">
      <w:pPr>
        <w:pStyle w:val="ColorfulList-Accent11"/>
        <w:spacing w:after="0" w:line="240" w:lineRule="auto"/>
        <w:ind w:left="360"/>
        <w:jc w:val="both"/>
        <w:rPr>
          <w:rFonts w:ascii="Times New Roman" w:eastAsia="Times New Roman" w:hAnsi="Times New Roman"/>
          <w:sz w:val="24"/>
          <w:szCs w:val="24"/>
        </w:rPr>
      </w:pPr>
      <w:r w:rsidRPr="00211397">
        <w:rPr>
          <w:rFonts w:ascii="Times New Roman" w:eastAsia="Times New Roman" w:hAnsi="Times New Roman"/>
          <w:sz w:val="24"/>
          <w:szCs w:val="24"/>
        </w:rPr>
        <w:t>/Guidance%20on%20Activities%20Not%20Under%20the%20Jurisdiction%20of%20the%20Institutional%20Review%20Board_0.pdf</w:t>
      </w:r>
    </w:p>
    <w:p w:rsidR="00FB6604" w:rsidRPr="00C42DFB" w:rsidRDefault="00FB6604" w:rsidP="00D95B63">
      <w:pPr>
        <w:pStyle w:val="ColorfulList-Accent11"/>
        <w:numPr>
          <w:ilvl w:val="0"/>
          <w:numId w:val="4"/>
        </w:numPr>
        <w:spacing w:after="0" w:line="240" w:lineRule="auto"/>
        <w:ind w:left="360"/>
        <w:jc w:val="both"/>
        <w:rPr>
          <w:rFonts w:ascii="Times New Roman" w:eastAsia="Times New Roman" w:hAnsi="Times New Roman"/>
          <w:sz w:val="24"/>
          <w:szCs w:val="24"/>
        </w:rPr>
      </w:pPr>
      <w:r w:rsidRPr="00F06DDE">
        <w:rPr>
          <w:rFonts w:ascii="Times New Roman" w:eastAsia="Times New Roman" w:hAnsi="Times New Roman"/>
          <w:sz w:val="24"/>
          <w:szCs w:val="24"/>
        </w:rPr>
        <w:t>U.S. Department of Health &amp; Human Services</w:t>
      </w:r>
      <w:r>
        <w:rPr>
          <w:rFonts w:ascii="Times New Roman" w:eastAsia="Times New Roman" w:hAnsi="Times New Roman"/>
          <w:sz w:val="24"/>
          <w:szCs w:val="24"/>
        </w:rPr>
        <w:t xml:space="preserve">, Health Resources and Services Administration (2011, April). </w:t>
      </w:r>
      <w:r w:rsidRPr="00F06DDE">
        <w:rPr>
          <w:rFonts w:ascii="Times New Roman" w:eastAsia="Times New Roman" w:hAnsi="Times New Roman"/>
          <w:i/>
          <w:sz w:val="24"/>
          <w:szCs w:val="24"/>
        </w:rPr>
        <w:t>Quality Improvement.</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Retrieved from </w:t>
      </w:r>
      <w:r w:rsidRPr="00F06DDE">
        <w:rPr>
          <w:rFonts w:ascii="Times New Roman" w:eastAsia="Times New Roman" w:hAnsi="Times New Roman"/>
          <w:sz w:val="24"/>
          <w:szCs w:val="24"/>
        </w:rPr>
        <w:t>http://www.hrsa.gov/quality/toolbox/methodology/qualityimprovement/</w:t>
      </w:r>
    </w:p>
    <w:p w:rsidR="00FB6604" w:rsidRPr="006769A3" w:rsidRDefault="00FB6604" w:rsidP="00D95B63">
      <w:pPr>
        <w:pStyle w:val="ColorfulList-Accent11"/>
        <w:numPr>
          <w:ilvl w:val="0"/>
          <w:numId w:val="4"/>
        </w:numPr>
        <w:spacing w:after="0" w:line="240" w:lineRule="auto"/>
        <w:ind w:left="360"/>
        <w:jc w:val="both"/>
        <w:rPr>
          <w:rFonts w:ascii="Times New Roman" w:hAnsi="Times New Roman"/>
          <w:sz w:val="24"/>
          <w:szCs w:val="24"/>
        </w:rPr>
      </w:pPr>
      <w:r w:rsidRPr="006769A3">
        <w:rPr>
          <w:rFonts w:ascii="Times New Roman" w:hAnsi="Times New Roman"/>
          <w:sz w:val="24"/>
          <w:szCs w:val="24"/>
        </w:rPr>
        <w:t>Parada, J., Varma, G., Trulis, E., &amp; Fearon, L. (2016). If only they had given him a mask!! A large tuberculosis post-exposure investigation originating from emergency department waiting room.</w:t>
      </w:r>
      <w:r w:rsidRPr="006769A3">
        <w:rPr>
          <w:rFonts w:ascii="Times New Roman" w:hAnsi="Times New Roman"/>
          <w:i/>
          <w:iCs/>
          <w:sz w:val="24"/>
          <w:szCs w:val="24"/>
        </w:rPr>
        <w:t xml:space="preserve"> American Journal of Infection Control, 44</w:t>
      </w:r>
      <w:r w:rsidRPr="006769A3">
        <w:rPr>
          <w:rFonts w:ascii="Times New Roman" w:hAnsi="Times New Roman"/>
          <w:sz w:val="24"/>
          <w:szCs w:val="24"/>
        </w:rPr>
        <w:t>(6), S122-S123. doi:10.1016/j.ajic.2016.04.145</w:t>
      </w:r>
    </w:p>
    <w:p w:rsidR="00FB6604" w:rsidRPr="00B00B78" w:rsidRDefault="00FB6604" w:rsidP="00FB6604">
      <w:pPr>
        <w:pStyle w:val="ColorfulList-Accent11"/>
        <w:ind w:left="780"/>
        <w:rPr>
          <w:rFonts w:ascii="Times New Roman" w:eastAsia="Times New Roman" w:hAnsi="Times New Roman"/>
        </w:rPr>
      </w:pPr>
    </w:p>
    <w:p w:rsidR="00DA5BA8" w:rsidRDefault="00DA5BA8" w:rsidP="00FB6604">
      <w:pPr>
        <w:pStyle w:val="BibliographyEntry"/>
      </w:pPr>
    </w:p>
    <w:sectPr w:rsidR="00DA5BA8" w:rsidSect="0082766B">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79" w:rsidRDefault="002C2079">
      <w:r>
        <w:separator/>
      </w:r>
    </w:p>
  </w:endnote>
  <w:endnote w:type="continuationSeparator" w:id="0">
    <w:p w:rsidR="002C2079" w:rsidRDefault="002C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dobe Garamond Pro">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C8" w:rsidRDefault="00B054C8" w:rsidP="006B1124">
    <w:pPr>
      <w:tabs>
        <w:tab w:val="center" w:pos="4680"/>
      </w:tabs>
      <w:ind w:firstLine="0"/>
    </w:pPr>
    <w:r>
      <w:tab/>
    </w:r>
    <w:r>
      <w:fldChar w:fldCharType="begin"/>
    </w:r>
    <w:r>
      <w:instrText xml:space="preserve"> PAGE </w:instrText>
    </w:r>
    <w:r>
      <w:fldChar w:fldCharType="separate"/>
    </w:r>
    <w:r w:rsidR="00166174">
      <w:rPr>
        <w:noProof/>
      </w:rPr>
      <w:t>vii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C8" w:rsidRDefault="00B054C8" w:rsidP="006B1124">
    <w:pPr>
      <w:tabs>
        <w:tab w:val="center" w:pos="4680"/>
      </w:tabs>
      <w:ind w:firstLine="0"/>
    </w:pPr>
    <w:r>
      <w:tab/>
    </w:r>
    <w:r>
      <w:fldChar w:fldCharType="begin"/>
    </w:r>
    <w:r>
      <w:instrText xml:space="preserve"> PAGE </w:instrText>
    </w:r>
    <w:r>
      <w:fldChar w:fldCharType="separate"/>
    </w:r>
    <w:r w:rsidR="0016617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79" w:rsidRDefault="002C2079">
      <w:r>
        <w:separator/>
      </w:r>
    </w:p>
  </w:footnote>
  <w:footnote w:type="continuationSeparator" w:id="0">
    <w:p w:rsidR="002C2079" w:rsidRDefault="002C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76A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E4B5BCF"/>
    <w:multiLevelType w:val="hybridMultilevel"/>
    <w:tmpl w:val="D1F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022F5"/>
    <w:multiLevelType w:val="hybridMultilevel"/>
    <w:tmpl w:val="83E8E574"/>
    <w:lvl w:ilvl="0" w:tplc="D19A7DB0">
      <w:start w:val="1"/>
      <w:numFmt w:val="decimal"/>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4"/>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30D3B"/>
    <w:rsid w:val="00035D1E"/>
    <w:rsid w:val="00037CEE"/>
    <w:rsid w:val="000A331C"/>
    <w:rsid w:val="00150EF7"/>
    <w:rsid w:val="00166174"/>
    <w:rsid w:val="001B678A"/>
    <w:rsid w:val="001B7483"/>
    <w:rsid w:val="001C4AA2"/>
    <w:rsid w:val="001C7CDC"/>
    <w:rsid w:val="00200B2E"/>
    <w:rsid w:val="002102E6"/>
    <w:rsid w:val="00212F95"/>
    <w:rsid w:val="00244471"/>
    <w:rsid w:val="002706BA"/>
    <w:rsid w:val="00276E7E"/>
    <w:rsid w:val="0028782F"/>
    <w:rsid w:val="002B3214"/>
    <w:rsid w:val="002C2079"/>
    <w:rsid w:val="002C567A"/>
    <w:rsid w:val="002D01B1"/>
    <w:rsid w:val="002D11E0"/>
    <w:rsid w:val="002F7B6B"/>
    <w:rsid w:val="00337CC7"/>
    <w:rsid w:val="003621B9"/>
    <w:rsid w:val="00367476"/>
    <w:rsid w:val="003720C5"/>
    <w:rsid w:val="00393DBC"/>
    <w:rsid w:val="003B1957"/>
    <w:rsid w:val="0045332B"/>
    <w:rsid w:val="0046022C"/>
    <w:rsid w:val="004948D1"/>
    <w:rsid w:val="004B7B28"/>
    <w:rsid w:val="004D7AA4"/>
    <w:rsid w:val="004E3B59"/>
    <w:rsid w:val="00532C1E"/>
    <w:rsid w:val="00536110"/>
    <w:rsid w:val="00556F1C"/>
    <w:rsid w:val="00590124"/>
    <w:rsid w:val="00596371"/>
    <w:rsid w:val="005A5D20"/>
    <w:rsid w:val="005F1BB6"/>
    <w:rsid w:val="00636C11"/>
    <w:rsid w:val="006425BF"/>
    <w:rsid w:val="006471E3"/>
    <w:rsid w:val="00654D97"/>
    <w:rsid w:val="00656EE6"/>
    <w:rsid w:val="006769A3"/>
    <w:rsid w:val="006A5780"/>
    <w:rsid w:val="006B0B23"/>
    <w:rsid w:val="006B1124"/>
    <w:rsid w:val="006B550D"/>
    <w:rsid w:val="006F6B3A"/>
    <w:rsid w:val="00726B92"/>
    <w:rsid w:val="00732895"/>
    <w:rsid w:val="00754A0E"/>
    <w:rsid w:val="00775294"/>
    <w:rsid w:val="007B3848"/>
    <w:rsid w:val="007B5CE5"/>
    <w:rsid w:val="007E0B8A"/>
    <w:rsid w:val="007F763B"/>
    <w:rsid w:val="00800BA5"/>
    <w:rsid w:val="0082766B"/>
    <w:rsid w:val="00834193"/>
    <w:rsid w:val="0084482D"/>
    <w:rsid w:val="0085048F"/>
    <w:rsid w:val="00863D37"/>
    <w:rsid w:val="008650E7"/>
    <w:rsid w:val="00884E1F"/>
    <w:rsid w:val="00894C7D"/>
    <w:rsid w:val="008A110F"/>
    <w:rsid w:val="008A4541"/>
    <w:rsid w:val="008E0B94"/>
    <w:rsid w:val="00901CC9"/>
    <w:rsid w:val="00912CB4"/>
    <w:rsid w:val="00914653"/>
    <w:rsid w:val="00923007"/>
    <w:rsid w:val="00936D40"/>
    <w:rsid w:val="0099539E"/>
    <w:rsid w:val="009C3E87"/>
    <w:rsid w:val="009E1A18"/>
    <w:rsid w:val="00A208D2"/>
    <w:rsid w:val="00A3281F"/>
    <w:rsid w:val="00A35269"/>
    <w:rsid w:val="00A4495A"/>
    <w:rsid w:val="00A45F73"/>
    <w:rsid w:val="00A657D2"/>
    <w:rsid w:val="00AA2C6A"/>
    <w:rsid w:val="00AA3E52"/>
    <w:rsid w:val="00AB08F3"/>
    <w:rsid w:val="00AC4CF3"/>
    <w:rsid w:val="00AE6D13"/>
    <w:rsid w:val="00AF340B"/>
    <w:rsid w:val="00B054C8"/>
    <w:rsid w:val="00B21B31"/>
    <w:rsid w:val="00B33801"/>
    <w:rsid w:val="00B424B6"/>
    <w:rsid w:val="00B42812"/>
    <w:rsid w:val="00B56F3C"/>
    <w:rsid w:val="00B57E9B"/>
    <w:rsid w:val="00B614F2"/>
    <w:rsid w:val="00B917F0"/>
    <w:rsid w:val="00B972E3"/>
    <w:rsid w:val="00BF2B29"/>
    <w:rsid w:val="00C06185"/>
    <w:rsid w:val="00C146CC"/>
    <w:rsid w:val="00C17C66"/>
    <w:rsid w:val="00C40D61"/>
    <w:rsid w:val="00C43878"/>
    <w:rsid w:val="00C467DB"/>
    <w:rsid w:val="00C9228E"/>
    <w:rsid w:val="00C966B1"/>
    <w:rsid w:val="00CB03F9"/>
    <w:rsid w:val="00CC5562"/>
    <w:rsid w:val="00CE2FA5"/>
    <w:rsid w:val="00D1693B"/>
    <w:rsid w:val="00D44A01"/>
    <w:rsid w:val="00D530BC"/>
    <w:rsid w:val="00D95B63"/>
    <w:rsid w:val="00DA1B69"/>
    <w:rsid w:val="00DA5BA8"/>
    <w:rsid w:val="00DA7D47"/>
    <w:rsid w:val="00DC49CB"/>
    <w:rsid w:val="00DD2F2C"/>
    <w:rsid w:val="00E01B9A"/>
    <w:rsid w:val="00E35361"/>
    <w:rsid w:val="00E36565"/>
    <w:rsid w:val="00E456F4"/>
    <w:rsid w:val="00E936AA"/>
    <w:rsid w:val="00EC7F19"/>
    <w:rsid w:val="00F0330D"/>
    <w:rsid w:val="00F34251"/>
    <w:rsid w:val="00F46A24"/>
    <w:rsid w:val="00F56B64"/>
    <w:rsid w:val="00F60005"/>
    <w:rsid w:val="00F75112"/>
    <w:rsid w:val="00F91BDB"/>
    <w:rsid w:val="00FB6604"/>
    <w:rsid w:val="00FC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AC2316F-0BC8-4CC0-ADF4-8006E369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ColorfulList-Accent11">
    <w:name w:val="Colorful List - Accent 11"/>
    <w:basedOn w:val="Normal"/>
    <w:uiPriority w:val="34"/>
    <w:qFormat/>
    <w:rsid w:val="006471E3"/>
    <w:pPr>
      <w:spacing w:after="200" w:line="276" w:lineRule="auto"/>
      <w:ind w:left="720" w:firstLine="0"/>
      <w:contextualSpacing/>
      <w:jc w:val="left"/>
    </w:pPr>
    <w:rPr>
      <w:rFonts w:ascii="Cambria" w:eastAsia="Cambria" w:hAnsi="Cambria"/>
      <w:sz w:val="22"/>
      <w:szCs w:val="22"/>
    </w:rPr>
  </w:style>
  <w:style w:type="paragraph" w:customStyle="1" w:styleId="Default">
    <w:name w:val="Default"/>
    <w:rsid w:val="00726B92"/>
    <w:pPr>
      <w:widowControl w:val="0"/>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unhideWhenUsed/>
    <w:rsid w:val="00FB6604"/>
    <w:pPr>
      <w:spacing w:before="100" w:beforeAutospacing="1" w:after="100" w:afterAutospacing="1" w:line="240" w:lineRule="auto"/>
      <w:ind w:firstLine="0"/>
      <w:jc w:val="left"/>
    </w:pPr>
    <w:rPr>
      <w:rFonts w:ascii="Times" w:eastAsia="MS Mincho" w:hAnsi="Times"/>
      <w:sz w:val="20"/>
      <w:szCs w:val="20"/>
    </w:rPr>
  </w:style>
  <w:style w:type="paragraph" w:customStyle="1" w:styleId="Pa7">
    <w:name w:val="Pa7"/>
    <w:basedOn w:val="Normal"/>
    <w:next w:val="Normal"/>
    <w:uiPriority w:val="99"/>
    <w:rsid w:val="00FB6604"/>
    <w:pPr>
      <w:widowControl w:val="0"/>
      <w:autoSpaceDE w:val="0"/>
      <w:autoSpaceDN w:val="0"/>
      <w:adjustRightInd w:val="0"/>
      <w:spacing w:line="201" w:lineRule="atLeast"/>
      <w:ind w:firstLine="0"/>
      <w:jc w:val="left"/>
    </w:pPr>
    <w:rPr>
      <w:rFonts w:ascii="Adobe Garamond Pro" w:eastAsia="MS Mincho" w:hAnsi="Adobe Garamond Pro"/>
    </w:rPr>
  </w:style>
  <w:style w:type="character" w:customStyle="1" w:styleId="doi">
    <w:name w:val="doi"/>
    <w:rsid w:val="00FB6604"/>
  </w:style>
  <w:style w:type="character" w:customStyle="1" w:styleId="tgc">
    <w:name w:val="_tgc"/>
    <w:rsid w:val="00DA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53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64B6-58FA-4DD8-A84C-493AA070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41</Pages>
  <Words>7391</Words>
  <Characters>42131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49424</CharactersWithSpaces>
  <SharedDoc>false</SharedDoc>
  <HLinks>
    <vt:vector size="210" baseType="variant">
      <vt:variant>
        <vt:i4>1048633</vt:i4>
      </vt:variant>
      <vt:variant>
        <vt:i4>212</vt:i4>
      </vt:variant>
      <vt:variant>
        <vt:i4>0</vt:i4>
      </vt:variant>
      <vt:variant>
        <vt:i4>5</vt:i4>
      </vt:variant>
      <vt:variant>
        <vt:lpwstr/>
      </vt:variant>
      <vt:variant>
        <vt:lpwstr>_Toc467231920</vt:lpwstr>
      </vt:variant>
      <vt:variant>
        <vt:i4>1245241</vt:i4>
      </vt:variant>
      <vt:variant>
        <vt:i4>206</vt:i4>
      </vt:variant>
      <vt:variant>
        <vt:i4>0</vt:i4>
      </vt:variant>
      <vt:variant>
        <vt:i4>5</vt:i4>
      </vt:variant>
      <vt:variant>
        <vt:lpwstr/>
      </vt:variant>
      <vt:variant>
        <vt:lpwstr>_Toc467231919</vt:lpwstr>
      </vt:variant>
      <vt:variant>
        <vt:i4>1245241</vt:i4>
      </vt:variant>
      <vt:variant>
        <vt:i4>200</vt:i4>
      </vt:variant>
      <vt:variant>
        <vt:i4>0</vt:i4>
      </vt:variant>
      <vt:variant>
        <vt:i4>5</vt:i4>
      </vt:variant>
      <vt:variant>
        <vt:lpwstr/>
      </vt:variant>
      <vt:variant>
        <vt:lpwstr>_Toc467231918</vt:lpwstr>
      </vt:variant>
      <vt:variant>
        <vt:i4>1245241</vt:i4>
      </vt:variant>
      <vt:variant>
        <vt:i4>194</vt:i4>
      </vt:variant>
      <vt:variant>
        <vt:i4>0</vt:i4>
      </vt:variant>
      <vt:variant>
        <vt:i4>5</vt:i4>
      </vt:variant>
      <vt:variant>
        <vt:lpwstr/>
      </vt:variant>
      <vt:variant>
        <vt:lpwstr>_Toc467231917</vt:lpwstr>
      </vt:variant>
      <vt:variant>
        <vt:i4>1245241</vt:i4>
      </vt:variant>
      <vt:variant>
        <vt:i4>185</vt:i4>
      </vt:variant>
      <vt:variant>
        <vt:i4>0</vt:i4>
      </vt:variant>
      <vt:variant>
        <vt:i4>5</vt:i4>
      </vt:variant>
      <vt:variant>
        <vt:lpwstr/>
      </vt:variant>
      <vt:variant>
        <vt:lpwstr>_Toc467231916</vt:lpwstr>
      </vt:variant>
      <vt:variant>
        <vt:i4>1245241</vt:i4>
      </vt:variant>
      <vt:variant>
        <vt:i4>179</vt:i4>
      </vt:variant>
      <vt:variant>
        <vt:i4>0</vt:i4>
      </vt:variant>
      <vt:variant>
        <vt:i4>5</vt:i4>
      </vt:variant>
      <vt:variant>
        <vt:lpwstr/>
      </vt:variant>
      <vt:variant>
        <vt:lpwstr>_Toc467231915</vt:lpwstr>
      </vt:variant>
      <vt:variant>
        <vt:i4>1245241</vt:i4>
      </vt:variant>
      <vt:variant>
        <vt:i4>173</vt:i4>
      </vt:variant>
      <vt:variant>
        <vt:i4>0</vt:i4>
      </vt:variant>
      <vt:variant>
        <vt:i4>5</vt:i4>
      </vt:variant>
      <vt:variant>
        <vt:lpwstr/>
      </vt:variant>
      <vt:variant>
        <vt:lpwstr>_Toc467231914</vt:lpwstr>
      </vt:variant>
      <vt:variant>
        <vt:i4>1245241</vt:i4>
      </vt:variant>
      <vt:variant>
        <vt:i4>167</vt:i4>
      </vt:variant>
      <vt:variant>
        <vt:i4>0</vt:i4>
      </vt:variant>
      <vt:variant>
        <vt:i4>5</vt:i4>
      </vt:variant>
      <vt:variant>
        <vt:lpwstr/>
      </vt:variant>
      <vt:variant>
        <vt:lpwstr>_Toc467231913</vt:lpwstr>
      </vt:variant>
      <vt:variant>
        <vt:i4>1245241</vt:i4>
      </vt:variant>
      <vt:variant>
        <vt:i4>161</vt:i4>
      </vt:variant>
      <vt:variant>
        <vt:i4>0</vt:i4>
      </vt:variant>
      <vt:variant>
        <vt:i4>5</vt:i4>
      </vt:variant>
      <vt:variant>
        <vt:lpwstr/>
      </vt:variant>
      <vt:variant>
        <vt:lpwstr>_Toc467231912</vt:lpwstr>
      </vt:variant>
      <vt:variant>
        <vt:i4>1245241</vt:i4>
      </vt:variant>
      <vt:variant>
        <vt:i4>152</vt:i4>
      </vt:variant>
      <vt:variant>
        <vt:i4>0</vt:i4>
      </vt:variant>
      <vt:variant>
        <vt:i4>5</vt:i4>
      </vt:variant>
      <vt:variant>
        <vt:lpwstr/>
      </vt:variant>
      <vt:variant>
        <vt:lpwstr>_Toc467231911</vt:lpwstr>
      </vt:variant>
      <vt:variant>
        <vt:i4>1245241</vt:i4>
      </vt:variant>
      <vt:variant>
        <vt:i4>146</vt:i4>
      </vt:variant>
      <vt:variant>
        <vt:i4>0</vt:i4>
      </vt:variant>
      <vt:variant>
        <vt:i4>5</vt:i4>
      </vt:variant>
      <vt:variant>
        <vt:lpwstr/>
      </vt:variant>
      <vt:variant>
        <vt:lpwstr>_Toc467231910</vt:lpwstr>
      </vt:variant>
      <vt:variant>
        <vt:i4>1179705</vt:i4>
      </vt:variant>
      <vt:variant>
        <vt:i4>140</vt:i4>
      </vt:variant>
      <vt:variant>
        <vt:i4>0</vt:i4>
      </vt:variant>
      <vt:variant>
        <vt:i4>5</vt:i4>
      </vt:variant>
      <vt:variant>
        <vt:lpwstr/>
      </vt:variant>
      <vt:variant>
        <vt:lpwstr>_Toc467231909</vt:lpwstr>
      </vt:variant>
      <vt:variant>
        <vt:i4>1179705</vt:i4>
      </vt:variant>
      <vt:variant>
        <vt:i4>134</vt:i4>
      </vt:variant>
      <vt:variant>
        <vt:i4>0</vt:i4>
      </vt:variant>
      <vt:variant>
        <vt:i4>5</vt:i4>
      </vt:variant>
      <vt:variant>
        <vt:lpwstr/>
      </vt:variant>
      <vt:variant>
        <vt:lpwstr>_Toc467231908</vt:lpwstr>
      </vt:variant>
      <vt:variant>
        <vt:i4>1179705</vt:i4>
      </vt:variant>
      <vt:variant>
        <vt:i4>128</vt:i4>
      </vt:variant>
      <vt:variant>
        <vt:i4>0</vt:i4>
      </vt:variant>
      <vt:variant>
        <vt:i4>5</vt:i4>
      </vt:variant>
      <vt:variant>
        <vt:lpwstr/>
      </vt:variant>
      <vt:variant>
        <vt:lpwstr>_Toc467231907</vt:lpwstr>
      </vt:variant>
      <vt:variant>
        <vt:i4>1179705</vt:i4>
      </vt:variant>
      <vt:variant>
        <vt:i4>122</vt:i4>
      </vt:variant>
      <vt:variant>
        <vt:i4>0</vt:i4>
      </vt:variant>
      <vt:variant>
        <vt:i4>5</vt:i4>
      </vt:variant>
      <vt:variant>
        <vt:lpwstr/>
      </vt:variant>
      <vt:variant>
        <vt:lpwstr>_Toc467231906</vt:lpwstr>
      </vt:variant>
      <vt:variant>
        <vt:i4>1179705</vt:i4>
      </vt:variant>
      <vt:variant>
        <vt:i4>116</vt:i4>
      </vt:variant>
      <vt:variant>
        <vt:i4>0</vt:i4>
      </vt:variant>
      <vt:variant>
        <vt:i4>5</vt:i4>
      </vt:variant>
      <vt:variant>
        <vt:lpwstr/>
      </vt:variant>
      <vt:variant>
        <vt:lpwstr>_Toc467231905</vt:lpwstr>
      </vt:variant>
      <vt:variant>
        <vt:i4>1179705</vt:i4>
      </vt:variant>
      <vt:variant>
        <vt:i4>110</vt:i4>
      </vt:variant>
      <vt:variant>
        <vt:i4>0</vt:i4>
      </vt:variant>
      <vt:variant>
        <vt:i4>5</vt:i4>
      </vt:variant>
      <vt:variant>
        <vt:lpwstr/>
      </vt:variant>
      <vt:variant>
        <vt:lpwstr>_Toc467231904</vt:lpwstr>
      </vt:variant>
      <vt:variant>
        <vt:i4>1179705</vt:i4>
      </vt:variant>
      <vt:variant>
        <vt:i4>104</vt:i4>
      </vt:variant>
      <vt:variant>
        <vt:i4>0</vt:i4>
      </vt:variant>
      <vt:variant>
        <vt:i4>5</vt:i4>
      </vt:variant>
      <vt:variant>
        <vt:lpwstr/>
      </vt:variant>
      <vt:variant>
        <vt:lpwstr>_Toc467231903</vt:lpwstr>
      </vt:variant>
      <vt:variant>
        <vt:i4>1179705</vt:i4>
      </vt:variant>
      <vt:variant>
        <vt:i4>98</vt:i4>
      </vt:variant>
      <vt:variant>
        <vt:i4>0</vt:i4>
      </vt:variant>
      <vt:variant>
        <vt:i4>5</vt:i4>
      </vt:variant>
      <vt:variant>
        <vt:lpwstr/>
      </vt:variant>
      <vt:variant>
        <vt:lpwstr>_Toc467231902</vt:lpwstr>
      </vt:variant>
      <vt:variant>
        <vt:i4>1179705</vt:i4>
      </vt:variant>
      <vt:variant>
        <vt:i4>92</vt:i4>
      </vt:variant>
      <vt:variant>
        <vt:i4>0</vt:i4>
      </vt:variant>
      <vt:variant>
        <vt:i4>5</vt:i4>
      </vt:variant>
      <vt:variant>
        <vt:lpwstr/>
      </vt:variant>
      <vt:variant>
        <vt:lpwstr>_Toc467231901</vt:lpwstr>
      </vt:variant>
      <vt:variant>
        <vt:i4>1179705</vt:i4>
      </vt:variant>
      <vt:variant>
        <vt:i4>86</vt:i4>
      </vt:variant>
      <vt:variant>
        <vt:i4>0</vt:i4>
      </vt:variant>
      <vt:variant>
        <vt:i4>5</vt:i4>
      </vt:variant>
      <vt:variant>
        <vt:lpwstr/>
      </vt:variant>
      <vt:variant>
        <vt:lpwstr>_Toc467231900</vt:lpwstr>
      </vt:variant>
      <vt:variant>
        <vt:i4>1769528</vt:i4>
      </vt:variant>
      <vt:variant>
        <vt:i4>80</vt:i4>
      </vt:variant>
      <vt:variant>
        <vt:i4>0</vt:i4>
      </vt:variant>
      <vt:variant>
        <vt:i4>5</vt:i4>
      </vt:variant>
      <vt:variant>
        <vt:lpwstr/>
      </vt:variant>
      <vt:variant>
        <vt:lpwstr>_Toc467231899</vt:lpwstr>
      </vt:variant>
      <vt:variant>
        <vt:i4>1769528</vt:i4>
      </vt:variant>
      <vt:variant>
        <vt:i4>74</vt:i4>
      </vt:variant>
      <vt:variant>
        <vt:i4>0</vt:i4>
      </vt:variant>
      <vt:variant>
        <vt:i4>5</vt:i4>
      </vt:variant>
      <vt:variant>
        <vt:lpwstr/>
      </vt:variant>
      <vt:variant>
        <vt:lpwstr>_Toc467231898</vt:lpwstr>
      </vt:variant>
      <vt:variant>
        <vt:i4>1769528</vt:i4>
      </vt:variant>
      <vt:variant>
        <vt:i4>68</vt:i4>
      </vt:variant>
      <vt:variant>
        <vt:i4>0</vt:i4>
      </vt:variant>
      <vt:variant>
        <vt:i4>5</vt:i4>
      </vt:variant>
      <vt:variant>
        <vt:lpwstr/>
      </vt:variant>
      <vt:variant>
        <vt:lpwstr>_Toc467231897</vt:lpwstr>
      </vt:variant>
      <vt:variant>
        <vt:i4>1769528</vt:i4>
      </vt:variant>
      <vt:variant>
        <vt:i4>62</vt:i4>
      </vt:variant>
      <vt:variant>
        <vt:i4>0</vt:i4>
      </vt:variant>
      <vt:variant>
        <vt:i4>5</vt:i4>
      </vt:variant>
      <vt:variant>
        <vt:lpwstr/>
      </vt:variant>
      <vt:variant>
        <vt:lpwstr>_Toc467231896</vt:lpwstr>
      </vt:variant>
      <vt:variant>
        <vt:i4>1769528</vt:i4>
      </vt:variant>
      <vt:variant>
        <vt:i4>56</vt:i4>
      </vt:variant>
      <vt:variant>
        <vt:i4>0</vt:i4>
      </vt:variant>
      <vt:variant>
        <vt:i4>5</vt:i4>
      </vt:variant>
      <vt:variant>
        <vt:lpwstr/>
      </vt:variant>
      <vt:variant>
        <vt:lpwstr>_Toc467231895</vt:lpwstr>
      </vt:variant>
      <vt:variant>
        <vt:i4>1769528</vt:i4>
      </vt:variant>
      <vt:variant>
        <vt:i4>50</vt:i4>
      </vt:variant>
      <vt:variant>
        <vt:i4>0</vt:i4>
      </vt:variant>
      <vt:variant>
        <vt:i4>5</vt:i4>
      </vt:variant>
      <vt:variant>
        <vt:lpwstr/>
      </vt:variant>
      <vt:variant>
        <vt:lpwstr>_Toc467231894</vt:lpwstr>
      </vt:variant>
      <vt:variant>
        <vt:i4>1769528</vt:i4>
      </vt:variant>
      <vt:variant>
        <vt:i4>44</vt:i4>
      </vt:variant>
      <vt:variant>
        <vt:i4>0</vt:i4>
      </vt:variant>
      <vt:variant>
        <vt:i4>5</vt:i4>
      </vt:variant>
      <vt:variant>
        <vt:lpwstr/>
      </vt:variant>
      <vt:variant>
        <vt:lpwstr>_Toc467231893</vt:lpwstr>
      </vt:variant>
      <vt:variant>
        <vt:i4>1769528</vt:i4>
      </vt:variant>
      <vt:variant>
        <vt:i4>38</vt:i4>
      </vt:variant>
      <vt:variant>
        <vt:i4>0</vt:i4>
      </vt:variant>
      <vt:variant>
        <vt:i4>5</vt:i4>
      </vt:variant>
      <vt:variant>
        <vt:lpwstr/>
      </vt:variant>
      <vt:variant>
        <vt:lpwstr>_Toc467231892</vt:lpwstr>
      </vt:variant>
      <vt:variant>
        <vt:i4>1769528</vt:i4>
      </vt:variant>
      <vt:variant>
        <vt:i4>32</vt:i4>
      </vt:variant>
      <vt:variant>
        <vt:i4>0</vt:i4>
      </vt:variant>
      <vt:variant>
        <vt:i4>5</vt:i4>
      </vt:variant>
      <vt:variant>
        <vt:lpwstr/>
      </vt:variant>
      <vt:variant>
        <vt:lpwstr>_Toc467231891</vt:lpwstr>
      </vt:variant>
      <vt:variant>
        <vt:i4>1769528</vt:i4>
      </vt:variant>
      <vt:variant>
        <vt:i4>26</vt:i4>
      </vt:variant>
      <vt:variant>
        <vt:i4>0</vt:i4>
      </vt:variant>
      <vt:variant>
        <vt:i4>5</vt:i4>
      </vt:variant>
      <vt:variant>
        <vt:lpwstr/>
      </vt:variant>
      <vt:variant>
        <vt:lpwstr>_Toc467231890</vt:lpwstr>
      </vt:variant>
      <vt:variant>
        <vt:i4>1703992</vt:i4>
      </vt:variant>
      <vt:variant>
        <vt:i4>20</vt:i4>
      </vt:variant>
      <vt:variant>
        <vt:i4>0</vt:i4>
      </vt:variant>
      <vt:variant>
        <vt:i4>5</vt:i4>
      </vt:variant>
      <vt:variant>
        <vt:lpwstr/>
      </vt:variant>
      <vt:variant>
        <vt:lpwstr>_Toc467231889</vt:lpwstr>
      </vt:variant>
      <vt:variant>
        <vt:i4>1703992</vt:i4>
      </vt:variant>
      <vt:variant>
        <vt:i4>14</vt:i4>
      </vt:variant>
      <vt:variant>
        <vt:i4>0</vt:i4>
      </vt:variant>
      <vt:variant>
        <vt:i4>5</vt:i4>
      </vt:variant>
      <vt:variant>
        <vt:lpwstr/>
      </vt:variant>
      <vt:variant>
        <vt:lpwstr>_Toc467231888</vt:lpwstr>
      </vt:variant>
      <vt:variant>
        <vt:i4>1703992</vt:i4>
      </vt:variant>
      <vt:variant>
        <vt:i4>8</vt:i4>
      </vt:variant>
      <vt:variant>
        <vt:i4>0</vt:i4>
      </vt:variant>
      <vt:variant>
        <vt:i4>5</vt:i4>
      </vt:variant>
      <vt:variant>
        <vt:lpwstr/>
      </vt:variant>
      <vt:variant>
        <vt:lpwstr>_Toc467231887</vt:lpwstr>
      </vt:variant>
      <vt:variant>
        <vt:i4>1703992</vt:i4>
      </vt:variant>
      <vt:variant>
        <vt:i4>2</vt:i4>
      </vt:variant>
      <vt:variant>
        <vt:i4>0</vt:i4>
      </vt:variant>
      <vt:variant>
        <vt:i4>5</vt:i4>
      </vt:variant>
      <vt:variant>
        <vt:lpwstr/>
      </vt:variant>
      <vt:variant>
        <vt:lpwstr>_Toc467231886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cp:revision>
  <cp:lastPrinted>2016-11-17T18:51:00Z</cp:lastPrinted>
  <dcterms:created xsi:type="dcterms:W3CDTF">2017-05-23T18:59:00Z</dcterms:created>
  <dcterms:modified xsi:type="dcterms:W3CDTF">2017-05-23T19:00:00Z</dcterms:modified>
</cp:coreProperties>
</file>