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54B9" w14:textId="0F98BC32" w:rsidR="004E3B59" w:rsidRDefault="003613C1" w:rsidP="00BF2B29">
      <w:pPr>
        <w:ind w:firstLine="0"/>
      </w:pPr>
      <w:r>
        <w:rPr>
          <w:noProof/>
        </w:rPr>
        <mc:AlternateContent>
          <mc:Choice Requires="wps">
            <w:drawing>
              <wp:anchor distT="0" distB="0" distL="114300" distR="114300" simplePos="0" relativeHeight="251655680" behindDoc="0" locked="0" layoutInCell="1" allowOverlap="1" wp14:anchorId="72C317B7" wp14:editId="69AFD8B4">
                <wp:simplePos x="0" y="0"/>
                <wp:positionH relativeFrom="page">
                  <wp:posOffset>552450</wp:posOffset>
                </wp:positionH>
                <wp:positionV relativeFrom="page">
                  <wp:posOffset>933450</wp:posOffset>
                </wp:positionV>
                <wp:extent cx="6562725" cy="7791450"/>
                <wp:effectExtent l="0" t="0" r="9525" b="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779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86F4B" w14:textId="77777777" w:rsidR="000779E7" w:rsidRPr="00972492" w:rsidRDefault="000779E7" w:rsidP="003613C1">
                            <w:pPr>
                              <w:spacing w:line="240" w:lineRule="auto"/>
                              <w:ind w:firstLine="0"/>
                              <w:rPr>
                                <w:b/>
                                <w:caps/>
                              </w:rPr>
                            </w:pPr>
                          </w:p>
                          <w:p w14:paraId="458B87C8" w14:textId="707BB707" w:rsidR="000779E7" w:rsidRPr="00972492" w:rsidRDefault="000779E7" w:rsidP="003613C1">
                            <w:pPr>
                              <w:spacing w:line="240" w:lineRule="auto"/>
                              <w:ind w:firstLine="0"/>
                              <w:jc w:val="center"/>
                              <w:rPr>
                                <w:b/>
                                <w:caps/>
                              </w:rPr>
                            </w:pPr>
                            <w:r w:rsidRPr="00972492">
                              <w:rPr>
                                <w:b/>
                                <w:caps/>
                              </w:rPr>
                              <w:t xml:space="preserve">Variations in Treatment Intensity at End of Life: </w:t>
                            </w:r>
                            <w:r w:rsidRPr="00972492">
                              <w:rPr>
                                <w:b/>
                                <w:caps/>
                              </w:rPr>
                              <w:br/>
                              <w:t>Review of Evidence and Policy and Program Implications</w:t>
                            </w:r>
                          </w:p>
                          <w:p w14:paraId="7836E872" w14:textId="2ABC733A" w:rsidR="000779E7" w:rsidRDefault="000779E7" w:rsidP="00536110">
                            <w:pPr>
                              <w:spacing w:line="240" w:lineRule="auto"/>
                              <w:ind w:firstLine="0"/>
                              <w:jc w:val="center"/>
                              <w:rPr>
                                <w:b/>
                              </w:rPr>
                            </w:pPr>
                          </w:p>
                          <w:p w14:paraId="1A9D494C" w14:textId="1F119831" w:rsidR="000779E7" w:rsidRDefault="000779E7" w:rsidP="00536110">
                            <w:pPr>
                              <w:spacing w:line="240" w:lineRule="auto"/>
                              <w:ind w:firstLine="0"/>
                              <w:jc w:val="center"/>
                              <w:rPr>
                                <w:b/>
                              </w:rPr>
                            </w:pPr>
                          </w:p>
                          <w:p w14:paraId="742FD4E2" w14:textId="09E30D32" w:rsidR="000779E7" w:rsidRDefault="000779E7" w:rsidP="003613C1">
                            <w:pPr>
                              <w:spacing w:line="240" w:lineRule="auto"/>
                              <w:ind w:firstLine="0"/>
                              <w:rPr>
                                <w:b/>
                              </w:rPr>
                            </w:pPr>
                          </w:p>
                          <w:p w14:paraId="1E0EF019" w14:textId="77777777" w:rsidR="000779E7" w:rsidRDefault="000779E7" w:rsidP="00536110">
                            <w:pPr>
                              <w:spacing w:line="240" w:lineRule="auto"/>
                              <w:ind w:firstLine="0"/>
                              <w:jc w:val="center"/>
                              <w:rPr>
                                <w:b/>
                              </w:rPr>
                            </w:pPr>
                          </w:p>
                          <w:p w14:paraId="3E1DA94D" w14:textId="3347556F" w:rsidR="000779E7" w:rsidRDefault="000779E7" w:rsidP="00536110">
                            <w:pPr>
                              <w:spacing w:line="240" w:lineRule="auto"/>
                              <w:ind w:firstLine="0"/>
                              <w:jc w:val="center"/>
                              <w:rPr>
                                <w:b/>
                              </w:rPr>
                            </w:pPr>
                          </w:p>
                          <w:p w14:paraId="52A5621C" w14:textId="2DB19D65" w:rsidR="000779E7" w:rsidRDefault="000779E7" w:rsidP="00536110">
                            <w:pPr>
                              <w:spacing w:line="240" w:lineRule="auto"/>
                              <w:ind w:firstLine="0"/>
                              <w:jc w:val="center"/>
                              <w:rPr>
                                <w:b/>
                              </w:rPr>
                            </w:pPr>
                          </w:p>
                          <w:p w14:paraId="11F001A3" w14:textId="3F7B8ACE" w:rsidR="000779E7" w:rsidRDefault="000779E7" w:rsidP="00536110">
                            <w:pPr>
                              <w:spacing w:line="240" w:lineRule="auto"/>
                              <w:ind w:firstLine="0"/>
                              <w:jc w:val="center"/>
                              <w:rPr>
                                <w:b/>
                              </w:rPr>
                            </w:pPr>
                          </w:p>
                          <w:p w14:paraId="0188CA58" w14:textId="77777777" w:rsidR="000779E7" w:rsidRDefault="000779E7" w:rsidP="00536110">
                            <w:pPr>
                              <w:spacing w:line="240" w:lineRule="auto"/>
                              <w:ind w:firstLine="0"/>
                              <w:jc w:val="center"/>
                              <w:rPr>
                                <w:b/>
                              </w:rPr>
                            </w:pPr>
                          </w:p>
                          <w:p w14:paraId="2D859F1B" w14:textId="1EA78872" w:rsidR="000779E7" w:rsidRDefault="000779E7" w:rsidP="00334F18">
                            <w:pPr>
                              <w:ind w:firstLine="0"/>
                              <w:jc w:val="center"/>
                            </w:pPr>
                            <w:r>
                              <w:t>by</w:t>
                            </w:r>
                          </w:p>
                          <w:p w14:paraId="405DC9EE" w14:textId="05807E9A" w:rsidR="000779E7" w:rsidRDefault="000779E7" w:rsidP="00334F18">
                            <w:pPr>
                              <w:ind w:firstLine="0"/>
                              <w:jc w:val="center"/>
                            </w:pPr>
                            <w:r>
                              <w:t>Robert Ferguson</w:t>
                            </w:r>
                          </w:p>
                          <w:p w14:paraId="0C7252A5" w14:textId="0955EC7A" w:rsidR="000779E7" w:rsidRDefault="000779E7" w:rsidP="00334F18">
                            <w:pPr>
                              <w:ind w:firstLine="0"/>
                              <w:jc w:val="center"/>
                            </w:pPr>
                            <w:r>
                              <w:t>BS, Northeastern University, 2009</w:t>
                            </w:r>
                          </w:p>
                          <w:p w14:paraId="18D945A8" w14:textId="77777777" w:rsidR="000779E7" w:rsidRPr="00834193" w:rsidRDefault="000779E7" w:rsidP="008B23CA">
                            <w:pPr>
                              <w:spacing w:line="240" w:lineRule="auto"/>
                              <w:ind w:left="-720" w:firstLine="0"/>
                              <w:jc w:val="center"/>
                              <w:rPr>
                                <w:noProof/>
                              </w:rPr>
                            </w:pPr>
                          </w:p>
                          <w:p w14:paraId="6251FCF8" w14:textId="77777777" w:rsidR="000779E7" w:rsidRDefault="000779E7" w:rsidP="00536110">
                            <w:pPr>
                              <w:spacing w:line="240" w:lineRule="auto"/>
                              <w:ind w:firstLine="0"/>
                              <w:jc w:val="center"/>
                              <w:rPr>
                                <w:b/>
                              </w:rPr>
                            </w:pPr>
                          </w:p>
                          <w:p w14:paraId="7E62A61C" w14:textId="77777777" w:rsidR="000779E7" w:rsidRDefault="000779E7" w:rsidP="00536110">
                            <w:pPr>
                              <w:spacing w:line="240" w:lineRule="auto"/>
                              <w:ind w:firstLine="0"/>
                              <w:jc w:val="center"/>
                              <w:rPr>
                                <w:b/>
                              </w:rPr>
                            </w:pPr>
                          </w:p>
                          <w:p w14:paraId="298B6F38" w14:textId="77777777" w:rsidR="000779E7" w:rsidRDefault="000779E7" w:rsidP="00536110">
                            <w:pPr>
                              <w:spacing w:line="240" w:lineRule="auto"/>
                              <w:ind w:firstLine="0"/>
                              <w:jc w:val="center"/>
                              <w:rPr>
                                <w:b/>
                              </w:rPr>
                            </w:pPr>
                          </w:p>
                          <w:p w14:paraId="6536724F" w14:textId="77777777" w:rsidR="000779E7" w:rsidRDefault="000779E7" w:rsidP="00536110">
                            <w:pPr>
                              <w:spacing w:line="240" w:lineRule="auto"/>
                              <w:ind w:firstLine="0"/>
                              <w:jc w:val="center"/>
                              <w:rPr>
                                <w:b/>
                              </w:rPr>
                            </w:pPr>
                          </w:p>
                          <w:p w14:paraId="74CC3F07" w14:textId="77777777" w:rsidR="000779E7" w:rsidRDefault="000779E7" w:rsidP="00536110">
                            <w:pPr>
                              <w:spacing w:line="240" w:lineRule="auto"/>
                              <w:ind w:firstLine="0"/>
                              <w:jc w:val="center"/>
                              <w:rPr>
                                <w:b/>
                              </w:rPr>
                            </w:pPr>
                          </w:p>
                          <w:p w14:paraId="5A9AD2D2" w14:textId="77777777" w:rsidR="000779E7" w:rsidRDefault="000779E7" w:rsidP="00536110">
                            <w:pPr>
                              <w:spacing w:line="240" w:lineRule="auto"/>
                              <w:ind w:firstLine="0"/>
                              <w:jc w:val="center"/>
                              <w:rPr>
                                <w:b/>
                              </w:rPr>
                            </w:pPr>
                          </w:p>
                          <w:p w14:paraId="0096B60F" w14:textId="77777777" w:rsidR="000779E7" w:rsidRDefault="000779E7" w:rsidP="00536110">
                            <w:pPr>
                              <w:spacing w:line="240" w:lineRule="auto"/>
                              <w:ind w:firstLine="0"/>
                              <w:jc w:val="center"/>
                              <w:rPr>
                                <w:b/>
                              </w:rPr>
                            </w:pPr>
                          </w:p>
                          <w:p w14:paraId="30D302EA" w14:textId="77777777" w:rsidR="000779E7" w:rsidRDefault="000779E7" w:rsidP="00536110">
                            <w:pPr>
                              <w:spacing w:line="240" w:lineRule="auto"/>
                              <w:ind w:firstLine="0"/>
                              <w:jc w:val="center"/>
                              <w:rPr>
                                <w:b/>
                              </w:rPr>
                            </w:pPr>
                          </w:p>
                          <w:p w14:paraId="2A239DF5" w14:textId="77777777" w:rsidR="000779E7" w:rsidRDefault="000779E7" w:rsidP="00B57E9B">
                            <w:pPr>
                              <w:ind w:firstLine="0"/>
                              <w:jc w:val="center"/>
                            </w:pPr>
                            <w:r>
                              <w:t>Submitted to the Graduate Faculty of</w:t>
                            </w:r>
                          </w:p>
                          <w:p w14:paraId="336F81E8" w14:textId="77777777" w:rsidR="000779E7" w:rsidRDefault="000779E7" w:rsidP="00B57E9B">
                            <w:pPr>
                              <w:ind w:firstLine="0"/>
                              <w:jc w:val="center"/>
                            </w:pPr>
                            <w:r>
                              <w:t xml:space="preserve">Graduate School of Public Health in partial fulfillment </w:t>
                            </w:r>
                          </w:p>
                          <w:p w14:paraId="57D75E76" w14:textId="77777777" w:rsidR="000779E7" w:rsidRDefault="000779E7" w:rsidP="00B57E9B">
                            <w:pPr>
                              <w:ind w:firstLine="0"/>
                              <w:jc w:val="center"/>
                            </w:pPr>
                            <w:r>
                              <w:t>of the requirements for the degree of</w:t>
                            </w:r>
                          </w:p>
                          <w:p w14:paraId="7C4FA766" w14:textId="77777777" w:rsidR="000779E7" w:rsidRDefault="000779E7" w:rsidP="00536110">
                            <w:pPr>
                              <w:spacing w:line="240" w:lineRule="auto"/>
                              <w:ind w:firstLine="0"/>
                              <w:jc w:val="center"/>
                            </w:pPr>
                            <w:r>
                              <w:t xml:space="preserve">Master of Public Health </w:t>
                            </w:r>
                          </w:p>
                          <w:p w14:paraId="16D5E400" w14:textId="77777777" w:rsidR="000779E7" w:rsidRDefault="000779E7" w:rsidP="00536110">
                            <w:pPr>
                              <w:spacing w:line="240" w:lineRule="auto"/>
                              <w:ind w:firstLine="0"/>
                              <w:jc w:val="center"/>
                            </w:pPr>
                          </w:p>
                          <w:p w14:paraId="269895DD" w14:textId="77777777" w:rsidR="000779E7" w:rsidRDefault="000779E7" w:rsidP="00B57E9B">
                            <w:pPr>
                              <w:spacing w:line="240" w:lineRule="auto"/>
                              <w:ind w:firstLine="0"/>
                              <w:jc w:val="center"/>
                            </w:pPr>
                          </w:p>
                          <w:p w14:paraId="46BA0C29" w14:textId="77777777" w:rsidR="000779E7" w:rsidRDefault="000779E7" w:rsidP="00B57E9B">
                            <w:pPr>
                              <w:spacing w:line="240" w:lineRule="auto"/>
                              <w:ind w:firstLine="0"/>
                              <w:jc w:val="center"/>
                            </w:pPr>
                          </w:p>
                          <w:p w14:paraId="6A7168AB" w14:textId="77777777" w:rsidR="000779E7" w:rsidRDefault="000779E7" w:rsidP="00B57E9B">
                            <w:pPr>
                              <w:spacing w:line="240" w:lineRule="auto"/>
                              <w:ind w:firstLine="0"/>
                              <w:jc w:val="center"/>
                            </w:pPr>
                          </w:p>
                          <w:p w14:paraId="1BC957EB" w14:textId="77777777" w:rsidR="000779E7" w:rsidRDefault="000779E7" w:rsidP="00B57E9B">
                            <w:pPr>
                              <w:spacing w:line="240" w:lineRule="auto"/>
                              <w:ind w:firstLine="0"/>
                              <w:jc w:val="center"/>
                            </w:pPr>
                          </w:p>
                          <w:p w14:paraId="163E8626" w14:textId="77777777" w:rsidR="000779E7" w:rsidRDefault="000779E7" w:rsidP="00B57E9B">
                            <w:pPr>
                              <w:spacing w:line="240" w:lineRule="auto"/>
                              <w:ind w:firstLine="0"/>
                              <w:jc w:val="center"/>
                            </w:pPr>
                          </w:p>
                          <w:p w14:paraId="77AD26FC" w14:textId="77777777" w:rsidR="000779E7" w:rsidRDefault="000779E7" w:rsidP="00B57E9B">
                            <w:pPr>
                              <w:spacing w:line="240" w:lineRule="auto"/>
                              <w:ind w:firstLine="0"/>
                              <w:jc w:val="center"/>
                            </w:pPr>
                          </w:p>
                          <w:p w14:paraId="48BD80D1" w14:textId="77777777" w:rsidR="000779E7" w:rsidRDefault="000779E7" w:rsidP="00B57E9B">
                            <w:pPr>
                              <w:spacing w:line="240" w:lineRule="auto"/>
                              <w:ind w:firstLine="0"/>
                              <w:jc w:val="center"/>
                            </w:pPr>
                          </w:p>
                          <w:p w14:paraId="2903A1BA" w14:textId="77777777" w:rsidR="000779E7" w:rsidRPr="00AB08F3" w:rsidRDefault="000779E7" w:rsidP="00337CC7">
                            <w:pPr>
                              <w:ind w:firstLine="0"/>
                              <w:jc w:val="center"/>
                            </w:pPr>
                            <w:smartTag w:uri="urn:schemas-microsoft-com:office:smarttags" w:element="PlaceType">
                              <w:r w:rsidRPr="00AB08F3">
                                <w:t>University</w:t>
                              </w:r>
                            </w:smartTag>
                            <w:r w:rsidRPr="00AB08F3">
                              <w:t xml:space="preserve"> of Pittsburg</w:t>
                            </w:r>
                            <w:r>
                              <w:t>h</w:t>
                            </w:r>
                          </w:p>
                          <w:p w14:paraId="0B602135" w14:textId="63B3674B" w:rsidR="000779E7" w:rsidRPr="00AB08F3" w:rsidRDefault="000779E7" w:rsidP="00B57E9B">
                            <w:pPr>
                              <w:ind w:firstLine="0"/>
                              <w:jc w:val="center"/>
                              <w:rPr>
                                <w:noProof/>
                              </w:rPr>
                            </w:pPr>
                            <w:r>
                              <w:t>2017</w:t>
                            </w:r>
                          </w:p>
                          <w:p w14:paraId="01E6B06B" w14:textId="77777777" w:rsidR="000779E7" w:rsidRPr="004E3B59" w:rsidRDefault="000779E7" w:rsidP="006B1124">
                            <w:pPr>
                              <w:ind w:firstLine="0"/>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17B7" id="_x0000_t202" coordsize="21600,21600" o:spt="202" path="m,l,21600r21600,l21600,xe">
                <v:stroke joinstyle="miter"/>
                <v:path gradientshapeok="t" o:connecttype="rect"/>
              </v:shapetype>
              <v:shape id="Text Box 14" o:spid="_x0000_s1026" type="#_x0000_t202" style="position:absolute;left:0;text-align:left;margin-left:43.5pt;margin-top:73.5pt;width:516.75pt;height:61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" stroked="f">
                <v:textbox inset="0,0,0,0">
                  <w:txbxContent>
                    <w:p w14:paraId="4CD86F4B" w14:textId="77777777" w:rsidR="000779E7" w:rsidRPr="00972492" w:rsidRDefault="000779E7" w:rsidP="003613C1">
                      <w:pPr>
                        <w:spacing w:line="240" w:lineRule="auto"/>
                        <w:ind w:firstLine="0"/>
                        <w:rPr>
                          <w:b/>
                          <w:caps/>
                        </w:rPr>
                      </w:pPr>
                    </w:p>
                    <w:p w14:paraId="458B87C8" w14:textId="707BB707" w:rsidR="000779E7" w:rsidRPr="00972492" w:rsidRDefault="000779E7" w:rsidP="003613C1">
                      <w:pPr>
                        <w:spacing w:line="240" w:lineRule="auto"/>
                        <w:ind w:firstLine="0"/>
                        <w:jc w:val="center"/>
                        <w:rPr>
                          <w:b/>
                          <w:caps/>
                        </w:rPr>
                      </w:pPr>
                      <w:r w:rsidRPr="00972492">
                        <w:rPr>
                          <w:b/>
                          <w:caps/>
                        </w:rPr>
                        <w:t xml:space="preserve">Variations in Treatment Intensity at End of Life: </w:t>
                      </w:r>
                      <w:r w:rsidRPr="00972492">
                        <w:rPr>
                          <w:b/>
                          <w:caps/>
                        </w:rPr>
                        <w:br/>
                        <w:t>Review of Evidence and Policy and Program Implications</w:t>
                      </w:r>
                    </w:p>
                    <w:p w14:paraId="7836E872" w14:textId="2ABC733A" w:rsidR="000779E7" w:rsidRDefault="000779E7" w:rsidP="00536110">
                      <w:pPr>
                        <w:spacing w:line="240" w:lineRule="auto"/>
                        <w:ind w:firstLine="0"/>
                        <w:jc w:val="center"/>
                        <w:rPr>
                          <w:b/>
                        </w:rPr>
                      </w:pPr>
                    </w:p>
                    <w:p w14:paraId="1A9D494C" w14:textId="1F119831" w:rsidR="000779E7" w:rsidRDefault="000779E7" w:rsidP="00536110">
                      <w:pPr>
                        <w:spacing w:line="240" w:lineRule="auto"/>
                        <w:ind w:firstLine="0"/>
                        <w:jc w:val="center"/>
                        <w:rPr>
                          <w:b/>
                        </w:rPr>
                      </w:pPr>
                    </w:p>
                    <w:p w14:paraId="742FD4E2" w14:textId="09E30D32" w:rsidR="000779E7" w:rsidRDefault="000779E7" w:rsidP="003613C1">
                      <w:pPr>
                        <w:spacing w:line="240" w:lineRule="auto"/>
                        <w:ind w:firstLine="0"/>
                        <w:rPr>
                          <w:b/>
                        </w:rPr>
                      </w:pPr>
                    </w:p>
                    <w:p w14:paraId="1E0EF019" w14:textId="77777777" w:rsidR="000779E7" w:rsidRDefault="000779E7" w:rsidP="00536110">
                      <w:pPr>
                        <w:spacing w:line="240" w:lineRule="auto"/>
                        <w:ind w:firstLine="0"/>
                        <w:jc w:val="center"/>
                        <w:rPr>
                          <w:b/>
                        </w:rPr>
                      </w:pPr>
                    </w:p>
                    <w:p w14:paraId="3E1DA94D" w14:textId="3347556F" w:rsidR="000779E7" w:rsidRDefault="000779E7" w:rsidP="00536110">
                      <w:pPr>
                        <w:spacing w:line="240" w:lineRule="auto"/>
                        <w:ind w:firstLine="0"/>
                        <w:jc w:val="center"/>
                        <w:rPr>
                          <w:b/>
                        </w:rPr>
                      </w:pPr>
                    </w:p>
                    <w:p w14:paraId="52A5621C" w14:textId="2DB19D65" w:rsidR="000779E7" w:rsidRDefault="000779E7" w:rsidP="00536110">
                      <w:pPr>
                        <w:spacing w:line="240" w:lineRule="auto"/>
                        <w:ind w:firstLine="0"/>
                        <w:jc w:val="center"/>
                        <w:rPr>
                          <w:b/>
                        </w:rPr>
                      </w:pPr>
                    </w:p>
                    <w:p w14:paraId="11F001A3" w14:textId="3F7B8ACE" w:rsidR="000779E7" w:rsidRDefault="000779E7" w:rsidP="00536110">
                      <w:pPr>
                        <w:spacing w:line="240" w:lineRule="auto"/>
                        <w:ind w:firstLine="0"/>
                        <w:jc w:val="center"/>
                        <w:rPr>
                          <w:b/>
                        </w:rPr>
                      </w:pPr>
                    </w:p>
                    <w:p w14:paraId="0188CA58" w14:textId="77777777" w:rsidR="000779E7" w:rsidRDefault="000779E7" w:rsidP="00536110">
                      <w:pPr>
                        <w:spacing w:line="240" w:lineRule="auto"/>
                        <w:ind w:firstLine="0"/>
                        <w:jc w:val="center"/>
                        <w:rPr>
                          <w:b/>
                        </w:rPr>
                      </w:pPr>
                    </w:p>
                    <w:p w14:paraId="2D859F1B" w14:textId="1EA78872" w:rsidR="000779E7" w:rsidRDefault="000779E7" w:rsidP="00334F18">
                      <w:pPr>
                        <w:ind w:firstLine="0"/>
                        <w:jc w:val="center"/>
                      </w:pPr>
                      <w:r>
                        <w:t>by</w:t>
                      </w:r>
                    </w:p>
                    <w:p w14:paraId="405DC9EE" w14:textId="05807E9A" w:rsidR="000779E7" w:rsidRDefault="000779E7" w:rsidP="00334F18">
                      <w:pPr>
                        <w:ind w:firstLine="0"/>
                        <w:jc w:val="center"/>
                      </w:pPr>
                      <w:r>
                        <w:t>Robert Ferguson</w:t>
                      </w:r>
                    </w:p>
                    <w:p w14:paraId="0C7252A5" w14:textId="0955EC7A" w:rsidR="000779E7" w:rsidRDefault="000779E7" w:rsidP="00334F18">
                      <w:pPr>
                        <w:ind w:firstLine="0"/>
                        <w:jc w:val="center"/>
                      </w:pPr>
                      <w:r>
                        <w:t>BS, Northeastern University, 2009</w:t>
                      </w:r>
                    </w:p>
                    <w:p w14:paraId="18D945A8" w14:textId="77777777" w:rsidR="000779E7" w:rsidRPr="00834193" w:rsidRDefault="000779E7" w:rsidP="008B23CA">
                      <w:pPr>
                        <w:spacing w:line="240" w:lineRule="auto"/>
                        <w:ind w:left="-720" w:firstLine="0"/>
                        <w:jc w:val="center"/>
                        <w:rPr>
                          <w:noProof/>
                        </w:rPr>
                      </w:pPr>
                    </w:p>
                    <w:p w14:paraId="6251FCF8" w14:textId="77777777" w:rsidR="000779E7" w:rsidRDefault="000779E7" w:rsidP="00536110">
                      <w:pPr>
                        <w:spacing w:line="240" w:lineRule="auto"/>
                        <w:ind w:firstLine="0"/>
                        <w:jc w:val="center"/>
                        <w:rPr>
                          <w:b/>
                        </w:rPr>
                      </w:pPr>
                    </w:p>
                    <w:p w14:paraId="7E62A61C" w14:textId="77777777" w:rsidR="000779E7" w:rsidRDefault="000779E7" w:rsidP="00536110">
                      <w:pPr>
                        <w:spacing w:line="240" w:lineRule="auto"/>
                        <w:ind w:firstLine="0"/>
                        <w:jc w:val="center"/>
                        <w:rPr>
                          <w:b/>
                        </w:rPr>
                      </w:pPr>
                    </w:p>
                    <w:p w14:paraId="298B6F38" w14:textId="77777777" w:rsidR="000779E7" w:rsidRDefault="000779E7" w:rsidP="00536110">
                      <w:pPr>
                        <w:spacing w:line="240" w:lineRule="auto"/>
                        <w:ind w:firstLine="0"/>
                        <w:jc w:val="center"/>
                        <w:rPr>
                          <w:b/>
                        </w:rPr>
                      </w:pPr>
                    </w:p>
                    <w:p w14:paraId="6536724F" w14:textId="77777777" w:rsidR="000779E7" w:rsidRDefault="000779E7" w:rsidP="00536110">
                      <w:pPr>
                        <w:spacing w:line="240" w:lineRule="auto"/>
                        <w:ind w:firstLine="0"/>
                        <w:jc w:val="center"/>
                        <w:rPr>
                          <w:b/>
                        </w:rPr>
                      </w:pPr>
                    </w:p>
                    <w:p w14:paraId="74CC3F07" w14:textId="77777777" w:rsidR="000779E7" w:rsidRDefault="000779E7" w:rsidP="00536110">
                      <w:pPr>
                        <w:spacing w:line="240" w:lineRule="auto"/>
                        <w:ind w:firstLine="0"/>
                        <w:jc w:val="center"/>
                        <w:rPr>
                          <w:b/>
                        </w:rPr>
                      </w:pPr>
                    </w:p>
                    <w:p w14:paraId="5A9AD2D2" w14:textId="77777777" w:rsidR="000779E7" w:rsidRDefault="000779E7" w:rsidP="00536110">
                      <w:pPr>
                        <w:spacing w:line="240" w:lineRule="auto"/>
                        <w:ind w:firstLine="0"/>
                        <w:jc w:val="center"/>
                        <w:rPr>
                          <w:b/>
                        </w:rPr>
                      </w:pPr>
                    </w:p>
                    <w:p w14:paraId="0096B60F" w14:textId="77777777" w:rsidR="000779E7" w:rsidRDefault="000779E7" w:rsidP="00536110">
                      <w:pPr>
                        <w:spacing w:line="240" w:lineRule="auto"/>
                        <w:ind w:firstLine="0"/>
                        <w:jc w:val="center"/>
                        <w:rPr>
                          <w:b/>
                        </w:rPr>
                      </w:pPr>
                    </w:p>
                    <w:p w14:paraId="30D302EA" w14:textId="77777777" w:rsidR="000779E7" w:rsidRDefault="000779E7" w:rsidP="00536110">
                      <w:pPr>
                        <w:spacing w:line="240" w:lineRule="auto"/>
                        <w:ind w:firstLine="0"/>
                        <w:jc w:val="center"/>
                        <w:rPr>
                          <w:b/>
                        </w:rPr>
                      </w:pPr>
                    </w:p>
                    <w:p w14:paraId="2A239DF5" w14:textId="77777777" w:rsidR="000779E7" w:rsidRDefault="000779E7" w:rsidP="00B57E9B">
                      <w:pPr>
                        <w:ind w:firstLine="0"/>
                        <w:jc w:val="center"/>
                      </w:pPr>
                      <w:r>
                        <w:t>Submitted to the Graduate Faculty of</w:t>
                      </w:r>
                    </w:p>
                    <w:p w14:paraId="336F81E8" w14:textId="77777777" w:rsidR="000779E7" w:rsidRDefault="000779E7" w:rsidP="00B57E9B">
                      <w:pPr>
                        <w:ind w:firstLine="0"/>
                        <w:jc w:val="center"/>
                      </w:pPr>
                      <w:r>
                        <w:t xml:space="preserve">Graduate School of Public Health in partial fulfillment </w:t>
                      </w:r>
                    </w:p>
                    <w:p w14:paraId="57D75E76" w14:textId="77777777" w:rsidR="000779E7" w:rsidRDefault="000779E7" w:rsidP="00B57E9B">
                      <w:pPr>
                        <w:ind w:firstLine="0"/>
                        <w:jc w:val="center"/>
                      </w:pPr>
                      <w:r>
                        <w:t>of the requirements for the degree of</w:t>
                      </w:r>
                    </w:p>
                    <w:p w14:paraId="7C4FA766" w14:textId="77777777" w:rsidR="000779E7" w:rsidRDefault="000779E7" w:rsidP="00536110">
                      <w:pPr>
                        <w:spacing w:line="240" w:lineRule="auto"/>
                        <w:ind w:firstLine="0"/>
                        <w:jc w:val="center"/>
                      </w:pPr>
                      <w:r>
                        <w:t xml:space="preserve">Master of Public Health </w:t>
                      </w:r>
                    </w:p>
                    <w:p w14:paraId="16D5E400" w14:textId="77777777" w:rsidR="000779E7" w:rsidRDefault="000779E7" w:rsidP="00536110">
                      <w:pPr>
                        <w:spacing w:line="240" w:lineRule="auto"/>
                        <w:ind w:firstLine="0"/>
                        <w:jc w:val="center"/>
                      </w:pPr>
                    </w:p>
                    <w:p w14:paraId="269895DD" w14:textId="77777777" w:rsidR="000779E7" w:rsidRDefault="000779E7" w:rsidP="00B57E9B">
                      <w:pPr>
                        <w:spacing w:line="240" w:lineRule="auto"/>
                        <w:ind w:firstLine="0"/>
                        <w:jc w:val="center"/>
                      </w:pPr>
                    </w:p>
                    <w:p w14:paraId="46BA0C29" w14:textId="77777777" w:rsidR="000779E7" w:rsidRDefault="000779E7" w:rsidP="00B57E9B">
                      <w:pPr>
                        <w:spacing w:line="240" w:lineRule="auto"/>
                        <w:ind w:firstLine="0"/>
                        <w:jc w:val="center"/>
                      </w:pPr>
                    </w:p>
                    <w:p w14:paraId="6A7168AB" w14:textId="77777777" w:rsidR="000779E7" w:rsidRDefault="000779E7" w:rsidP="00B57E9B">
                      <w:pPr>
                        <w:spacing w:line="240" w:lineRule="auto"/>
                        <w:ind w:firstLine="0"/>
                        <w:jc w:val="center"/>
                      </w:pPr>
                    </w:p>
                    <w:p w14:paraId="1BC957EB" w14:textId="77777777" w:rsidR="000779E7" w:rsidRDefault="000779E7" w:rsidP="00B57E9B">
                      <w:pPr>
                        <w:spacing w:line="240" w:lineRule="auto"/>
                        <w:ind w:firstLine="0"/>
                        <w:jc w:val="center"/>
                      </w:pPr>
                    </w:p>
                    <w:p w14:paraId="163E8626" w14:textId="77777777" w:rsidR="000779E7" w:rsidRDefault="000779E7" w:rsidP="00B57E9B">
                      <w:pPr>
                        <w:spacing w:line="240" w:lineRule="auto"/>
                        <w:ind w:firstLine="0"/>
                        <w:jc w:val="center"/>
                      </w:pPr>
                    </w:p>
                    <w:p w14:paraId="77AD26FC" w14:textId="77777777" w:rsidR="000779E7" w:rsidRDefault="000779E7" w:rsidP="00B57E9B">
                      <w:pPr>
                        <w:spacing w:line="240" w:lineRule="auto"/>
                        <w:ind w:firstLine="0"/>
                        <w:jc w:val="center"/>
                      </w:pPr>
                    </w:p>
                    <w:p w14:paraId="48BD80D1" w14:textId="77777777" w:rsidR="000779E7" w:rsidRDefault="000779E7" w:rsidP="00B57E9B">
                      <w:pPr>
                        <w:spacing w:line="240" w:lineRule="auto"/>
                        <w:ind w:firstLine="0"/>
                        <w:jc w:val="center"/>
                      </w:pPr>
                    </w:p>
                    <w:p w14:paraId="2903A1BA" w14:textId="77777777" w:rsidR="000779E7" w:rsidRPr="00AB08F3" w:rsidRDefault="000779E7" w:rsidP="00337CC7">
                      <w:pPr>
                        <w:ind w:firstLine="0"/>
                        <w:jc w:val="center"/>
                      </w:pPr>
                      <w:smartTag w:uri="urn:schemas-microsoft-com:office:smarttags" w:element="PlaceType">
                        <w:r w:rsidRPr="00AB08F3">
                          <w:t>University</w:t>
                        </w:r>
                      </w:smartTag>
                      <w:r w:rsidRPr="00AB08F3">
                        <w:t xml:space="preserve"> of Pittsburg</w:t>
                      </w:r>
                      <w:r>
                        <w:t>h</w:t>
                      </w:r>
                    </w:p>
                    <w:p w14:paraId="0B602135" w14:textId="63B3674B" w:rsidR="000779E7" w:rsidRPr="00AB08F3" w:rsidRDefault="000779E7" w:rsidP="00B57E9B">
                      <w:pPr>
                        <w:ind w:firstLine="0"/>
                        <w:jc w:val="center"/>
                        <w:rPr>
                          <w:noProof/>
                        </w:rPr>
                      </w:pPr>
                      <w:r>
                        <w:t>2017</w:t>
                      </w:r>
                    </w:p>
                    <w:p w14:paraId="01E6B06B" w14:textId="77777777" w:rsidR="000779E7" w:rsidRPr="004E3B59" w:rsidRDefault="000779E7" w:rsidP="006B1124">
                      <w:pPr>
                        <w:ind w:firstLine="0"/>
                        <w:jc w:val="center"/>
                        <w:rPr>
                          <w:b/>
                        </w:rPr>
                      </w:pPr>
                    </w:p>
                  </w:txbxContent>
                </v:textbox>
                <w10:wrap type="square" anchorx="page" anchory="page"/>
              </v:shape>
            </w:pict>
          </mc:Fallback>
        </mc:AlternateContent>
      </w:r>
    </w:p>
    <w:p w14:paraId="3F4583DA" w14:textId="77777777" w:rsidR="003613C1" w:rsidRDefault="00834193" w:rsidP="007F763B">
      <w:pPr>
        <w:pStyle w:val="Noindent"/>
        <w:spacing w:line="240" w:lineRule="auto"/>
      </w:pPr>
      <w:r>
        <w:br w:type="page"/>
      </w:r>
      <w:r w:rsidR="003613C1">
        <w:rPr>
          <w:noProof/>
        </w:rPr>
        <w:lastRenderedPageBreak/>
        <mc:AlternateContent>
          <mc:Choice Requires="wps">
            <w:drawing>
              <wp:anchor distT="0" distB="0" distL="114300" distR="114300" simplePos="0" relativeHeight="251656704" behindDoc="0" locked="0" layoutInCell="1" allowOverlap="1" wp14:anchorId="45D54D02" wp14:editId="72DF0C27">
                <wp:simplePos x="0" y="0"/>
                <wp:positionH relativeFrom="page">
                  <wp:posOffset>904875</wp:posOffset>
                </wp:positionH>
                <wp:positionV relativeFrom="margin">
                  <wp:posOffset>254000</wp:posOffset>
                </wp:positionV>
                <wp:extent cx="5943600" cy="7600950"/>
                <wp:effectExtent l="0" t="0" r="0" b="0"/>
                <wp:wrapSquare wrapText="bothSides"/>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0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EAA45" w14:textId="75F4C91E" w:rsidR="000779E7" w:rsidRDefault="000779E7" w:rsidP="006B1124">
                            <w:pPr>
                              <w:ind w:firstLine="0"/>
                              <w:jc w:val="center"/>
                            </w:pPr>
                            <w:r>
                              <w:t>UNIVERSITY OF PITTSBURGH</w:t>
                            </w:r>
                          </w:p>
                          <w:p w14:paraId="2596FAFE" w14:textId="77777777" w:rsidR="000779E7" w:rsidRDefault="000779E7" w:rsidP="00536110">
                            <w:pPr>
                              <w:spacing w:line="240" w:lineRule="auto"/>
                              <w:ind w:firstLine="0"/>
                              <w:jc w:val="center"/>
                            </w:pPr>
                            <w:r>
                              <w:t>GRADUATE SCHOOL OF PUBLIC HEALTH</w:t>
                            </w:r>
                          </w:p>
                          <w:p w14:paraId="2C2795FA" w14:textId="7717F47C" w:rsidR="000779E7" w:rsidRDefault="000779E7" w:rsidP="00536110">
                            <w:pPr>
                              <w:spacing w:line="240" w:lineRule="auto"/>
                              <w:ind w:firstLine="0"/>
                              <w:jc w:val="center"/>
                            </w:pPr>
                          </w:p>
                          <w:p w14:paraId="6D0B3B1F" w14:textId="77777777" w:rsidR="000779E7" w:rsidRDefault="000779E7" w:rsidP="00536110">
                            <w:pPr>
                              <w:spacing w:line="240" w:lineRule="auto"/>
                              <w:ind w:firstLine="0"/>
                              <w:jc w:val="center"/>
                            </w:pPr>
                          </w:p>
                          <w:p w14:paraId="171618F6" w14:textId="77777777" w:rsidR="000779E7" w:rsidRDefault="000779E7" w:rsidP="006A5780">
                            <w:pPr>
                              <w:ind w:firstLine="0"/>
                              <w:jc w:val="center"/>
                            </w:pPr>
                            <w:r>
                              <w:t>This essay is submitted</w:t>
                            </w:r>
                          </w:p>
                          <w:p w14:paraId="45C856A1" w14:textId="77777777" w:rsidR="000779E7" w:rsidRPr="00972492" w:rsidRDefault="000779E7" w:rsidP="006B1124">
                            <w:pPr>
                              <w:ind w:firstLine="0"/>
                              <w:jc w:val="center"/>
                            </w:pPr>
                            <w:r w:rsidRPr="00972492">
                              <w:t>by</w:t>
                            </w:r>
                          </w:p>
                          <w:p w14:paraId="31B04059" w14:textId="77777777" w:rsidR="000779E7" w:rsidRPr="00972492" w:rsidRDefault="000779E7" w:rsidP="006A5780">
                            <w:pPr>
                              <w:spacing w:line="240" w:lineRule="auto"/>
                              <w:ind w:firstLine="0"/>
                              <w:jc w:val="center"/>
                              <w:rPr>
                                <w:b/>
                              </w:rPr>
                            </w:pPr>
                            <w:r w:rsidRPr="00972492">
                              <w:rPr>
                                <w:b/>
                              </w:rPr>
                              <w:t>Robert Ferguson</w:t>
                            </w:r>
                          </w:p>
                          <w:p w14:paraId="51A15259" w14:textId="77777777" w:rsidR="000779E7" w:rsidRDefault="000779E7" w:rsidP="006A5780">
                            <w:pPr>
                              <w:spacing w:line="240" w:lineRule="auto"/>
                              <w:ind w:firstLine="0"/>
                              <w:jc w:val="center"/>
                            </w:pPr>
                          </w:p>
                          <w:p w14:paraId="34E10D21" w14:textId="77777777" w:rsidR="000779E7" w:rsidRDefault="000779E7" w:rsidP="006A5780">
                            <w:pPr>
                              <w:spacing w:line="240" w:lineRule="auto"/>
                              <w:ind w:firstLine="0"/>
                              <w:jc w:val="center"/>
                            </w:pPr>
                            <w:r>
                              <w:t>on</w:t>
                            </w:r>
                          </w:p>
                          <w:p w14:paraId="38C17AF0" w14:textId="77777777" w:rsidR="000779E7" w:rsidRDefault="000779E7" w:rsidP="006A5780">
                            <w:pPr>
                              <w:spacing w:line="240" w:lineRule="auto"/>
                              <w:ind w:firstLine="0"/>
                              <w:jc w:val="center"/>
                            </w:pPr>
                          </w:p>
                          <w:p w14:paraId="71961BC1" w14:textId="27260B54" w:rsidR="000779E7" w:rsidRPr="00972492" w:rsidRDefault="000779E7" w:rsidP="006A5780">
                            <w:pPr>
                              <w:ind w:firstLine="0"/>
                              <w:jc w:val="center"/>
                              <w:rPr>
                                <w:b/>
                              </w:rPr>
                            </w:pPr>
                            <w:r>
                              <w:rPr>
                                <w:b/>
                              </w:rPr>
                              <w:t>April 20, 2017</w:t>
                            </w:r>
                          </w:p>
                          <w:p w14:paraId="26B3C1C3" w14:textId="77777777" w:rsidR="000779E7" w:rsidRDefault="000779E7" w:rsidP="00BA1D16">
                            <w:pPr>
                              <w:ind w:firstLine="0"/>
                              <w:jc w:val="center"/>
                            </w:pPr>
                            <w:r>
                              <w:t>and approved by</w:t>
                            </w:r>
                          </w:p>
                          <w:p w14:paraId="591D190D" w14:textId="77777777" w:rsidR="000779E7" w:rsidRDefault="000779E7" w:rsidP="00030D3B">
                            <w:pPr>
                              <w:spacing w:line="240" w:lineRule="auto"/>
                              <w:ind w:firstLine="0"/>
                            </w:pPr>
                            <w:r>
                              <w:t>Essay Advisor:</w:t>
                            </w:r>
                          </w:p>
                          <w:p w14:paraId="4C56DEF0" w14:textId="74B0167D" w:rsidR="000779E7" w:rsidRDefault="000779E7" w:rsidP="00030D3B">
                            <w:pPr>
                              <w:spacing w:line="240" w:lineRule="auto"/>
                              <w:ind w:firstLine="0"/>
                            </w:pPr>
                            <w:r>
                              <w:t>Gerald Mark Barron, MPH</w:t>
                            </w:r>
                            <w:r>
                              <w:tab/>
                            </w:r>
                            <w:r>
                              <w:tab/>
                              <w:t xml:space="preserve">         ______________________________________</w:t>
                            </w:r>
                          </w:p>
                          <w:p w14:paraId="3BB38783" w14:textId="77777777" w:rsidR="000779E7" w:rsidRDefault="000779E7" w:rsidP="00030D3B">
                            <w:pPr>
                              <w:spacing w:line="240" w:lineRule="auto"/>
                              <w:ind w:firstLine="0"/>
                            </w:pPr>
                            <w:r>
                              <w:t>Associate Professor and MPH Director</w:t>
                            </w:r>
                          </w:p>
                          <w:p w14:paraId="71627CC3" w14:textId="77777777" w:rsidR="000779E7" w:rsidRDefault="000779E7" w:rsidP="00030D3B">
                            <w:pPr>
                              <w:spacing w:line="240" w:lineRule="auto"/>
                              <w:ind w:firstLine="0"/>
                            </w:pPr>
                            <w:r>
                              <w:t>Department of Health Policy and Management</w:t>
                            </w:r>
                          </w:p>
                          <w:p w14:paraId="6A592C50" w14:textId="77777777" w:rsidR="000779E7" w:rsidRDefault="000779E7" w:rsidP="00030D3B">
                            <w:pPr>
                              <w:spacing w:line="240" w:lineRule="auto"/>
                              <w:ind w:firstLine="0"/>
                            </w:pPr>
                            <w:r>
                              <w:t>Graduate School of Public Health</w:t>
                            </w:r>
                          </w:p>
                          <w:p w14:paraId="7A05F36B" w14:textId="77777777" w:rsidR="000779E7" w:rsidRDefault="000779E7" w:rsidP="00030D3B">
                            <w:pPr>
                              <w:spacing w:line="240" w:lineRule="auto"/>
                              <w:ind w:firstLine="0"/>
                            </w:pPr>
                            <w:r>
                              <w:t>University of Pittsburgh</w:t>
                            </w:r>
                          </w:p>
                          <w:p w14:paraId="51584176" w14:textId="77777777" w:rsidR="000779E7" w:rsidRDefault="000779E7" w:rsidP="00030D3B">
                            <w:pPr>
                              <w:spacing w:line="240" w:lineRule="auto"/>
                              <w:ind w:firstLine="0"/>
                            </w:pPr>
                          </w:p>
                          <w:p w14:paraId="41D433CB" w14:textId="77777777" w:rsidR="000779E7" w:rsidRDefault="000779E7" w:rsidP="00030D3B">
                            <w:pPr>
                              <w:spacing w:line="240" w:lineRule="auto"/>
                              <w:ind w:firstLine="0"/>
                            </w:pPr>
                          </w:p>
                          <w:p w14:paraId="04D3CA1E" w14:textId="786170DA" w:rsidR="000779E7" w:rsidRDefault="000779E7" w:rsidP="00030D3B">
                            <w:pPr>
                              <w:spacing w:line="240" w:lineRule="auto"/>
                              <w:ind w:firstLine="0"/>
                            </w:pPr>
                            <w:r>
                              <w:t>Essay Readers:</w:t>
                            </w:r>
                          </w:p>
                          <w:p w14:paraId="4BFD8C6E" w14:textId="0439A5CF" w:rsidR="000779E7" w:rsidRDefault="000779E7" w:rsidP="00030D3B">
                            <w:pPr>
                              <w:spacing w:line="240" w:lineRule="auto"/>
                              <w:ind w:firstLine="0"/>
                            </w:pPr>
                            <w:r>
                              <w:t>Amber E. Barnato, MD, MPH, MS</w:t>
                            </w:r>
                            <w:r>
                              <w:tab/>
                              <w:t xml:space="preserve">         ______________________________________</w:t>
                            </w:r>
                          </w:p>
                          <w:p w14:paraId="59014641" w14:textId="77777777" w:rsidR="000779E7" w:rsidRDefault="000779E7" w:rsidP="00030D3B">
                            <w:pPr>
                              <w:spacing w:line="240" w:lineRule="auto"/>
                              <w:ind w:firstLine="0"/>
                            </w:pPr>
                            <w:r>
                              <w:t>Associate Professor of Medicine</w:t>
                            </w:r>
                          </w:p>
                          <w:p w14:paraId="20F113D7" w14:textId="6A7AF96A" w:rsidR="000779E7" w:rsidRDefault="000779E7" w:rsidP="00030D3B">
                            <w:pPr>
                              <w:spacing w:line="240" w:lineRule="auto"/>
                              <w:ind w:firstLine="0"/>
                            </w:pPr>
                            <w:r>
                              <w:t>Department of Medicine, Division of General Internal Medicine</w:t>
                            </w:r>
                          </w:p>
                          <w:p w14:paraId="5B92EBFB" w14:textId="3B706847" w:rsidR="000779E7" w:rsidRDefault="000779E7" w:rsidP="00030D3B">
                            <w:pPr>
                              <w:spacing w:line="240" w:lineRule="auto"/>
                              <w:ind w:firstLine="0"/>
                            </w:pPr>
                            <w:r>
                              <w:t>School of Medicine</w:t>
                            </w:r>
                          </w:p>
                          <w:p w14:paraId="2E73E3F6" w14:textId="77777777" w:rsidR="000779E7" w:rsidRDefault="000779E7" w:rsidP="00030D3B">
                            <w:pPr>
                              <w:spacing w:line="240" w:lineRule="auto"/>
                              <w:ind w:firstLine="0"/>
                            </w:pPr>
                            <w:r>
                              <w:t>University of Pittsburgh</w:t>
                            </w:r>
                          </w:p>
                          <w:p w14:paraId="2EFD1DCC" w14:textId="77777777" w:rsidR="000779E7" w:rsidRDefault="000779E7" w:rsidP="00030D3B">
                            <w:pPr>
                              <w:spacing w:line="240" w:lineRule="auto"/>
                              <w:ind w:firstLine="0"/>
                            </w:pPr>
                          </w:p>
                          <w:p w14:paraId="52095F6E" w14:textId="329C3CFD" w:rsidR="000779E7" w:rsidRDefault="000779E7" w:rsidP="00BA1D16">
                            <w:pPr>
                              <w:spacing w:line="240" w:lineRule="auto"/>
                              <w:ind w:firstLine="0"/>
                            </w:pPr>
                            <w:r>
                              <w:t>Nancy D. Zionts, MBA</w:t>
                            </w:r>
                            <w:r>
                              <w:tab/>
                            </w:r>
                            <w:r>
                              <w:tab/>
                              <w:t xml:space="preserve">         ______________________________________</w:t>
                            </w:r>
                          </w:p>
                          <w:p w14:paraId="098ED2D7" w14:textId="77777777" w:rsidR="000779E7" w:rsidRDefault="000779E7" w:rsidP="00BA1D16">
                            <w:pPr>
                              <w:spacing w:line="240" w:lineRule="auto"/>
                              <w:ind w:firstLine="0"/>
                            </w:pPr>
                            <w:r>
                              <w:t xml:space="preserve">Chief Operating Officer and </w:t>
                            </w:r>
                          </w:p>
                          <w:p w14:paraId="4C9EEE3B" w14:textId="473B4398" w:rsidR="000779E7" w:rsidRDefault="000779E7" w:rsidP="00BA1D16">
                            <w:pPr>
                              <w:spacing w:line="240" w:lineRule="auto"/>
                              <w:ind w:firstLine="0"/>
                            </w:pPr>
                            <w:r>
                              <w:t xml:space="preserve">Chief Program Officer </w:t>
                            </w:r>
                          </w:p>
                          <w:p w14:paraId="08261D29" w14:textId="430D42C5" w:rsidR="000779E7" w:rsidRDefault="000779E7" w:rsidP="00BA1D16">
                            <w:pPr>
                              <w:spacing w:line="240" w:lineRule="auto"/>
                              <w:ind w:firstLine="0"/>
                            </w:pPr>
                            <w:r>
                              <w:t>Jewish Healthcare Foundation</w:t>
                            </w:r>
                          </w:p>
                          <w:p w14:paraId="6EC75668" w14:textId="7A4569B4" w:rsidR="000779E7" w:rsidRDefault="000779E7" w:rsidP="00BA1D16">
                            <w:pPr>
                              <w:spacing w:line="240" w:lineRule="auto"/>
                              <w:ind w:firstLine="0"/>
                            </w:pPr>
                            <w:r>
                              <w:t>Pittsburgh, Pennsylvania</w:t>
                            </w:r>
                          </w:p>
                          <w:p w14:paraId="39396B90" w14:textId="77777777" w:rsidR="000779E7" w:rsidRPr="00936D40" w:rsidRDefault="000779E7" w:rsidP="00BA1D16">
                            <w:pPr>
                              <w:spacing w:line="240" w:lineRule="auto"/>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54D02" id="Text Box 26" o:spid="_x0000_s1027" type="#_x0000_t202" style="position:absolute;left:0;text-align:left;margin-left:71.25pt;margin-top:20pt;width:468pt;height:5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DvhQ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" stroked="f">
                <v:textbox>
                  <w:txbxContent>
                    <w:p w14:paraId="58BEAA45" w14:textId="75F4C91E" w:rsidR="000779E7" w:rsidRDefault="000779E7" w:rsidP="006B1124">
                      <w:pPr>
                        <w:ind w:firstLine="0"/>
                        <w:jc w:val="center"/>
                      </w:pPr>
                      <w:r>
                        <w:t>UNIVERSITY OF PITTSBURGH</w:t>
                      </w:r>
                    </w:p>
                    <w:p w14:paraId="2596FAFE" w14:textId="77777777" w:rsidR="000779E7" w:rsidRDefault="000779E7" w:rsidP="00536110">
                      <w:pPr>
                        <w:spacing w:line="240" w:lineRule="auto"/>
                        <w:ind w:firstLine="0"/>
                        <w:jc w:val="center"/>
                      </w:pPr>
                      <w:r>
                        <w:t>GRADUATE SCHOOL OF PUBLIC HEALTH</w:t>
                      </w:r>
                    </w:p>
                    <w:p w14:paraId="2C2795FA" w14:textId="7717F47C" w:rsidR="000779E7" w:rsidRDefault="000779E7" w:rsidP="00536110">
                      <w:pPr>
                        <w:spacing w:line="240" w:lineRule="auto"/>
                        <w:ind w:firstLine="0"/>
                        <w:jc w:val="center"/>
                      </w:pPr>
                    </w:p>
                    <w:p w14:paraId="6D0B3B1F" w14:textId="77777777" w:rsidR="000779E7" w:rsidRDefault="000779E7" w:rsidP="00536110">
                      <w:pPr>
                        <w:spacing w:line="240" w:lineRule="auto"/>
                        <w:ind w:firstLine="0"/>
                        <w:jc w:val="center"/>
                      </w:pPr>
                    </w:p>
                    <w:p w14:paraId="171618F6" w14:textId="77777777" w:rsidR="000779E7" w:rsidRDefault="000779E7" w:rsidP="006A5780">
                      <w:pPr>
                        <w:ind w:firstLine="0"/>
                        <w:jc w:val="center"/>
                      </w:pPr>
                      <w:r>
                        <w:t>This essay is submitted</w:t>
                      </w:r>
                    </w:p>
                    <w:p w14:paraId="45C856A1" w14:textId="77777777" w:rsidR="000779E7" w:rsidRPr="00972492" w:rsidRDefault="000779E7" w:rsidP="006B1124">
                      <w:pPr>
                        <w:ind w:firstLine="0"/>
                        <w:jc w:val="center"/>
                      </w:pPr>
                      <w:r w:rsidRPr="00972492">
                        <w:t>by</w:t>
                      </w:r>
                    </w:p>
                    <w:p w14:paraId="31B04059" w14:textId="77777777" w:rsidR="000779E7" w:rsidRPr="00972492" w:rsidRDefault="000779E7" w:rsidP="006A5780">
                      <w:pPr>
                        <w:spacing w:line="240" w:lineRule="auto"/>
                        <w:ind w:firstLine="0"/>
                        <w:jc w:val="center"/>
                        <w:rPr>
                          <w:b/>
                        </w:rPr>
                      </w:pPr>
                      <w:r w:rsidRPr="00972492">
                        <w:rPr>
                          <w:b/>
                        </w:rPr>
                        <w:t>Robert Ferguson</w:t>
                      </w:r>
                    </w:p>
                    <w:p w14:paraId="51A15259" w14:textId="77777777" w:rsidR="000779E7" w:rsidRDefault="000779E7" w:rsidP="006A5780">
                      <w:pPr>
                        <w:spacing w:line="240" w:lineRule="auto"/>
                        <w:ind w:firstLine="0"/>
                        <w:jc w:val="center"/>
                      </w:pPr>
                    </w:p>
                    <w:p w14:paraId="34E10D21" w14:textId="77777777" w:rsidR="000779E7" w:rsidRDefault="000779E7" w:rsidP="006A5780">
                      <w:pPr>
                        <w:spacing w:line="240" w:lineRule="auto"/>
                        <w:ind w:firstLine="0"/>
                        <w:jc w:val="center"/>
                      </w:pPr>
                      <w:r>
                        <w:t>on</w:t>
                      </w:r>
                    </w:p>
                    <w:p w14:paraId="38C17AF0" w14:textId="77777777" w:rsidR="000779E7" w:rsidRDefault="000779E7" w:rsidP="006A5780">
                      <w:pPr>
                        <w:spacing w:line="240" w:lineRule="auto"/>
                        <w:ind w:firstLine="0"/>
                        <w:jc w:val="center"/>
                      </w:pPr>
                    </w:p>
                    <w:p w14:paraId="71961BC1" w14:textId="27260B54" w:rsidR="000779E7" w:rsidRPr="00972492" w:rsidRDefault="000779E7" w:rsidP="006A5780">
                      <w:pPr>
                        <w:ind w:firstLine="0"/>
                        <w:jc w:val="center"/>
                        <w:rPr>
                          <w:b/>
                        </w:rPr>
                      </w:pPr>
                      <w:r>
                        <w:rPr>
                          <w:b/>
                        </w:rPr>
                        <w:t>April 20, 2017</w:t>
                      </w:r>
                    </w:p>
                    <w:p w14:paraId="26B3C1C3" w14:textId="77777777" w:rsidR="000779E7" w:rsidRDefault="000779E7" w:rsidP="00BA1D16">
                      <w:pPr>
                        <w:ind w:firstLine="0"/>
                        <w:jc w:val="center"/>
                      </w:pPr>
                      <w:r>
                        <w:t>and approved by</w:t>
                      </w:r>
                    </w:p>
                    <w:p w14:paraId="591D190D" w14:textId="77777777" w:rsidR="000779E7" w:rsidRDefault="000779E7" w:rsidP="00030D3B">
                      <w:pPr>
                        <w:spacing w:line="240" w:lineRule="auto"/>
                        <w:ind w:firstLine="0"/>
                      </w:pPr>
                      <w:r>
                        <w:t>Essay Advisor:</w:t>
                      </w:r>
                    </w:p>
                    <w:p w14:paraId="4C56DEF0" w14:textId="74B0167D" w:rsidR="000779E7" w:rsidRDefault="000779E7" w:rsidP="00030D3B">
                      <w:pPr>
                        <w:spacing w:line="240" w:lineRule="auto"/>
                        <w:ind w:firstLine="0"/>
                      </w:pPr>
                      <w:r>
                        <w:t>Gerald Mark Barron, MPH</w:t>
                      </w:r>
                      <w:r>
                        <w:tab/>
                      </w:r>
                      <w:r>
                        <w:tab/>
                        <w:t xml:space="preserve">         ______________________________________</w:t>
                      </w:r>
                    </w:p>
                    <w:p w14:paraId="3BB38783" w14:textId="77777777" w:rsidR="000779E7" w:rsidRDefault="000779E7" w:rsidP="00030D3B">
                      <w:pPr>
                        <w:spacing w:line="240" w:lineRule="auto"/>
                        <w:ind w:firstLine="0"/>
                      </w:pPr>
                      <w:r>
                        <w:t>Associate Professor and MPH Director</w:t>
                      </w:r>
                    </w:p>
                    <w:p w14:paraId="71627CC3" w14:textId="77777777" w:rsidR="000779E7" w:rsidRDefault="000779E7" w:rsidP="00030D3B">
                      <w:pPr>
                        <w:spacing w:line="240" w:lineRule="auto"/>
                        <w:ind w:firstLine="0"/>
                      </w:pPr>
                      <w:r>
                        <w:t>Department of Health Policy and Management</w:t>
                      </w:r>
                    </w:p>
                    <w:p w14:paraId="6A592C50" w14:textId="77777777" w:rsidR="000779E7" w:rsidRDefault="000779E7" w:rsidP="00030D3B">
                      <w:pPr>
                        <w:spacing w:line="240" w:lineRule="auto"/>
                        <w:ind w:firstLine="0"/>
                      </w:pPr>
                      <w:r>
                        <w:t>Graduate School of Public Health</w:t>
                      </w:r>
                    </w:p>
                    <w:p w14:paraId="7A05F36B" w14:textId="77777777" w:rsidR="000779E7" w:rsidRDefault="000779E7" w:rsidP="00030D3B">
                      <w:pPr>
                        <w:spacing w:line="240" w:lineRule="auto"/>
                        <w:ind w:firstLine="0"/>
                      </w:pPr>
                      <w:r>
                        <w:t>University of Pittsburgh</w:t>
                      </w:r>
                    </w:p>
                    <w:p w14:paraId="51584176" w14:textId="77777777" w:rsidR="000779E7" w:rsidRDefault="000779E7" w:rsidP="00030D3B">
                      <w:pPr>
                        <w:spacing w:line="240" w:lineRule="auto"/>
                        <w:ind w:firstLine="0"/>
                      </w:pPr>
                    </w:p>
                    <w:p w14:paraId="41D433CB" w14:textId="77777777" w:rsidR="000779E7" w:rsidRDefault="000779E7" w:rsidP="00030D3B">
                      <w:pPr>
                        <w:spacing w:line="240" w:lineRule="auto"/>
                        <w:ind w:firstLine="0"/>
                      </w:pPr>
                    </w:p>
                    <w:p w14:paraId="04D3CA1E" w14:textId="786170DA" w:rsidR="000779E7" w:rsidRDefault="000779E7" w:rsidP="00030D3B">
                      <w:pPr>
                        <w:spacing w:line="240" w:lineRule="auto"/>
                        <w:ind w:firstLine="0"/>
                      </w:pPr>
                      <w:r>
                        <w:t>Essay Readers:</w:t>
                      </w:r>
                    </w:p>
                    <w:p w14:paraId="4BFD8C6E" w14:textId="0439A5CF" w:rsidR="000779E7" w:rsidRDefault="000779E7" w:rsidP="00030D3B">
                      <w:pPr>
                        <w:spacing w:line="240" w:lineRule="auto"/>
                        <w:ind w:firstLine="0"/>
                      </w:pPr>
                      <w:r>
                        <w:t>Amber E. Barnato, MD, MPH, MS</w:t>
                      </w:r>
                      <w:r>
                        <w:tab/>
                        <w:t xml:space="preserve">         ______________________________________</w:t>
                      </w:r>
                    </w:p>
                    <w:p w14:paraId="59014641" w14:textId="77777777" w:rsidR="000779E7" w:rsidRDefault="000779E7" w:rsidP="00030D3B">
                      <w:pPr>
                        <w:spacing w:line="240" w:lineRule="auto"/>
                        <w:ind w:firstLine="0"/>
                      </w:pPr>
                      <w:r>
                        <w:t>Associate Professor of Medicine</w:t>
                      </w:r>
                    </w:p>
                    <w:p w14:paraId="20F113D7" w14:textId="6A7AF96A" w:rsidR="000779E7" w:rsidRDefault="000779E7" w:rsidP="00030D3B">
                      <w:pPr>
                        <w:spacing w:line="240" w:lineRule="auto"/>
                        <w:ind w:firstLine="0"/>
                      </w:pPr>
                      <w:r>
                        <w:t>Department of Medicine, Division of General Internal Medicine</w:t>
                      </w:r>
                    </w:p>
                    <w:p w14:paraId="5B92EBFB" w14:textId="3B706847" w:rsidR="000779E7" w:rsidRDefault="000779E7" w:rsidP="00030D3B">
                      <w:pPr>
                        <w:spacing w:line="240" w:lineRule="auto"/>
                        <w:ind w:firstLine="0"/>
                      </w:pPr>
                      <w:r>
                        <w:t>School of Medicine</w:t>
                      </w:r>
                    </w:p>
                    <w:p w14:paraId="2E73E3F6" w14:textId="77777777" w:rsidR="000779E7" w:rsidRDefault="000779E7" w:rsidP="00030D3B">
                      <w:pPr>
                        <w:spacing w:line="240" w:lineRule="auto"/>
                        <w:ind w:firstLine="0"/>
                      </w:pPr>
                      <w:r>
                        <w:t>University of Pittsburgh</w:t>
                      </w:r>
                    </w:p>
                    <w:p w14:paraId="2EFD1DCC" w14:textId="77777777" w:rsidR="000779E7" w:rsidRDefault="000779E7" w:rsidP="00030D3B">
                      <w:pPr>
                        <w:spacing w:line="240" w:lineRule="auto"/>
                        <w:ind w:firstLine="0"/>
                      </w:pPr>
                    </w:p>
                    <w:p w14:paraId="52095F6E" w14:textId="329C3CFD" w:rsidR="000779E7" w:rsidRDefault="000779E7" w:rsidP="00BA1D16">
                      <w:pPr>
                        <w:spacing w:line="240" w:lineRule="auto"/>
                        <w:ind w:firstLine="0"/>
                      </w:pPr>
                      <w:r>
                        <w:t>Nancy D. Zionts, MBA</w:t>
                      </w:r>
                      <w:r>
                        <w:tab/>
                      </w:r>
                      <w:r>
                        <w:tab/>
                        <w:t xml:space="preserve">         ______________________________________</w:t>
                      </w:r>
                    </w:p>
                    <w:p w14:paraId="098ED2D7" w14:textId="77777777" w:rsidR="000779E7" w:rsidRDefault="000779E7" w:rsidP="00BA1D16">
                      <w:pPr>
                        <w:spacing w:line="240" w:lineRule="auto"/>
                        <w:ind w:firstLine="0"/>
                      </w:pPr>
                      <w:r>
                        <w:t xml:space="preserve">Chief Operating Officer and </w:t>
                      </w:r>
                    </w:p>
                    <w:p w14:paraId="4C9EEE3B" w14:textId="473B4398" w:rsidR="000779E7" w:rsidRDefault="000779E7" w:rsidP="00BA1D16">
                      <w:pPr>
                        <w:spacing w:line="240" w:lineRule="auto"/>
                        <w:ind w:firstLine="0"/>
                      </w:pPr>
                      <w:r>
                        <w:t xml:space="preserve">Chief Program Officer </w:t>
                      </w:r>
                    </w:p>
                    <w:p w14:paraId="08261D29" w14:textId="430D42C5" w:rsidR="000779E7" w:rsidRDefault="000779E7" w:rsidP="00BA1D16">
                      <w:pPr>
                        <w:spacing w:line="240" w:lineRule="auto"/>
                        <w:ind w:firstLine="0"/>
                      </w:pPr>
                      <w:r>
                        <w:t>Jewish Healthcare Foundation</w:t>
                      </w:r>
                    </w:p>
                    <w:p w14:paraId="6EC75668" w14:textId="7A4569B4" w:rsidR="000779E7" w:rsidRDefault="000779E7" w:rsidP="00BA1D16">
                      <w:pPr>
                        <w:spacing w:line="240" w:lineRule="auto"/>
                        <w:ind w:firstLine="0"/>
                      </w:pPr>
                      <w:r>
                        <w:t>Pittsburgh, Pennsylvania</w:t>
                      </w:r>
                    </w:p>
                    <w:p w14:paraId="39396B90" w14:textId="77777777" w:rsidR="000779E7" w:rsidRPr="00936D40" w:rsidRDefault="000779E7" w:rsidP="00BA1D16">
                      <w:pPr>
                        <w:spacing w:line="240" w:lineRule="auto"/>
                        <w:ind w:firstLine="0"/>
                      </w:pPr>
                    </w:p>
                  </w:txbxContent>
                </v:textbox>
                <w10:wrap type="square" anchorx="page" anchory="margin"/>
              </v:shape>
            </w:pict>
          </mc:Fallback>
        </mc:AlternateContent>
      </w:r>
      <w:r w:rsidR="002D01B1">
        <w:br w:type="page"/>
      </w:r>
    </w:p>
    <w:p w14:paraId="2EEDE4FF" w14:textId="77777777" w:rsidR="003613C1" w:rsidRDefault="003613C1" w:rsidP="007F763B">
      <w:pPr>
        <w:pStyle w:val="Noindent"/>
        <w:spacing w:line="240" w:lineRule="auto"/>
      </w:pPr>
    </w:p>
    <w:p w14:paraId="01E784A2" w14:textId="77777777" w:rsidR="003613C1" w:rsidRDefault="003613C1" w:rsidP="007F763B">
      <w:pPr>
        <w:pStyle w:val="Noindent"/>
        <w:spacing w:line="240" w:lineRule="auto"/>
      </w:pPr>
    </w:p>
    <w:p w14:paraId="50E13141" w14:textId="77777777" w:rsidR="003613C1" w:rsidRDefault="003613C1" w:rsidP="007F763B">
      <w:pPr>
        <w:pStyle w:val="Noindent"/>
        <w:spacing w:line="240" w:lineRule="auto"/>
      </w:pPr>
    </w:p>
    <w:p w14:paraId="22FA0B0A" w14:textId="77777777" w:rsidR="003613C1" w:rsidRDefault="003613C1" w:rsidP="007F763B">
      <w:pPr>
        <w:pStyle w:val="Noindent"/>
        <w:spacing w:line="240" w:lineRule="auto"/>
      </w:pPr>
    </w:p>
    <w:p w14:paraId="77912D8A" w14:textId="77777777" w:rsidR="003613C1" w:rsidRDefault="003613C1" w:rsidP="007F763B">
      <w:pPr>
        <w:pStyle w:val="Noindent"/>
        <w:spacing w:line="240" w:lineRule="auto"/>
      </w:pPr>
    </w:p>
    <w:p w14:paraId="78F961DA" w14:textId="77777777" w:rsidR="003613C1" w:rsidRDefault="003613C1" w:rsidP="007F763B">
      <w:pPr>
        <w:pStyle w:val="Noindent"/>
        <w:spacing w:line="240" w:lineRule="auto"/>
      </w:pPr>
    </w:p>
    <w:p w14:paraId="38107DE7" w14:textId="77777777" w:rsidR="003613C1" w:rsidRDefault="003613C1" w:rsidP="007F763B">
      <w:pPr>
        <w:pStyle w:val="Noindent"/>
        <w:spacing w:line="240" w:lineRule="auto"/>
      </w:pPr>
    </w:p>
    <w:p w14:paraId="577D28AA" w14:textId="77777777" w:rsidR="003613C1" w:rsidRDefault="003613C1" w:rsidP="007F763B">
      <w:pPr>
        <w:pStyle w:val="Noindent"/>
        <w:spacing w:line="240" w:lineRule="auto"/>
      </w:pPr>
    </w:p>
    <w:p w14:paraId="54D34735" w14:textId="77777777" w:rsidR="003613C1" w:rsidRDefault="003613C1" w:rsidP="007F763B">
      <w:pPr>
        <w:pStyle w:val="Noindent"/>
        <w:spacing w:line="240" w:lineRule="auto"/>
      </w:pPr>
    </w:p>
    <w:p w14:paraId="44136873" w14:textId="77777777" w:rsidR="003613C1" w:rsidRDefault="003613C1" w:rsidP="007F763B">
      <w:pPr>
        <w:pStyle w:val="Noindent"/>
        <w:spacing w:line="240" w:lineRule="auto"/>
      </w:pPr>
    </w:p>
    <w:p w14:paraId="4B8EA769" w14:textId="77777777" w:rsidR="003613C1" w:rsidRDefault="003613C1" w:rsidP="007F763B">
      <w:pPr>
        <w:pStyle w:val="Noindent"/>
        <w:spacing w:line="240" w:lineRule="auto"/>
      </w:pPr>
    </w:p>
    <w:p w14:paraId="0B9BFCD3" w14:textId="77777777" w:rsidR="003613C1" w:rsidRDefault="003613C1" w:rsidP="007F763B">
      <w:pPr>
        <w:pStyle w:val="Noindent"/>
        <w:spacing w:line="240" w:lineRule="auto"/>
      </w:pPr>
    </w:p>
    <w:p w14:paraId="535B843B" w14:textId="77777777" w:rsidR="003613C1" w:rsidRDefault="003613C1" w:rsidP="007F763B">
      <w:pPr>
        <w:pStyle w:val="Noindent"/>
        <w:spacing w:line="240" w:lineRule="auto"/>
      </w:pPr>
    </w:p>
    <w:p w14:paraId="57110244" w14:textId="77777777" w:rsidR="003613C1" w:rsidRDefault="003613C1" w:rsidP="007F763B">
      <w:pPr>
        <w:pStyle w:val="Noindent"/>
        <w:spacing w:line="240" w:lineRule="auto"/>
      </w:pPr>
    </w:p>
    <w:p w14:paraId="74F7FBA9" w14:textId="77777777" w:rsidR="003613C1" w:rsidRDefault="003613C1" w:rsidP="007F763B">
      <w:pPr>
        <w:pStyle w:val="Noindent"/>
        <w:spacing w:line="240" w:lineRule="auto"/>
      </w:pPr>
    </w:p>
    <w:p w14:paraId="572A444E" w14:textId="71122AEE" w:rsidR="003613C1" w:rsidRDefault="003613C1" w:rsidP="007F763B">
      <w:pPr>
        <w:pStyle w:val="Noindent"/>
        <w:spacing w:line="240" w:lineRule="auto"/>
      </w:pPr>
      <w:r>
        <w:rPr>
          <w:noProof/>
        </w:rPr>
        <mc:AlternateContent>
          <mc:Choice Requires="wps">
            <w:drawing>
              <wp:anchor distT="0" distB="0" distL="114300" distR="114300" simplePos="0" relativeHeight="251657728" behindDoc="0" locked="0" layoutInCell="1" allowOverlap="1" wp14:anchorId="2660D283" wp14:editId="4B73C9F6">
                <wp:simplePos x="0" y="0"/>
                <wp:positionH relativeFrom="page">
                  <wp:posOffset>1000125</wp:posOffset>
                </wp:positionH>
                <wp:positionV relativeFrom="page">
                  <wp:posOffset>3819525</wp:posOffset>
                </wp:positionV>
                <wp:extent cx="5943600" cy="1066800"/>
                <wp:effectExtent l="0" t="0" r="0" b="0"/>
                <wp:wrapSquare wrapText="bothSides"/>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E6498" w14:textId="4DC4F213" w:rsidR="000779E7" w:rsidRDefault="000779E7" w:rsidP="00BA1D16">
                            <w:pPr>
                              <w:ind w:firstLine="0"/>
                              <w:jc w:val="center"/>
                            </w:pPr>
                            <w:r>
                              <w:t>Copyright © by Robert Ferguson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D283" id="Text Box 30" o:spid="_x0000_s1028" type="#_x0000_t202" style="position:absolute;left:0;text-align:left;margin-left:78.75pt;margin-top:300.75pt;width:468pt;height: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PahwIAABg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" stroked="f">
                <v:textbox>
                  <w:txbxContent>
                    <w:p w14:paraId="370E6498" w14:textId="4DC4F213" w:rsidR="000779E7" w:rsidRDefault="000779E7" w:rsidP="00BA1D16">
                      <w:pPr>
                        <w:ind w:firstLine="0"/>
                        <w:jc w:val="center"/>
                      </w:pPr>
                      <w:r>
                        <w:t>Copyright © by Robert Ferguson 2017</w:t>
                      </w:r>
                    </w:p>
                  </w:txbxContent>
                </v:textbox>
                <w10:wrap type="square" anchorx="page" anchory="page"/>
              </v:shape>
            </w:pict>
          </mc:Fallback>
        </mc:AlternateContent>
      </w:r>
    </w:p>
    <w:p w14:paraId="61DA2F2D" w14:textId="25EE3014" w:rsidR="003613C1" w:rsidRDefault="003613C1" w:rsidP="007F763B">
      <w:pPr>
        <w:pStyle w:val="Noindent"/>
        <w:spacing w:line="240" w:lineRule="auto"/>
      </w:pPr>
    </w:p>
    <w:p w14:paraId="2CF0AE76" w14:textId="10F24AB2" w:rsidR="003613C1" w:rsidRDefault="003613C1" w:rsidP="007F763B">
      <w:pPr>
        <w:pStyle w:val="Noindent"/>
        <w:spacing w:line="240" w:lineRule="auto"/>
      </w:pPr>
    </w:p>
    <w:p w14:paraId="340B66A7" w14:textId="4B1CC4DD" w:rsidR="003613C1" w:rsidRDefault="003613C1" w:rsidP="007F763B">
      <w:pPr>
        <w:pStyle w:val="Noindent"/>
        <w:spacing w:line="240" w:lineRule="auto"/>
      </w:pPr>
    </w:p>
    <w:p w14:paraId="0DACB5E6" w14:textId="5594B5AF" w:rsidR="003613C1" w:rsidRDefault="003613C1" w:rsidP="007F763B">
      <w:pPr>
        <w:pStyle w:val="Noindent"/>
        <w:spacing w:line="240" w:lineRule="auto"/>
      </w:pPr>
    </w:p>
    <w:p w14:paraId="081FD5CE" w14:textId="77777777" w:rsidR="003613C1" w:rsidRDefault="003613C1" w:rsidP="007F763B">
      <w:pPr>
        <w:pStyle w:val="Noindent"/>
        <w:spacing w:line="240" w:lineRule="auto"/>
      </w:pPr>
    </w:p>
    <w:p w14:paraId="05EF75A7" w14:textId="405ABD5E" w:rsidR="003613C1" w:rsidRDefault="003613C1" w:rsidP="007F763B">
      <w:pPr>
        <w:pStyle w:val="Noindent"/>
        <w:spacing w:line="240" w:lineRule="auto"/>
      </w:pPr>
    </w:p>
    <w:p w14:paraId="6FCBF797" w14:textId="167CC455" w:rsidR="003613C1" w:rsidRDefault="003613C1" w:rsidP="007F763B">
      <w:pPr>
        <w:pStyle w:val="Noindent"/>
        <w:spacing w:line="240" w:lineRule="auto"/>
      </w:pPr>
    </w:p>
    <w:p w14:paraId="31C63BC6" w14:textId="77777777" w:rsidR="003613C1" w:rsidRDefault="003613C1" w:rsidP="007F763B">
      <w:pPr>
        <w:pStyle w:val="Noindent"/>
        <w:spacing w:line="240" w:lineRule="auto"/>
      </w:pPr>
    </w:p>
    <w:p w14:paraId="28C2B989" w14:textId="77777777" w:rsidR="003613C1" w:rsidRDefault="003613C1" w:rsidP="007F763B">
      <w:pPr>
        <w:pStyle w:val="Noindent"/>
        <w:spacing w:line="240" w:lineRule="auto"/>
      </w:pPr>
    </w:p>
    <w:p w14:paraId="0EB002F3" w14:textId="1C098D0D" w:rsidR="003613C1" w:rsidRDefault="003613C1" w:rsidP="007F763B">
      <w:pPr>
        <w:pStyle w:val="Noindent"/>
        <w:spacing w:line="240" w:lineRule="auto"/>
      </w:pPr>
    </w:p>
    <w:p w14:paraId="4690A8AF" w14:textId="543A7BB1" w:rsidR="003613C1" w:rsidRDefault="003613C1" w:rsidP="007F763B">
      <w:pPr>
        <w:pStyle w:val="Noindent"/>
        <w:spacing w:line="240" w:lineRule="auto"/>
      </w:pPr>
    </w:p>
    <w:p w14:paraId="289A5E38" w14:textId="77777777" w:rsidR="003613C1" w:rsidRDefault="003613C1" w:rsidP="007F763B">
      <w:pPr>
        <w:pStyle w:val="Noindent"/>
        <w:spacing w:line="240" w:lineRule="auto"/>
      </w:pPr>
    </w:p>
    <w:p w14:paraId="7DF496A9" w14:textId="77777777" w:rsidR="003613C1" w:rsidRDefault="003613C1" w:rsidP="007F763B">
      <w:pPr>
        <w:pStyle w:val="Noindent"/>
        <w:spacing w:line="240" w:lineRule="auto"/>
      </w:pPr>
    </w:p>
    <w:p w14:paraId="3DE062EE" w14:textId="1132478E" w:rsidR="003613C1" w:rsidRDefault="003613C1" w:rsidP="007F763B">
      <w:pPr>
        <w:pStyle w:val="Noindent"/>
        <w:spacing w:line="240" w:lineRule="auto"/>
      </w:pPr>
    </w:p>
    <w:p w14:paraId="267A74B3" w14:textId="77777777" w:rsidR="003613C1" w:rsidRDefault="003613C1" w:rsidP="007F763B">
      <w:pPr>
        <w:pStyle w:val="Noindent"/>
        <w:spacing w:line="240" w:lineRule="auto"/>
      </w:pPr>
    </w:p>
    <w:p w14:paraId="0851A201" w14:textId="41EA46AD" w:rsidR="003613C1" w:rsidRDefault="003613C1" w:rsidP="007F763B">
      <w:pPr>
        <w:pStyle w:val="Noindent"/>
        <w:spacing w:line="240" w:lineRule="auto"/>
      </w:pPr>
    </w:p>
    <w:p w14:paraId="37E5FD0E" w14:textId="77777777" w:rsidR="003613C1" w:rsidRDefault="003613C1" w:rsidP="007F763B">
      <w:pPr>
        <w:pStyle w:val="Noindent"/>
        <w:spacing w:line="240" w:lineRule="auto"/>
      </w:pPr>
    </w:p>
    <w:p w14:paraId="6E3C5258" w14:textId="77777777" w:rsidR="003613C1" w:rsidRDefault="003613C1" w:rsidP="007F763B">
      <w:pPr>
        <w:pStyle w:val="Noindent"/>
        <w:spacing w:line="240" w:lineRule="auto"/>
      </w:pPr>
    </w:p>
    <w:p w14:paraId="7898C06B" w14:textId="1A455673" w:rsidR="003613C1" w:rsidRDefault="003613C1" w:rsidP="007F763B">
      <w:pPr>
        <w:pStyle w:val="Noindent"/>
        <w:spacing w:line="240" w:lineRule="auto"/>
      </w:pPr>
    </w:p>
    <w:p w14:paraId="60A13A4A" w14:textId="622F2417" w:rsidR="003613C1" w:rsidRDefault="003613C1" w:rsidP="007F763B">
      <w:pPr>
        <w:pStyle w:val="Noindent"/>
        <w:spacing w:line="240" w:lineRule="auto"/>
      </w:pPr>
    </w:p>
    <w:p w14:paraId="1988F524" w14:textId="1F7DF948" w:rsidR="003613C1" w:rsidRDefault="003613C1" w:rsidP="007F763B">
      <w:pPr>
        <w:pStyle w:val="Noindent"/>
        <w:spacing w:line="240" w:lineRule="auto"/>
      </w:pPr>
    </w:p>
    <w:p w14:paraId="2433C5CA" w14:textId="7017137B" w:rsidR="00972492" w:rsidRPr="00972492" w:rsidRDefault="003613C1" w:rsidP="00972492">
      <w:pPr>
        <w:pStyle w:val="Noindent"/>
        <w:spacing w:line="240" w:lineRule="auto"/>
      </w:pPr>
      <w:r w:rsidRPr="00DF1A75">
        <w:rPr>
          <w:noProof/>
        </w:rPr>
        <w:lastRenderedPageBreak/>
        <mc:AlternateContent>
          <mc:Choice Requires="wps">
            <w:drawing>
              <wp:anchor distT="0" distB="0" distL="114300" distR="114300" simplePos="0" relativeHeight="251659776" behindDoc="0" locked="0" layoutInCell="1" allowOverlap="1" wp14:anchorId="4AE4D240" wp14:editId="2947A855">
                <wp:simplePos x="0" y="0"/>
                <wp:positionH relativeFrom="column">
                  <wp:posOffset>28575</wp:posOffset>
                </wp:positionH>
                <wp:positionV relativeFrom="margin">
                  <wp:posOffset>-88900</wp:posOffset>
                </wp:positionV>
                <wp:extent cx="5943600" cy="204152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5050" w14:textId="78F80698" w:rsidR="000779E7" w:rsidRDefault="000779E7" w:rsidP="005F1BB6">
                            <w:pPr>
                              <w:ind w:firstLine="0"/>
                              <w:jc w:val="right"/>
                            </w:pPr>
                            <w:r>
                              <w:t xml:space="preserve">Gerald Mark Barron, MPH </w:t>
                            </w:r>
                          </w:p>
                          <w:p w14:paraId="2D28D31F" w14:textId="77777777" w:rsidR="000779E7" w:rsidRPr="005F1BB6" w:rsidRDefault="000779E7" w:rsidP="005F1BB6">
                            <w:pPr>
                              <w:ind w:firstLine="0"/>
                              <w:jc w:val="right"/>
                            </w:pPr>
                          </w:p>
                          <w:p w14:paraId="12381FBC" w14:textId="7A7A549C" w:rsidR="000779E7" w:rsidRPr="00972492" w:rsidRDefault="000779E7" w:rsidP="00BA1D16">
                            <w:pPr>
                              <w:spacing w:line="240" w:lineRule="auto"/>
                              <w:ind w:firstLine="0"/>
                              <w:jc w:val="center"/>
                              <w:rPr>
                                <w:b/>
                                <w:caps/>
                              </w:rPr>
                            </w:pPr>
                            <w:r w:rsidRPr="00972492">
                              <w:rPr>
                                <w:b/>
                                <w:caps/>
                              </w:rPr>
                              <w:t xml:space="preserve">Variations in Treatment Intensity at End of Life: </w:t>
                            </w:r>
                            <w:r w:rsidRPr="00972492">
                              <w:rPr>
                                <w:b/>
                                <w:caps/>
                              </w:rPr>
                              <w:br/>
                              <w:t>Review of Evidence and Policy and Program Implications</w:t>
                            </w:r>
                          </w:p>
                          <w:p w14:paraId="420CF0B7" w14:textId="77777777" w:rsidR="000779E7" w:rsidRDefault="000779E7" w:rsidP="00BA1D16">
                            <w:pPr>
                              <w:spacing w:line="240" w:lineRule="auto"/>
                              <w:ind w:firstLine="0"/>
                              <w:jc w:val="center"/>
                              <w:rPr>
                                <w:b/>
                              </w:rPr>
                            </w:pPr>
                          </w:p>
                          <w:p w14:paraId="0E26301D" w14:textId="0454F6E0" w:rsidR="000779E7" w:rsidRDefault="000779E7" w:rsidP="00BA1D16">
                            <w:pPr>
                              <w:ind w:firstLine="0"/>
                              <w:jc w:val="center"/>
                            </w:pPr>
                            <w:r>
                              <w:t xml:space="preserve">Robert Ferguson, MPH </w:t>
                            </w:r>
                          </w:p>
                          <w:p w14:paraId="6A108094" w14:textId="475E84AA" w:rsidR="000779E7" w:rsidRDefault="000779E7"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2017</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D240" id="Text Box 33" o:spid="_x0000_s1029" type="#_x0000_t202" style="position:absolute;left:0;text-align:left;margin-left:2.25pt;margin-top:-7pt;width:468pt;height:160.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" filled="f" stroked="f">
                <v:textbox>
                  <w:txbxContent>
                    <w:p w14:paraId="372F5050" w14:textId="78F80698" w:rsidR="000779E7" w:rsidRDefault="000779E7" w:rsidP="005F1BB6">
                      <w:pPr>
                        <w:ind w:firstLine="0"/>
                        <w:jc w:val="right"/>
                      </w:pPr>
                      <w:r>
                        <w:t xml:space="preserve">Gerald Mark Barron, MPH </w:t>
                      </w:r>
                    </w:p>
                    <w:p w14:paraId="2D28D31F" w14:textId="77777777" w:rsidR="000779E7" w:rsidRPr="005F1BB6" w:rsidRDefault="000779E7" w:rsidP="005F1BB6">
                      <w:pPr>
                        <w:ind w:firstLine="0"/>
                        <w:jc w:val="right"/>
                      </w:pPr>
                    </w:p>
                    <w:p w14:paraId="12381FBC" w14:textId="7A7A549C" w:rsidR="000779E7" w:rsidRPr="00972492" w:rsidRDefault="000779E7" w:rsidP="00BA1D16">
                      <w:pPr>
                        <w:spacing w:line="240" w:lineRule="auto"/>
                        <w:ind w:firstLine="0"/>
                        <w:jc w:val="center"/>
                        <w:rPr>
                          <w:b/>
                          <w:caps/>
                        </w:rPr>
                      </w:pPr>
                      <w:r w:rsidRPr="00972492">
                        <w:rPr>
                          <w:b/>
                          <w:caps/>
                        </w:rPr>
                        <w:t xml:space="preserve">Variations in Treatment Intensity at End of Life: </w:t>
                      </w:r>
                      <w:r w:rsidRPr="00972492">
                        <w:rPr>
                          <w:b/>
                          <w:caps/>
                        </w:rPr>
                        <w:br/>
                        <w:t>Review of Evidence and Policy and Program Implications</w:t>
                      </w:r>
                    </w:p>
                    <w:p w14:paraId="420CF0B7" w14:textId="77777777" w:rsidR="000779E7" w:rsidRDefault="000779E7" w:rsidP="00BA1D16">
                      <w:pPr>
                        <w:spacing w:line="240" w:lineRule="auto"/>
                        <w:ind w:firstLine="0"/>
                        <w:jc w:val="center"/>
                        <w:rPr>
                          <w:b/>
                        </w:rPr>
                      </w:pPr>
                    </w:p>
                    <w:p w14:paraId="0E26301D" w14:textId="0454F6E0" w:rsidR="000779E7" w:rsidRDefault="000779E7" w:rsidP="00BA1D16">
                      <w:pPr>
                        <w:ind w:firstLine="0"/>
                        <w:jc w:val="center"/>
                      </w:pPr>
                      <w:r>
                        <w:t xml:space="preserve">Robert Ferguson, MPH </w:t>
                      </w:r>
                    </w:p>
                    <w:p w14:paraId="6A108094" w14:textId="475E84AA" w:rsidR="000779E7" w:rsidRDefault="000779E7"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2017</w:t>
                      </w:r>
                      <w:r>
                        <w:br w:type="page"/>
                      </w:r>
                    </w:p>
                  </w:txbxContent>
                </v:textbox>
                <w10:wrap type="square" anchory="margin"/>
              </v:shape>
            </w:pict>
          </mc:Fallback>
        </mc:AlternateContent>
      </w:r>
      <w:r w:rsidR="007F763B" w:rsidRPr="00DF1A75">
        <w:rPr>
          <w:b/>
        </w:rPr>
        <w:t>ABSTRACT</w:t>
      </w:r>
      <w:r w:rsidR="00972492">
        <w:rPr>
          <w:b/>
        </w:rPr>
        <w:br/>
      </w:r>
    </w:p>
    <w:p w14:paraId="26FD086E" w14:textId="573C07F2" w:rsidR="00DF1A75" w:rsidRPr="003E052A" w:rsidRDefault="00DF1A75" w:rsidP="001A5B12">
      <w:pPr>
        <w:pStyle w:val="Noindent"/>
        <w:jc w:val="left"/>
      </w:pPr>
      <w:r w:rsidRPr="003E052A">
        <w:rPr>
          <w:b/>
        </w:rPr>
        <w:t>Background:</w:t>
      </w:r>
      <w:r>
        <w:t xml:space="preserve"> U</w:t>
      </w:r>
      <w:r w:rsidR="00817139">
        <w:t>.</w:t>
      </w:r>
      <w:r>
        <w:t>S</w:t>
      </w:r>
      <w:r w:rsidR="00817139">
        <w:t>.</w:t>
      </w:r>
      <w:r>
        <w:t xml:space="preserve"> regions with higher intensity </w:t>
      </w:r>
      <w:r w:rsidR="00E31916">
        <w:t xml:space="preserve">of </w:t>
      </w:r>
      <w:r>
        <w:t>end-of-life (EOL) care do not have greater patient demand for such treatment, nor do they have better outcomes, mortality, qu</w:t>
      </w:r>
      <w:r w:rsidR="00BA1852">
        <w:t xml:space="preserve">ality of care, or satisfaction.  </w:t>
      </w:r>
      <w:r>
        <w:t>This inefficiency has significant public health importance, because resources for improving the public</w:t>
      </w:r>
      <w:r w:rsidR="00E31916">
        <w:t>’s</w:t>
      </w:r>
      <w:r>
        <w:t xml:space="preserve"> health are l</w:t>
      </w:r>
      <w:r w:rsidR="00BA1852">
        <w:t xml:space="preserve">imited and must be used wisely.  </w:t>
      </w:r>
      <w:r>
        <w:t>This review categorizes factors associated with variation</w:t>
      </w:r>
      <w:r w:rsidR="00BA1852">
        <w:t>s</w:t>
      </w:r>
      <w:r>
        <w:t xml:space="preserve"> in EOL treatment intensity and proposes targeted policy and program interventions. </w:t>
      </w:r>
    </w:p>
    <w:p w14:paraId="5439334F" w14:textId="35891FC9" w:rsidR="00DF1A75" w:rsidRDefault="00DF1A75" w:rsidP="001A5B12">
      <w:pPr>
        <w:pStyle w:val="Noindent"/>
        <w:jc w:val="left"/>
      </w:pPr>
      <w:r w:rsidRPr="003E052A">
        <w:rPr>
          <w:b/>
        </w:rPr>
        <w:t>Methods:</w:t>
      </w:r>
      <w:r>
        <w:t xml:space="preserve"> I searched Ovid MEDLINE for peer-reviewed studies that included patients 65 years or older, U.S. hospitals, </w:t>
      </w:r>
      <w:r w:rsidR="00190F06">
        <w:t>and an analysis of</w:t>
      </w:r>
      <w:r>
        <w:t xml:space="preserve"> factors </w:t>
      </w:r>
      <w:r w:rsidR="00190F06">
        <w:t>affecting</w:t>
      </w:r>
      <w:r>
        <w:t xml:space="preserve"> variations in EOL treatment intensity</w:t>
      </w:r>
      <w:r w:rsidR="00BA1852">
        <w:t xml:space="preserve">.  </w:t>
      </w:r>
      <w:r>
        <w:t>I categorized the</w:t>
      </w:r>
      <w:r w:rsidR="00E31916">
        <w:t>se</w:t>
      </w:r>
      <w:r>
        <w:t xml:space="preserve"> factors based on the socio-ecological framework (SEF).</w:t>
      </w:r>
    </w:p>
    <w:p w14:paraId="31724540" w14:textId="14911EF0" w:rsidR="00DF1A75" w:rsidRDefault="00DF1A75" w:rsidP="001A5B12">
      <w:pPr>
        <w:pStyle w:val="Noindent"/>
        <w:jc w:val="left"/>
      </w:pPr>
      <w:r w:rsidRPr="003E052A">
        <w:rPr>
          <w:b/>
        </w:rPr>
        <w:t>Results:</w:t>
      </w:r>
      <w:r>
        <w:t xml:space="preserve"> The search </w:t>
      </w:r>
      <w:r w:rsidR="00E31916">
        <w:t xml:space="preserve">produced </w:t>
      </w:r>
      <w:r>
        <w:t>23</w:t>
      </w:r>
      <w:r w:rsidR="00D16F32">
        <w:t xml:space="preserve"> studies.  </w:t>
      </w:r>
      <w:r>
        <w:t>T</w:t>
      </w:r>
      <w:r w:rsidRPr="00603DB2">
        <w:t xml:space="preserve">he SEF individual level factors included age, race, </w:t>
      </w:r>
      <w:r>
        <w:t>ethnicity, gender, income, advance direc</w:t>
      </w:r>
      <w:r w:rsidR="00BA1852">
        <w:t xml:space="preserve">tives, and written </w:t>
      </w:r>
      <w:r w:rsidR="008274D6">
        <w:t xml:space="preserve">medical </w:t>
      </w:r>
      <w:r w:rsidR="00BA1852">
        <w:t xml:space="preserve">orders.  </w:t>
      </w:r>
      <w:r w:rsidRPr="00603DB2">
        <w:t xml:space="preserve">The SEF interpersonal </w:t>
      </w:r>
      <w:r>
        <w:t xml:space="preserve">factors included </w:t>
      </w:r>
      <w:r w:rsidR="00D16F32">
        <w:t>patient-doctor familiarity</w:t>
      </w:r>
      <w:r w:rsidR="00BA1852">
        <w:t xml:space="preserve">.  </w:t>
      </w:r>
      <w:r>
        <w:t xml:space="preserve">The SEF community </w:t>
      </w:r>
      <w:r w:rsidR="00E31916">
        <w:t xml:space="preserve">factors </w:t>
      </w:r>
      <w:r w:rsidRPr="00603DB2">
        <w:t>included</w:t>
      </w:r>
      <w:r>
        <w:t xml:space="preserve"> the</w:t>
      </w:r>
      <w:r w:rsidRPr="00603DB2">
        <w:t xml:space="preserve"> number of provider connection</w:t>
      </w:r>
      <w:r>
        <w:t xml:space="preserve">s, primary care-centered networks, area-level competition, </w:t>
      </w:r>
      <w:r w:rsidRPr="00603DB2">
        <w:t>percent black admission</w:t>
      </w:r>
      <w:r w:rsidR="00BA1852">
        <w:t>s</w:t>
      </w:r>
      <w:r>
        <w:t>, and hospital care intensity level in the area</w:t>
      </w:r>
      <w:r w:rsidR="00BA1852">
        <w:t xml:space="preserve">.  </w:t>
      </w:r>
      <w:r w:rsidRPr="00603DB2">
        <w:t xml:space="preserve">The SEF institutional </w:t>
      </w:r>
      <w:r w:rsidR="00E31916">
        <w:t xml:space="preserve">factors </w:t>
      </w:r>
      <w:r w:rsidRPr="00603DB2">
        <w:t xml:space="preserve">included </w:t>
      </w:r>
      <w:r>
        <w:t xml:space="preserve">providers’ EOL decision-making norms, providers’ EOL treatment styles, organizational norms around </w:t>
      </w:r>
      <w:r w:rsidR="00D16F32">
        <w:t>do-not-resuscitate (DNR) orders</w:t>
      </w:r>
      <w:r>
        <w:t xml:space="preserve">, number of beds and providers, </w:t>
      </w:r>
      <w:r w:rsidRPr="00603DB2">
        <w:lastRenderedPageBreak/>
        <w:t>and for-profit compared to public institution</w:t>
      </w:r>
      <w:r>
        <w:t>s</w:t>
      </w:r>
      <w:r w:rsidRPr="00603DB2">
        <w:t>.</w:t>
      </w:r>
      <w:r w:rsidR="00BA1852">
        <w:t xml:space="preserve">  </w:t>
      </w:r>
      <w:r>
        <w:t xml:space="preserve">The SEF policy </w:t>
      </w:r>
      <w:r w:rsidR="00E31916">
        <w:t>factors</w:t>
      </w:r>
      <w:r>
        <w:t xml:space="preserve"> included managed care compared to fee-for-service </w:t>
      </w:r>
      <w:r w:rsidR="00E31916">
        <w:t xml:space="preserve">payment </w:t>
      </w:r>
      <w:r w:rsidR="00BA1852">
        <w:t>systems</w:t>
      </w:r>
      <w:r>
        <w:t xml:space="preserve">. </w:t>
      </w:r>
    </w:p>
    <w:p w14:paraId="6C5FF684" w14:textId="6103F178" w:rsidR="00AA2C6A" w:rsidRDefault="00DF1A75" w:rsidP="001A5B12">
      <w:pPr>
        <w:ind w:firstLine="0"/>
        <w:jc w:val="left"/>
      </w:pPr>
      <w:r w:rsidRPr="003E052A">
        <w:rPr>
          <w:b/>
        </w:rPr>
        <w:t>Conclusion:</w:t>
      </w:r>
      <w:r>
        <w:t xml:space="preserve"> To respond to these factors</w:t>
      </w:r>
      <w:r w:rsidR="00190F06">
        <w:t xml:space="preserve"> that explain variations in EOL treatment</w:t>
      </w:r>
      <w:r w:rsidR="00E31916">
        <w:t xml:space="preserve"> intensities</w:t>
      </w:r>
      <w:r>
        <w:t>, training programs for providers on palliative care and EOL conversations should be paired with organizational transformation strategies</w:t>
      </w:r>
      <w:r w:rsidR="00D16F32">
        <w:t xml:space="preserve"> to affect skills, practices, and cultures</w:t>
      </w:r>
      <w:r>
        <w:t xml:space="preserve">. </w:t>
      </w:r>
      <w:r w:rsidR="00E221BB">
        <w:t xml:space="preserve"> </w:t>
      </w:r>
      <w:r w:rsidR="00190F06">
        <w:t>Policymakers should also consider v</w:t>
      </w:r>
      <w:r>
        <w:t xml:space="preserve">alue-based payment policies. </w:t>
      </w:r>
    </w:p>
    <w:p w14:paraId="38811DFD" w14:textId="2AFDA62E" w:rsidR="00AA2C6A" w:rsidRPr="00AA2C6A" w:rsidRDefault="00AA2C6A" w:rsidP="00AA2C6A"/>
    <w:p w14:paraId="4C684C73" w14:textId="65E1F599" w:rsidR="008A110F" w:rsidRDefault="008A110F" w:rsidP="00656EE6">
      <w:pPr>
        <w:pStyle w:val="Preliminary"/>
      </w:pPr>
      <w:bookmarkStart w:id="0" w:name="_Toc106717784"/>
      <w:r w:rsidRPr="00E36565">
        <w:lastRenderedPageBreak/>
        <w:t>TABLE</w:t>
      </w:r>
      <w:r>
        <w:t xml:space="preserve"> OF CONTENTS</w:t>
      </w:r>
      <w:bookmarkEnd w:id="0"/>
    </w:p>
    <w:p w14:paraId="23B30A20" w14:textId="6CE10D37" w:rsidR="00B349C2" w:rsidRDefault="00367476">
      <w:pPr>
        <w:pStyle w:val="TOC1"/>
        <w:tabs>
          <w:tab w:val="right" w:leader="dot" w:pos="9350"/>
        </w:tabs>
        <w:rPr>
          <w:rFonts w:asciiTheme="minorHAnsi" w:eastAsiaTheme="minorEastAsia" w:hAnsiTheme="minorHAnsi" w:cstheme="minorBidi"/>
          <w:b w:val="0"/>
          <w:caps w:val="0"/>
          <w:noProof/>
          <w:sz w:val="22"/>
          <w:szCs w:val="22"/>
        </w:rPr>
      </w:pPr>
      <w:r>
        <w:fldChar w:fldCharType="begin"/>
      </w:r>
      <w:r>
        <w:instrText xml:space="preserve"> TOC \o "2-4" \h \z \t "Heading 1,1,Appendix,1,Heading,1" </w:instrText>
      </w:r>
      <w:r>
        <w:fldChar w:fldCharType="separate"/>
      </w:r>
      <w:hyperlink w:anchor="_Toc480035026" w:history="1">
        <w:r w:rsidR="00B349C2" w:rsidRPr="001235FE">
          <w:rPr>
            <w:rStyle w:val="Hyperlink"/>
            <w:noProof/>
          </w:rPr>
          <w:t>preface</w:t>
        </w:r>
        <w:r w:rsidR="00B349C2">
          <w:rPr>
            <w:noProof/>
            <w:webHidden/>
          </w:rPr>
          <w:tab/>
        </w:r>
        <w:r w:rsidR="00B349C2">
          <w:rPr>
            <w:noProof/>
            <w:webHidden/>
          </w:rPr>
          <w:fldChar w:fldCharType="begin"/>
        </w:r>
        <w:r w:rsidR="00B349C2">
          <w:rPr>
            <w:noProof/>
            <w:webHidden/>
          </w:rPr>
          <w:instrText xml:space="preserve"> PAGEREF _Toc480035026 \h </w:instrText>
        </w:r>
        <w:r w:rsidR="00B349C2">
          <w:rPr>
            <w:noProof/>
            <w:webHidden/>
          </w:rPr>
        </w:r>
        <w:r w:rsidR="00B349C2">
          <w:rPr>
            <w:noProof/>
            <w:webHidden/>
          </w:rPr>
          <w:fldChar w:fldCharType="separate"/>
        </w:r>
        <w:r w:rsidR="00B349C2">
          <w:rPr>
            <w:noProof/>
            <w:webHidden/>
          </w:rPr>
          <w:t>viii</w:t>
        </w:r>
        <w:r w:rsidR="00B349C2">
          <w:rPr>
            <w:noProof/>
            <w:webHidden/>
          </w:rPr>
          <w:fldChar w:fldCharType="end"/>
        </w:r>
      </w:hyperlink>
    </w:p>
    <w:p w14:paraId="26982D3E" w14:textId="01014395" w:rsidR="00B349C2" w:rsidRDefault="002C7D4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80035027" w:history="1">
        <w:r w:rsidR="00B349C2" w:rsidRPr="001235FE">
          <w:rPr>
            <w:rStyle w:val="Hyperlink"/>
            <w:noProof/>
          </w:rPr>
          <w:t>1.0</w:t>
        </w:r>
        <w:r w:rsidR="00B349C2">
          <w:rPr>
            <w:rFonts w:asciiTheme="minorHAnsi" w:eastAsiaTheme="minorEastAsia" w:hAnsiTheme="minorHAnsi" w:cstheme="minorBidi"/>
            <w:b w:val="0"/>
            <w:caps w:val="0"/>
            <w:noProof/>
            <w:sz w:val="22"/>
            <w:szCs w:val="22"/>
          </w:rPr>
          <w:tab/>
        </w:r>
        <w:r w:rsidR="00B349C2" w:rsidRPr="001235FE">
          <w:rPr>
            <w:rStyle w:val="Hyperlink"/>
            <w:noProof/>
          </w:rPr>
          <w:t>Introduction</w:t>
        </w:r>
        <w:r w:rsidR="00B349C2">
          <w:rPr>
            <w:noProof/>
            <w:webHidden/>
          </w:rPr>
          <w:tab/>
        </w:r>
        <w:r w:rsidR="00B349C2">
          <w:rPr>
            <w:noProof/>
            <w:webHidden/>
          </w:rPr>
          <w:fldChar w:fldCharType="begin"/>
        </w:r>
        <w:r w:rsidR="00B349C2">
          <w:rPr>
            <w:noProof/>
            <w:webHidden/>
          </w:rPr>
          <w:instrText xml:space="preserve"> PAGEREF _Toc480035027 \h </w:instrText>
        </w:r>
        <w:r w:rsidR="00B349C2">
          <w:rPr>
            <w:noProof/>
            <w:webHidden/>
          </w:rPr>
        </w:r>
        <w:r w:rsidR="00B349C2">
          <w:rPr>
            <w:noProof/>
            <w:webHidden/>
          </w:rPr>
          <w:fldChar w:fldCharType="separate"/>
        </w:r>
        <w:r w:rsidR="00B349C2">
          <w:rPr>
            <w:noProof/>
            <w:webHidden/>
          </w:rPr>
          <w:t>1</w:t>
        </w:r>
        <w:r w:rsidR="00B349C2">
          <w:rPr>
            <w:noProof/>
            <w:webHidden/>
          </w:rPr>
          <w:fldChar w:fldCharType="end"/>
        </w:r>
      </w:hyperlink>
    </w:p>
    <w:p w14:paraId="370C5F2B" w14:textId="154F534B"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28" w:history="1">
        <w:r w:rsidR="00B349C2" w:rsidRPr="001235FE">
          <w:rPr>
            <w:rStyle w:val="Hyperlink"/>
            <w:noProof/>
          </w:rPr>
          <w:t>1.1</w:t>
        </w:r>
        <w:r w:rsidR="00B349C2">
          <w:rPr>
            <w:rFonts w:asciiTheme="minorHAnsi" w:eastAsiaTheme="minorEastAsia" w:hAnsiTheme="minorHAnsi" w:cstheme="minorBidi"/>
            <w:b w:val="0"/>
            <w:caps w:val="0"/>
            <w:noProof/>
            <w:sz w:val="22"/>
            <w:szCs w:val="22"/>
          </w:rPr>
          <w:tab/>
        </w:r>
        <w:r w:rsidR="00B349C2" w:rsidRPr="001235FE">
          <w:rPr>
            <w:rStyle w:val="Hyperlink"/>
            <w:noProof/>
          </w:rPr>
          <w:t>Public Health Relevance</w:t>
        </w:r>
        <w:r w:rsidR="00B349C2">
          <w:rPr>
            <w:noProof/>
            <w:webHidden/>
          </w:rPr>
          <w:tab/>
        </w:r>
        <w:r w:rsidR="00B349C2">
          <w:rPr>
            <w:noProof/>
            <w:webHidden/>
          </w:rPr>
          <w:fldChar w:fldCharType="begin"/>
        </w:r>
        <w:r w:rsidR="00B349C2">
          <w:rPr>
            <w:noProof/>
            <w:webHidden/>
          </w:rPr>
          <w:instrText xml:space="preserve"> PAGEREF _Toc480035028 \h </w:instrText>
        </w:r>
        <w:r w:rsidR="00B349C2">
          <w:rPr>
            <w:noProof/>
            <w:webHidden/>
          </w:rPr>
        </w:r>
        <w:r w:rsidR="00B349C2">
          <w:rPr>
            <w:noProof/>
            <w:webHidden/>
          </w:rPr>
          <w:fldChar w:fldCharType="separate"/>
        </w:r>
        <w:r w:rsidR="00B349C2">
          <w:rPr>
            <w:noProof/>
            <w:webHidden/>
          </w:rPr>
          <w:t>1</w:t>
        </w:r>
        <w:r w:rsidR="00B349C2">
          <w:rPr>
            <w:noProof/>
            <w:webHidden/>
          </w:rPr>
          <w:fldChar w:fldCharType="end"/>
        </w:r>
      </w:hyperlink>
    </w:p>
    <w:p w14:paraId="70ABBE93" w14:textId="4E941B3D"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29" w:history="1">
        <w:r w:rsidR="00B349C2" w:rsidRPr="001235FE">
          <w:rPr>
            <w:rStyle w:val="Hyperlink"/>
            <w:noProof/>
          </w:rPr>
          <w:t>1.2</w:t>
        </w:r>
        <w:r w:rsidR="00B349C2">
          <w:rPr>
            <w:rFonts w:asciiTheme="minorHAnsi" w:eastAsiaTheme="minorEastAsia" w:hAnsiTheme="minorHAnsi" w:cstheme="minorBidi"/>
            <w:b w:val="0"/>
            <w:caps w:val="0"/>
            <w:noProof/>
            <w:sz w:val="22"/>
            <w:szCs w:val="22"/>
          </w:rPr>
          <w:tab/>
        </w:r>
        <w:r w:rsidR="00B349C2" w:rsidRPr="001235FE">
          <w:rPr>
            <w:rStyle w:val="Hyperlink"/>
            <w:noProof/>
          </w:rPr>
          <w:t>Current Understanding</w:t>
        </w:r>
        <w:r w:rsidR="00B349C2">
          <w:rPr>
            <w:noProof/>
            <w:webHidden/>
          </w:rPr>
          <w:tab/>
        </w:r>
        <w:r w:rsidR="00B349C2">
          <w:rPr>
            <w:noProof/>
            <w:webHidden/>
          </w:rPr>
          <w:fldChar w:fldCharType="begin"/>
        </w:r>
        <w:r w:rsidR="00B349C2">
          <w:rPr>
            <w:noProof/>
            <w:webHidden/>
          </w:rPr>
          <w:instrText xml:space="preserve"> PAGEREF _Toc480035029 \h </w:instrText>
        </w:r>
        <w:r w:rsidR="00B349C2">
          <w:rPr>
            <w:noProof/>
            <w:webHidden/>
          </w:rPr>
        </w:r>
        <w:r w:rsidR="00B349C2">
          <w:rPr>
            <w:noProof/>
            <w:webHidden/>
          </w:rPr>
          <w:fldChar w:fldCharType="separate"/>
        </w:r>
        <w:r w:rsidR="00B349C2">
          <w:rPr>
            <w:noProof/>
            <w:webHidden/>
          </w:rPr>
          <w:t>2</w:t>
        </w:r>
        <w:r w:rsidR="00B349C2">
          <w:rPr>
            <w:noProof/>
            <w:webHidden/>
          </w:rPr>
          <w:fldChar w:fldCharType="end"/>
        </w:r>
      </w:hyperlink>
    </w:p>
    <w:p w14:paraId="07BAF1F6" w14:textId="5E931E1B"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30" w:history="1">
        <w:r w:rsidR="00B349C2" w:rsidRPr="001235FE">
          <w:rPr>
            <w:rStyle w:val="Hyperlink"/>
            <w:noProof/>
          </w:rPr>
          <w:t>1.3</w:t>
        </w:r>
        <w:r w:rsidR="00B349C2">
          <w:rPr>
            <w:rFonts w:asciiTheme="minorHAnsi" w:eastAsiaTheme="minorEastAsia" w:hAnsiTheme="minorHAnsi" w:cstheme="minorBidi"/>
            <w:b w:val="0"/>
            <w:caps w:val="0"/>
            <w:noProof/>
            <w:sz w:val="22"/>
            <w:szCs w:val="22"/>
          </w:rPr>
          <w:tab/>
        </w:r>
        <w:r w:rsidR="00B349C2" w:rsidRPr="001235FE">
          <w:rPr>
            <w:rStyle w:val="Hyperlink"/>
            <w:noProof/>
          </w:rPr>
          <w:t>Objective</w:t>
        </w:r>
        <w:r w:rsidR="00B349C2">
          <w:rPr>
            <w:noProof/>
            <w:webHidden/>
          </w:rPr>
          <w:tab/>
        </w:r>
        <w:r w:rsidR="00B349C2">
          <w:rPr>
            <w:noProof/>
            <w:webHidden/>
          </w:rPr>
          <w:fldChar w:fldCharType="begin"/>
        </w:r>
        <w:r w:rsidR="00B349C2">
          <w:rPr>
            <w:noProof/>
            <w:webHidden/>
          </w:rPr>
          <w:instrText xml:space="preserve"> PAGEREF _Toc480035030 \h </w:instrText>
        </w:r>
        <w:r w:rsidR="00B349C2">
          <w:rPr>
            <w:noProof/>
            <w:webHidden/>
          </w:rPr>
        </w:r>
        <w:r w:rsidR="00B349C2">
          <w:rPr>
            <w:noProof/>
            <w:webHidden/>
          </w:rPr>
          <w:fldChar w:fldCharType="separate"/>
        </w:r>
        <w:r w:rsidR="00B349C2">
          <w:rPr>
            <w:noProof/>
            <w:webHidden/>
          </w:rPr>
          <w:t>3</w:t>
        </w:r>
        <w:r w:rsidR="00B349C2">
          <w:rPr>
            <w:noProof/>
            <w:webHidden/>
          </w:rPr>
          <w:fldChar w:fldCharType="end"/>
        </w:r>
      </w:hyperlink>
    </w:p>
    <w:p w14:paraId="29E114DA" w14:textId="46470638" w:rsidR="00B349C2" w:rsidRDefault="002C7D4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80035031" w:history="1">
        <w:r w:rsidR="00B349C2" w:rsidRPr="001235FE">
          <w:rPr>
            <w:rStyle w:val="Hyperlink"/>
            <w:noProof/>
          </w:rPr>
          <w:t>2.0</w:t>
        </w:r>
        <w:r w:rsidR="00B349C2">
          <w:rPr>
            <w:rFonts w:asciiTheme="minorHAnsi" w:eastAsiaTheme="minorEastAsia" w:hAnsiTheme="minorHAnsi" w:cstheme="minorBidi"/>
            <w:b w:val="0"/>
            <w:caps w:val="0"/>
            <w:noProof/>
            <w:sz w:val="22"/>
            <w:szCs w:val="22"/>
          </w:rPr>
          <w:tab/>
        </w:r>
        <w:r w:rsidR="00B349C2" w:rsidRPr="001235FE">
          <w:rPr>
            <w:rStyle w:val="Hyperlink"/>
            <w:noProof/>
          </w:rPr>
          <w:t>Methods</w:t>
        </w:r>
        <w:r w:rsidR="00B349C2">
          <w:rPr>
            <w:noProof/>
            <w:webHidden/>
          </w:rPr>
          <w:tab/>
        </w:r>
        <w:r w:rsidR="00B349C2">
          <w:rPr>
            <w:noProof/>
            <w:webHidden/>
          </w:rPr>
          <w:fldChar w:fldCharType="begin"/>
        </w:r>
        <w:r w:rsidR="00B349C2">
          <w:rPr>
            <w:noProof/>
            <w:webHidden/>
          </w:rPr>
          <w:instrText xml:space="preserve"> PAGEREF _Toc480035031 \h </w:instrText>
        </w:r>
        <w:r w:rsidR="00B349C2">
          <w:rPr>
            <w:noProof/>
            <w:webHidden/>
          </w:rPr>
        </w:r>
        <w:r w:rsidR="00B349C2">
          <w:rPr>
            <w:noProof/>
            <w:webHidden/>
          </w:rPr>
          <w:fldChar w:fldCharType="separate"/>
        </w:r>
        <w:r w:rsidR="00B349C2">
          <w:rPr>
            <w:noProof/>
            <w:webHidden/>
          </w:rPr>
          <w:t>4</w:t>
        </w:r>
        <w:r w:rsidR="00B349C2">
          <w:rPr>
            <w:noProof/>
            <w:webHidden/>
          </w:rPr>
          <w:fldChar w:fldCharType="end"/>
        </w:r>
      </w:hyperlink>
    </w:p>
    <w:p w14:paraId="3AE9C8A9" w14:textId="024B6CAB" w:rsidR="00B349C2" w:rsidRDefault="002C7D4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80035032" w:history="1">
        <w:r w:rsidR="00B349C2" w:rsidRPr="001235FE">
          <w:rPr>
            <w:rStyle w:val="Hyperlink"/>
            <w:noProof/>
          </w:rPr>
          <w:t>3.0</w:t>
        </w:r>
        <w:r w:rsidR="00B349C2">
          <w:rPr>
            <w:rFonts w:asciiTheme="minorHAnsi" w:eastAsiaTheme="minorEastAsia" w:hAnsiTheme="minorHAnsi" w:cstheme="minorBidi"/>
            <w:b w:val="0"/>
            <w:caps w:val="0"/>
            <w:noProof/>
            <w:sz w:val="22"/>
            <w:szCs w:val="22"/>
          </w:rPr>
          <w:tab/>
        </w:r>
        <w:r w:rsidR="00B349C2" w:rsidRPr="001235FE">
          <w:rPr>
            <w:rStyle w:val="Hyperlink"/>
            <w:noProof/>
          </w:rPr>
          <w:t>Results</w:t>
        </w:r>
        <w:r w:rsidR="00B349C2">
          <w:rPr>
            <w:noProof/>
            <w:webHidden/>
          </w:rPr>
          <w:tab/>
        </w:r>
        <w:r w:rsidR="00B349C2">
          <w:rPr>
            <w:noProof/>
            <w:webHidden/>
          </w:rPr>
          <w:fldChar w:fldCharType="begin"/>
        </w:r>
        <w:r w:rsidR="00B349C2">
          <w:rPr>
            <w:noProof/>
            <w:webHidden/>
          </w:rPr>
          <w:instrText xml:space="preserve"> PAGEREF _Toc480035032 \h </w:instrText>
        </w:r>
        <w:r w:rsidR="00B349C2">
          <w:rPr>
            <w:noProof/>
            <w:webHidden/>
          </w:rPr>
        </w:r>
        <w:r w:rsidR="00B349C2">
          <w:rPr>
            <w:noProof/>
            <w:webHidden/>
          </w:rPr>
          <w:fldChar w:fldCharType="separate"/>
        </w:r>
        <w:r w:rsidR="00B349C2">
          <w:rPr>
            <w:noProof/>
            <w:webHidden/>
          </w:rPr>
          <w:t>6</w:t>
        </w:r>
        <w:r w:rsidR="00B349C2">
          <w:rPr>
            <w:noProof/>
            <w:webHidden/>
          </w:rPr>
          <w:fldChar w:fldCharType="end"/>
        </w:r>
      </w:hyperlink>
    </w:p>
    <w:p w14:paraId="35C3D097" w14:textId="12DA0A66"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33" w:history="1">
        <w:r w:rsidR="00B349C2" w:rsidRPr="001235FE">
          <w:rPr>
            <w:rStyle w:val="Hyperlink"/>
            <w:noProof/>
          </w:rPr>
          <w:t>3.1</w:t>
        </w:r>
        <w:r w:rsidR="00B349C2">
          <w:rPr>
            <w:rFonts w:asciiTheme="minorHAnsi" w:eastAsiaTheme="minorEastAsia" w:hAnsiTheme="minorHAnsi" w:cstheme="minorBidi"/>
            <w:b w:val="0"/>
            <w:caps w:val="0"/>
            <w:noProof/>
            <w:sz w:val="22"/>
            <w:szCs w:val="22"/>
          </w:rPr>
          <w:tab/>
        </w:r>
        <w:r w:rsidR="00B349C2" w:rsidRPr="001235FE">
          <w:rPr>
            <w:rStyle w:val="Hyperlink"/>
            <w:noProof/>
          </w:rPr>
          <w:t>Characteristics and findings of included studies</w:t>
        </w:r>
        <w:r w:rsidR="00B349C2">
          <w:rPr>
            <w:noProof/>
            <w:webHidden/>
          </w:rPr>
          <w:tab/>
        </w:r>
        <w:r w:rsidR="00B349C2">
          <w:rPr>
            <w:noProof/>
            <w:webHidden/>
          </w:rPr>
          <w:fldChar w:fldCharType="begin"/>
        </w:r>
        <w:r w:rsidR="00B349C2">
          <w:rPr>
            <w:noProof/>
            <w:webHidden/>
          </w:rPr>
          <w:instrText xml:space="preserve"> PAGEREF _Toc480035033 \h </w:instrText>
        </w:r>
        <w:r w:rsidR="00B349C2">
          <w:rPr>
            <w:noProof/>
            <w:webHidden/>
          </w:rPr>
        </w:r>
        <w:r w:rsidR="00B349C2">
          <w:rPr>
            <w:noProof/>
            <w:webHidden/>
          </w:rPr>
          <w:fldChar w:fldCharType="separate"/>
        </w:r>
        <w:r w:rsidR="00B349C2">
          <w:rPr>
            <w:noProof/>
            <w:webHidden/>
          </w:rPr>
          <w:t>6</w:t>
        </w:r>
        <w:r w:rsidR="00B349C2">
          <w:rPr>
            <w:noProof/>
            <w:webHidden/>
          </w:rPr>
          <w:fldChar w:fldCharType="end"/>
        </w:r>
      </w:hyperlink>
    </w:p>
    <w:p w14:paraId="3425F87D" w14:textId="5078C5BB"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34" w:history="1">
        <w:r w:rsidR="00B349C2" w:rsidRPr="001235FE">
          <w:rPr>
            <w:rStyle w:val="Hyperlink"/>
            <w:noProof/>
          </w:rPr>
          <w:t>3.2</w:t>
        </w:r>
        <w:r w:rsidR="00B349C2">
          <w:rPr>
            <w:rFonts w:asciiTheme="minorHAnsi" w:eastAsiaTheme="minorEastAsia" w:hAnsiTheme="minorHAnsi" w:cstheme="minorBidi"/>
            <w:b w:val="0"/>
            <w:caps w:val="0"/>
            <w:noProof/>
            <w:sz w:val="22"/>
            <w:szCs w:val="22"/>
          </w:rPr>
          <w:tab/>
        </w:r>
        <w:r w:rsidR="00B349C2" w:rsidRPr="001235FE">
          <w:rPr>
            <w:rStyle w:val="Hyperlink"/>
            <w:noProof/>
          </w:rPr>
          <w:t>Factors contributing to higher EOL Treatment InTensity</w:t>
        </w:r>
        <w:r w:rsidR="00B349C2">
          <w:rPr>
            <w:noProof/>
            <w:webHidden/>
          </w:rPr>
          <w:tab/>
        </w:r>
        <w:r w:rsidR="00B349C2">
          <w:rPr>
            <w:noProof/>
            <w:webHidden/>
          </w:rPr>
          <w:fldChar w:fldCharType="begin"/>
        </w:r>
        <w:r w:rsidR="00B349C2">
          <w:rPr>
            <w:noProof/>
            <w:webHidden/>
          </w:rPr>
          <w:instrText xml:space="preserve"> PAGEREF _Toc480035034 \h </w:instrText>
        </w:r>
        <w:r w:rsidR="00B349C2">
          <w:rPr>
            <w:noProof/>
            <w:webHidden/>
          </w:rPr>
        </w:r>
        <w:r w:rsidR="00B349C2">
          <w:rPr>
            <w:noProof/>
            <w:webHidden/>
          </w:rPr>
          <w:fldChar w:fldCharType="separate"/>
        </w:r>
        <w:r w:rsidR="00B349C2">
          <w:rPr>
            <w:noProof/>
            <w:webHidden/>
          </w:rPr>
          <w:t>15</w:t>
        </w:r>
        <w:r w:rsidR="00B349C2">
          <w:rPr>
            <w:noProof/>
            <w:webHidden/>
          </w:rPr>
          <w:fldChar w:fldCharType="end"/>
        </w:r>
      </w:hyperlink>
    </w:p>
    <w:p w14:paraId="2FBA9FC3" w14:textId="650BD9FB" w:rsidR="00B349C2" w:rsidRDefault="002C7D4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80035035" w:history="1">
        <w:r w:rsidR="00B349C2" w:rsidRPr="001235FE">
          <w:rPr>
            <w:rStyle w:val="Hyperlink"/>
            <w:noProof/>
          </w:rPr>
          <w:t>4.0</w:t>
        </w:r>
        <w:r w:rsidR="00B349C2">
          <w:rPr>
            <w:rFonts w:asciiTheme="minorHAnsi" w:eastAsiaTheme="minorEastAsia" w:hAnsiTheme="minorHAnsi" w:cstheme="minorBidi"/>
            <w:b w:val="0"/>
            <w:caps w:val="0"/>
            <w:noProof/>
            <w:sz w:val="22"/>
            <w:szCs w:val="22"/>
          </w:rPr>
          <w:tab/>
        </w:r>
        <w:r w:rsidR="00B349C2" w:rsidRPr="001235FE">
          <w:rPr>
            <w:rStyle w:val="Hyperlink"/>
            <w:noProof/>
          </w:rPr>
          <w:t>Discussion</w:t>
        </w:r>
        <w:r w:rsidR="00B349C2">
          <w:rPr>
            <w:noProof/>
            <w:webHidden/>
          </w:rPr>
          <w:tab/>
        </w:r>
        <w:r w:rsidR="00B349C2">
          <w:rPr>
            <w:noProof/>
            <w:webHidden/>
          </w:rPr>
          <w:fldChar w:fldCharType="begin"/>
        </w:r>
        <w:r w:rsidR="00B349C2">
          <w:rPr>
            <w:noProof/>
            <w:webHidden/>
          </w:rPr>
          <w:instrText xml:space="preserve"> PAGEREF _Toc480035035 \h </w:instrText>
        </w:r>
        <w:r w:rsidR="00B349C2">
          <w:rPr>
            <w:noProof/>
            <w:webHidden/>
          </w:rPr>
        </w:r>
        <w:r w:rsidR="00B349C2">
          <w:rPr>
            <w:noProof/>
            <w:webHidden/>
          </w:rPr>
          <w:fldChar w:fldCharType="separate"/>
        </w:r>
        <w:r w:rsidR="00B349C2">
          <w:rPr>
            <w:noProof/>
            <w:webHidden/>
          </w:rPr>
          <w:t>18</w:t>
        </w:r>
        <w:r w:rsidR="00B349C2">
          <w:rPr>
            <w:noProof/>
            <w:webHidden/>
          </w:rPr>
          <w:fldChar w:fldCharType="end"/>
        </w:r>
      </w:hyperlink>
    </w:p>
    <w:p w14:paraId="258FD934" w14:textId="24142D97"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36" w:history="1">
        <w:r w:rsidR="00B349C2" w:rsidRPr="001235FE">
          <w:rPr>
            <w:rStyle w:val="Hyperlink"/>
            <w:noProof/>
          </w:rPr>
          <w:t>4.1</w:t>
        </w:r>
        <w:r w:rsidR="00B349C2">
          <w:rPr>
            <w:rFonts w:asciiTheme="minorHAnsi" w:eastAsiaTheme="minorEastAsia" w:hAnsiTheme="minorHAnsi" w:cstheme="minorBidi"/>
            <w:b w:val="0"/>
            <w:caps w:val="0"/>
            <w:noProof/>
            <w:sz w:val="22"/>
            <w:szCs w:val="22"/>
          </w:rPr>
          <w:tab/>
        </w:r>
        <w:r w:rsidR="00B349C2" w:rsidRPr="001235FE">
          <w:rPr>
            <w:rStyle w:val="Hyperlink"/>
            <w:noProof/>
          </w:rPr>
          <w:t>Policy and Program Goals</w:t>
        </w:r>
        <w:r w:rsidR="00B349C2">
          <w:rPr>
            <w:noProof/>
            <w:webHidden/>
          </w:rPr>
          <w:tab/>
        </w:r>
        <w:r w:rsidR="00B349C2">
          <w:rPr>
            <w:noProof/>
            <w:webHidden/>
          </w:rPr>
          <w:fldChar w:fldCharType="begin"/>
        </w:r>
        <w:r w:rsidR="00B349C2">
          <w:rPr>
            <w:noProof/>
            <w:webHidden/>
          </w:rPr>
          <w:instrText xml:space="preserve"> PAGEREF _Toc480035036 \h </w:instrText>
        </w:r>
        <w:r w:rsidR="00B349C2">
          <w:rPr>
            <w:noProof/>
            <w:webHidden/>
          </w:rPr>
        </w:r>
        <w:r w:rsidR="00B349C2">
          <w:rPr>
            <w:noProof/>
            <w:webHidden/>
          </w:rPr>
          <w:fldChar w:fldCharType="separate"/>
        </w:r>
        <w:r w:rsidR="00B349C2">
          <w:rPr>
            <w:noProof/>
            <w:webHidden/>
          </w:rPr>
          <w:t>18</w:t>
        </w:r>
        <w:r w:rsidR="00B349C2">
          <w:rPr>
            <w:noProof/>
            <w:webHidden/>
          </w:rPr>
          <w:fldChar w:fldCharType="end"/>
        </w:r>
      </w:hyperlink>
    </w:p>
    <w:p w14:paraId="1A8C5FCF" w14:textId="59648FAB"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37" w:history="1">
        <w:r w:rsidR="00B349C2" w:rsidRPr="001235FE">
          <w:rPr>
            <w:rStyle w:val="Hyperlink"/>
            <w:noProof/>
          </w:rPr>
          <w:t>4.2</w:t>
        </w:r>
        <w:r w:rsidR="00B349C2">
          <w:rPr>
            <w:rFonts w:asciiTheme="minorHAnsi" w:eastAsiaTheme="minorEastAsia" w:hAnsiTheme="minorHAnsi" w:cstheme="minorBidi"/>
            <w:b w:val="0"/>
            <w:caps w:val="0"/>
            <w:noProof/>
            <w:sz w:val="22"/>
            <w:szCs w:val="22"/>
          </w:rPr>
          <w:tab/>
        </w:r>
        <w:r w:rsidR="00B349C2" w:rsidRPr="001235FE">
          <w:rPr>
            <w:rStyle w:val="Hyperlink"/>
            <w:noProof/>
          </w:rPr>
          <w:t>Programs</w:t>
        </w:r>
        <w:r w:rsidR="00B349C2">
          <w:rPr>
            <w:noProof/>
            <w:webHidden/>
          </w:rPr>
          <w:tab/>
        </w:r>
        <w:r w:rsidR="00B349C2">
          <w:rPr>
            <w:noProof/>
            <w:webHidden/>
          </w:rPr>
          <w:fldChar w:fldCharType="begin"/>
        </w:r>
        <w:r w:rsidR="00B349C2">
          <w:rPr>
            <w:noProof/>
            <w:webHidden/>
          </w:rPr>
          <w:instrText xml:space="preserve"> PAGEREF _Toc480035037 \h </w:instrText>
        </w:r>
        <w:r w:rsidR="00B349C2">
          <w:rPr>
            <w:noProof/>
            <w:webHidden/>
          </w:rPr>
        </w:r>
        <w:r w:rsidR="00B349C2">
          <w:rPr>
            <w:noProof/>
            <w:webHidden/>
          </w:rPr>
          <w:fldChar w:fldCharType="separate"/>
        </w:r>
        <w:r w:rsidR="00B349C2">
          <w:rPr>
            <w:noProof/>
            <w:webHidden/>
          </w:rPr>
          <w:t>19</w:t>
        </w:r>
        <w:r w:rsidR="00B349C2">
          <w:rPr>
            <w:noProof/>
            <w:webHidden/>
          </w:rPr>
          <w:fldChar w:fldCharType="end"/>
        </w:r>
      </w:hyperlink>
    </w:p>
    <w:p w14:paraId="1644395B" w14:textId="18170B94"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38" w:history="1">
        <w:r w:rsidR="00B349C2" w:rsidRPr="001235FE">
          <w:rPr>
            <w:rStyle w:val="Hyperlink"/>
            <w:noProof/>
          </w:rPr>
          <w:t>4.3</w:t>
        </w:r>
        <w:r w:rsidR="00B349C2">
          <w:rPr>
            <w:rFonts w:asciiTheme="minorHAnsi" w:eastAsiaTheme="minorEastAsia" w:hAnsiTheme="minorHAnsi" w:cstheme="minorBidi"/>
            <w:b w:val="0"/>
            <w:caps w:val="0"/>
            <w:noProof/>
            <w:sz w:val="22"/>
            <w:szCs w:val="22"/>
          </w:rPr>
          <w:tab/>
        </w:r>
        <w:r w:rsidR="00B349C2" w:rsidRPr="001235FE">
          <w:rPr>
            <w:rStyle w:val="Hyperlink"/>
            <w:noProof/>
          </w:rPr>
          <w:t>Policies</w:t>
        </w:r>
        <w:r w:rsidR="00B349C2">
          <w:rPr>
            <w:noProof/>
            <w:webHidden/>
          </w:rPr>
          <w:tab/>
        </w:r>
        <w:r w:rsidR="00B349C2">
          <w:rPr>
            <w:noProof/>
            <w:webHidden/>
          </w:rPr>
          <w:fldChar w:fldCharType="begin"/>
        </w:r>
        <w:r w:rsidR="00B349C2">
          <w:rPr>
            <w:noProof/>
            <w:webHidden/>
          </w:rPr>
          <w:instrText xml:space="preserve"> PAGEREF _Toc480035038 \h </w:instrText>
        </w:r>
        <w:r w:rsidR="00B349C2">
          <w:rPr>
            <w:noProof/>
            <w:webHidden/>
          </w:rPr>
        </w:r>
        <w:r w:rsidR="00B349C2">
          <w:rPr>
            <w:noProof/>
            <w:webHidden/>
          </w:rPr>
          <w:fldChar w:fldCharType="separate"/>
        </w:r>
        <w:r w:rsidR="00B349C2">
          <w:rPr>
            <w:noProof/>
            <w:webHidden/>
          </w:rPr>
          <w:t>22</w:t>
        </w:r>
        <w:r w:rsidR="00B349C2">
          <w:rPr>
            <w:noProof/>
            <w:webHidden/>
          </w:rPr>
          <w:fldChar w:fldCharType="end"/>
        </w:r>
      </w:hyperlink>
    </w:p>
    <w:p w14:paraId="52591187" w14:textId="1968E622" w:rsidR="00B349C2" w:rsidRDefault="002C7D4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80035039" w:history="1">
        <w:r w:rsidR="00B349C2" w:rsidRPr="001235FE">
          <w:rPr>
            <w:rStyle w:val="Hyperlink"/>
            <w:noProof/>
          </w:rPr>
          <w:t>4.4</w:t>
        </w:r>
        <w:r w:rsidR="00B349C2">
          <w:rPr>
            <w:rFonts w:asciiTheme="minorHAnsi" w:eastAsiaTheme="minorEastAsia" w:hAnsiTheme="minorHAnsi" w:cstheme="minorBidi"/>
            <w:b w:val="0"/>
            <w:caps w:val="0"/>
            <w:noProof/>
            <w:sz w:val="22"/>
            <w:szCs w:val="22"/>
          </w:rPr>
          <w:tab/>
        </w:r>
        <w:r w:rsidR="00B349C2" w:rsidRPr="001235FE">
          <w:rPr>
            <w:rStyle w:val="Hyperlink"/>
            <w:noProof/>
          </w:rPr>
          <w:t>Conclusion</w:t>
        </w:r>
        <w:r w:rsidR="00B349C2">
          <w:rPr>
            <w:noProof/>
            <w:webHidden/>
          </w:rPr>
          <w:tab/>
        </w:r>
        <w:r w:rsidR="00B349C2">
          <w:rPr>
            <w:noProof/>
            <w:webHidden/>
          </w:rPr>
          <w:fldChar w:fldCharType="begin"/>
        </w:r>
        <w:r w:rsidR="00B349C2">
          <w:rPr>
            <w:noProof/>
            <w:webHidden/>
          </w:rPr>
          <w:instrText xml:space="preserve"> PAGEREF _Toc480035039 \h </w:instrText>
        </w:r>
        <w:r w:rsidR="00B349C2">
          <w:rPr>
            <w:noProof/>
            <w:webHidden/>
          </w:rPr>
        </w:r>
        <w:r w:rsidR="00B349C2">
          <w:rPr>
            <w:noProof/>
            <w:webHidden/>
          </w:rPr>
          <w:fldChar w:fldCharType="separate"/>
        </w:r>
        <w:r w:rsidR="00B349C2">
          <w:rPr>
            <w:noProof/>
            <w:webHidden/>
          </w:rPr>
          <w:t>24</w:t>
        </w:r>
        <w:r w:rsidR="00B349C2">
          <w:rPr>
            <w:noProof/>
            <w:webHidden/>
          </w:rPr>
          <w:fldChar w:fldCharType="end"/>
        </w:r>
      </w:hyperlink>
    </w:p>
    <w:p w14:paraId="3E024E19" w14:textId="3FDA7721" w:rsidR="00B349C2" w:rsidRDefault="002C7D4F">
      <w:pPr>
        <w:pStyle w:val="TOC1"/>
        <w:tabs>
          <w:tab w:val="right" w:leader="dot" w:pos="9350"/>
        </w:tabs>
        <w:rPr>
          <w:rFonts w:asciiTheme="minorHAnsi" w:eastAsiaTheme="minorEastAsia" w:hAnsiTheme="minorHAnsi" w:cstheme="minorBidi"/>
          <w:b w:val="0"/>
          <w:caps w:val="0"/>
          <w:noProof/>
          <w:sz w:val="22"/>
          <w:szCs w:val="22"/>
        </w:rPr>
      </w:pPr>
      <w:hyperlink w:anchor="_Toc480035040" w:history="1">
        <w:r w:rsidR="00B349C2" w:rsidRPr="001235FE">
          <w:rPr>
            <w:rStyle w:val="Hyperlink"/>
            <w:noProof/>
          </w:rPr>
          <w:t>bibliography</w:t>
        </w:r>
        <w:r w:rsidR="00B349C2">
          <w:rPr>
            <w:noProof/>
            <w:webHidden/>
          </w:rPr>
          <w:tab/>
        </w:r>
        <w:r w:rsidR="00B349C2">
          <w:rPr>
            <w:noProof/>
            <w:webHidden/>
          </w:rPr>
          <w:fldChar w:fldCharType="begin"/>
        </w:r>
        <w:r w:rsidR="00B349C2">
          <w:rPr>
            <w:noProof/>
            <w:webHidden/>
          </w:rPr>
          <w:instrText xml:space="preserve"> PAGEREF _Toc480035040 \h </w:instrText>
        </w:r>
        <w:r w:rsidR="00B349C2">
          <w:rPr>
            <w:noProof/>
            <w:webHidden/>
          </w:rPr>
        </w:r>
        <w:r w:rsidR="00B349C2">
          <w:rPr>
            <w:noProof/>
            <w:webHidden/>
          </w:rPr>
          <w:fldChar w:fldCharType="separate"/>
        </w:r>
        <w:r w:rsidR="00B349C2">
          <w:rPr>
            <w:noProof/>
            <w:webHidden/>
          </w:rPr>
          <w:t>25</w:t>
        </w:r>
        <w:r w:rsidR="00B349C2">
          <w:rPr>
            <w:noProof/>
            <w:webHidden/>
          </w:rPr>
          <w:fldChar w:fldCharType="end"/>
        </w:r>
      </w:hyperlink>
    </w:p>
    <w:p w14:paraId="45416199" w14:textId="3F6869E3" w:rsidR="00CB03F9" w:rsidRDefault="00367476" w:rsidP="00035D1E">
      <w:pPr>
        <w:pStyle w:val="Preliminary"/>
      </w:pPr>
      <w:r>
        <w:lastRenderedPageBreak/>
        <w:fldChar w:fldCharType="end"/>
      </w:r>
      <w:r w:rsidR="00CB03F9">
        <w:t xml:space="preserve">List of </w:t>
      </w:r>
      <w:r w:rsidR="00CB03F9" w:rsidRPr="00B424B6">
        <w:t>tables</w:t>
      </w:r>
    </w:p>
    <w:p w14:paraId="7849FFFF" w14:textId="77777777" w:rsidR="00CB03F9" w:rsidRDefault="00CB03F9" w:rsidP="00CB03F9">
      <w:pPr>
        <w:pStyle w:val="Noindent"/>
      </w:pPr>
    </w:p>
    <w:p w14:paraId="61D200FA" w14:textId="2121935F" w:rsidR="00B349C2" w:rsidRDefault="00CB03F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80035041" w:history="1">
        <w:r w:rsidR="00B349C2" w:rsidRPr="005430FE">
          <w:rPr>
            <w:rStyle w:val="Hyperlink"/>
            <w:noProof/>
          </w:rPr>
          <w:t>Table 1: Characteristics of Included Studies</w:t>
        </w:r>
        <w:r w:rsidR="00B349C2">
          <w:rPr>
            <w:noProof/>
            <w:webHidden/>
          </w:rPr>
          <w:tab/>
        </w:r>
        <w:r w:rsidR="00B349C2">
          <w:rPr>
            <w:noProof/>
            <w:webHidden/>
          </w:rPr>
          <w:fldChar w:fldCharType="begin"/>
        </w:r>
        <w:r w:rsidR="00B349C2">
          <w:rPr>
            <w:noProof/>
            <w:webHidden/>
          </w:rPr>
          <w:instrText xml:space="preserve"> PAGEREF _Toc480035041 \h </w:instrText>
        </w:r>
        <w:r w:rsidR="00B349C2">
          <w:rPr>
            <w:noProof/>
            <w:webHidden/>
          </w:rPr>
        </w:r>
        <w:r w:rsidR="00B349C2">
          <w:rPr>
            <w:noProof/>
            <w:webHidden/>
          </w:rPr>
          <w:fldChar w:fldCharType="separate"/>
        </w:r>
        <w:r w:rsidR="00B349C2">
          <w:rPr>
            <w:noProof/>
            <w:webHidden/>
          </w:rPr>
          <w:t>7</w:t>
        </w:r>
        <w:r w:rsidR="00B349C2">
          <w:rPr>
            <w:noProof/>
            <w:webHidden/>
          </w:rPr>
          <w:fldChar w:fldCharType="end"/>
        </w:r>
      </w:hyperlink>
    </w:p>
    <w:p w14:paraId="507C651D" w14:textId="5018956A" w:rsidR="00B349C2" w:rsidRDefault="002C7D4F">
      <w:pPr>
        <w:pStyle w:val="TableofFigures"/>
        <w:tabs>
          <w:tab w:val="right" w:leader="dot" w:pos="9350"/>
        </w:tabs>
        <w:rPr>
          <w:rFonts w:asciiTheme="minorHAnsi" w:eastAsiaTheme="minorEastAsia" w:hAnsiTheme="minorHAnsi" w:cstheme="minorBidi"/>
          <w:noProof/>
          <w:sz w:val="22"/>
          <w:szCs w:val="22"/>
        </w:rPr>
      </w:pPr>
      <w:hyperlink w:anchor="_Toc480035042" w:history="1">
        <w:r w:rsidR="00B349C2" w:rsidRPr="005430FE">
          <w:rPr>
            <w:rStyle w:val="Hyperlink"/>
            <w:noProof/>
          </w:rPr>
          <w:t>Table 2: Primary Findings of Included Studies</w:t>
        </w:r>
        <w:r w:rsidR="00B349C2">
          <w:rPr>
            <w:noProof/>
            <w:webHidden/>
          </w:rPr>
          <w:tab/>
        </w:r>
        <w:r w:rsidR="00B349C2">
          <w:rPr>
            <w:noProof/>
            <w:webHidden/>
          </w:rPr>
          <w:fldChar w:fldCharType="begin"/>
        </w:r>
        <w:r w:rsidR="00B349C2">
          <w:rPr>
            <w:noProof/>
            <w:webHidden/>
          </w:rPr>
          <w:instrText xml:space="preserve"> PAGEREF _Toc480035042 \h </w:instrText>
        </w:r>
        <w:r w:rsidR="00B349C2">
          <w:rPr>
            <w:noProof/>
            <w:webHidden/>
          </w:rPr>
        </w:r>
        <w:r w:rsidR="00B349C2">
          <w:rPr>
            <w:noProof/>
            <w:webHidden/>
          </w:rPr>
          <w:fldChar w:fldCharType="separate"/>
        </w:r>
        <w:r w:rsidR="00B349C2">
          <w:rPr>
            <w:noProof/>
            <w:webHidden/>
          </w:rPr>
          <w:t>12</w:t>
        </w:r>
        <w:r w:rsidR="00B349C2">
          <w:rPr>
            <w:noProof/>
            <w:webHidden/>
          </w:rPr>
          <w:fldChar w:fldCharType="end"/>
        </w:r>
      </w:hyperlink>
    </w:p>
    <w:p w14:paraId="4F3FF1C3" w14:textId="298FF14A" w:rsidR="00B349C2" w:rsidRDefault="002C7D4F">
      <w:pPr>
        <w:pStyle w:val="TableofFigures"/>
        <w:tabs>
          <w:tab w:val="right" w:leader="dot" w:pos="9350"/>
        </w:tabs>
        <w:rPr>
          <w:rFonts w:asciiTheme="minorHAnsi" w:eastAsiaTheme="minorEastAsia" w:hAnsiTheme="minorHAnsi" w:cstheme="minorBidi"/>
          <w:noProof/>
          <w:sz w:val="22"/>
          <w:szCs w:val="22"/>
        </w:rPr>
      </w:pPr>
      <w:hyperlink w:anchor="_Toc480035043" w:history="1">
        <w:r w:rsidR="00B349C2" w:rsidRPr="005430FE">
          <w:rPr>
            <w:rStyle w:val="Hyperlink"/>
            <w:noProof/>
          </w:rPr>
          <w:t>Table 3: Factors Affecting Higher EOL Treatment Intensity, by Social-Ecological Framework Level</w:t>
        </w:r>
        <w:r w:rsidR="00B349C2">
          <w:rPr>
            <w:noProof/>
            <w:webHidden/>
          </w:rPr>
          <w:tab/>
        </w:r>
        <w:r w:rsidR="00B349C2">
          <w:rPr>
            <w:noProof/>
            <w:webHidden/>
          </w:rPr>
          <w:fldChar w:fldCharType="begin"/>
        </w:r>
        <w:r w:rsidR="00B349C2">
          <w:rPr>
            <w:noProof/>
            <w:webHidden/>
          </w:rPr>
          <w:instrText xml:space="preserve"> PAGEREF _Toc480035043 \h </w:instrText>
        </w:r>
        <w:r w:rsidR="00B349C2">
          <w:rPr>
            <w:noProof/>
            <w:webHidden/>
          </w:rPr>
        </w:r>
        <w:r w:rsidR="00B349C2">
          <w:rPr>
            <w:noProof/>
            <w:webHidden/>
          </w:rPr>
          <w:fldChar w:fldCharType="separate"/>
        </w:r>
        <w:r w:rsidR="00B349C2">
          <w:rPr>
            <w:noProof/>
            <w:webHidden/>
          </w:rPr>
          <w:t>16</w:t>
        </w:r>
        <w:r w:rsidR="00B349C2">
          <w:rPr>
            <w:noProof/>
            <w:webHidden/>
          </w:rPr>
          <w:fldChar w:fldCharType="end"/>
        </w:r>
      </w:hyperlink>
    </w:p>
    <w:p w14:paraId="673E2623" w14:textId="24D03019" w:rsidR="005A647B" w:rsidRPr="00693C3E" w:rsidRDefault="00CB03F9" w:rsidP="00693C3E">
      <w:pPr>
        <w:ind w:left="720" w:firstLine="0"/>
      </w:pPr>
      <w:r>
        <w:fldChar w:fldCharType="end"/>
      </w:r>
    </w:p>
    <w:p w14:paraId="564A0187" w14:textId="77777777" w:rsidR="00B424B6" w:rsidRDefault="00AA2C6A" w:rsidP="00AA2C6A">
      <w:pPr>
        <w:pStyle w:val="Heading"/>
      </w:pPr>
      <w:bookmarkStart w:id="1" w:name="_Toc480035026"/>
      <w:r>
        <w:lastRenderedPageBreak/>
        <w:t>preface</w:t>
      </w:r>
      <w:bookmarkEnd w:id="1"/>
    </w:p>
    <w:p w14:paraId="702978B3" w14:textId="77777777" w:rsidR="00AA2C6A" w:rsidRDefault="00AA2C6A" w:rsidP="00AA2C6A">
      <w:pPr>
        <w:pStyle w:val="Noindent"/>
      </w:pPr>
    </w:p>
    <w:p w14:paraId="5D2C5B9F" w14:textId="19B7F24D" w:rsidR="0076409A" w:rsidRPr="0076409A" w:rsidRDefault="0076409A" w:rsidP="00050AC7">
      <w:pPr>
        <w:pStyle w:val="Noindent"/>
        <w:jc w:val="left"/>
      </w:pPr>
      <w:r>
        <w:t xml:space="preserve">I would like to thank Gerald Mark Barron, MPH, Amber E. Barnato, MD, MPH, MS, and Nancy D. Zionts, MBA for their guidance, review, insight, and editorial comments. </w:t>
      </w:r>
    </w:p>
    <w:p w14:paraId="14187573" w14:textId="77777777" w:rsidR="00AA2C6A" w:rsidRDefault="00AA2C6A" w:rsidP="00AA2C6A"/>
    <w:p w14:paraId="095E6758" w14:textId="77777777" w:rsidR="00AA2C6A" w:rsidRPr="00AA2C6A" w:rsidRDefault="00AA2C6A" w:rsidP="00AA2C6A"/>
    <w:p w14:paraId="05AF45AF" w14:textId="77777777" w:rsidR="00AA2C6A" w:rsidRDefault="00AA2C6A" w:rsidP="00AA2C6A">
      <w:pPr>
        <w:ind w:firstLine="0"/>
      </w:pPr>
    </w:p>
    <w:p w14:paraId="3010EC38" w14:textId="77777777" w:rsidR="00AA2C6A" w:rsidRPr="00AA2C6A" w:rsidRDefault="00AA2C6A" w:rsidP="00AA2C6A">
      <w:pPr>
        <w:ind w:firstLine="0"/>
        <w:sectPr w:rsidR="00AA2C6A" w:rsidRPr="00AA2C6A" w:rsidSect="00367476">
          <w:footerReference w:type="default" r:id="rId7"/>
          <w:pgSz w:w="12240" w:h="15840"/>
          <w:pgMar w:top="1440" w:right="1440" w:bottom="1440" w:left="1440" w:header="720" w:footer="720" w:gutter="0"/>
          <w:pgNumType w:fmt="lowerRoman" w:start="1"/>
          <w:cols w:space="720"/>
          <w:titlePg/>
          <w:docGrid w:linePitch="360"/>
        </w:sectPr>
      </w:pPr>
    </w:p>
    <w:p w14:paraId="1442E92D" w14:textId="77777777" w:rsidR="006B1124" w:rsidRDefault="006B1124" w:rsidP="006B1124">
      <w:pPr>
        <w:pStyle w:val="Heading1"/>
      </w:pPr>
      <w:bookmarkStart w:id="2" w:name="_Toc106513527"/>
      <w:bookmarkStart w:id="3" w:name="_Toc106717785"/>
      <w:bookmarkStart w:id="4" w:name="_Toc480035027"/>
      <w:r>
        <w:lastRenderedPageBreak/>
        <w:t>Introduction</w:t>
      </w:r>
      <w:bookmarkEnd w:id="2"/>
      <w:bookmarkEnd w:id="3"/>
      <w:bookmarkEnd w:id="4"/>
    </w:p>
    <w:p w14:paraId="65F82C1A" w14:textId="5595CC97" w:rsidR="007A1580" w:rsidRDefault="007A1580" w:rsidP="006F0C11">
      <w:pPr>
        <w:pStyle w:val="ListParagraph"/>
        <w:spacing w:line="480" w:lineRule="auto"/>
        <w:ind w:left="0" w:firstLine="720"/>
        <w:rPr>
          <w:rFonts w:ascii="Times New Roman" w:hAnsi="Times New Roman"/>
          <w:sz w:val="24"/>
          <w:szCs w:val="24"/>
        </w:rPr>
      </w:pPr>
      <w:r w:rsidRPr="006F0C11">
        <w:rPr>
          <w:rFonts w:ascii="Times New Roman" w:hAnsi="Times New Roman"/>
          <w:sz w:val="24"/>
          <w:szCs w:val="24"/>
        </w:rPr>
        <w:t xml:space="preserve">Even though 86% of </w:t>
      </w:r>
      <w:r w:rsidR="005F3372" w:rsidRPr="006F0C11">
        <w:rPr>
          <w:rFonts w:ascii="Times New Roman" w:hAnsi="Times New Roman"/>
          <w:sz w:val="24"/>
          <w:szCs w:val="24"/>
        </w:rPr>
        <w:t xml:space="preserve">Medicare beneficiaries </w:t>
      </w:r>
      <w:r w:rsidR="00190F06">
        <w:rPr>
          <w:rFonts w:ascii="Times New Roman" w:hAnsi="Times New Roman"/>
          <w:sz w:val="24"/>
          <w:szCs w:val="24"/>
        </w:rPr>
        <w:t xml:space="preserve">indicate a </w:t>
      </w:r>
      <w:r w:rsidR="005F3372" w:rsidRPr="006F0C11">
        <w:rPr>
          <w:rFonts w:ascii="Times New Roman" w:hAnsi="Times New Roman"/>
          <w:sz w:val="24"/>
          <w:szCs w:val="24"/>
        </w:rPr>
        <w:t>prefer</w:t>
      </w:r>
      <w:r w:rsidR="00190F06">
        <w:rPr>
          <w:rFonts w:ascii="Times New Roman" w:hAnsi="Times New Roman"/>
          <w:sz w:val="24"/>
          <w:szCs w:val="24"/>
        </w:rPr>
        <w:t>ence</w:t>
      </w:r>
      <w:r w:rsidR="005F3372" w:rsidRPr="006F0C11">
        <w:rPr>
          <w:rFonts w:ascii="Times New Roman" w:hAnsi="Times New Roman"/>
          <w:sz w:val="24"/>
          <w:szCs w:val="24"/>
        </w:rPr>
        <w:t xml:space="preserve"> to die at home</w:t>
      </w:r>
      <w:r w:rsidR="00E77CFE" w:rsidRPr="006F0C11">
        <w:rPr>
          <w:rFonts w:ascii="Times New Roman" w:hAnsi="Times New Roman"/>
          <w:sz w:val="24"/>
          <w:szCs w:val="24"/>
        </w:rPr>
        <w:t xml:space="preserve"> compared to 9% </w:t>
      </w:r>
      <w:r w:rsidR="00190F06">
        <w:rPr>
          <w:rFonts w:ascii="Times New Roman" w:hAnsi="Times New Roman"/>
          <w:sz w:val="24"/>
          <w:szCs w:val="24"/>
        </w:rPr>
        <w:t xml:space="preserve">that would choose to die </w:t>
      </w:r>
      <w:r w:rsidR="00E77CFE" w:rsidRPr="006F0C11">
        <w:rPr>
          <w:rFonts w:ascii="Times New Roman" w:hAnsi="Times New Roman"/>
          <w:sz w:val="24"/>
          <w:szCs w:val="24"/>
        </w:rPr>
        <w:t xml:space="preserve">in the hospital and 5% in a </w:t>
      </w:r>
      <w:r w:rsidRPr="006F0C11">
        <w:rPr>
          <w:rFonts w:ascii="Times New Roman" w:hAnsi="Times New Roman"/>
          <w:sz w:val="24"/>
          <w:szCs w:val="24"/>
        </w:rPr>
        <w:t xml:space="preserve">nursing home </w:t>
      </w:r>
      <w:r w:rsidR="005F3372" w:rsidRPr="006F0C11">
        <w:rPr>
          <w:rFonts w:ascii="Times New Roman" w:hAnsi="Times New Roman"/>
          <w:sz w:val="24"/>
          <w:szCs w:val="24"/>
        </w:rPr>
        <w:t>(Barnato</w:t>
      </w:r>
      <w:r w:rsidRPr="006F0C11">
        <w:rPr>
          <w:rFonts w:ascii="Times New Roman" w:hAnsi="Times New Roman"/>
          <w:sz w:val="24"/>
          <w:szCs w:val="24"/>
        </w:rPr>
        <w:t xml:space="preserve"> et al., 2007</w:t>
      </w:r>
      <w:r w:rsidR="00284A05">
        <w:rPr>
          <w:rFonts w:ascii="Times New Roman" w:hAnsi="Times New Roman"/>
          <w:sz w:val="24"/>
          <w:szCs w:val="24"/>
        </w:rPr>
        <w:t>a</w:t>
      </w:r>
      <w:r w:rsidR="005F3372" w:rsidRPr="006F0C11">
        <w:rPr>
          <w:rFonts w:ascii="Times New Roman" w:hAnsi="Times New Roman"/>
          <w:sz w:val="24"/>
          <w:szCs w:val="24"/>
        </w:rPr>
        <w:t xml:space="preserve">), about 40% of deaths occur in </w:t>
      </w:r>
      <w:r w:rsidRPr="006F0C11">
        <w:rPr>
          <w:rFonts w:ascii="Times New Roman" w:hAnsi="Times New Roman"/>
          <w:sz w:val="24"/>
          <w:szCs w:val="24"/>
        </w:rPr>
        <w:t xml:space="preserve">the hospital </w:t>
      </w:r>
      <w:r w:rsidR="005F3372" w:rsidRPr="006F0C11">
        <w:rPr>
          <w:rFonts w:ascii="Times New Roman" w:hAnsi="Times New Roman"/>
          <w:sz w:val="24"/>
          <w:szCs w:val="24"/>
        </w:rPr>
        <w:t xml:space="preserve">and 20% involve </w:t>
      </w:r>
      <w:r w:rsidRPr="006F0C11">
        <w:rPr>
          <w:rFonts w:ascii="Times New Roman" w:hAnsi="Times New Roman"/>
          <w:sz w:val="24"/>
          <w:szCs w:val="24"/>
        </w:rPr>
        <w:t>services in an intensive care unit</w:t>
      </w:r>
      <w:r w:rsidR="005F3372" w:rsidRPr="006F0C11">
        <w:rPr>
          <w:rFonts w:ascii="Times New Roman" w:hAnsi="Times New Roman"/>
          <w:sz w:val="24"/>
          <w:szCs w:val="24"/>
        </w:rPr>
        <w:t xml:space="preserve"> </w:t>
      </w:r>
      <w:r w:rsidR="00E77CFE" w:rsidRPr="006F0C11">
        <w:rPr>
          <w:rFonts w:ascii="Times New Roman" w:hAnsi="Times New Roman"/>
          <w:sz w:val="24"/>
          <w:szCs w:val="24"/>
        </w:rPr>
        <w:t xml:space="preserve">(ICU) </w:t>
      </w:r>
      <w:r w:rsidR="00E816DC" w:rsidRPr="006F0C11">
        <w:rPr>
          <w:rFonts w:ascii="Times New Roman" w:hAnsi="Times New Roman"/>
          <w:sz w:val="24"/>
          <w:szCs w:val="24"/>
        </w:rPr>
        <w:t>(Angus et al</w:t>
      </w:r>
      <w:r w:rsidRPr="006F0C11">
        <w:rPr>
          <w:rFonts w:ascii="Times New Roman" w:hAnsi="Times New Roman"/>
          <w:sz w:val="24"/>
          <w:szCs w:val="24"/>
        </w:rPr>
        <w:t>.</w:t>
      </w:r>
      <w:r w:rsidR="00E816DC" w:rsidRPr="006F0C11">
        <w:rPr>
          <w:rFonts w:ascii="Times New Roman" w:hAnsi="Times New Roman"/>
          <w:sz w:val="24"/>
          <w:szCs w:val="24"/>
        </w:rPr>
        <w:t>, 2004</w:t>
      </w:r>
      <w:r w:rsidR="00693C3E">
        <w:rPr>
          <w:rFonts w:ascii="Times New Roman" w:hAnsi="Times New Roman"/>
          <w:sz w:val="24"/>
          <w:szCs w:val="24"/>
        </w:rPr>
        <w:t xml:space="preserve">).  </w:t>
      </w:r>
      <w:r w:rsidR="000779E7">
        <w:rPr>
          <w:rFonts w:ascii="Times New Roman" w:hAnsi="Times New Roman"/>
          <w:sz w:val="24"/>
          <w:szCs w:val="24"/>
        </w:rPr>
        <w:t>P</w:t>
      </w:r>
      <w:r w:rsidR="006F0C11" w:rsidRPr="006F0C11">
        <w:rPr>
          <w:rFonts w:ascii="Times New Roman" w:hAnsi="Times New Roman"/>
          <w:sz w:val="24"/>
          <w:szCs w:val="24"/>
        </w:rPr>
        <w:t xml:space="preserve">atients’ treatment preferences are not associated with dying in the hospital (Pritchard et al., 1998).  </w:t>
      </w:r>
      <w:r w:rsidR="00395084" w:rsidRPr="006F0C11">
        <w:rPr>
          <w:rFonts w:ascii="Times New Roman" w:hAnsi="Times New Roman"/>
          <w:sz w:val="24"/>
          <w:szCs w:val="24"/>
        </w:rPr>
        <w:t xml:space="preserve">In addition to end-of-life (EOL) care not being aligned </w:t>
      </w:r>
      <w:r w:rsidR="00C9601F" w:rsidRPr="006F0C11">
        <w:rPr>
          <w:rFonts w:ascii="Times New Roman" w:hAnsi="Times New Roman"/>
          <w:sz w:val="24"/>
          <w:szCs w:val="24"/>
        </w:rPr>
        <w:t>with</w:t>
      </w:r>
      <w:r w:rsidR="00395084" w:rsidRPr="006F0C11">
        <w:rPr>
          <w:rFonts w:ascii="Times New Roman" w:hAnsi="Times New Roman"/>
          <w:sz w:val="24"/>
          <w:szCs w:val="24"/>
        </w:rPr>
        <w:t xml:space="preserve"> patient preferences, the</w:t>
      </w:r>
      <w:r w:rsidR="005F3372" w:rsidRPr="006F0C11">
        <w:rPr>
          <w:rFonts w:ascii="Times New Roman" w:hAnsi="Times New Roman"/>
          <w:sz w:val="24"/>
          <w:szCs w:val="24"/>
        </w:rPr>
        <w:t xml:space="preserve"> use of </w:t>
      </w:r>
      <w:r w:rsidR="004175AC" w:rsidRPr="006F0C11">
        <w:rPr>
          <w:rFonts w:ascii="Times New Roman" w:hAnsi="Times New Roman"/>
          <w:sz w:val="24"/>
          <w:szCs w:val="24"/>
        </w:rPr>
        <w:t xml:space="preserve">healthcare </w:t>
      </w:r>
      <w:r w:rsidR="005F3372" w:rsidRPr="006F0C11">
        <w:rPr>
          <w:rFonts w:ascii="Times New Roman" w:hAnsi="Times New Roman"/>
          <w:sz w:val="24"/>
          <w:szCs w:val="24"/>
        </w:rPr>
        <w:t>services in the last 12 months of life consumes about 25% of Medicare spending</w:t>
      </w:r>
      <w:r w:rsidR="004175AC" w:rsidRPr="006F0C11">
        <w:rPr>
          <w:rFonts w:ascii="Times New Roman" w:hAnsi="Times New Roman"/>
          <w:sz w:val="24"/>
          <w:szCs w:val="24"/>
        </w:rPr>
        <w:t xml:space="preserve"> for inpatient care (</w:t>
      </w:r>
      <w:r w:rsidR="00AF0AFB" w:rsidRPr="006F0C11">
        <w:rPr>
          <w:rFonts w:ascii="Times New Roman" w:hAnsi="Times New Roman"/>
          <w:sz w:val="24"/>
          <w:szCs w:val="24"/>
        </w:rPr>
        <w:t>Hogan</w:t>
      </w:r>
      <w:r w:rsidRPr="006F0C11">
        <w:rPr>
          <w:rFonts w:ascii="Times New Roman" w:hAnsi="Times New Roman"/>
          <w:sz w:val="24"/>
          <w:szCs w:val="24"/>
        </w:rPr>
        <w:t xml:space="preserve"> et al.,</w:t>
      </w:r>
      <w:r w:rsidR="00AF0AFB" w:rsidRPr="006F0C11">
        <w:rPr>
          <w:rFonts w:ascii="Times New Roman" w:hAnsi="Times New Roman"/>
          <w:sz w:val="24"/>
          <w:szCs w:val="24"/>
        </w:rPr>
        <w:t xml:space="preserve"> 2001</w:t>
      </w:r>
      <w:r w:rsidR="000C5F48" w:rsidRPr="006F0C11">
        <w:rPr>
          <w:rFonts w:ascii="Times New Roman" w:hAnsi="Times New Roman"/>
          <w:sz w:val="24"/>
          <w:szCs w:val="24"/>
        </w:rPr>
        <w:t>)</w:t>
      </w:r>
      <w:r w:rsidR="008E47CE">
        <w:rPr>
          <w:rFonts w:ascii="Times New Roman" w:hAnsi="Times New Roman"/>
          <w:sz w:val="24"/>
          <w:szCs w:val="24"/>
        </w:rPr>
        <w:t>.  T</w:t>
      </w:r>
      <w:r w:rsidR="000C5F48" w:rsidRPr="006F0C11">
        <w:rPr>
          <w:rFonts w:ascii="Times New Roman" w:hAnsi="Times New Roman"/>
          <w:sz w:val="24"/>
          <w:szCs w:val="24"/>
        </w:rPr>
        <w:t>he extent of</w:t>
      </w:r>
      <w:r w:rsidRPr="006F0C11">
        <w:rPr>
          <w:rFonts w:ascii="Times New Roman" w:hAnsi="Times New Roman"/>
          <w:sz w:val="24"/>
          <w:szCs w:val="24"/>
        </w:rPr>
        <w:t xml:space="preserve"> </w:t>
      </w:r>
      <w:r w:rsidR="00E77CFE" w:rsidRPr="006F0C11">
        <w:rPr>
          <w:rFonts w:ascii="Times New Roman" w:hAnsi="Times New Roman"/>
          <w:sz w:val="24"/>
          <w:szCs w:val="24"/>
        </w:rPr>
        <w:t xml:space="preserve">these </w:t>
      </w:r>
      <w:r w:rsidR="00395084" w:rsidRPr="006F0C11">
        <w:rPr>
          <w:rFonts w:ascii="Times New Roman" w:hAnsi="Times New Roman"/>
          <w:sz w:val="24"/>
          <w:szCs w:val="24"/>
        </w:rPr>
        <w:t>EOL</w:t>
      </w:r>
      <w:r w:rsidR="004175AC" w:rsidRPr="006F0C11">
        <w:rPr>
          <w:rFonts w:ascii="Times New Roman" w:hAnsi="Times New Roman"/>
          <w:sz w:val="24"/>
          <w:szCs w:val="24"/>
        </w:rPr>
        <w:t xml:space="preserve"> </w:t>
      </w:r>
      <w:r w:rsidR="000C5F48" w:rsidRPr="006F0C11">
        <w:rPr>
          <w:rFonts w:ascii="Times New Roman" w:hAnsi="Times New Roman"/>
          <w:sz w:val="24"/>
          <w:szCs w:val="24"/>
        </w:rPr>
        <w:t>expenditure</w:t>
      </w:r>
      <w:r w:rsidR="00E77CFE" w:rsidRPr="006F0C11">
        <w:rPr>
          <w:rFonts w:ascii="Times New Roman" w:hAnsi="Times New Roman"/>
          <w:sz w:val="24"/>
          <w:szCs w:val="24"/>
        </w:rPr>
        <w:t>s</w:t>
      </w:r>
      <w:r w:rsidR="000C5F48" w:rsidRPr="006F0C11">
        <w:rPr>
          <w:rFonts w:ascii="Times New Roman" w:hAnsi="Times New Roman"/>
          <w:sz w:val="24"/>
          <w:szCs w:val="24"/>
        </w:rPr>
        <w:t xml:space="preserve"> </w:t>
      </w:r>
      <w:r w:rsidR="00E77CFE" w:rsidRPr="006F0C11">
        <w:rPr>
          <w:rFonts w:ascii="Times New Roman" w:hAnsi="Times New Roman"/>
          <w:sz w:val="24"/>
          <w:szCs w:val="24"/>
        </w:rPr>
        <w:t>vary</w:t>
      </w:r>
      <w:r w:rsidR="004175AC" w:rsidRPr="006F0C11">
        <w:rPr>
          <w:rFonts w:ascii="Times New Roman" w:hAnsi="Times New Roman"/>
          <w:sz w:val="24"/>
          <w:szCs w:val="24"/>
        </w:rPr>
        <w:t xml:space="preserve"> by geography </w:t>
      </w:r>
      <w:r w:rsidR="00EA689E" w:rsidRPr="006F0C11">
        <w:rPr>
          <w:rFonts w:ascii="Times New Roman" w:hAnsi="Times New Roman"/>
          <w:sz w:val="24"/>
          <w:szCs w:val="24"/>
        </w:rPr>
        <w:t>(Goodman</w:t>
      </w:r>
      <w:r w:rsidRPr="006F0C11">
        <w:rPr>
          <w:rFonts w:ascii="Times New Roman" w:hAnsi="Times New Roman"/>
          <w:sz w:val="24"/>
          <w:szCs w:val="24"/>
        </w:rPr>
        <w:t xml:space="preserve"> et al.,</w:t>
      </w:r>
      <w:r w:rsidR="00EA689E" w:rsidRPr="006F0C11">
        <w:rPr>
          <w:rFonts w:ascii="Times New Roman" w:hAnsi="Times New Roman"/>
          <w:sz w:val="24"/>
          <w:szCs w:val="24"/>
        </w:rPr>
        <w:t xml:space="preserve"> 2011)</w:t>
      </w:r>
      <w:r w:rsidR="00D16F32">
        <w:rPr>
          <w:rFonts w:ascii="Times New Roman" w:hAnsi="Times New Roman"/>
          <w:sz w:val="24"/>
          <w:szCs w:val="24"/>
        </w:rPr>
        <w:t xml:space="preserve">. </w:t>
      </w:r>
    </w:p>
    <w:p w14:paraId="7CC0C998" w14:textId="20FB686E" w:rsidR="005A647B" w:rsidRPr="005A647B" w:rsidRDefault="00F238FA" w:rsidP="005A647B">
      <w:pPr>
        <w:pStyle w:val="Heading2"/>
        <w:jc w:val="left"/>
      </w:pPr>
      <w:bookmarkStart w:id="5" w:name="_Toc480035028"/>
      <w:r>
        <w:t>Public Health Relevance</w:t>
      </w:r>
      <w:bookmarkEnd w:id="5"/>
    </w:p>
    <w:p w14:paraId="020333E9" w14:textId="6101418E" w:rsidR="00724EF1" w:rsidRDefault="007A1580" w:rsidP="00724EF1">
      <w:pPr>
        <w:pStyle w:val="ListParagraph"/>
        <w:spacing w:line="480" w:lineRule="auto"/>
        <w:ind w:left="0" w:firstLine="720"/>
        <w:rPr>
          <w:rFonts w:ascii="Times New Roman" w:hAnsi="Times New Roman"/>
          <w:sz w:val="24"/>
          <w:szCs w:val="24"/>
        </w:rPr>
      </w:pPr>
      <w:r w:rsidRPr="006F0C11">
        <w:rPr>
          <w:rFonts w:ascii="Times New Roman" w:hAnsi="Times New Roman"/>
          <w:sz w:val="24"/>
          <w:szCs w:val="24"/>
        </w:rPr>
        <w:t xml:space="preserve">If </w:t>
      </w:r>
      <w:r w:rsidR="00190F06">
        <w:rPr>
          <w:rFonts w:ascii="Times New Roman" w:hAnsi="Times New Roman"/>
          <w:sz w:val="24"/>
          <w:szCs w:val="24"/>
        </w:rPr>
        <w:t>these</w:t>
      </w:r>
      <w:r w:rsidR="00190F06" w:rsidRPr="006F0C11">
        <w:rPr>
          <w:rFonts w:ascii="Times New Roman" w:hAnsi="Times New Roman"/>
          <w:sz w:val="24"/>
          <w:szCs w:val="24"/>
        </w:rPr>
        <w:t xml:space="preserve"> </w:t>
      </w:r>
      <w:r w:rsidRPr="006F0C11">
        <w:rPr>
          <w:rFonts w:ascii="Times New Roman" w:hAnsi="Times New Roman"/>
          <w:sz w:val="24"/>
          <w:szCs w:val="24"/>
        </w:rPr>
        <w:t>variation</w:t>
      </w:r>
      <w:r w:rsidR="00190F06">
        <w:rPr>
          <w:rFonts w:ascii="Times New Roman" w:hAnsi="Times New Roman"/>
          <w:sz w:val="24"/>
          <w:szCs w:val="24"/>
        </w:rPr>
        <w:t>s</w:t>
      </w:r>
      <w:r w:rsidR="00E77CFE" w:rsidRPr="006F0C11">
        <w:rPr>
          <w:rFonts w:ascii="Times New Roman" w:hAnsi="Times New Roman"/>
          <w:sz w:val="24"/>
          <w:szCs w:val="24"/>
        </w:rPr>
        <w:t xml:space="preserve"> </w:t>
      </w:r>
      <w:r w:rsidR="00190F06">
        <w:rPr>
          <w:rFonts w:ascii="Times New Roman" w:hAnsi="Times New Roman"/>
          <w:sz w:val="24"/>
          <w:szCs w:val="24"/>
        </w:rPr>
        <w:t xml:space="preserve">in EOL treatment </w:t>
      </w:r>
      <w:r w:rsidR="00190F06" w:rsidRPr="006F0C11">
        <w:rPr>
          <w:rFonts w:ascii="Times New Roman" w:hAnsi="Times New Roman"/>
          <w:sz w:val="24"/>
          <w:szCs w:val="24"/>
        </w:rPr>
        <w:t>w</w:t>
      </w:r>
      <w:r w:rsidR="00190F06">
        <w:rPr>
          <w:rFonts w:ascii="Times New Roman" w:hAnsi="Times New Roman"/>
          <w:sz w:val="24"/>
          <w:szCs w:val="24"/>
        </w:rPr>
        <w:t>ere aligned with</w:t>
      </w:r>
      <w:r w:rsidRPr="006F0C11">
        <w:rPr>
          <w:rFonts w:ascii="Times New Roman" w:hAnsi="Times New Roman"/>
          <w:sz w:val="24"/>
          <w:szCs w:val="24"/>
        </w:rPr>
        <w:t xml:space="preserve"> patients’ goals, preferences, and needs, then </w:t>
      </w:r>
      <w:r w:rsidR="00A733D5" w:rsidRPr="006F0C11">
        <w:rPr>
          <w:rFonts w:ascii="Times New Roman" w:hAnsi="Times New Roman"/>
          <w:sz w:val="24"/>
          <w:szCs w:val="24"/>
        </w:rPr>
        <w:t xml:space="preserve">it may not warrant health policy </w:t>
      </w:r>
      <w:r w:rsidR="00F238FA">
        <w:rPr>
          <w:rFonts w:ascii="Times New Roman" w:hAnsi="Times New Roman"/>
          <w:sz w:val="24"/>
          <w:szCs w:val="24"/>
        </w:rPr>
        <w:t xml:space="preserve">or public health </w:t>
      </w:r>
      <w:r w:rsidR="00A733D5" w:rsidRPr="006F0C11">
        <w:rPr>
          <w:rFonts w:ascii="Times New Roman" w:hAnsi="Times New Roman"/>
          <w:sz w:val="24"/>
          <w:szCs w:val="24"/>
        </w:rPr>
        <w:t xml:space="preserve">considerations.  </w:t>
      </w:r>
      <w:r w:rsidR="00395084" w:rsidRPr="006F0C11">
        <w:rPr>
          <w:rFonts w:ascii="Times New Roman" w:hAnsi="Times New Roman"/>
          <w:sz w:val="24"/>
          <w:szCs w:val="24"/>
        </w:rPr>
        <w:t>However,</w:t>
      </w:r>
      <w:r w:rsidR="00A733D5" w:rsidRPr="006F0C11">
        <w:rPr>
          <w:rFonts w:ascii="Times New Roman" w:hAnsi="Times New Roman"/>
          <w:sz w:val="24"/>
          <w:szCs w:val="24"/>
        </w:rPr>
        <w:t xml:space="preserve"> </w:t>
      </w:r>
      <w:r w:rsidR="000C5F48" w:rsidRPr="006F0C11">
        <w:rPr>
          <w:rFonts w:ascii="Times New Roman" w:hAnsi="Times New Roman"/>
          <w:sz w:val="24"/>
          <w:szCs w:val="24"/>
        </w:rPr>
        <w:t>higher</w:t>
      </w:r>
      <w:r w:rsidR="001706A1" w:rsidRPr="006F0C11">
        <w:rPr>
          <w:rFonts w:ascii="Times New Roman" w:hAnsi="Times New Roman"/>
          <w:sz w:val="24"/>
          <w:szCs w:val="24"/>
        </w:rPr>
        <w:t xml:space="preserve"> EOL spending areas do not have better outcomes, mortality, quality of care, </w:t>
      </w:r>
      <w:r w:rsidR="00693C3E">
        <w:rPr>
          <w:rFonts w:ascii="Times New Roman" w:hAnsi="Times New Roman"/>
          <w:sz w:val="24"/>
          <w:szCs w:val="24"/>
        </w:rPr>
        <w:t>or</w:t>
      </w:r>
      <w:r w:rsidR="001706A1" w:rsidRPr="006F0C11">
        <w:rPr>
          <w:rFonts w:ascii="Times New Roman" w:hAnsi="Times New Roman"/>
          <w:sz w:val="24"/>
          <w:szCs w:val="24"/>
        </w:rPr>
        <w:t xml:space="preserve"> pati</w:t>
      </w:r>
      <w:r w:rsidR="000A47FB" w:rsidRPr="006F0C11">
        <w:rPr>
          <w:rFonts w:ascii="Times New Roman" w:hAnsi="Times New Roman"/>
          <w:sz w:val="24"/>
          <w:szCs w:val="24"/>
        </w:rPr>
        <w:t>ent satisfaction (</w:t>
      </w:r>
      <w:r w:rsidR="00AF0AFB" w:rsidRPr="006F0C11">
        <w:rPr>
          <w:rFonts w:ascii="Times New Roman" w:hAnsi="Times New Roman"/>
          <w:sz w:val="24"/>
          <w:szCs w:val="24"/>
        </w:rPr>
        <w:t>Fisher et al., 2003</w:t>
      </w:r>
      <w:r w:rsidR="00D434BA" w:rsidRPr="006F0C11">
        <w:rPr>
          <w:rFonts w:ascii="Times New Roman" w:hAnsi="Times New Roman"/>
          <w:sz w:val="24"/>
          <w:szCs w:val="24"/>
        </w:rPr>
        <w:t>), and</w:t>
      </w:r>
      <w:r w:rsidR="000A47FB" w:rsidRPr="006F0C11">
        <w:rPr>
          <w:rFonts w:ascii="Times New Roman" w:hAnsi="Times New Roman"/>
          <w:sz w:val="24"/>
          <w:szCs w:val="24"/>
        </w:rPr>
        <w:t xml:space="preserve"> patient prefe</w:t>
      </w:r>
      <w:r w:rsidR="002710BF" w:rsidRPr="006F0C11">
        <w:rPr>
          <w:rFonts w:ascii="Times New Roman" w:hAnsi="Times New Roman"/>
          <w:sz w:val="24"/>
          <w:szCs w:val="24"/>
        </w:rPr>
        <w:t>rences are not associated with</w:t>
      </w:r>
      <w:r w:rsidR="00A733D5" w:rsidRPr="006F0C11">
        <w:rPr>
          <w:rFonts w:ascii="Times New Roman" w:hAnsi="Times New Roman"/>
          <w:sz w:val="24"/>
          <w:szCs w:val="24"/>
        </w:rPr>
        <w:t xml:space="preserve"> variations in EOL spending (Barnato et al., 2007</w:t>
      </w:r>
      <w:r w:rsidR="009022D7">
        <w:rPr>
          <w:rFonts w:ascii="Times New Roman" w:hAnsi="Times New Roman"/>
          <w:sz w:val="24"/>
          <w:szCs w:val="24"/>
        </w:rPr>
        <w:t>a</w:t>
      </w:r>
      <w:r w:rsidR="00A733D5" w:rsidRPr="006F0C11">
        <w:rPr>
          <w:rFonts w:ascii="Times New Roman" w:hAnsi="Times New Roman"/>
          <w:sz w:val="24"/>
          <w:szCs w:val="24"/>
        </w:rPr>
        <w:t>)</w:t>
      </w:r>
      <w:r w:rsidR="000A47FB" w:rsidRPr="006F0C11">
        <w:rPr>
          <w:rFonts w:ascii="Times New Roman" w:hAnsi="Times New Roman"/>
          <w:sz w:val="24"/>
          <w:szCs w:val="24"/>
        </w:rPr>
        <w:t>.</w:t>
      </w:r>
      <w:r w:rsidR="000C5F48" w:rsidRPr="006F0C11">
        <w:rPr>
          <w:rFonts w:ascii="Times New Roman" w:hAnsi="Times New Roman"/>
          <w:sz w:val="24"/>
          <w:szCs w:val="24"/>
        </w:rPr>
        <w:t xml:space="preserve">  </w:t>
      </w:r>
      <w:r w:rsidR="00D63A57" w:rsidRPr="006F0C11">
        <w:rPr>
          <w:rFonts w:ascii="Times New Roman" w:hAnsi="Times New Roman"/>
          <w:sz w:val="24"/>
          <w:szCs w:val="24"/>
        </w:rPr>
        <w:t xml:space="preserve">One study of hospitals in Pennsylvania found that admission to higher EOL treatment intensity hospitals was associated with post-admission survival gains, but </w:t>
      </w:r>
      <w:r w:rsidR="00C9601F" w:rsidRPr="006F0C11">
        <w:rPr>
          <w:rFonts w:ascii="Times New Roman" w:hAnsi="Times New Roman"/>
          <w:sz w:val="24"/>
          <w:szCs w:val="24"/>
        </w:rPr>
        <w:t xml:space="preserve">the gains were small, </w:t>
      </w:r>
      <w:r w:rsidR="00D63A57" w:rsidRPr="006F0C11">
        <w:rPr>
          <w:rFonts w:ascii="Times New Roman" w:hAnsi="Times New Roman"/>
          <w:sz w:val="24"/>
          <w:szCs w:val="24"/>
        </w:rPr>
        <w:t>decreased over</w:t>
      </w:r>
      <w:r w:rsidR="006E72ED">
        <w:rPr>
          <w:rFonts w:ascii="Times New Roman" w:hAnsi="Times New Roman"/>
          <w:sz w:val="24"/>
          <w:szCs w:val="24"/>
        </w:rPr>
        <w:t xml:space="preserve"> </w:t>
      </w:r>
      <w:r w:rsidR="00D63A57" w:rsidRPr="006F0C11">
        <w:rPr>
          <w:rFonts w:ascii="Times New Roman" w:hAnsi="Times New Roman"/>
          <w:sz w:val="24"/>
          <w:szCs w:val="24"/>
        </w:rPr>
        <w:t>time</w:t>
      </w:r>
      <w:r w:rsidR="00C9601F" w:rsidRPr="006F0C11">
        <w:rPr>
          <w:rFonts w:ascii="Times New Roman" w:hAnsi="Times New Roman"/>
          <w:sz w:val="24"/>
          <w:szCs w:val="24"/>
        </w:rPr>
        <w:t xml:space="preserve">, and were not adjusted for quality </w:t>
      </w:r>
      <w:r w:rsidR="00C9601F" w:rsidRPr="006F0C11">
        <w:rPr>
          <w:rFonts w:ascii="Times New Roman" w:hAnsi="Times New Roman"/>
          <w:sz w:val="24"/>
          <w:szCs w:val="24"/>
        </w:rPr>
        <w:lastRenderedPageBreak/>
        <w:t>of life</w:t>
      </w:r>
      <w:r w:rsidR="00D434BA" w:rsidRPr="006F0C11">
        <w:rPr>
          <w:rFonts w:ascii="Times New Roman" w:hAnsi="Times New Roman"/>
          <w:sz w:val="24"/>
          <w:szCs w:val="24"/>
        </w:rPr>
        <w:t xml:space="preserve"> </w:t>
      </w:r>
      <w:r w:rsidR="00D63A57" w:rsidRPr="006F0C11">
        <w:rPr>
          <w:rFonts w:ascii="Times New Roman" w:hAnsi="Times New Roman"/>
          <w:sz w:val="24"/>
          <w:szCs w:val="24"/>
        </w:rPr>
        <w:t>(Barnato</w:t>
      </w:r>
      <w:r w:rsidR="00D434BA" w:rsidRPr="006F0C11">
        <w:rPr>
          <w:rFonts w:ascii="Times New Roman" w:hAnsi="Times New Roman"/>
          <w:sz w:val="24"/>
          <w:szCs w:val="24"/>
        </w:rPr>
        <w:t xml:space="preserve"> et al.,</w:t>
      </w:r>
      <w:r w:rsidR="00D63A57" w:rsidRPr="006F0C11">
        <w:rPr>
          <w:rFonts w:ascii="Times New Roman" w:hAnsi="Times New Roman"/>
          <w:sz w:val="24"/>
          <w:szCs w:val="24"/>
        </w:rPr>
        <w:t xml:space="preserve"> 2010).</w:t>
      </w:r>
      <w:r w:rsidR="00693C3E">
        <w:rPr>
          <w:rFonts w:ascii="Times New Roman" w:hAnsi="Times New Roman"/>
          <w:sz w:val="24"/>
          <w:szCs w:val="24"/>
        </w:rPr>
        <w:t xml:space="preserve">  </w:t>
      </w:r>
      <w:r w:rsidR="00395084" w:rsidRPr="006F0C11">
        <w:rPr>
          <w:rFonts w:ascii="Times New Roman" w:hAnsi="Times New Roman"/>
          <w:sz w:val="24"/>
          <w:szCs w:val="24"/>
        </w:rPr>
        <w:t>These findings suggest</w:t>
      </w:r>
      <w:r w:rsidR="00A733D5" w:rsidRPr="006F0C11">
        <w:rPr>
          <w:rFonts w:ascii="Times New Roman" w:hAnsi="Times New Roman"/>
          <w:sz w:val="24"/>
          <w:szCs w:val="24"/>
        </w:rPr>
        <w:t xml:space="preserve"> an opportunity to reduce healthcare costs without compromising quality, health outcomes, or</w:t>
      </w:r>
      <w:r w:rsidR="00190F06">
        <w:rPr>
          <w:rFonts w:ascii="Times New Roman" w:hAnsi="Times New Roman"/>
          <w:sz w:val="24"/>
          <w:szCs w:val="24"/>
        </w:rPr>
        <w:t xml:space="preserve"> adherence to</w:t>
      </w:r>
      <w:r w:rsidR="00A733D5" w:rsidRPr="006F0C11">
        <w:rPr>
          <w:rFonts w:ascii="Times New Roman" w:hAnsi="Times New Roman"/>
          <w:sz w:val="24"/>
          <w:szCs w:val="24"/>
        </w:rPr>
        <w:t xml:space="preserve"> patients’ wishes.  </w:t>
      </w:r>
    </w:p>
    <w:p w14:paraId="0B02B87E" w14:textId="3A358B56" w:rsidR="00EA689E" w:rsidRDefault="00F238FA" w:rsidP="00BA1852">
      <w:pPr>
        <w:pStyle w:val="ListParagraph"/>
        <w:spacing w:line="480" w:lineRule="auto"/>
        <w:ind w:left="0" w:firstLine="720"/>
        <w:rPr>
          <w:rFonts w:ascii="Times New Roman" w:hAnsi="Times New Roman"/>
          <w:sz w:val="24"/>
          <w:szCs w:val="24"/>
        </w:rPr>
      </w:pPr>
      <w:r>
        <w:rPr>
          <w:rFonts w:ascii="Times New Roman" w:hAnsi="Times New Roman"/>
          <w:sz w:val="24"/>
          <w:szCs w:val="24"/>
        </w:rPr>
        <w:t>The opportunity to</w:t>
      </w:r>
      <w:r w:rsidR="00724EF1">
        <w:rPr>
          <w:rFonts w:ascii="Times New Roman" w:hAnsi="Times New Roman"/>
          <w:sz w:val="24"/>
          <w:szCs w:val="24"/>
        </w:rPr>
        <w:t xml:space="preserve"> responsibly reduce healthcare costs while improving people’s quality of life </w:t>
      </w:r>
      <w:r>
        <w:rPr>
          <w:rFonts w:ascii="Times New Roman" w:hAnsi="Times New Roman"/>
          <w:sz w:val="24"/>
          <w:szCs w:val="24"/>
        </w:rPr>
        <w:t>warrant</w:t>
      </w:r>
      <w:r w:rsidR="00724EF1">
        <w:rPr>
          <w:rFonts w:ascii="Times New Roman" w:hAnsi="Times New Roman"/>
          <w:sz w:val="24"/>
          <w:szCs w:val="24"/>
        </w:rPr>
        <w:t>s</w:t>
      </w:r>
      <w:r>
        <w:rPr>
          <w:rFonts w:ascii="Times New Roman" w:hAnsi="Times New Roman"/>
          <w:sz w:val="24"/>
          <w:szCs w:val="24"/>
        </w:rPr>
        <w:t xml:space="preserve"> the attention of public health</w:t>
      </w:r>
      <w:r w:rsidR="00BA1852">
        <w:rPr>
          <w:rFonts w:ascii="Times New Roman" w:hAnsi="Times New Roman"/>
          <w:sz w:val="24"/>
          <w:szCs w:val="24"/>
        </w:rPr>
        <w:t>.  Financial resources that are saved from addressing inefficiencies in healthcare systems can be used for other health-related services.  This</w:t>
      </w:r>
      <w:r w:rsidR="00724EF1">
        <w:rPr>
          <w:rFonts w:ascii="Times New Roman" w:hAnsi="Times New Roman"/>
          <w:sz w:val="24"/>
          <w:szCs w:val="24"/>
        </w:rPr>
        <w:t xml:space="preserve"> relevance to public health is heightened when the inefficient treatment</w:t>
      </w:r>
      <w:r w:rsidR="00F24808">
        <w:rPr>
          <w:rFonts w:ascii="Times New Roman" w:hAnsi="Times New Roman"/>
          <w:sz w:val="24"/>
          <w:szCs w:val="24"/>
        </w:rPr>
        <w:t xml:space="preserve"> practices</w:t>
      </w:r>
      <w:r w:rsidR="00724EF1">
        <w:rPr>
          <w:rFonts w:ascii="Times New Roman" w:hAnsi="Times New Roman"/>
          <w:sz w:val="24"/>
          <w:szCs w:val="24"/>
        </w:rPr>
        <w:t xml:space="preserve"> can cause harm and further deterioration</w:t>
      </w:r>
      <w:r w:rsidR="00190F06">
        <w:rPr>
          <w:rFonts w:ascii="Times New Roman" w:hAnsi="Times New Roman"/>
          <w:sz w:val="24"/>
          <w:szCs w:val="24"/>
        </w:rPr>
        <w:t xml:space="preserve"> to patients</w:t>
      </w:r>
      <w:r w:rsidR="008E47CE">
        <w:rPr>
          <w:rFonts w:ascii="Times New Roman" w:hAnsi="Times New Roman"/>
          <w:sz w:val="24"/>
          <w:szCs w:val="24"/>
        </w:rPr>
        <w:t xml:space="preserve"> (Krumholz, 2013)</w:t>
      </w:r>
      <w:r w:rsidR="00724EF1">
        <w:rPr>
          <w:rFonts w:ascii="Times New Roman" w:hAnsi="Times New Roman"/>
          <w:sz w:val="24"/>
          <w:szCs w:val="24"/>
        </w:rPr>
        <w:t xml:space="preserve">. </w:t>
      </w:r>
    </w:p>
    <w:p w14:paraId="026C7F63" w14:textId="77777777" w:rsidR="005A647B" w:rsidRPr="005A647B" w:rsidRDefault="005A647B" w:rsidP="005A647B">
      <w:pPr>
        <w:pStyle w:val="Heading2"/>
        <w:jc w:val="left"/>
      </w:pPr>
      <w:bookmarkStart w:id="6" w:name="_Toc480035029"/>
      <w:r>
        <w:t>Current Understanding</w:t>
      </w:r>
      <w:bookmarkEnd w:id="6"/>
      <w:r>
        <w:t xml:space="preserve"> </w:t>
      </w:r>
    </w:p>
    <w:p w14:paraId="175FA2A1" w14:textId="754518DB" w:rsidR="006F0C11" w:rsidRPr="006F0C11" w:rsidRDefault="000C5F48" w:rsidP="006F0C11">
      <w:pPr>
        <w:pStyle w:val="ListParagraph"/>
        <w:spacing w:line="480" w:lineRule="auto"/>
        <w:ind w:left="0" w:firstLine="720"/>
        <w:rPr>
          <w:rFonts w:ascii="Times New Roman" w:hAnsi="Times New Roman"/>
          <w:sz w:val="24"/>
          <w:szCs w:val="24"/>
        </w:rPr>
      </w:pPr>
      <w:r w:rsidRPr="006F0C11">
        <w:rPr>
          <w:rFonts w:ascii="Times New Roman" w:hAnsi="Times New Roman"/>
          <w:sz w:val="24"/>
          <w:szCs w:val="24"/>
        </w:rPr>
        <w:t xml:space="preserve">The </w:t>
      </w:r>
      <w:r w:rsidR="001706A1" w:rsidRPr="006F0C11">
        <w:rPr>
          <w:rFonts w:ascii="Times New Roman" w:hAnsi="Times New Roman"/>
          <w:sz w:val="24"/>
          <w:szCs w:val="24"/>
        </w:rPr>
        <w:t>geographical variation</w:t>
      </w:r>
      <w:r w:rsidR="00EA689E" w:rsidRPr="006F0C11">
        <w:rPr>
          <w:rFonts w:ascii="Times New Roman" w:hAnsi="Times New Roman"/>
          <w:sz w:val="24"/>
          <w:szCs w:val="24"/>
        </w:rPr>
        <w:t xml:space="preserve"> </w:t>
      </w:r>
      <w:r w:rsidRPr="006F0C11">
        <w:rPr>
          <w:rFonts w:ascii="Times New Roman" w:hAnsi="Times New Roman"/>
          <w:sz w:val="24"/>
          <w:szCs w:val="24"/>
        </w:rPr>
        <w:t xml:space="preserve">in healthcare delivery </w:t>
      </w:r>
      <w:r w:rsidR="00EA689E" w:rsidRPr="006F0C11">
        <w:rPr>
          <w:rFonts w:ascii="Times New Roman" w:hAnsi="Times New Roman"/>
          <w:sz w:val="24"/>
          <w:szCs w:val="24"/>
        </w:rPr>
        <w:t>is a</w:t>
      </w:r>
      <w:r w:rsidR="005418D5" w:rsidRPr="006F0C11">
        <w:rPr>
          <w:rFonts w:ascii="Times New Roman" w:hAnsi="Times New Roman"/>
          <w:sz w:val="24"/>
          <w:szCs w:val="24"/>
        </w:rPr>
        <w:t xml:space="preserve"> common obs</w:t>
      </w:r>
      <w:r w:rsidR="004175AC" w:rsidRPr="006F0C11">
        <w:rPr>
          <w:rFonts w:ascii="Times New Roman" w:hAnsi="Times New Roman"/>
          <w:sz w:val="24"/>
          <w:szCs w:val="24"/>
        </w:rPr>
        <w:t>ervation</w:t>
      </w:r>
      <w:r w:rsidRPr="006F0C11">
        <w:rPr>
          <w:rFonts w:ascii="Times New Roman" w:hAnsi="Times New Roman"/>
          <w:sz w:val="24"/>
          <w:szCs w:val="24"/>
        </w:rPr>
        <w:t xml:space="preserve"> and</w:t>
      </w:r>
      <w:r w:rsidR="004175AC" w:rsidRPr="006F0C11">
        <w:rPr>
          <w:rFonts w:ascii="Times New Roman" w:hAnsi="Times New Roman"/>
          <w:sz w:val="24"/>
          <w:szCs w:val="24"/>
        </w:rPr>
        <w:t xml:space="preserve"> due </w:t>
      </w:r>
      <w:r w:rsidR="005418D5" w:rsidRPr="006F0C11">
        <w:rPr>
          <w:rFonts w:ascii="Times New Roman" w:hAnsi="Times New Roman"/>
          <w:sz w:val="24"/>
          <w:szCs w:val="24"/>
        </w:rPr>
        <w:t xml:space="preserve">to the availability of hospital and physician services (supply), </w:t>
      </w:r>
      <w:r w:rsidR="001E0F32" w:rsidRPr="006F0C11">
        <w:rPr>
          <w:rFonts w:ascii="Times New Roman" w:hAnsi="Times New Roman"/>
          <w:sz w:val="24"/>
          <w:szCs w:val="24"/>
        </w:rPr>
        <w:t xml:space="preserve">patient </w:t>
      </w:r>
      <w:r w:rsidR="00330C15" w:rsidRPr="006F0C11">
        <w:rPr>
          <w:rFonts w:ascii="Times New Roman" w:hAnsi="Times New Roman"/>
          <w:sz w:val="24"/>
          <w:szCs w:val="24"/>
        </w:rPr>
        <w:t>characteristics</w:t>
      </w:r>
      <w:r w:rsidR="005418D5" w:rsidRPr="006F0C11">
        <w:rPr>
          <w:rFonts w:ascii="Times New Roman" w:hAnsi="Times New Roman"/>
          <w:sz w:val="24"/>
          <w:szCs w:val="24"/>
        </w:rPr>
        <w:t xml:space="preserve"> (demand), and </w:t>
      </w:r>
      <w:r w:rsidR="004829F0" w:rsidRPr="006F0C11">
        <w:rPr>
          <w:rFonts w:ascii="Times New Roman" w:hAnsi="Times New Roman"/>
          <w:sz w:val="24"/>
          <w:szCs w:val="24"/>
        </w:rPr>
        <w:t>differences in physicians</w:t>
      </w:r>
      <w:r w:rsidR="005418D5" w:rsidRPr="006F0C11">
        <w:rPr>
          <w:rFonts w:ascii="Times New Roman" w:hAnsi="Times New Roman"/>
          <w:sz w:val="24"/>
          <w:szCs w:val="24"/>
        </w:rPr>
        <w:t>’ practice styles</w:t>
      </w:r>
      <w:r w:rsidR="004829F0" w:rsidRPr="006F0C11">
        <w:rPr>
          <w:rFonts w:ascii="Times New Roman" w:hAnsi="Times New Roman"/>
          <w:sz w:val="24"/>
          <w:szCs w:val="24"/>
        </w:rPr>
        <w:t xml:space="preserve"> </w:t>
      </w:r>
      <w:r w:rsidR="00CD45BC">
        <w:rPr>
          <w:rFonts w:ascii="Times New Roman" w:hAnsi="Times New Roman"/>
          <w:sz w:val="24"/>
          <w:szCs w:val="24"/>
        </w:rPr>
        <w:t>(Foll</w:t>
      </w:r>
      <w:r w:rsidR="001E0F32" w:rsidRPr="006F0C11">
        <w:rPr>
          <w:rFonts w:ascii="Times New Roman" w:hAnsi="Times New Roman"/>
          <w:sz w:val="24"/>
          <w:szCs w:val="24"/>
        </w:rPr>
        <w:t>and, Goodman, &amp; Stano, 2012)</w:t>
      </w:r>
      <w:r w:rsidR="00BA1852">
        <w:rPr>
          <w:rFonts w:ascii="Times New Roman" w:hAnsi="Times New Roman"/>
          <w:sz w:val="24"/>
          <w:szCs w:val="24"/>
        </w:rPr>
        <w:t xml:space="preserve">.  </w:t>
      </w:r>
      <w:r w:rsidR="004829F0" w:rsidRPr="006F0C11">
        <w:rPr>
          <w:rFonts w:ascii="Times New Roman" w:hAnsi="Times New Roman"/>
          <w:sz w:val="24"/>
          <w:szCs w:val="24"/>
        </w:rPr>
        <w:t xml:space="preserve">The </w:t>
      </w:r>
      <w:r w:rsidR="00E77CFE" w:rsidRPr="006F0C11">
        <w:rPr>
          <w:rFonts w:ascii="Times New Roman" w:hAnsi="Times New Roman"/>
          <w:sz w:val="24"/>
          <w:szCs w:val="24"/>
        </w:rPr>
        <w:t>latter</w:t>
      </w:r>
      <w:r w:rsidR="004829F0" w:rsidRPr="006F0C11">
        <w:rPr>
          <w:rFonts w:ascii="Times New Roman" w:hAnsi="Times New Roman"/>
          <w:sz w:val="24"/>
          <w:szCs w:val="24"/>
        </w:rPr>
        <w:t xml:space="preserve"> is thought to be </w:t>
      </w:r>
      <w:r w:rsidR="00E03FAF" w:rsidRPr="006F0C11">
        <w:rPr>
          <w:rFonts w:ascii="Times New Roman" w:hAnsi="Times New Roman"/>
          <w:sz w:val="24"/>
          <w:szCs w:val="24"/>
        </w:rPr>
        <w:t xml:space="preserve">influenced by local peers and </w:t>
      </w:r>
      <w:r w:rsidR="004829F0" w:rsidRPr="006F0C11">
        <w:rPr>
          <w:rFonts w:ascii="Times New Roman" w:hAnsi="Times New Roman"/>
          <w:sz w:val="24"/>
          <w:szCs w:val="24"/>
        </w:rPr>
        <w:t xml:space="preserve">variations </w:t>
      </w:r>
      <w:r w:rsidR="003863E2">
        <w:rPr>
          <w:rFonts w:ascii="Times New Roman" w:hAnsi="Times New Roman"/>
          <w:sz w:val="24"/>
          <w:szCs w:val="24"/>
        </w:rPr>
        <w:t>in</w:t>
      </w:r>
      <w:r w:rsidR="004829F0" w:rsidRPr="006F0C11">
        <w:rPr>
          <w:rFonts w:ascii="Times New Roman" w:hAnsi="Times New Roman"/>
          <w:sz w:val="24"/>
          <w:szCs w:val="24"/>
        </w:rPr>
        <w:t xml:space="preserve"> information between physicians</w:t>
      </w:r>
      <w:r w:rsidR="00CD45BC">
        <w:rPr>
          <w:rFonts w:ascii="Times New Roman" w:hAnsi="Times New Roman"/>
          <w:sz w:val="24"/>
          <w:szCs w:val="24"/>
        </w:rPr>
        <w:t xml:space="preserve"> (Fo</w:t>
      </w:r>
      <w:r w:rsidR="00A733D5" w:rsidRPr="006F0C11">
        <w:rPr>
          <w:rFonts w:ascii="Times New Roman" w:hAnsi="Times New Roman"/>
          <w:sz w:val="24"/>
          <w:szCs w:val="24"/>
        </w:rPr>
        <w:t>ll</w:t>
      </w:r>
      <w:r w:rsidR="003863E2">
        <w:rPr>
          <w:rFonts w:ascii="Times New Roman" w:hAnsi="Times New Roman"/>
          <w:sz w:val="24"/>
          <w:szCs w:val="24"/>
        </w:rPr>
        <w:t>and, Goodman, &amp; Stano, 2012), which</w:t>
      </w:r>
      <w:r w:rsidR="00A733D5" w:rsidRPr="006F0C11">
        <w:rPr>
          <w:rFonts w:ascii="Times New Roman" w:hAnsi="Times New Roman"/>
          <w:sz w:val="24"/>
          <w:szCs w:val="24"/>
        </w:rPr>
        <w:t xml:space="preserve"> creates i</w:t>
      </w:r>
      <w:r w:rsidR="00885BD0" w:rsidRPr="006F0C11">
        <w:rPr>
          <w:rFonts w:ascii="Times New Roman" w:hAnsi="Times New Roman"/>
          <w:sz w:val="24"/>
          <w:szCs w:val="24"/>
        </w:rPr>
        <w:t xml:space="preserve">mperfect </w:t>
      </w:r>
      <w:r w:rsidR="00E03FAF" w:rsidRPr="006F0C11">
        <w:rPr>
          <w:rFonts w:ascii="Times New Roman" w:hAnsi="Times New Roman"/>
          <w:sz w:val="24"/>
          <w:szCs w:val="24"/>
        </w:rPr>
        <w:t xml:space="preserve">understandings of the </w:t>
      </w:r>
      <w:r w:rsidR="00EA689E" w:rsidRPr="006F0C11">
        <w:rPr>
          <w:rFonts w:ascii="Times New Roman" w:hAnsi="Times New Roman"/>
          <w:sz w:val="24"/>
          <w:szCs w:val="24"/>
        </w:rPr>
        <w:t xml:space="preserve">risks and </w:t>
      </w:r>
      <w:r w:rsidR="00E03FAF" w:rsidRPr="006F0C11">
        <w:rPr>
          <w:rFonts w:ascii="Times New Roman" w:hAnsi="Times New Roman"/>
          <w:sz w:val="24"/>
          <w:szCs w:val="24"/>
        </w:rPr>
        <w:t>benefits of treatments</w:t>
      </w:r>
      <w:r w:rsidR="006F0C11" w:rsidRPr="006F0C11">
        <w:rPr>
          <w:rFonts w:ascii="Times New Roman" w:hAnsi="Times New Roman"/>
          <w:sz w:val="24"/>
          <w:szCs w:val="24"/>
        </w:rPr>
        <w:t>.</w:t>
      </w:r>
      <w:r w:rsidR="002B7825">
        <w:rPr>
          <w:rFonts w:ascii="Times New Roman" w:hAnsi="Times New Roman"/>
          <w:sz w:val="24"/>
          <w:szCs w:val="24"/>
        </w:rPr>
        <w:t xml:space="preserve">  </w:t>
      </w:r>
      <w:r w:rsidR="00927F5D">
        <w:rPr>
          <w:rFonts w:ascii="Times New Roman" w:hAnsi="Times New Roman"/>
          <w:sz w:val="24"/>
          <w:szCs w:val="24"/>
        </w:rPr>
        <w:t>The physicians who perceive the benefit of a</w:t>
      </w:r>
      <w:r w:rsidR="006F0C11" w:rsidRPr="006F0C11">
        <w:rPr>
          <w:rFonts w:ascii="Times New Roman" w:hAnsi="Times New Roman"/>
          <w:sz w:val="24"/>
          <w:szCs w:val="24"/>
        </w:rPr>
        <w:t xml:space="preserve"> treatment </w:t>
      </w:r>
      <w:r w:rsidR="00927F5D">
        <w:rPr>
          <w:rFonts w:ascii="Times New Roman" w:hAnsi="Times New Roman"/>
          <w:sz w:val="24"/>
          <w:szCs w:val="24"/>
        </w:rPr>
        <w:t>to be greater</w:t>
      </w:r>
      <w:r w:rsidR="006F0C11" w:rsidRPr="006F0C11">
        <w:rPr>
          <w:rFonts w:ascii="Times New Roman" w:hAnsi="Times New Roman"/>
          <w:sz w:val="24"/>
          <w:szCs w:val="24"/>
        </w:rPr>
        <w:t xml:space="preserve"> than the true benefit will cause inefficient </w:t>
      </w:r>
      <w:r w:rsidR="00116913" w:rsidRPr="006F0C11">
        <w:rPr>
          <w:rFonts w:ascii="Times New Roman" w:hAnsi="Times New Roman"/>
          <w:sz w:val="24"/>
          <w:szCs w:val="24"/>
        </w:rPr>
        <w:t>overutilization</w:t>
      </w:r>
      <w:r w:rsidR="00190F06">
        <w:rPr>
          <w:rFonts w:ascii="Times New Roman" w:hAnsi="Times New Roman"/>
          <w:sz w:val="24"/>
          <w:szCs w:val="24"/>
        </w:rPr>
        <w:t xml:space="preserve"> of that treatment</w:t>
      </w:r>
      <w:r w:rsidR="006F0C11" w:rsidRPr="006F0C11">
        <w:rPr>
          <w:rFonts w:ascii="Times New Roman" w:hAnsi="Times New Roman"/>
          <w:sz w:val="24"/>
          <w:szCs w:val="24"/>
        </w:rPr>
        <w:t>.</w:t>
      </w:r>
    </w:p>
    <w:p w14:paraId="4AEEADAB" w14:textId="083CCBEA" w:rsidR="003959D4" w:rsidRDefault="003959D4" w:rsidP="006F0C11">
      <w:pPr>
        <w:pStyle w:val="ListParagraph"/>
        <w:spacing w:line="480" w:lineRule="auto"/>
        <w:ind w:left="0" w:firstLine="720"/>
        <w:rPr>
          <w:rFonts w:ascii="Times New Roman" w:hAnsi="Times New Roman"/>
          <w:sz w:val="24"/>
          <w:szCs w:val="24"/>
        </w:rPr>
      </w:pPr>
      <w:r w:rsidRPr="006F0C11">
        <w:rPr>
          <w:rFonts w:ascii="Times New Roman" w:hAnsi="Times New Roman"/>
          <w:sz w:val="24"/>
          <w:szCs w:val="24"/>
        </w:rPr>
        <w:t>This general explanation of geographical variation matches the empirical evidence of variati</w:t>
      </w:r>
      <w:r w:rsidR="00A75D88">
        <w:rPr>
          <w:rFonts w:ascii="Times New Roman" w:hAnsi="Times New Roman"/>
          <w:sz w:val="24"/>
          <w:szCs w:val="24"/>
        </w:rPr>
        <w:t>o</w:t>
      </w:r>
      <w:r w:rsidR="002B7825">
        <w:rPr>
          <w:rFonts w:ascii="Times New Roman" w:hAnsi="Times New Roman"/>
          <w:sz w:val="24"/>
          <w:szCs w:val="24"/>
        </w:rPr>
        <w:t xml:space="preserve">ns in EOL treatment intensity.  </w:t>
      </w:r>
      <w:r w:rsidRPr="006F0C11">
        <w:rPr>
          <w:rFonts w:ascii="Times New Roman" w:hAnsi="Times New Roman"/>
          <w:sz w:val="24"/>
          <w:szCs w:val="24"/>
        </w:rPr>
        <w:t>Higher EOL spending regions have more specialists, hospital beds,</w:t>
      </w:r>
      <w:r w:rsidR="00286846">
        <w:rPr>
          <w:rFonts w:ascii="Times New Roman" w:hAnsi="Times New Roman"/>
          <w:sz w:val="24"/>
          <w:szCs w:val="24"/>
        </w:rPr>
        <w:t xml:space="preserve"> ICU</w:t>
      </w:r>
      <w:r w:rsidRPr="006F0C11">
        <w:rPr>
          <w:rFonts w:ascii="Times New Roman" w:hAnsi="Times New Roman"/>
          <w:sz w:val="24"/>
          <w:szCs w:val="24"/>
        </w:rPr>
        <w:t xml:space="preserve"> beds, technologies, and physicians who are more likely to recommend tests and treatments (Barnato</w:t>
      </w:r>
      <w:r w:rsidR="00E77CFE" w:rsidRPr="006F0C11">
        <w:rPr>
          <w:rFonts w:ascii="Times New Roman" w:hAnsi="Times New Roman"/>
          <w:sz w:val="24"/>
          <w:szCs w:val="24"/>
        </w:rPr>
        <w:t xml:space="preserve"> et al.,</w:t>
      </w:r>
      <w:r w:rsidRPr="006F0C11">
        <w:rPr>
          <w:rFonts w:ascii="Times New Roman" w:hAnsi="Times New Roman"/>
          <w:sz w:val="24"/>
          <w:szCs w:val="24"/>
        </w:rPr>
        <w:t xml:space="preserve"> 2007</w:t>
      </w:r>
      <w:r w:rsidR="009022D7">
        <w:rPr>
          <w:rFonts w:ascii="Times New Roman" w:hAnsi="Times New Roman"/>
          <w:sz w:val="24"/>
          <w:szCs w:val="24"/>
        </w:rPr>
        <w:t>a</w:t>
      </w:r>
      <w:r w:rsidR="00A75D88">
        <w:rPr>
          <w:rFonts w:ascii="Times New Roman" w:hAnsi="Times New Roman"/>
          <w:sz w:val="24"/>
          <w:szCs w:val="24"/>
        </w:rPr>
        <w:t>)</w:t>
      </w:r>
      <w:r w:rsidR="00A81EC3">
        <w:rPr>
          <w:rFonts w:ascii="Times New Roman" w:hAnsi="Times New Roman"/>
          <w:sz w:val="24"/>
          <w:szCs w:val="24"/>
        </w:rPr>
        <w:t xml:space="preserve">. </w:t>
      </w:r>
      <w:r w:rsidR="002B7825">
        <w:rPr>
          <w:rFonts w:ascii="Times New Roman" w:hAnsi="Times New Roman"/>
          <w:sz w:val="24"/>
          <w:szCs w:val="24"/>
        </w:rPr>
        <w:t xml:space="preserve"> </w:t>
      </w:r>
      <w:r w:rsidRPr="006F0C11">
        <w:rPr>
          <w:rFonts w:ascii="Times New Roman" w:hAnsi="Times New Roman"/>
          <w:sz w:val="24"/>
          <w:szCs w:val="24"/>
        </w:rPr>
        <w:t xml:space="preserve">There are also differences in </w:t>
      </w:r>
      <w:r w:rsidR="00E77CFE" w:rsidRPr="006F0C11">
        <w:rPr>
          <w:rFonts w:ascii="Times New Roman" w:hAnsi="Times New Roman"/>
          <w:sz w:val="24"/>
          <w:szCs w:val="24"/>
        </w:rPr>
        <w:t>decision-</w:t>
      </w:r>
      <w:r w:rsidRPr="006F0C11">
        <w:rPr>
          <w:rFonts w:ascii="Times New Roman" w:hAnsi="Times New Roman"/>
          <w:sz w:val="24"/>
          <w:szCs w:val="24"/>
        </w:rPr>
        <w:t xml:space="preserve">making </w:t>
      </w:r>
      <w:r w:rsidR="00E77CFE" w:rsidRPr="006F0C11">
        <w:rPr>
          <w:rFonts w:ascii="Times New Roman" w:hAnsi="Times New Roman"/>
          <w:sz w:val="24"/>
          <w:szCs w:val="24"/>
        </w:rPr>
        <w:t xml:space="preserve">for life-sustaining treatments </w:t>
      </w:r>
      <w:r w:rsidRPr="006F0C11">
        <w:rPr>
          <w:rFonts w:ascii="Times New Roman" w:hAnsi="Times New Roman"/>
          <w:sz w:val="24"/>
          <w:szCs w:val="24"/>
        </w:rPr>
        <w:t>between low intensity ICUs and high intensity ICUs (Barnato</w:t>
      </w:r>
      <w:r w:rsidR="002710BF" w:rsidRPr="006F0C11">
        <w:rPr>
          <w:rFonts w:ascii="Times New Roman" w:hAnsi="Times New Roman"/>
          <w:sz w:val="24"/>
          <w:szCs w:val="24"/>
        </w:rPr>
        <w:t xml:space="preserve"> et al.,</w:t>
      </w:r>
      <w:r w:rsidRPr="006F0C11">
        <w:rPr>
          <w:rFonts w:ascii="Times New Roman" w:hAnsi="Times New Roman"/>
          <w:sz w:val="24"/>
          <w:szCs w:val="24"/>
        </w:rPr>
        <w:t xml:space="preserve"> 2012</w:t>
      </w:r>
      <w:r w:rsidR="006F0C11" w:rsidRPr="006F0C11">
        <w:rPr>
          <w:rFonts w:ascii="Times New Roman" w:hAnsi="Times New Roman"/>
          <w:sz w:val="24"/>
          <w:szCs w:val="24"/>
        </w:rPr>
        <w:t xml:space="preserve">). </w:t>
      </w:r>
      <w:r w:rsidR="002710BF" w:rsidRPr="006F0C11">
        <w:rPr>
          <w:rFonts w:ascii="Times New Roman" w:hAnsi="Times New Roman"/>
          <w:sz w:val="24"/>
          <w:szCs w:val="24"/>
        </w:rPr>
        <w:t xml:space="preserve">These market imperfections create opportunities for health policies and programs. </w:t>
      </w:r>
    </w:p>
    <w:p w14:paraId="418945EC" w14:textId="77777777" w:rsidR="005A647B" w:rsidRPr="005A647B" w:rsidRDefault="009022D7" w:rsidP="005A647B">
      <w:pPr>
        <w:pStyle w:val="Heading2"/>
        <w:jc w:val="left"/>
      </w:pPr>
      <w:bookmarkStart w:id="7" w:name="_Toc480035030"/>
      <w:r>
        <w:lastRenderedPageBreak/>
        <w:t>Objective</w:t>
      </w:r>
      <w:bookmarkEnd w:id="7"/>
    </w:p>
    <w:p w14:paraId="515DDEEC" w14:textId="0E70E208" w:rsidR="00927F5D" w:rsidRDefault="001706A1" w:rsidP="006F0C11">
      <w:pPr>
        <w:pStyle w:val="ListParagraph"/>
        <w:spacing w:line="480" w:lineRule="auto"/>
        <w:ind w:left="0" w:firstLine="720"/>
        <w:rPr>
          <w:rFonts w:ascii="Times New Roman" w:hAnsi="Times New Roman"/>
          <w:sz w:val="24"/>
          <w:szCs w:val="24"/>
        </w:rPr>
      </w:pPr>
      <w:r w:rsidRPr="006F0C11">
        <w:rPr>
          <w:rFonts w:ascii="Times New Roman" w:hAnsi="Times New Roman"/>
          <w:sz w:val="24"/>
          <w:szCs w:val="24"/>
        </w:rPr>
        <w:t>To inform the policies and programs, this literature review</w:t>
      </w:r>
      <w:r w:rsidR="00E77CFE" w:rsidRPr="006F0C11">
        <w:rPr>
          <w:rFonts w:ascii="Times New Roman" w:hAnsi="Times New Roman"/>
          <w:sz w:val="24"/>
          <w:szCs w:val="24"/>
        </w:rPr>
        <w:t>:</w:t>
      </w:r>
      <w:r w:rsidRPr="006F0C11">
        <w:rPr>
          <w:rFonts w:ascii="Times New Roman" w:hAnsi="Times New Roman"/>
          <w:sz w:val="24"/>
          <w:szCs w:val="24"/>
        </w:rPr>
        <w:t xml:space="preserve"> (1) identifies </w:t>
      </w:r>
      <w:r w:rsidR="00DE0EBB" w:rsidRPr="006F0C11">
        <w:rPr>
          <w:rFonts w:ascii="Times New Roman" w:hAnsi="Times New Roman"/>
          <w:sz w:val="24"/>
          <w:szCs w:val="24"/>
        </w:rPr>
        <w:t xml:space="preserve">published studies </w:t>
      </w:r>
      <w:r w:rsidR="002710BF" w:rsidRPr="006F0C11">
        <w:rPr>
          <w:rFonts w:ascii="Times New Roman" w:hAnsi="Times New Roman"/>
          <w:sz w:val="24"/>
          <w:szCs w:val="24"/>
        </w:rPr>
        <w:t xml:space="preserve">that seek to explain the factors associated with </w:t>
      </w:r>
      <w:r w:rsidR="00DE0EBB" w:rsidRPr="006F0C11">
        <w:rPr>
          <w:rFonts w:ascii="Times New Roman" w:hAnsi="Times New Roman"/>
          <w:sz w:val="24"/>
          <w:szCs w:val="24"/>
        </w:rPr>
        <w:t xml:space="preserve">variations in </w:t>
      </w:r>
      <w:r w:rsidR="000D3C8D">
        <w:rPr>
          <w:rFonts w:ascii="Times New Roman" w:hAnsi="Times New Roman"/>
          <w:sz w:val="24"/>
          <w:szCs w:val="24"/>
        </w:rPr>
        <w:t xml:space="preserve">EOL </w:t>
      </w:r>
      <w:r w:rsidR="00DE0EBB" w:rsidRPr="006F0C11">
        <w:rPr>
          <w:rFonts w:ascii="Times New Roman" w:hAnsi="Times New Roman"/>
          <w:sz w:val="24"/>
          <w:szCs w:val="24"/>
        </w:rPr>
        <w:t>treat</w:t>
      </w:r>
      <w:r w:rsidR="002710BF" w:rsidRPr="006F0C11">
        <w:rPr>
          <w:rFonts w:ascii="Times New Roman" w:hAnsi="Times New Roman"/>
          <w:sz w:val="24"/>
          <w:szCs w:val="24"/>
        </w:rPr>
        <w:t xml:space="preserve">ment intensity in </w:t>
      </w:r>
      <w:r w:rsidR="002B7825">
        <w:rPr>
          <w:rFonts w:ascii="Times New Roman" w:hAnsi="Times New Roman"/>
          <w:sz w:val="24"/>
          <w:szCs w:val="24"/>
        </w:rPr>
        <w:t xml:space="preserve">the </w:t>
      </w:r>
      <w:r w:rsidR="002710BF" w:rsidRPr="006F0C11">
        <w:rPr>
          <w:rFonts w:ascii="Times New Roman" w:hAnsi="Times New Roman"/>
          <w:sz w:val="24"/>
          <w:szCs w:val="24"/>
        </w:rPr>
        <w:t xml:space="preserve">U.S. </w:t>
      </w:r>
      <w:r w:rsidR="00DE0EBB" w:rsidRPr="006F0C11">
        <w:rPr>
          <w:rFonts w:ascii="Times New Roman" w:hAnsi="Times New Roman"/>
          <w:sz w:val="24"/>
          <w:szCs w:val="24"/>
        </w:rPr>
        <w:t>among patients 65 years</w:t>
      </w:r>
      <w:r w:rsidRPr="006F0C11">
        <w:rPr>
          <w:rFonts w:ascii="Times New Roman" w:hAnsi="Times New Roman"/>
          <w:sz w:val="24"/>
          <w:szCs w:val="24"/>
        </w:rPr>
        <w:t xml:space="preserve"> of age or older; (2) synthesizes</w:t>
      </w:r>
      <w:r w:rsidR="00DE0EBB" w:rsidRPr="006F0C11">
        <w:rPr>
          <w:rFonts w:ascii="Times New Roman" w:hAnsi="Times New Roman"/>
          <w:sz w:val="24"/>
          <w:szCs w:val="24"/>
        </w:rPr>
        <w:t xml:space="preserve"> the findings from these studies</w:t>
      </w:r>
      <w:r w:rsidR="00B54B37">
        <w:rPr>
          <w:rFonts w:ascii="Times New Roman" w:hAnsi="Times New Roman"/>
          <w:sz w:val="24"/>
          <w:szCs w:val="24"/>
        </w:rPr>
        <w:t xml:space="preserve"> using the social-</w:t>
      </w:r>
      <w:r w:rsidR="00737D37" w:rsidRPr="006F0C11">
        <w:rPr>
          <w:rFonts w:ascii="Times New Roman" w:hAnsi="Times New Roman"/>
          <w:sz w:val="24"/>
          <w:szCs w:val="24"/>
        </w:rPr>
        <w:t>ecologic</w:t>
      </w:r>
      <w:r w:rsidR="002710BF" w:rsidRPr="006F0C11">
        <w:rPr>
          <w:rFonts w:ascii="Times New Roman" w:hAnsi="Times New Roman"/>
          <w:sz w:val="24"/>
          <w:szCs w:val="24"/>
        </w:rPr>
        <w:t>al framework</w:t>
      </w:r>
      <w:r w:rsidR="00286846">
        <w:rPr>
          <w:rFonts w:ascii="Times New Roman" w:hAnsi="Times New Roman"/>
          <w:sz w:val="24"/>
          <w:szCs w:val="24"/>
        </w:rPr>
        <w:t xml:space="preserve"> (SEF)</w:t>
      </w:r>
      <w:r w:rsidR="002710BF" w:rsidRPr="006F0C11">
        <w:rPr>
          <w:rFonts w:ascii="Times New Roman" w:hAnsi="Times New Roman"/>
          <w:sz w:val="24"/>
          <w:szCs w:val="24"/>
        </w:rPr>
        <w:t xml:space="preserve"> </w:t>
      </w:r>
      <w:r w:rsidR="00A75D88">
        <w:rPr>
          <w:rFonts w:ascii="Times New Roman" w:hAnsi="Times New Roman"/>
          <w:sz w:val="24"/>
          <w:szCs w:val="24"/>
        </w:rPr>
        <w:t xml:space="preserve">(Glanz &amp; Bishop, 2010) </w:t>
      </w:r>
      <w:r w:rsidR="002710BF" w:rsidRPr="006F0C11">
        <w:rPr>
          <w:rFonts w:ascii="Times New Roman" w:hAnsi="Times New Roman"/>
          <w:sz w:val="24"/>
          <w:szCs w:val="24"/>
        </w:rPr>
        <w:t xml:space="preserve">to categorize the </w:t>
      </w:r>
      <w:r w:rsidR="00737D37" w:rsidRPr="006F0C11">
        <w:rPr>
          <w:rFonts w:ascii="Times New Roman" w:hAnsi="Times New Roman"/>
          <w:sz w:val="24"/>
          <w:szCs w:val="24"/>
        </w:rPr>
        <w:t>factors</w:t>
      </w:r>
      <w:r w:rsidR="00DE0EBB" w:rsidRPr="006F0C11">
        <w:rPr>
          <w:rFonts w:ascii="Times New Roman" w:hAnsi="Times New Roman"/>
          <w:sz w:val="24"/>
          <w:szCs w:val="24"/>
        </w:rPr>
        <w:t xml:space="preserve">; and (3) </w:t>
      </w:r>
      <w:r w:rsidR="00322019" w:rsidRPr="006F0C11">
        <w:rPr>
          <w:rFonts w:ascii="Times New Roman" w:hAnsi="Times New Roman"/>
          <w:sz w:val="24"/>
          <w:szCs w:val="24"/>
        </w:rPr>
        <w:t>proposes p</w:t>
      </w:r>
      <w:r w:rsidR="004175AC" w:rsidRPr="006F0C11">
        <w:rPr>
          <w:rFonts w:ascii="Times New Roman" w:hAnsi="Times New Roman"/>
          <w:sz w:val="24"/>
          <w:szCs w:val="24"/>
        </w:rPr>
        <w:t xml:space="preserve">olicy and programmatic responses based </w:t>
      </w:r>
      <w:r w:rsidR="002710BF" w:rsidRPr="006F0C11">
        <w:rPr>
          <w:rFonts w:ascii="Times New Roman" w:hAnsi="Times New Roman"/>
          <w:sz w:val="24"/>
          <w:szCs w:val="24"/>
        </w:rPr>
        <w:t>o</w:t>
      </w:r>
      <w:r w:rsidR="00E77CFE" w:rsidRPr="006F0C11">
        <w:rPr>
          <w:rFonts w:ascii="Times New Roman" w:hAnsi="Times New Roman"/>
          <w:sz w:val="24"/>
          <w:szCs w:val="24"/>
        </w:rPr>
        <w:t>n these factors</w:t>
      </w:r>
      <w:r w:rsidR="004175AC" w:rsidRPr="006F0C11">
        <w:rPr>
          <w:rFonts w:ascii="Times New Roman" w:hAnsi="Times New Roman"/>
          <w:sz w:val="24"/>
          <w:szCs w:val="24"/>
        </w:rPr>
        <w:t>.</w:t>
      </w:r>
      <w:r w:rsidR="00927F5D">
        <w:rPr>
          <w:rFonts w:ascii="Times New Roman" w:hAnsi="Times New Roman"/>
          <w:sz w:val="24"/>
          <w:szCs w:val="24"/>
        </w:rPr>
        <w:t xml:space="preserve"> </w:t>
      </w:r>
    </w:p>
    <w:p w14:paraId="6C94550B" w14:textId="1F6795FE" w:rsidR="00DE0EBB" w:rsidRPr="006F0C11" w:rsidRDefault="00ED6FF1" w:rsidP="006F0C11">
      <w:pPr>
        <w:pStyle w:val="ListParagraph"/>
        <w:spacing w:line="480" w:lineRule="auto"/>
        <w:ind w:left="0" w:firstLine="720"/>
        <w:rPr>
          <w:rFonts w:ascii="Times New Roman" w:hAnsi="Times New Roman"/>
          <w:sz w:val="24"/>
          <w:szCs w:val="24"/>
        </w:rPr>
      </w:pPr>
      <w:r w:rsidRPr="006F0C11">
        <w:rPr>
          <w:rFonts w:ascii="Times New Roman" w:hAnsi="Times New Roman"/>
          <w:sz w:val="24"/>
          <w:szCs w:val="24"/>
        </w:rPr>
        <w:t xml:space="preserve">As of </w:t>
      </w:r>
      <w:r w:rsidR="0076409A">
        <w:rPr>
          <w:rFonts w:ascii="Times New Roman" w:hAnsi="Times New Roman"/>
          <w:sz w:val="24"/>
          <w:szCs w:val="24"/>
        </w:rPr>
        <w:t>March 2017</w:t>
      </w:r>
      <w:r w:rsidRPr="006F0C11">
        <w:rPr>
          <w:rFonts w:ascii="Times New Roman" w:hAnsi="Times New Roman"/>
          <w:sz w:val="24"/>
          <w:szCs w:val="24"/>
        </w:rPr>
        <w:t xml:space="preserve">, </w:t>
      </w:r>
      <w:r w:rsidR="00A81EC3">
        <w:rPr>
          <w:rFonts w:ascii="Times New Roman" w:hAnsi="Times New Roman"/>
          <w:sz w:val="24"/>
          <w:szCs w:val="24"/>
        </w:rPr>
        <w:t>I am</w:t>
      </w:r>
      <w:r w:rsidRPr="006F0C11">
        <w:rPr>
          <w:rFonts w:ascii="Times New Roman" w:hAnsi="Times New Roman"/>
          <w:sz w:val="24"/>
          <w:szCs w:val="24"/>
        </w:rPr>
        <w:t xml:space="preserve"> unaware of any other literature review </w:t>
      </w:r>
      <w:r w:rsidR="00E77CFE" w:rsidRPr="006F0C11">
        <w:rPr>
          <w:rFonts w:ascii="Times New Roman" w:hAnsi="Times New Roman"/>
          <w:sz w:val="24"/>
          <w:szCs w:val="24"/>
        </w:rPr>
        <w:t xml:space="preserve">on the factors that explain the </w:t>
      </w:r>
      <w:r w:rsidRPr="006F0C11">
        <w:rPr>
          <w:rFonts w:ascii="Times New Roman" w:hAnsi="Times New Roman"/>
          <w:sz w:val="24"/>
          <w:szCs w:val="24"/>
        </w:rPr>
        <w:t>variation</w:t>
      </w:r>
      <w:r w:rsidR="002B7825">
        <w:rPr>
          <w:rFonts w:ascii="Times New Roman" w:hAnsi="Times New Roman"/>
          <w:sz w:val="24"/>
          <w:szCs w:val="24"/>
        </w:rPr>
        <w:t>s</w:t>
      </w:r>
      <w:r w:rsidRPr="006F0C11">
        <w:rPr>
          <w:rFonts w:ascii="Times New Roman" w:hAnsi="Times New Roman"/>
          <w:sz w:val="24"/>
          <w:szCs w:val="24"/>
        </w:rPr>
        <w:t xml:space="preserve"> in treatment intensity at the </w:t>
      </w:r>
      <w:r w:rsidR="00322019" w:rsidRPr="006F0C11">
        <w:rPr>
          <w:rFonts w:ascii="Times New Roman" w:hAnsi="Times New Roman"/>
          <w:sz w:val="24"/>
          <w:szCs w:val="24"/>
        </w:rPr>
        <w:t>EOL</w:t>
      </w:r>
      <w:r w:rsidRPr="006F0C11">
        <w:rPr>
          <w:rFonts w:ascii="Times New Roman" w:hAnsi="Times New Roman"/>
          <w:sz w:val="24"/>
          <w:szCs w:val="24"/>
        </w:rPr>
        <w:t>.</w:t>
      </w:r>
      <w:r w:rsidR="002B7825">
        <w:rPr>
          <w:rFonts w:ascii="Times New Roman" w:hAnsi="Times New Roman"/>
          <w:sz w:val="24"/>
          <w:szCs w:val="24"/>
        </w:rPr>
        <w:t xml:space="preserve">  On</w:t>
      </w:r>
      <w:r w:rsidR="005D0331">
        <w:rPr>
          <w:rFonts w:ascii="Times New Roman" w:hAnsi="Times New Roman"/>
          <w:sz w:val="24"/>
          <w:szCs w:val="24"/>
        </w:rPr>
        <w:t xml:space="preserve">e review examined the national, regional, inter-hospital, and inter-physician variability of withdrawing life-sustaining treatment in </w:t>
      </w:r>
      <w:r w:rsidR="00927F5D">
        <w:rPr>
          <w:rFonts w:ascii="Times New Roman" w:hAnsi="Times New Roman"/>
          <w:sz w:val="24"/>
          <w:szCs w:val="24"/>
        </w:rPr>
        <w:t>the ICU</w:t>
      </w:r>
      <w:r w:rsidR="005D0331">
        <w:rPr>
          <w:rFonts w:ascii="Times New Roman" w:hAnsi="Times New Roman"/>
          <w:sz w:val="24"/>
          <w:szCs w:val="24"/>
        </w:rPr>
        <w:t xml:space="preserve"> (Mark </w:t>
      </w:r>
      <w:r w:rsidR="005D0331" w:rsidRPr="006F0C11">
        <w:rPr>
          <w:rFonts w:ascii="Times New Roman" w:hAnsi="Times New Roman"/>
          <w:sz w:val="24"/>
          <w:szCs w:val="24"/>
        </w:rPr>
        <w:t xml:space="preserve">et al., </w:t>
      </w:r>
      <w:r w:rsidR="005D0331">
        <w:rPr>
          <w:rFonts w:ascii="Times New Roman" w:hAnsi="Times New Roman"/>
          <w:sz w:val="24"/>
          <w:szCs w:val="24"/>
        </w:rPr>
        <w:t>201</w:t>
      </w:r>
      <w:r w:rsidR="006920DD">
        <w:rPr>
          <w:rFonts w:ascii="Times New Roman" w:hAnsi="Times New Roman"/>
          <w:sz w:val="24"/>
          <w:szCs w:val="24"/>
        </w:rPr>
        <w:t>5</w:t>
      </w:r>
      <w:r w:rsidR="005D0331">
        <w:rPr>
          <w:rFonts w:ascii="Times New Roman" w:hAnsi="Times New Roman"/>
          <w:sz w:val="24"/>
          <w:szCs w:val="24"/>
        </w:rPr>
        <w:t xml:space="preserve">). </w:t>
      </w:r>
      <w:r w:rsidR="002B7825">
        <w:rPr>
          <w:rFonts w:ascii="Times New Roman" w:hAnsi="Times New Roman"/>
          <w:sz w:val="24"/>
          <w:szCs w:val="24"/>
        </w:rPr>
        <w:t xml:space="preserve"> </w:t>
      </w:r>
      <w:r w:rsidR="005D0331">
        <w:rPr>
          <w:rFonts w:ascii="Times New Roman" w:hAnsi="Times New Roman"/>
          <w:sz w:val="24"/>
          <w:szCs w:val="24"/>
        </w:rPr>
        <w:t xml:space="preserve">However, this review focused on the withdrawal of life-sustaining treatment, and it did not focus on the factors that explain the variation. </w:t>
      </w:r>
    </w:p>
    <w:p w14:paraId="118F8720" w14:textId="77777777" w:rsidR="00B917F0" w:rsidRDefault="00B917F0" w:rsidP="005F3372">
      <w:pPr>
        <w:pStyle w:val="Noindent"/>
      </w:pPr>
    </w:p>
    <w:p w14:paraId="4A3FA17A" w14:textId="77777777" w:rsidR="00B917F0" w:rsidRDefault="00A43070" w:rsidP="00B54B37">
      <w:pPr>
        <w:pStyle w:val="Heading1"/>
      </w:pPr>
      <w:bookmarkStart w:id="8" w:name="_Toc480035031"/>
      <w:r>
        <w:lastRenderedPageBreak/>
        <w:t>Methods</w:t>
      </w:r>
      <w:bookmarkEnd w:id="8"/>
    </w:p>
    <w:p w14:paraId="0622B0C5" w14:textId="48C4D958" w:rsidR="00A43070" w:rsidRPr="00FB59D2" w:rsidRDefault="00927F5D" w:rsidP="007E51D2">
      <w:pPr>
        <w:jc w:val="left"/>
      </w:pPr>
      <w:r w:rsidRPr="00FB59D2">
        <w:t xml:space="preserve">I worked with a University of Pittsburgh Health Sciences Librarian </w:t>
      </w:r>
      <w:r w:rsidR="006022B1" w:rsidRPr="00FB59D2">
        <w:t xml:space="preserve">to design </w:t>
      </w:r>
      <w:r w:rsidR="00F24808">
        <w:t>and refine</w:t>
      </w:r>
      <w:r w:rsidR="006022B1" w:rsidRPr="00FB59D2">
        <w:t xml:space="preserve"> the following</w:t>
      </w:r>
      <w:r w:rsidRPr="00FB59D2">
        <w:t xml:space="preserve"> </w:t>
      </w:r>
      <w:r w:rsidR="00406F94" w:rsidRPr="00FB59D2">
        <w:t xml:space="preserve">Ovid </w:t>
      </w:r>
      <w:r w:rsidR="00A55B40" w:rsidRPr="00FB59D2">
        <w:t xml:space="preserve">MEDLINE </w:t>
      </w:r>
      <w:r w:rsidR="00F24808">
        <w:t xml:space="preserve">search </w:t>
      </w:r>
      <w:r w:rsidRPr="00FB59D2">
        <w:t>in October 2016</w:t>
      </w:r>
      <w:r w:rsidR="00A55B40" w:rsidRPr="00FB59D2">
        <w:t xml:space="preserve">: </w:t>
      </w:r>
      <w:r w:rsidR="00487D54" w:rsidRPr="00FB59D2">
        <w:t xml:space="preserve">end-of-life, </w:t>
      </w:r>
      <w:r w:rsidRPr="00FB59D2">
        <w:t>terminal care</w:t>
      </w:r>
      <w:r w:rsidR="00487D54" w:rsidRPr="00FB59D2">
        <w:t>, or end-of-life care</w:t>
      </w:r>
      <w:r w:rsidR="006022B1" w:rsidRPr="00FB59D2">
        <w:t>;</w:t>
      </w:r>
      <w:r w:rsidR="00487D54" w:rsidRPr="00FB59D2">
        <w:t xml:space="preserve"> AND critical care or </w:t>
      </w:r>
      <w:r w:rsidR="006022B1" w:rsidRPr="00FB59D2">
        <w:t xml:space="preserve">intensive care; </w:t>
      </w:r>
      <w:r w:rsidR="002B7825">
        <w:t>AND hospitals</w:t>
      </w:r>
      <w:r w:rsidR="00487D54" w:rsidRPr="00FB59D2">
        <w:t>,</w:t>
      </w:r>
      <w:r w:rsidR="002B7825">
        <w:t xml:space="preserve"> hospital, or academic medical centers</w:t>
      </w:r>
      <w:r w:rsidR="006022B1" w:rsidRPr="00FB59D2">
        <w:t>;</w:t>
      </w:r>
      <w:r w:rsidR="00487D54" w:rsidRPr="00FB59D2">
        <w:t xml:space="preserve"> AND retrospective studies, logistic models, cost of illness</w:t>
      </w:r>
      <w:r w:rsidR="00635696" w:rsidRPr="00FB59D2">
        <w:t xml:space="preserve">, </w:t>
      </w:r>
      <w:r w:rsidR="00487D54" w:rsidRPr="00FB59D2">
        <w:t>cost-benefit a</w:t>
      </w:r>
      <w:r w:rsidR="00635696" w:rsidRPr="00FB59D2">
        <w:t xml:space="preserve">nalysis, </w:t>
      </w:r>
      <w:r w:rsidR="00487D54" w:rsidRPr="00FB59D2">
        <w:t>decision m</w:t>
      </w:r>
      <w:r w:rsidR="00635696" w:rsidRPr="00FB59D2">
        <w:t xml:space="preserve">aking, </w:t>
      </w:r>
      <w:r w:rsidR="00487D54" w:rsidRPr="00FB59D2">
        <w:t>focus g</w:t>
      </w:r>
      <w:r w:rsidR="00635696" w:rsidRPr="00FB59D2">
        <w:t xml:space="preserve">roups, </w:t>
      </w:r>
      <w:r w:rsidR="00487D54" w:rsidRPr="00FB59D2">
        <w:t xml:space="preserve">health </w:t>
      </w:r>
      <w:r w:rsidR="00635696" w:rsidRPr="00FB59D2">
        <w:t>c</w:t>
      </w:r>
      <w:r w:rsidR="00487D54" w:rsidRPr="00FB59D2">
        <w:t xml:space="preserve">are </w:t>
      </w:r>
      <w:r w:rsidR="00635696" w:rsidRPr="00FB59D2">
        <w:t>costs, health care surveys, health services research, medical staff, hospital, multivariate analysis, proportional hazards models, or comparative analysis</w:t>
      </w:r>
      <w:r w:rsidR="006022B1" w:rsidRPr="00FB59D2">
        <w:t xml:space="preserve">. </w:t>
      </w:r>
    </w:p>
    <w:p w14:paraId="7BE43B2C" w14:textId="1991E676" w:rsidR="00DE0EBB" w:rsidRDefault="006022B1" w:rsidP="007E51D2">
      <w:pPr>
        <w:jc w:val="left"/>
      </w:pPr>
      <w:r w:rsidRPr="00FB59D2">
        <w:t xml:space="preserve">The search returned 609 articles. </w:t>
      </w:r>
      <w:r w:rsidR="002B7825">
        <w:t xml:space="preserve"> </w:t>
      </w:r>
      <w:r w:rsidR="00A81EC3" w:rsidRPr="00FB59D2">
        <w:t>I</w:t>
      </w:r>
      <w:r w:rsidR="00284A51" w:rsidRPr="00FB59D2">
        <w:t xml:space="preserve"> excluded </w:t>
      </w:r>
      <w:r w:rsidR="00A81EC3">
        <w:t xml:space="preserve">articles </w:t>
      </w:r>
      <w:r w:rsidR="00284A51">
        <w:t>if the study cohort included patients less than 65 years of age, if the study included non-U.S. hospitals</w:t>
      </w:r>
      <w:r>
        <w:t xml:space="preserve">, and if the study </w:t>
      </w:r>
      <w:r w:rsidR="00284A51">
        <w:t xml:space="preserve">did not </w:t>
      </w:r>
      <w:r>
        <w:t>include</w:t>
      </w:r>
      <w:r w:rsidR="00284A51">
        <w:t xml:space="preserve"> </w:t>
      </w:r>
      <w:r w:rsidR="004A2924">
        <w:t xml:space="preserve">the factors </w:t>
      </w:r>
      <w:r w:rsidR="00EC3D7C">
        <w:t xml:space="preserve">explaining the </w:t>
      </w:r>
      <w:r w:rsidR="00284A51">
        <w:t>var</w:t>
      </w:r>
      <w:r w:rsidR="00A75D88">
        <w:t>iations in</w:t>
      </w:r>
      <w:r w:rsidR="00DE6353">
        <w:t xml:space="preserve"> EOL</w:t>
      </w:r>
      <w:r w:rsidR="002B7825">
        <w:t xml:space="preserve"> treatment intensity.  </w:t>
      </w:r>
      <w:r w:rsidR="00A81EC3">
        <w:t xml:space="preserve">I </w:t>
      </w:r>
      <w:r>
        <w:t xml:space="preserve">also </w:t>
      </w:r>
      <w:r w:rsidR="00A81EC3">
        <w:t xml:space="preserve">reviewed the </w:t>
      </w:r>
      <w:r w:rsidR="00F97FB6">
        <w:t xml:space="preserve">references </w:t>
      </w:r>
      <w:r w:rsidR="00EB7F4B">
        <w:t>in the articles that met the inclusion criteria</w:t>
      </w:r>
      <w:r w:rsidR="00F97FB6">
        <w:t xml:space="preserve"> to identify additional </w:t>
      </w:r>
      <w:r w:rsidR="00ED6FF1">
        <w:t xml:space="preserve">peer-reviewed </w:t>
      </w:r>
      <w:r w:rsidR="00F97FB6">
        <w:t>studies</w:t>
      </w:r>
      <w:r w:rsidR="00ED6FF1">
        <w:t>, excluding grey literature</w:t>
      </w:r>
      <w:r w:rsidR="00EA10F6">
        <w:t xml:space="preserve">. </w:t>
      </w:r>
    </w:p>
    <w:p w14:paraId="3A829FAE" w14:textId="77777777" w:rsidR="00186ED5" w:rsidRDefault="00A81EC3" w:rsidP="007E51D2">
      <w:pPr>
        <w:jc w:val="left"/>
      </w:pPr>
      <w:r>
        <w:t>I categorized t</w:t>
      </w:r>
      <w:r w:rsidR="00322019">
        <w:t xml:space="preserve">he primary findings from each </w:t>
      </w:r>
      <w:r>
        <w:t>article</w:t>
      </w:r>
      <w:r w:rsidR="006F0C11">
        <w:t xml:space="preserve"> into </w:t>
      </w:r>
      <w:r w:rsidR="002B7825">
        <w:t xml:space="preserve">the </w:t>
      </w:r>
      <w:r w:rsidR="006F0C11">
        <w:t xml:space="preserve">different </w:t>
      </w:r>
      <w:r w:rsidR="00A75D88">
        <w:t>levels of the social-</w:t>
      </w:r>
      <w:r w:rsidR="006F0C11">
        <w:t>ecological framework</w:t>
      </w:r>
      <w:r w:rsidR="00286846">
        <w:t xml:space="preserve"> (SEF)</w:t>
      </w:r>
      <w:r w:rsidR="006F0C11">
        <w:t xml:space="preserve">: </w:t>
      </w:r>
      <w:r w:rsidR="00322019">
        <w:t>individual, interpersonal, communi</w:t>
      </w:r>
      <w:r w:rsidR="006F0C11">
        <w:t>ty, institutional, and policy</w:t>
      </w:r>
      <w:r w:rsidR="00A75D88">
        <w:t xml:space="preserve"> (Glanz &amp; Bishop, 2010)</w:t>
      </w:r>
      <w:r w:rsidR="00322019">
        <w:t>.</w:t>
      </w:r>
      <w:r w:rsidR="00925119">
        <w:t xml:space="preserve"> </w:t>
      </w:r>
      <w:r w:rsidR="00A75D88">
        <w:t xml:space="preserve"> </w:t>
      </w:r>
      <w:r w:rsidR="00186ED5">
        <w:t xml:space="preserve">To address these contributing factors, I offer policy and program responses in the discussion section.  </w:t>
      </w:r>
    </w:p>
    <w:p w14:paraId="7DBEFD5E" w14:textId="5A32E602" w:rsidR="00322019" w:rsidRDefault="00251B82" w:rsidP="007E51D2">
      <w:pPr>
        <w:jc w:val="left"/>
      </w:pPr>
      <w:r>
        <w:t xml:space="preserve">The SEF is </w:t>
      </w:r>
      <w:r w:rsidR="006C378E">
        <w:t>used as a systems-thinking approach in</w:t>
      </w:r>
      <w:r>
        <w:t xml:space="preserve"> public health to explain and understand the interaction of factors at multiple levels that contribute to a population’s health problem or </w:t>
      </w:r>
      <w:r w:rsidR="006C378E">
        <w:t xml:space="preserve">a group’s </w:t>
      </w:r>
      <w:r>
        <w:t>behavior</w:t>
      </w:r>
      <w:r w:rsidR="00186ED5">
        <w:t xml:space="preserve">.  In this case, the SEF is used to understand the interaction of </w:t>
      </w:r>
      <w:r w:rsidR="00186ED5">
        <w:lastRenderedPageBreak/>
        <w:t xml:space="preserve">factors that explain higher EOL treatment intensity in certain areas.  </w:t>
      </w:r>
      <w:r>
        <w:t xml:space="preserve">The individual level of the SEF </w:t>
      </w:r>
      <w:r w:rsidR="00186ED5">
        <w:t xml:space="preserve">looks at the </w:t>
      </w:r>
      <w:r>
        <w:t xml:space="preserve">biological, genetic, </w:t>
      </w:r>
      <w:r w:rsidR="00186ED5">
        <w:t>racial</w:t>
      </w:r>
      <w:r w:rsidR="00176344">
        <w:t>, ethnic</w:t>
      </w:r>
      <w:r>
        <w:t>, gender, and personal history</w:t>
      </w:r>
      <w:r w:rsidR="00186ED5">
        <w:t xml:space="preserve"> of a person</w:t>
      </w:r>
      <w:r>
        <w:t>.  The interpersonal level pertains to the relationships or interactions between individual people.  The community level considers the social norms and interactions with groups, networks, and the environment.  The institutional level is concerned with the policies, rules, and structure of an organization in the private sector.  Finally, the policy level considers the</w:t>
      </w:r>
      <w:r w:rsidR="00186ED5">
        <w:t xml:space="preserve"> policies, rules, and structures</w:t>
      </w:r>
      <w:r w:rsidR="006C378E">
        <w:t xml:space="preserve"> from the public sector</w:t>
      </w:r>
      <w:r>
        <w:t xml:space="preserve">.  </w:t>
      </w:r>
    </w:p>
    <w:p w14:paraId="230AFF0E" w14:textId="229628DD" w:rsidR="00B917F0" w:rsidRDefault="00A43070" w:rsidP="00B54B37">
      <w:pPr>
        <w:pStyle w:val="Heading1"/>
      </w:pPr>
      <w:bookmarkStart w:id="9" w:name="_Toc480035032"/>
      <w:r>
        <w:lastRenderedPageBreak/>
        <w:t>Results</w:t>
      </w:r>
      <w:bookmarkEnd w:id="9"/>
    </w:p>
    <w:p w14:paraId="77E771F5" w14:textId="05617B28" w:rsidR="00A43070" w:rsidRDefault="00A75D88" w:rsidP="008A10A0">
      <w:pPr>
        <w:pStyle w:val="Noindent"/>
        <w:ind w:firstLine="720"/>
        <w:jc w:val="left"/>
      </w:pPr>
      <w:r>
        <w:t xml:space="preserve">The </w:t>
      </w:r>
      <w:r w:rsidR="00EA10F6">
        <w:t>Ovid MEDLINE</w:t>
      </w:r>
      <w:r>
        <w:t xml:space="preserve"> search</w:t>
      </w:r>
      <w:r w:rsidR="00A43070">
        <w:t xml:space="preserve"> produced </w:t>
      </w:r>
      <w:r w:rsidR="00EA10F6">
        <w:t>1</w:t>
      </w:r>
      <w:r w:rsidR="00B109D2">
        <w:t>4</w:t>
      </w:r>
      <w:r w:rsidR="00A746CF">
        <w:t xml:space="preserve"> </w:t>
      </w:r>
      <w:r w:rsidR="00EA10F6">
        <w:t xml:space="preserve">articles </w:t>
      </w:r>
      <w:r w:rsidR="008A10A0">
        <w:t>that met the criteria.</w:t>
      </w:r>
      <w:r>
        <w:t xml:space="preserve">  </w:t>
      </w:r>
      <w:r w:rsidR="00A43070">
        <w:t xml:space="preserve">By reviewing the references in the articles that met the criteria, </w:t>
      </w:r>
      <w:r w:rsidR="00A81EC3">
        <w:t xml:space="preserve">I identified </w:t>
      </w:r>
      <w:r w:rsidR="00BF58E4">
        <w:t>nine</w:t>
      </w:r>
      <w:r w:rsidR="008A10A0">
        <w:t xml:space="preserve"> </w:t>
      </w:r>
      <w:r w:rsidR="00A43070">
        <w:t>additional articles in the review</w:t>
      </w:r>
      <w:r w:rsidR="008A10A0">
        <w:t>, bring</w:t>
      </w:r>
      <w:r w:rsidR="002B7825">
        <w:t>ing</w:t>
      </w:r>
      <w:r w:rsidR="008A10A0">
        <w:t xml:space="preserve"> the total to 2</w:t>
      </w:r>
      <w:r w:rsidR="00BF58E4">
        <w:t>3</w:t>
      </w:r>
      <w:r w:rsidR="00A43070">
        <w:t xml:space="preserve">. </w:t>
      </w:r>
    </w:p>
    <w:p w14:paraId="050BB4DA" w14:textId="77777777" w:rsidR="00B54B37" w:rsidRPr="00B54B37" w:rsidRDefault="00B54B37" w:rsidP="00B54B37">
      <w:pPr>
        <w:pStyle w:val="Heading2"/>
        <w:jc w:val="left"/>
      </w:pPr>
      <w:bookmarkStart w:id="10" w:name="_Toc480035033"/>
      <w:r>
        <w:t>Characteristics and findings of included studies</w:t>
      </w:r>
      <w:bookmarkEnd w:id="10"/>
    </w:p>
    <w:p w14:paraId="0B4840B6" w14:textId="77777777" w:rsidR="00176344" w:rsidRDefault="00C23E9B" w:rsidP="00334F18">
      <w:pPr>
        <w:tabs>
          <w:tab w:val="left" w:pos="9270"/>
        </w:tabs>
        <w:jc w:val="left"/>
      </w:pPr>
      <w:r w:rsidRPr="00340ED8">
        <w:t>Table 1 includes the characteristics of each included article (study year, cohort, design, and primary measure</w:t>
      </w:r>
      <w:r w:rsidR="00CE1C2B" w:rsidRPr="00340ED8">
        <w:t>s</w:t>
      </w:r>
      <w:r w:rsidRPr="00340ED8">
        <w:t>), and Table 2 includes the pr</w:t>
      </w:r>
      <w:r w:rsidR="00340ED8">
        <w:t xml:space="preserve">imary findings of each article. </w:t>
      </w:r>
      <w:r w:rsidR="002B7825">
        <w:t xml:space="preserve"> </w:t>
      </w:r>
      <w:r w:rsidR="008B0DB3" w:rsidRPr="00340ED8">
        <w:t>The most common claims databases for calculating EOL treatment intensity measures included the Centers for Medicare &amp; Medicaid (CMS) Part A and B database</w:t>
      </w:r>
      <w:r w:rsidR="00485221" w:rsidRPr="00340ED8">
        <w:t xml:space="preserve"> of fee-for-service Medicare beneficiaries</w:t>
      </w:r>
      <w:r w:rsidR="008B0DB3" w:rsidRPr="00340ED8">
        <w:t>, the Dartmouth Atlas</w:t>
      </w:r>
      <w:r w:rsidR="00485221" w:rsidRPr="00340ED8">
        <w:t xml:space="preserve"> (which uses the CMS databases),</w:t>
      </w:r>
      <w:r w:rsidR="008B0DB3" w:rsidRPr="00340ED8">
        <w:t xml:space="preserve"> and the Pennsylvania Health Care Cost Containme</w:t>
      </w:r>
      <w:r w:rsidR="007E51D2" w:rsidRPr="00340ED8">
        <w:t>nt Council (PHC</w:t>
      </w:r>
      <w:r w:rsidR="00340ED8">
        <w:t>4) database</w:t>
      </w:r>
      <w:r w:rsidR="00186ED5">
        <w:t xml:space="preserve"> (an all-payer database of hospital admissions in Pennsylvania)</w:t>
      </w:r>
      <w:r w:rsidR="00340ED8">
        <w:t xml:space="preserve">. </w:t>
      </w:r>
      <w:r w:rsidR="002B7825">
        <w:t xml:space="preserve"> </w:t>
      </w:r>
    </w:p>
    <w:p w14:paraId="1A1AAFA5" w14:textId="47BF2702" w:rsidR="006E72ED" w:rsidRDefault="00D27991" w:rsidP="00334F18">
      <w:pPr>
        <w:tabs>
          <w:tab w:val="left" w:pos="9270"/>
        </w:tabs>
        <w:jc w:val="left"/>
      </w:pPr>
      <w:r w:rsidRPr="00716237">
        <w:t xml:space="preserve">Of the </w:t>
      </w:r>
      <w:r w:rsidR="00340ED8" w:rsidRPr="00716237">
        <w:t>2</w:t>
      </w:r>
      <w:r w:rsidR="00BF58E4">
        <w:t>3</w:t>
      </w:r>
      <w:r w:rsidR="00485221" w:rsidRPr="00716237">
        <w:t xml:space="preserve"> studies, </w:t>
      </w:r>
      <w:r w:rsidR="00BF58E4">
        <w:t>eleven</w:t>
      </w:r>
      <w:r w:rsidR="00716237" w:rsidRPr="00716237">
        <w:t xml:space="preserve"> included retrospective case series, </w:t>
      </w:r>
      <w:r w:rsidR="00BF58E4">
        <w:t>ten</w:t>
      </w:r>
      <w:r w:rsidR="00485221" w:rsidRPr="00716237">
        <w:t xml:space="preserve"> included an ecologic study design, </w:t>
      </w:r>
      <w:r w:rsidR="002B7825">
        <w:t>ten</w:t>
      </w:r>
      <w:r w:rsidR="00B109D2">
        <w:t xml:space="preserve"> </w:t>
      </w:r>
      <w:r w:rsidR="00716237" w:rsidRPr="00716237">
        <w:t xml:space="preserve">included surveys, two included case studies with interviews, </w:t>
      </w:r>
      <w:r w:rsidR="00A746CF">
        <w:t>two</w:t>
      </w:r>
      <w:r w:rsidR="00A746CF" w:rsidRPr="00716237">
        <w:t xml:space="preserve"> included a retrospective cohort design</w:t>
      </w:r>
      <w:r w:rsidR="00A746CF">
        <w:t>, and</w:t>
      </w:r>
      <w:r w:rsidR="00A746CF" w:rsidRPr="00716237">
        <w:t xml:space="preserve"> </w:t>
      </w:r>
      <w:r w:rsidR="00485221" w:rsidRPr="00716237">
        <w:t>one inclu</w:t>
      </w:r>
      <w:r w:rsidR="00716237" w:rsidRPr="00716237">
        <w:t xml:space="preserve">ded a prospective cohort study </w:t>
      </w:r>
      <w:r w:rsidR="007E51D2" w:rsidRPr="00716237">
        <w:t>(Table 1)</w:t>
      </w:r>
      <w:r w:rsidR="00485221" w:rsidRPr="00716237">
        <w:t xml:space="preserve">.  </w:t>
      </w:r>
    </w:p>
    <w:p w14:paraId="312D1D5E" w14:textId="77777777" w:rsidR="00633708" w:rsidRDefault="00633708" w:rsidP="00334F18">
      <w:pPr>
        <w:tabs>
          <w:tab w:val="left" w:pos="9270"/>
        </w:tabs>
        <w:jc w:val="left"/>
      </w:pPr>
    </w:p>
    <w:p w14:paraId="2ACC68BB" w14:textId="77777777" w:rsidR="00633708" w:rsidRPr="00334F18" w:rsidRDefault="00633708" w:rsidP="00334F18">
      <w:pPr>
        <w:tabs>
          <w:tab w:val="left" w:pos="9270"/>
        </w:tabs>
        <w:jc w:val="left"/>
        <w:rPr>
          <w:color w:val="FF0000"/>
        </w:rPr>
      </w:pPr>
    </w:p>
    <w:p w14:paraId="0CD112DA" w14:textId="3E75D841" w:rsidR="008F0264" w:rsidRPr="001D0AA1" w:rsidRDefault="008F0264" w:rsidP="008F0264">
      <w:pPr>
        <w:pStyle w:val="Caption"/>
        <w:keepNext/>
        <w:ind w:firstLine="0"/>
        <w:jc w:val="center"/>
      </w:pPr>
      <w:bookmarkStart w:id="11" w:name="_Toc480035041"/>
      <w:r>
        <w:lastRenderedPageBreak/>
        <w:t xml:space="preserve">Table </w:t>
      </w:r>
      <w:r w:rsidR="002C7D4F">
        <w:fldChar w:fldCharType="begin"/>
      </w:r>
      <w:r w:rsidR="002C7D4F">
        <w:instrText xml:space="preserve"> SEQ Table \* ARABIC </w:instrText>
      </w:r>
      <w:r w:rsidR="002C7D4F">
        <w:fldChar w:fldCharType="separate"/>
      </w:r>
      <w:r w:rsidR="00E151B5">
        <w:rPr>
          <w:noProof/>
        </w:rPr>
        <w:t>1</w:t>
      </w:r>
      <w:r w:rsidR="002C7D4F">
        <w:rPr>
          <w:noProof/>
        </w:rPr>
        <w:fldChar w:fldCharType="end"/>
      </w:r>
      <w:r w:rsidR="002B7825">
        <w:t>:</w:t>
      </w:r>
      <w:r>
        <w:t xml:space="preserve"> </w:t>
      </w:r>
      <w:r w:rsidRPr="001D0AA1">
        <w:t>Characteristics of Included Studies</w:t>
      </w:r>
      <w:bookmarkEnd w:id="11"/>
    </w:p>
    <w:tbl>
      <w:tblPr>
        <w:tblpPr w:leftFromText="180" w:rightFromText="180" w:vertAnchor="text" w:tblpX="108" w:tblpY="1"/>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acteristics of Included Studies"/>
      </w:tblPr>
      <w:tblGrid>
        <w:gridCol w:w="1177"/>
        <w:gridCol w:w="1759"/>
        <w:gridCol w:w="2369"/>
        <w:gridCol w:w="1463"/>
        <w:gridCol w:w="2512"/>
      </w:tblGrid>
      <w:tr w:rsidR="00A746CF" w:rsidRPr="00A746CF" w14:paraId="7E1AA8B0" w14:textId="77777777" w:rsidTr="00633708">
        <w:trPr>
          <w:tblHeader/>
        </w:trPr>
        <w:tc>
          <w:tcPr>
            <w:tcW w:w="1177" w:type="dxa"/>
            <w:shd w:val="clear" w:color="auto" w:fill="auto"/>
          </w:tcPr>
          <w:p w14:paraId="4BCCFABA" w14:textId="57BF0C94" w:rsidR="00157788" w:rsidRPr="00A746CF" w:rsidRDefault="00157788" w:rsidP="00633708">
            <w:pPr>
              <w:pStyle w:val="Noindent"/>
              <w:spacing w:line="240" w:lineRule="auto"/>
              <w:jc w:val="left"/>
              <w:rPr>
                <w:sz w:val="22"/>
                <w:szCs w:val="22"/>
              </w:rPr>
            </w:pPr>
            <w:r w:rsidRPr="00A746CF">
              <w:rPr>
                <w:sz w:val="22"/>
                <w:szCs w:val="22"/>
              </w:rPr>
              <w:t>Author</w:t>
            </w:r>
          </w:p>
        </w:tc>
        <w:tc>
          <w:tcPr>
            <w:tcW w:w="1759" w:type="dxa"/>
            <w:shd w:val="clear" w:color="auto" w:fill="auto"/>
          </w:tcPr>
          <w:p w14:paraId="11BBA0FE" w14:textId="77777777" w:rsidR="00157788" w:rsidRPr="00A746CF" w:rsidRDefault="00157788" w:rsidP="00633708">
            <w:pPr>
              <w:pStyle w:val="Noindent"/>
              <w:spacing w:line="240" w:lineRule="auto"/>
              <w:jc w:val="left"/>
              <w:rPr>
                <w:sz w:val="22"/>
                <w:szCs w:val="22"/>
              </w:rPr>
            </w:pPr>
            <w:r w:rsidRPr="00A746CF">
              <w:rPr>
                <w:sz w:val="22"/>
                <w:szCs w:val="22"/>
              </w:rPr>
              <w:t>Study Year</w:t>
            </w:r>
          </w:p>
        </w:tc>
        <w:tc>
          <w:tcPr>
            <w:tcW w:w="2369" w:type="dxa"/>
            <w:shd w:val="clear" w:color="auto" w:fill="auto"/>
          </w:tcPr>
          <w:p w14:paraId="661BE792" w14:textId="77777777" w:rsidR="00157788" w:rsidRPr="00A746CF" w:rsidRDefault="00157788" w:rsidP="00633708">
            <w:pPr>
              <w:pStyle w:val="Noindent"/>
              <w:spacing w:line="240" w:lineRule="auto"/>
              <w:jc w:val="left"/>
              <w:rPr>
                <w:sz w:val="22"/>
                <w:szCs w:val="22"/>
              </w:rPr>
            </w:pPr>
            <w:r w:rsidRPr="00A746CF">
              <w:rPr>
                <w:sz w:val="22"/>
                <w:szCs w:val="22"/>
              </w:rPr>
              <w:t>Cohort</w:t>
            </w:r>
          </w:p>
        </w:tc>
        <w:tc>
          <w:tcPr>
            <w:tcW w:w="1463" w:type="dxa"/>
            <w:shd w:val="clear" w:color="auto" w:fill="auto"/>
          </w:tcPr>
          <w:p w14:paraId="578FA7D3" w14:textId="77777777" w:rsidR="00157788" w:rsidRPr="00A746CF" w:rsidRDefault="00157788" w:rsidP="00633708">
            <w:pPr>
              <w:pStyle w:val="Noindent"/>
              <w:spacing w:line="240" w:lineRule="auto"/>
              <w:jc w:val="left"/>
              <w:rPr>
                <w:sz w:val="22"/>
                <w:szCs w:val="22"/>
              </w:rPr>
            </w:pPr>
            <w:r w:rsidRPr="00A746CF">
              <w:rPr>
                <w:sz w:val="22"/>
                <w:szCs w:val="22"/>
              </w:rPr>
              <w:t>Design</w:t>
            </w:r>
          </w:p>
        </w:tc>
        <w:tc>
          <w:tcPr>
            <w:tcW w:w="2512" w:type="dxa"/>
            <w:shd w:val="clear" w:color="auto" w:fill="auto"/>
          </w:tcPr>
          <w:p w14:paraId="3D26370C" w14:textId="77777777" w:rsidR="00157788" w:rsidRPr="00A746CF" w:rsidRDefault="00157788" w:rsidP="00633708">
            <w:pPr>
              <w:pStyle w:val="Noindent"/>
              <w:spacing w:line="240" w:lineRule="auto"/>
              <w:jc w:val="left"/>
              <w:rPr>
                <w:sz w:val="22"/>
                <w:szCs w:val="22"/>
              </w:rPr>
            </w:pPr>
            <w:r w:rsidRPr="00A746CF">
              <w:rPr>
                <w:sz w:val="22"/>
                <w:szCs w:val="22"/>
              </w:rPr>
              <w:t>Measure</w:t>
            </w:r>
          </w:p>
        </w:tc>
      </w:tr>
      <w:tr w:rsidR="00A746CF" w:rsidRPr="00A746CF" w14:paraId="5A8A4327" w14:textId="77777777" w:rsidTr="00633708">
        <w:trPr>
          <w:tblHeader/>
        </w:trPr>
        <w:tc>
          <w:tcPr>
            <w:tcW w:w="1177" w:type="dxa"/>
            <w:shd w:val="clear" w:color="auto" w:fill="auto"/>
          </w:tcPr>
          <w:p w14:paraId="5D43A0AA" w14:textId="234A2E18" w:rsidR="00D14202" w:rsidRPr="00A746CF" w:rsidRDefault="00D8096D" w:rsidP="00633708">
            <w:pPr>
              <w:pStyle w:val="Noindent"/>
              <w:spacing w:line="240" w:lineRule="auto"/>
              <w:jc w:val="left"/>
              <w:rPr>
                <w:sz w:val="22"/>
                <w:szCs w:val="22"/>
              </w:rPr>
            </w:pPr>
            <w:r w:rsidRPr="00A746CF">
              <w:rPr>
                <w:sz w:val="22"/>
                <w:szCs w:val="22"/>
              </w:rPr>
              <w:t>Cher and Lenert, 1997</w:t>
            </w:r>
          </w:p>
        </w:tc>
        <w:tc>
          <w:tcPr>
            <w:tcW w:w="1759" w:type="dxa"/>
            <w:shd w:val="clear" w:color="auto" w:fill="auto"/>
          </w:tcPr>
          <w:p w14:paraId="06778E80" w14:textId="502B606F" w:rsidR="00D14202" w:rsidRPr="00A746CF" w:rsidRDefault="00D8096D" w:rsidP="00633708">
            <w:pPr>
              <w:pStyle w:val="Noindent"/>
              <w:spacing w:line="240" w:lineRule="auto"/>
              <w:jc w:val="left"/>
              <w:rPr>
                <w:sz w:val="22"/>
                <w:szCs w:val="22"/>
              </w:rPr>
            </w:pPr>
            <w:r w:rsidRPr="00A746CF">
              <w:rPr>
                <w:sz w:val="22"/>
                <w:szCs w:val="22"/>
              </w:rPr>
              <w:t>1994</w:t>
            </w:r>
          </w:p>
        </w:tc>
        <w:tc>
          <w:tcPr>
            <w:tcW w:w="2369" w:type="dxa"/>
            <w:shd w:val="clear" w:color="auto" w:fill="auto"/>
          </w:tcPr>
          <w:p w14:paraId="33A277D4" w14:textId="3B8CD308" w:rsidR="00D14202" w:rsidRPr="00A746CF" w:rsidRDefault="00D8096D" w:rsidP="00633708">
            <w:pPr>
              <w:pStyle w:val="Noindent"/>
              <w:spacing w:line="240" w:lineRule="auto"/>
              <w:jc w:val="left"/>
              <w:rPr>
                <w:sz w:val="22"/>
                <w:szCs w:val="22"/>
              </w:rPr>
            </w:pPr>
            <w:r w:rsidRPr="00A746CF">
              <w:rPr>
                <w:sz w:val="22"/>
                <w:szCs w:val="22"/>
              </w:rPr>
              <w:t xml:space="preserve">81,494 Medicare patients hospitalized in ICUs in California </w:t>
            </w:r>
          </w:p>
        </w:tc>
        <w:tc>
          <w:tcPr>
            <w:tcW w:w="1463" w:type="dxa"/>
            <w:shd w:val="clear" w:color="auto" w:fill="auto"/>
          </w:tcPr>
          <w:p w14:paraId="7ADBC3BF" w14:textId="7D8E721F" w:rsidR="00D14202" w:rsidRPr="00A746CF" w:rsidRDefault="00A746CF" w:rsidP="00633708">
            <w:pPr>
              <w:pStyle w:val="Noindent"/>
              <w:spacing w:line="240" w:lineRule="auto"/>
              <w:jc w:val="left"/>
              <w:rPr>
                <w:sz w:val="22"/>
                <w:szCs w:val="22"/>
              </w:rPr>
            </w:pPr>
            <w:r w:rsidRPr="00A746CF">
              <w:rPr>
                <w:sz w:val="22"/>
                <w:szCs w:val="22"/>
              </w:rPr>
              <w:t>Retrospective cohort design</w:t>
            </w:r>
          </w:p>
        </w:tc>
        <w:tc>
          <w:tcPr>
            <w:tcW w:w="2512" w:type="dxa"/>
            <w:shd w:val="clear" w:color="auto" w:fill="auto"/>
          </w:tcPr>
          <w:p w14:paraId="5BF17E61" w14:textId="05CC964F" w:rsidR="00D14202" w:rsidRPr="00A746CF" w:rsidRDefault="00D8096D" w:rsidP="00633708">
            <w:pPr>
              <w:pStyle w:val="Noindent"/>
              <w:spacing w:line="240" w:lineRule="auto"/>
              <w:jc w:val="left"/>
              <w:rPr>
                <w:sz w:val="22"/>
                <w:szCs w:val="22"/>
              </w:rPr>
            </w:pPr>
            <w:r w:rsidRPr="00A746CF">
              <w:rPr>
                <w:sz w:val="22"/>
                <w:szCs w:val="22"/>
              </w:rPr>
              <w:t>Adjusted potentially ineffective care: in-hospital death or death within 100 days of hospital discharge and total hospital costs above the 90th percentile</w:t>
            </w:r>
          </w:p>
        </w:tc>
      </w:tr>
      <w:tr w:rsidR="00A746CF" w:rsidRPr="00A746CF" w14:paraId="2441F469" w14:textId="77777777" w:rsidTr="00633708">
        <w:tc>
          <w:tcPr>
            <w:tcW w:w="1177" w:type="dxa"/>
            <w:shd w:val="clear" w:color="auto" w:fill="auto"/>
          </w:tcPr>
          <w:p w14:paraId="5FC66644" w14:textId="77777777" w:rsidR="009022D7" w:rsidRPr="00A746CF" w:rsidRDefault="009022D7" w:rsidP="00633708">
            <w:pPr>
              <w:pStyle w:val="Noindent"/>
              <w:spacing w:line="240" w:lineRule="auto"/>
              <w:jc w:val="left"/>
              <w:rPr>
                <w:sz w:val="22"/>
                <w:szCs w:val="22"/>
              </w:rPr>
            </w:pPr>
            <w:r w:rsidRPr="00A746CF">
              <w:rPr>
                <w:sz w:val="22"/>
                <w:szCs w:val="22"/>
              </w:rPr>
              <w:t>Pritchard et al., 1998</w:t>
            </w:r>
          </w:p>
        </w:tc>
        <w:tc>
          <w:tcPr>
            <w:tcW w:w="1759" w:type="dxa"/>
            <w:shd w:val="clear" w:color="auto" w:fill="auto"/>
          </w:tcPr>
          <w:p w14:paraId="594E2222" w14:textId="77777777" w:rsidR="009022D7" w:rsidRPr="00A746CF" w:rsidRDefault="009022D7" w:rsidP="00633708">
            <w:pPr>
              <w:pStyle w:val="Noindent"/>
              <w:spacing w:line="240" w:lineRule="auto"/>
              <w:jc w:val="left"/>
              <w:rPr>
                <w:sz w:val="22"/>
                <w:szCs w:val="22"/>
              </w:rPr>
            </w:pPr>
            <w:r w:rsidRPr="00A746CF">
              <w:rPr>
                <w:sz w:val="22"/>
                <w:szCs w:val="22"/>
              </w:rPr>
              <w:t>1992-1993</w:t>
            </w:r>
          </w:p>
        </w:tc>
        <w:tc>
          <w:tcPr>
            <w:tcW w:w="2369" w:type="dxa"/>
            <w:shd w:val="clear" w:color="auto" w:fill="auto"/>
          </w:tcPr>
          <w:p w14:paraId="25804D9E" w14:textId="77777777" w:rsidR="009022D7" w:rsidRPr="00A746CF" w:rsidRDefault="009022D7" w:rsidP="00633708">
            <w:pPr>
              <w:pStyle w:val="Noindent"/>
              <w:spacing w:line="240" w:lineRule="auto"/>
              <w:jc w:val="left"/>
              <w:rPr>
                <w:sz w:val="22"/>
                <w:szCs w:val="22"/>
              </w:rPr>
            </w:pPr>
            <w:r w:rsidRPr="00A746CF">
              <w:rPr>
                <w:sz w:val="22"/>
                <w:szCs w:val="22"/>
              </w:rPr>
              <w:t>Patients dying post-hospitalization in the five-hospital, observational SUPPORT study and Medicare beneficiaries who died in 1992 or 1993</w:t>
            </w:r>
          </w:p>
        </w:tc>
        <w:tc>
          <w:tcPr>
            <w:tcW w:w="1463" w:type="dxa"/>
            <w:shd w:val="clear" w:color="auto" w:fill="auto"/>
          </w:tcPr>
          <w:p w14:paraId="462E6304" w14:textId="77777777" w:rsidR="009022D7" w:rsidRPr="00A746CF" w:rsidRDefault="009022D7" w:rsidP="00633708">
            <w:pPr>
              <w:pStyle w:val="Noindent"/>
              <w:spacing w:line="240" w:lineRule="auto"/>
              <w:jc w:val="left"/>
              <w:rPr>
                <w:sz w:val="22"/>
                <w:szCs w:val="22"/>
              </w:rPr>
            </w:pPr>
            <w:r w:rsidRPr="00A746CF">
              <w:rPr>
                <w:sz w:val="22"/>
                <w:szCs w:val="22"/>
              </w:rPr>
              <w:t>Ecologic study</w:t>
            </w:r>
          </w:p>
        </w:tc>
        <w:tc>
          <w:tcPr>
            <w:tcW w:w="2512" w:type="dxa"/>
            <w:shd w:val="clear" w:color="auto" w:fill="auto"/>
          </w:tcPr>
          <w:p w14:paraId="7C996844" w14:textId="77777777" w:rsidR="009022D7" w:rsidRPr="00A746CF" w:rsidRDefault="009022D7" w:rsidP="00633708">
            <w:pPr>
              <w:pStyle w:val="Noindent"/>
              <w:spacing w:line="240" w:lineRule="auto"/>
              <w:jc w:val="left"/>
              <w:rPr>
                <w:sz w:val="22"/>
                <w:szCs w:val="22"/>
              </w:rPr>
            </w:pPr>
            <w:r w:rsidRPr="00A746CF">
              <w:rPr>
                <w:sz w:val="22"/>
                <w:szCs w:val="22"/>
              </w:rPr>
              <w:t>Percent dying at home or in the hospital</w:t>
            </w:r>
          </w:p>
        </w:tc>
      </w:tr>
      <w:tr w:rsidR="00A746CF" w:rsidRPr="00A746CF" w14:paraId="46F2771A" w14:textId="77777777" w:rsidTr="00633708">
        <w:tc>
          <w:tcPr>
            <w:tcW w:w="1177" w:type="dxa"/>
            <w:shd w:val="clear" w:color="auto" w:fill="auto"/>
          </w:tcPr>
          <w:p w14:paraId="114A35CA" w14:textId="77777777" w:rsidR="009022D7" w:rsidRPr="00A746CF" w:rsidRDefault="009022D7" w:rsidP="00633708">
            <w:pPr>
              <w:pStyle w:val="Noindent"/>
              <w:spacing w:line="240" w:lineRule="auto"/>
              <w:jc w:val="left"/>
              <w:rPr>
                <w:sz w:val="22"/>
                <w:szCs w:val="22"/>
              </w:rPr>
            </w:pPr>
            <w:r w:rsidRPr="00A746CF">
              <w:rPr>
                <w:sz w:val="22"/>
                <w:szCs w:val="22"/>
              </w:rPr>
              <w:t>Fisher et al., 2003</w:t>
            </w:r>
          </w:p>
        </w:tc>
        <w:tc>
          <w:tcPr>
            <w:tcW w:w="1759" w:type="dxa"/>
            <w:shd w:val="clear" w:color="auto" w:fill="auto"/>
          </w:tcPr>
          <w:p w14:paraId="66FE5175" w14:textId="77777777" w:rsidR="009022D7" w:rsidRPr="00A746CF" w:rsidRDefault="009022D7" w:rsidP="00633708">
            <w:pPr>
              <w:pStyle w:val="Noindent"/>
              <w:spacing w:line="240" w:lineRule="auto"/>
              <w:jc w:val="left"/>
              <w:rPr>
                <w:sz w:val="22"/>
                <w:szCs w:val="22"/>
              </w:rPr>
            </w:pPr>
            <w:r w:rsidRPr="00A746CF">
              <w:rPr>
                <w:sz w:val="22"/>
                <w:szCs w:val="22"/>
              </w:rPr>
              <w:t>Mid-1994 to 1997 CMS claims data for expenditures. Then one-year and five-year sample follow-up data on content, accessibility, and quality of care</w:t>
            </w:r>
            <w:r w:rsidR="007E51D2" w:rsidRPr="00A746CF">
              <w:rPr>
                <w:sz w:val="22"/>
                <w:szCs w:val="22"/>
              </w:rPr>
              <w:t>.</w:t>
            </w:r>
          </w:p>
        </w:tc>
        <w:tc>
          <w:tcPr>
            <w:tcW w:w="2369" w:type="dxa"/>
            <w:shd w:val="clear" w:color="auto" w:fill="auto"/>
          </w:tcPr>
          <w:p w14:paraId="4587F5DB" w14:textId="77777777" w:rsidR="009022D7" w:rsidRPr="00A746CF" w:rsidRDefault="009022D7" w:rsidP="00633708">
            <w:pPr>
              <w:pStyle w:val="Noindent"/>
              <w:spacing w:line="240" w:lineRule="auto"/>
              <w:jc w:val="left"/>
              <w:rPr>
                <w:sz w:val="22"/>
                <w:szCs w:val="22"/>
              </w:rPr>
            </w:pPr>
            <w:r w:rsidRPr="00A746CF">
              <w:rPr>
                <w:sz w:val="22"/>
                <w:szCs w:val="22"/>
              </w:rPr>
              <w:t>In 306 hospital referral regions (HRRs), Medicare Parts A and B fee-for-service patients hospitalized for hip fracture, colorectal cancer, or acute myocardial infarction (1993-1995) and a representative sample from the 1992-1995 Medicare Beneficiary Survey</w:t>
            </w:r>
          </w:p>
        </w:tc>
        <w:tc>
          <w:tcPr>
            <w:tcW w:w="1463" w:type="dxa"/>
            <w:shd w:val="clear" w:color="auto" w:fill="auto"/>
          </w:tcPr>
          <w:p w14:paraId="0BEFB22C" w14:textId="77777777" w:rsidR="009022D7" w:rsidRPr="00A746CF" w:rsidRDefault="009022D7" w:rsidP="00633708">
            <w:pPr>
              <w:pStyle w:val="Noindent"/>
              <w:spacing w:line="240" w:lineRule="auto"/>
              <w:jc w:val="left"/>
              <w:rPr>
                <w:sz w:val="22"/>
                <w:szCs w:val="22"/>
              </w:rPr>
            </w:pPr>
            <w:r w:rsidRPr="00A746CF">
              <w:rPr>
                <w:sz w:val="22"/>
                <w:szCs w:val="22"/>
              </w:rPr>
              <w:t xml:space="preserve">Prospective cohort  </w:t>
            </w:r>
          </w:p>
          <w:p w14:paraId="0592ECC6" w14:textId="77777777" w:rsidR="009022D7" w:rsidRPr="00A746CF" w:rsidRDefault="009022D7" w:rsidP="00633708">
            <w:pPr>
              <w:pStyle w:val="Noindent"/>
              <w:spacing w:line="240" w:lineRule="auto"/>
              <w:jc w:val="left"/>
              <w:rPr>
                <w:sz w:val="22"/>
                <w:szCs w:val="22"/>
              </w:rPr>
            </w:pPr>
          </w:p>
          <w:p w14:paraId="7092108A" w14:textId="77777777" w:rsidR="009022D7" w:rsidRPr="00A746CF" w:rsidRDefault="009022D7" w:rsidP="00633708">
            <w:pPr>
              <w:pStyle w:val="Noindent"/>
              <w:spacing w:line="240" w:lineRule="auto"/>
              <w:jc w:val="left"/>
              <w:rPr>
                <w:sz w:val="22"/>
                <w:szCs w:val="22"/>
              </w:rPr>
            </w:pPr>
            <w:r w:rsidRPr="00A746CF">
              <w:rPr>
                <w:sz w:val="22"/>
                <w:szCs w:val="22"/>
              </w:rPr>
              <w:t>Ecologic study for correlation of aggregate measures</w:t>
            </w:r>
          </w:p>
          <w:p w14:paraId="2E916935" w14:textId="77777777" w:rsidR="009022D7" w:rsidRPr="00A746CF" w:rsidRDefault="009022D7" w:rsidP="00633708">
            <w:pPr>
              <w:pStyle w:val="Noindent"/>
              <w:spacing w:line="240" w:lineRule="auto"/>
              <w:jc w:val="left"/>
              <w:rPr>
                <w:sz w:val="22"/>
                <w:szCs w:val="22"/>
              </w:rPr>
            </w:pPr>
          </w:p>
        </w:tc>
        <w:tc>
          <w:tcPr>
            <w:tcW w:w="2512" w:type="dxa"/>
            <w:shd w:val="clear" w:color="auto" w:fill="auto"/>
          </w:tcPr>
          <w:p w14:paraId="1B7DDF76" w14:textId="77777777" w:rsidR="009022D7" w:rsidRPr="00A746CF" w:rsidRDefault="009022D7" w:rsidP="00633708">
            <w:pPr>
              <w:pStyle w:val="Noindent"/>
              <w:spacing w:line="240" w:lineRule="auto"/>
              <w:jc w:val="left"/>
              <w:rPr>
                <w:sz w:val="22"/>
                <w:szCs w:val="22"/>
              </w:rPr>
            </w:pPr>
            <w:r w:rsidRPr="00A746CF">
              <w:rPr>
                <w:sz w:val="22"/>
                <w:szCs w:val="22"/>
              </w:rPr>
              <w:t xml:space="preserve">Content, accessibility of care, and quality of care (e.g., preventive services and acute myocardial infarction process measures) with different levels of EOL expenditures </w:t>
            </w:r>
          </w:p>
        </w:tc>
      </w:tr>
      <w:tr w:rsidR="00A746CF" w:rsidRPr="00A746CF" w14:paraId="6E95D50F" w14:textId="77777777" w:rsidTr="00633708">
        <w:tc>
          <w:tcPr>
            <w:tcW w:w="1177" w:type="dxa"/>
            <w:shd w:val="clear" w:color="auto" w:fill="auto"/>
          </w:tcPr>
          <w:p w14:paraId="3DD7DBEB" w14:textId="5BA25667" w:rsidR="00CC452E" w:rsidRPr="00A746CF" w:rsidRDefault="00CC452E" w:rsidP="00633708">
            <w:pPr>
              <w:pStyle w:val="Noindent"/>
              <w:spacing w:line="240" w:lineRule="auto"/>
              <w:jc w:val="left"/>
              <w:rPr>
                <w:sz w:val="22"/>
                <w:szCs w:val="22"/>
              </w:rPr>
            </w:pPr>
            <w:r w:rsidRPr="00A746CF">
              <w:rPr>
                <w:sz w:val="22"/>
                <w:szCs w:val="22"/>
              </w:rPr>
              <w:t>Wennberg et al., 2004</w:t>
            </w:r>
          </w:p>
        </w:tc>
        <w:tc>
          <w:tcPr>
            <w:tcW w:w="1759" w:type="dxa"/>
            <w:shd w:val="clear" w:color="auto" w:fill="auto"/>
          </w:tcPr>
          <w:p w14:paraId="1D1C9E44" w14:textId="4B40CA64" w:rsidR="00CC452E" w:rsidRPr="00A746CF" w:rsidRDefault="00CC452E" w:rsidP="00633708">
            <w:pPr>
              <w:pStyle w:val="Noindent"/>
              <w:spacing w:line="240" w:lineRule="auto"/>
              <w:jc w:val="left"/>
              <w:rPr>
                <w:sz w:val="22"/>
                <w:szCs w:val="22"/>
              </w:rPr>
            </w:pPr>
            <w:r w:rsidRPr="00A746CF">
              <w:rPr>
                <w:sz w:val="22"/>
                <w:szCs w:val="22"/>
              </w:rPr>
              <w:t>199</w:t>
            </w:r>
            <w:r w:rsidR="002B7825">
              <w:rPr>
                <w:sz w:val="22"/>
                <w:szCs w:val="22"/>
              </w:rPr>
              <w:t>9</w:t>
            </w:r>
            <w:r w:rsidRPr="00A746CF">
              <w:rPr>
                <w:sz w:val="22"/>
                <w:szCs w:val="22"/>
              </w:rPr>
              <w:t>-2000</w:t>
            </w:r>
          </w:p>
        </w:tc>
        <w:tc>
          <w:tcPr>
            <w:tcW w:w="2369" w:type="dxa"/>
            <w:shd w:val="clear" w:color="auto" w:fill="auto"/>
          </w:tcPr>
          <w:p w14:paraId="6DF04CA6" w14:textId="1EEA0C59" w:rsidR="00CC452E" w:rsidRPr="00A746CF" w:rsidRDefault="00CC452E" w:rsidP="00633708">
            <w:pPr>
              <w:pStyle w:val="Noindent"/>
              <w:spacing w:line="240" w:lineRule="auto"/>
              <w:jc w:val="left"/>
              <w:rPr>
                <w:sz w:val="22"/>
                <w:szCs w:val="22"/>
              </w:rPr>
            </w:pPr>
            <w:r w:rsidRPr="00A746CF">
              <w:rPr>
                <w:sz w:val="22"/>
                <w:szCs w:val="22"/>
              </w:rPr>
              <w:t>115,089 Medicare fee-for-service decedents from 77 hospitals on the 2001 US News and World Report list of best hospitals</w:t>
            </w:r>
          </w:p>
        </w:tc>
        <w:tc>
          <w:tcPr>
            <w:tcW w:w="1463" w:type="dxa"/>
            <w:shd w:val="clear" w:color="auto" w:fill="auto"/>
          </w:tcPr>
          <w:p w14:paraId="36B9741E" w14:textId="13E86A9B" w:rsidR="00CC452E" w:rsidRPr="00A746CF" w:rsidRDefault="00CC452E" w:rsidP="00633708">
            <w:pPr>
              <w:pStyle w:val="Noindent"/>
              <w:spacing w:line="240" w:lineRule="auto"/>
              <w:jc w:val="left"/>
              <w:rPr>
                <w:sz w:val="22"/>
                <w:szCs w:val="22"/>
              </w:rPr>
            </w:pPr>
            <w:r w:rsidRPr="00A746CF">
              <w:rPr>
                <w:sz w:val="22"/>
                <w:szCs w:val="22"/>
              </w:rPr>
              <w:t>Retrospective case series of those who died</w:t>
            </w:r>
          </w:p>
        </w:tc>
        <w:tc>
          <w:tcPr>
            <w:tcW w:w="2512" w:type="dxa"/>
            <w:shd w:val="clear" w:color="auto" w:fill="auto"/>
          </w:tcPr>
          <w:p w14:paraId="03A86776" w14:textId="2708A43B" w:rsidR="00CC452E" w:rsidRPr="00A746CF" w:rsidRDefault="00CC452E" w:rsidP="00633708">
            <w:pPr>
              <w:pStyle w:val="Noindent"/>
              <w:spacing w:line="240" w:lineRule="auto"/>
              <w:jc w:val="left"/>
              <w:rPr>
                <w:sz w:val="22"/>
                <w:szCs w:val="22"/>
              </w:rPr>
            </w:pPr>
            <w:r w:rsidRPr="00A746CF">
              <w:rPr>
                <w:sz w:val="22"/>
                <w:szCs w:val="22"/>
              </w:rPr>
              <w:t xml:space="preserve">The last six months of life: number of days spent in hospital and in intensive care units; number of physician visits; percentage of patients seeing 10 or more physicians; </w:t>
            </w:r>
            <w:r w:rsidR="002B7825">
              <w:rPr>
                <w:sz w:val="22"/>
                <w:szCs w:val="22"/>
              </w:rPr>
              <w:t>and percentage enrolled in hospice</w:t>
            </w:r>
          </w:p>
        </w:tc>
      </w:tr>
      <w:tr w:rsidR="00A746CF" w:rsidRPr="00A746CF" w14:paraId="3DE80C9A" w14:textId="77777777" w:rsidTr="00633708">
        <w:tc>
          <w:tcPr>
            <w:tcW w:w="1177" w:type="dxa"/>
            <w:shd w:val="clear" w:color="auto" w:fill="auto"/>
          </w:tcPr>
          <w:p w14:paraId="5ECFF3FD" w14:textId="77777777" w:rsidR="00CC452E" w:rsidRPr="00A746CF" w:rsidRDefault="00CC452E" w:rsidP="00633708">
            <w:pPr>
              <w:pStyle w:val="Noindent"/>
              <w:spacing w:line="240" w:lineRule="auto"/>
              <w:jc w:val="left"/>
              <w:rPr>
                <w:sz w:val="22"/>
                <w:szCs w:val="22"/>
              </w:rPr>
            </w:pPr>
            <w:r w:rsidRPr="00A746CF">
              <w:rPr>
                <w:sz w:val="22"/>
                <w:szCs w:val="22"/>
              </w:rPr>
              <w:t>Teno et al., 2005</w:t>
            </w:r>
          </w:p>
        </w:tc>
        <w:tc>
          <w:tcPr>
            <w:tcW w:w="1759" w:type="dxa"/>
            <w:shd w:val="clear" w:color="auto" w:fill="auto"/>
          </w:tcPr>
          <w:p w14:paraId="6AD01F0D" w14:textId="4F7E53DE" w:rsidR="00CC452E" w:rsidRPr="00A746CF" w:rsidRDefault="00CC452E" w:rsidP="00633708">
            <w:pPr>
              <w:pStyle w:val="Noindent"/>
              <w:spacing w:line="240" w:lineRule="auto"/>
              <w:jc w:val="left"/>
              <w:rPr>
                <w:sz w:val="22"/>
                <w:szCs w:val="22"/>
              </w:rPr>
            </w:pPr>
            <w:r w:rsidRPr="00A746CF">
              <w:rPr>
                <w:sz w:val="22"/>
                <w:szCs w:val="22"/>
              </w:rPr>
              <w:t>1998 Mortality date; survey date unknown</w:t>
            </w:r>
          </w:p>
        </w:tc>
        <w:tc>
          <w:tcPr>
            <w:tcW w:w="2369" w:type="dxa"/>
            <w:shd w:val="clear" w:color="auto" w:fill="auto"/>
          </w:tcPr>
          <w:p w14:paraId="4D443660"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Decedents in high- (n=365) and low-intensity</w:t>
            </w:r>
          </w:p>
          <w:p w14:paraId="4CE6D611" w14:textId="77777777" w:rsidR="00CC452E" w:rsidRPr="00A746CF" w:rsidRDefault="00CC452E" w:rsidP="00633708">
            <w:pPr>
              <w:pStyle w:val="Noindent"/>
              <w:spacing w:line="240" w:lineRule="auto"/>
              <w:jc w:val="left"/>
              <w:rPr>
                <w:sz w:val="22"/>
                <w:szCs w:val="22"/>
              </w:rPr>
            </w:pPr>
            <w:r w:rsidRPr="00A746CF">
              <w:rPr>
                <w:sz w:val="22"/>
                <w:szCs w:val="22"/>
              </w:rPr>
              <w:t>(n=413) hospital service areas</w:t>
            </w:r>
          </w:p>
        </w:tc>
        <w:tc>
          <w:tcPr>
            <w:tcW w:w="1463" w:type="dxa"/>
            <w:shd w:val="clear" w:color="auto" w:fill="auto"/>
          </w:tcPr>
          <w:p w14:paraId="4EAF382C"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Survey of family members of decedents</w:t>
            </w:r>
          </w:p>
        </w:tc>
        <w:tc>
          <w:tcPr>
            <w:tcW w:w="2512" w:type="dxa"/>
            <w:shd w:val="clear" w:color="auto" w:fill="auto"/>
          </w:tcPr>
          <w:p w14:paraId="330ABC56"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Survey-derived information about unmet needs, concerns, and rating of quality EOL care in five domains</w:t>
            </w:r>
          </w:p>
        </w:tc>
      </w:tr>
    </w:tbl>
    <w:p w14:paraId="392C91BA" w14:textId="56D0D84D" w:rsidR="00334F18" w:rsidRDefault="00334F18"/>
    <w:p w14:paraId="114AF512" w14:textId="7572A607" w:rsidR="00334F18" w:rsidRDefault="00334F18" w:rsidP="00190F06">
      <w:pPr>
        <w:ind w:firstLine="0"/>
      </w:pPr>
    </w:p>
    <w:p w14:paraId="2CF33492" w14:textId="798D537A" w:rsidR="00334F18" w:rsidRDefault="002B7825" w:rsidP="00334F18">
      <w:pPr>
        <w:pStyle w:val="Caption"/>
        <w:keepNext/>
        <w:ind w:firstLine="0"/>
        <w:jc w:val="center"/>
      </w:pPr>
      <w:r>
        <w:lastRenderedPageBreak/>
        <w:t>Table 1 Continued</w:t>
      </w:r>
    </w:p>
    <w:tbl>
      <w:tblPr>
        <w:tblpPr w:leftFromText="180" w:rightFromText="180" w:vertAnchor="text" w:tblpX="108" w:tblpY="1"/>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acteristics of Included Studies"/>
      </w:tblPr>
      <w:tblGrid>
        <w:gridCol w:w="1177"/>
        <w:gridCol w:w="1759"/>
        <w:gridCol w:w="2302"/>
        <w:gridCol w:w="1554"/>
        <w:gridCol w:w="2512"/>
      </w:tblGrid>
      <w:tr w:rsidR="00334F18" w:rsidRPr="00A746CF" w14:paraId="38272684" w14:textId="77777777" w:rsidTr="00633708">
        <w:tc>
          <w:tcPr>
            <w:tcW w:w="1177" w:type="dxa"/>
            <w:shd w:val="clear" w:color="auto" w:fill="auto"/>
          </w:tcPr>
          <w:p w14:paraId="0A38563A" w14:textId="218A0C93" w:rsidR="00334F18" w:rsidRPr="00A746CF" w:rsidRDefault="00334F18" w:rsidP="00633708">
            <w:pPr>
              <w:pStyle w:val="Noindent"/>
              <w:spacing w:line="240" w:lineRule="auto"/>
              <w:jc w:val="left"/>
              <w:rPr>
                <w:sz w:val="22"/>
                <w:szCs w:val="22"/>
              </w:rPr>
            </w:pPr>
            <w:r w:rsidRPr="00A746CF">
              <w:rPr>
                <w:sz w:val="22"/>
                <w:szCs w:val="22"/>
              </w:rPr>
              <w:t>Author</w:t>
            </w:r>
          </w:p>
        </w:tc>
        <w:tc>
          <w:tcPr>
            <w:tcW w:w="1759" w:type="dxa"/>
            <w:shd w:val="clear" w:color="auto" w:fill="auto"/>
          </w:tcPr>
          <w:p w14:paraId="2E50A03A" w14:textId="48111ED2" w:rsidR="00334F18" w:rsidRPr="00A746CF" w:rsidRDefault="00334F18" w:rsidP="00633708">
            <w:pPr>
              <w:pStyle w:val="Noindent"/>
              <w:spacing w:line="240" w:lineRule="auto"/>
              <w:jc w:val="left"/>
              <w:rPr>
                <w:sz w:val="22"/>
                <w:szCs w:val="22"/>
              </w:rPr>
            </w:pPr>
            <w:r w:rsidRPr="00A746CF">
              <w:rPr>
                <w:sz w:val="22"/>
                <w:szCs w:val="22"/>
              </w:rPr>
              <w:t>Study Year</w:t>
            </w:r>
          </w:p>
        </w:tc>
        <w:tc>
          <w:tcPr>
            <w:tcW w:w="2302" w:type="dxa"/>
            <w:shd w:val="clear" w:color="auto" w:fill="auto"/>
          </w:tcPr>
          <w:p w14:paraId="661F8A8A" w14:textId="53D839B3" w:rsidR="00334F18" w:rsidRPr="00A746CF" w:rsidRDefault="00334F18" w:rsidP="00633708">
            <w:pPr>
              <w:pStyle w:val="Noindent"/>
              <w:spacing w:line="240" w:lineRule="auto"/>
              <w:jc w:val="left"/>
              <w:rPr>
                <w:sz w:val="22"/>
                <w:szCs w:val="22"/>
              </w:rPr>
            </w:pPr>
            <w:r w:rsidRPr="00A746CF">
              <w:rPr>
                <w:sz w:val="22"/>
                <w:szCs w:val="22"/>
              </w:rPr>
              <w:t>Cohort</w:t>
            </w:r>
          </w:p>
        </w:tc>
        <w:tc>
          <w:tcPr>
            <w:tcW w:w="1554" w:type="dxa"/>
            <w:shd w:val="clear" w:color="auto" w:fill="auto"/>
          </w:tcPr>
          <w:p w14:paraId="5FE4120C" w14:textId="292A78F2" w:rsidR="00334F18" w:rsidRPr="00A746CF" w:rsidRDefault="00334F18" w:rsidP="00633708">
            <w:pPr>
              <w:pStyle w:val="Noindent"/>
              <w:spacing w:line="240" w:lineRule="auto"/>
              <w:jc w:val="left"/>
              <w:rPr>
                <w:sz w:val="22"/>
                <w:szCs w:val="22"/>
              </w:rPr>
            </w:pPr>
            <w:r w:rsidRPr="00A746CF">
              <w:rPr>
                <w:sz w:val="22"/>
                <w:szCs w:val="22"/>
              </w:rPr>
              <w:t>Design</w:t>
            </w:r>
          </w:p>
        </w:tc>
        <w:tc>
          <w:tcPr>
            <w:tcW w:w="2512" w:type="dxa"/>
            <w:shd w:val="clear" w:color="auto" w:fill="auto"/>
          </w:tcPr>
          <w:p w14:paraId="4B95428E" w14:textId="5D6EAB7D" w:rsidR="00334F18" w:rsidRPr="00A746CF" w:rsidRDefault="00334F18" w:rsidP="00633708">
            <w:pPr>
              <w:pStyle w:val="Noindent"/>
              <w:spacing w:line="240" w:lineRule="auto"/>
              <w:jc w:val="left"/>
              <w:rPr>
                <w:sz w:val="22"/>
                <w:szCs w:val="22"/>
              </w:rPr>
            </w:pPr>
            <w:r w:rsidRPr="00A746CF">
              <w:rPr>
                <w:sz w:val="22"/>
                <w:szCs w:val="22"/>
              </w:rPr>
              <w:t>Measure</w:t>
            </w:r>
          </w:p>
        </w:tc>
      </w:tr>
      <w:tr w:rsidR="00334F18" w:rsidRPr="00A746CF" w14:paraId="39FDD660" w14:textId="77777777" w:rsidTr="00633708">
        <w:tc>
          <w:tcPr>
            <w:tcW w:w="1177" w:type="dxa"/>
            <w:shd w:val="clear" w:color="auto" w:fill="auto"/>
          </w:tcPr>
          <w:p w14:paraId="02598EE8" w14:textId="01C9F50C" w:rsidR="00334F18" w:rsidRPr="00A746CF" w:rsidRDefault="00334F18" w:rsidP="00633708">
            <w:pPr>
              <w:pStyle w:val="Noindent"/>
              <w:spacing w:line="240" w:lineRule="auto"/>
              <w:jc w:val="left"/>
              <w:rPr>
                <w:sz w:val="22"/>
                <w:szCs w:val="22"/>
              </w:rPr>
            </w:pPr>
            <w:r w:rsidRPr="00A746CF">
              <w:rPr>
                <w:sz w:val="22"/>
                <w:szCs w:val="22"/>
              </w:rPr>
              <w:t>Barnato et al., 2007a</w:t>
            </w:r>
          </w:p>
        </w:tc>
        <w:tc>
          <w:tcPr>
            <w:tcW w:w="1759" w:type="dxa"/>
            <w:shd w:val="clear" w:color="auto" w:fill="auto"/>
          </w:tcPr>
          <w:p w14:paraId="40CC0F68" w14:textId="3BCA88EE" w:rsidR="00334F18" w:rsidRPr="00A746CF" w:rsidRDefault="00334F18" w:rsidP="00633708">
            <w:pPr>
              <w:pStyle w:val="Noindent"/>
              <w:spacing w:line="240" w:lineRule="auto"/>
              <w:jc w:val="left"/>
              <w:rPr>
                <w:sz w:val="22"/>
                <w:szCs w:val="22"/>
              </w:rPr>
            </w:pPr>
            <w:r w:rsidRPr="00A746CF">
              <w:rPr>
                <w:sz w:val="22"/>
                <w:szCs w:val="22"/>
              </w:rPr>
              <w:t>March to October 2005 Survey and 2000-2003 CMS Dartmouth Atlas</w:t>
            </w:r>
          </w:p>
        </w:tc>
        <w:tc>
          <w:tcPr>
            <w:tcW w:w="2302" w:type="dxa"/>
            <w:shd w:val="clear" w:color="auto" w:fill="auto"/>
          </w:tcPr>
          <w:p w14:paraId="6F77DA4E" w14:textId="63F3D573" w:rsidR="00334F18" w:rsidRPr="00A746CF" w:rsidRDefault="00334F18" w:rsidP="00633708">
            <w:pPr>
              <w:pStyle w:val="Noindent"/>
              <w:spacing w:line="240" w:lineRule="auto"/>
              <w:jc w:val="left"/>
              <w:rPr>
                <w:sz w:val="22"/>
                <w:szCs w:val="22"/>
              </w:rPr>
            </w:pPr>
            <w:r w:rsidRPr="00A746CF">
              <w:rPr>
                <w:sz w:val="22"/>
                <w:szCs w:val="22"/>
              </w:rPr>
              <w:t>2,515 survey responders</w:t>
            </w:r>
          </w:p>
        </w:tc>
        <w:tc>
          <w:tcPr>
            <w:tcW w:w="1554" w:type="dxa"/>
            <w:shd w:val="clear" w:color="auto" w:fill="auto"/>
          </w:tcPr>
          <w:p w14:paraId="15D3E1CD" w14:textId="2A656B77" w:rsidR="00766CE2" w:rsidRPr="00766CE2" w:rsidRDefault="00766CE2" w:rsidP="00633708">
            <w:pPr>
              <w:pStyle w:val="Noindent"/>
              <w:spacing w:line="240" w:lineRule="auto"/>
              <w:jc w:val="left"/>
              <w:rPr>
                <w:sz w:val="22"/>
                <w:szCs w:val="22"/>
              </w:rPr>
            </w:pPr>
            <w:r>
              <w:rPr>
                <w:sz w:val="22"/>
                <w:szCs w:val="22"/>
              </w:rPr>
              <w:t xml:space="preserve">Cross-sectional survey </w:t>
            </w:r>
            <w:r>
              <w:rPr>
                <w:sz w:val="22"/>
                <w:szCs w:val="22"/>
              </w:rPr>
              <w:br/>
            </w:r>
          </w:p>
          <w:p w14:paraId="63FEC4CA" w14:textId="0A896FB3" w:rsidR="00334F18" w:rsidRDefault="00334F18" w:rsidP="00633708">
            <w:pPr>
              <w:pStyle w:val="Noindent"/>
              <w:spacing w:line="240" w:lineRule="auto"/>
              <w:jc w:val="left"/>
              <w:rPr>
                <w:sz w:val="22"/>
                <w:szCs w:val="22"/>
              </w:rPr>
            </w:pPr>
            <w:r w:rsidRPr="00A746CF">
              <w:rPr>
                <w:sz w:val="22"/>
                <w:szCs w:val="22"/>
              </w:rPr>
              <w:t>Ecological study</w:t>
            </w:r>
          </w:p>
        </w:tc>
        <w:tc>
          <w:tcPr>
            <w:tcW w:w="2512" w:type="dxa"/>
            <w:shd w:val="clear" w:color="auto" w:fill="auto"/>
          </w:tcPr>
          <w:p w14:paraId="3FD06D4C" w14:textId="558ECB44" w:rsidR="00334F18" w:rsidRPr="00A746CF" w:rsidRDefault="00334F18" w:rsidP="00633708">
            <w:pPr>
              <w:pStyle w:val="Noindent"/>
              <w:spacing w:line="240" w:lineRule="auto"/>
              <w:jc w:val="left"/>
              <w:rPr>
                <w:sz w:val="22"/>
                <w:szCs w:val="22"/>
              </w:rPr>
            </w:pPr>
            <w:r w:rsidRPr="00A746CF">
              <w:rPr>
                <w:sz w:val="22"/>
                <w:szCs w:val="22"/>
              </w:rPr>
              <w:t>EOL Expenditure Index (Medicare spending in last six months of life)</w:t>
            </w:r>
          </w:p>
        </w:tc>
      </w:tr>
      <w:tr w:rsidR="00A746CF" w:rsidRPr="00A746CF" w14:paraId="318D5CC0" w14:textId="77777777" w:rsidTr="00633708">
        <w:tc>
          <w:tcPr>
            <w:tcW w:w="1177" w:type="dxa"/>
            <w:shd w:val="clear" w:color="auto" w:fill="auto"/>
          </w:tcPr>
          <w:p w14:paraId="50FD6321" w14:textId="77777777" w:rsidR="00CC452E" w:rsidRPr="00A746CF" w:rsidRDefault="00CC452E" w:rsidP="00633708">
            <w:pPr>
              <w:pStyle w:val="Noindent"/>
              <w:spacing w:line="240" w:lineRule="auto"/>
              <w:jc w:val="left"/>
              <w:rPr>
                <w:sz w:val="22"/>
                <w:szCs w:val="22"/>
              </w:rPr>
            </w:pPr>
            <w:r w:rsidRPr="00A746CF">
              <w:rPr>
                <w:sz w:val="22"/>
                <w:szCs w:val="22"/>
              </w:rPr>
              <w:t xml:space="preserve">Barnato et al., 2007b </w:t>
            </w:r>
          </w:p>
        </w:tc>
        <w:tc>
          <w:tcPr>
            <w:tcW w:w="1759" w:type="dxa"/>
            <w:shd w:val="clear" w:color="auto" w:fill="auto"/>
          </w:tcPr>
          <w:p w14:paraId="23D0C647" w14:textId="77777777" w:rsidR="00CC452E" w:rsidRPr="00A746CF" w:rsidRDefault="00CC452E" w:rsidP="00633708">
            <w:pPr>
              <w:pStyle w:val="Noindent"/>
              <w:spacing w:line="240" w:lineRule="auto"/>
              <w:jc w:val="left"/>
              <w:rPr>
                <w:sz w:val="22"/>
                <w:szCs w:val="22"/>
              </w:rPr>
            </w:pPr>
            <w:r w:rsidRPr="00A746CF">
              <w:rPr>
                <w:sz w:val="22"/>
                <w:szCs w:val="22"/>
              </w:rPr>
              <w:t>1989-1999</w:t>
            </w:r>
          </w:p>
        </w:tc>
        <w:tc>
          <w:tcPr>
            <w:tcW w:w="2302" w:type="dxa"/>
            <w:shd w:val="clear" w:color="auto" w:fill="auto"/>
          </w:tcPr>
          <w:p w14:paraId="1B534ABE" w14:textId="77777777" w:rsidR="00CC452E" w:rsidRPr="00A746CF" w:rsidRDefault="00CC452E" w:rsidP="00633708">
            <w:pPr>
              <w:pStyle w:val="Noindent"/>
              <w:spacing w:line="240" w:lineRule="auto"/>
              <w:jc w:val="left"/>
              <w:rPr>
                <w:sz w:val="22"/>
                <w:szCs w:val="22"/>
              </w:rPr>
            </w:pPr>
            <w:r w:rsidRPr="00A746CF">
              <w:rPr>
                <w:sz w:val="22"/>
                <w:szCs w:val="22"/>
              </w:rPr>
              <w:t>Medicare fee-for-service decedents (n=976,220) and survivors (n=845,306) aged 65 or more years old with at least one hospital admission</w:t>
            </w:r>
          </w:p>
        </w:tc>
        <w:tc>
          <w:tcPr>
            <w:tcW w:w="1554" w:type="dxa"/>
            <w:shd w:val="clear" w:color="auto" w:fill="auto"/>
          </w:tcPr>
          <w:p w14:paraId="6567104C" w14:textId="77777777" w:rsidR="00CC452E" w:rsidRPr="00A746CF" w:rsidRDefault="00CC452E" w:rsidP="00633708">
            <w:pPr>
              <w:pStyle w:val="Noindent"/>
              <w:spacing w:line="240" w:lineRule="auto"/>
              <w:jc w:val="left"/>
              <w:rPr>
                <w:sz w:val="22"/>
                <w:szCs w:val="22"/>
              </w:rPr>
            </w:pPr>
            <w:r w:rsidRPr="00A746CF">
              <w:rPr>
                <w:sz w:val="22"/>
                <w:szCs w:val="22"/>
              </w:rPr>
              <w:t xml:space="preserve">Retrospective case series of survivors and decedents  </w:t>
            </w:r>
          </w:p>
        </w:tc>
        <w:tc>
          <w:tcPr>
            <w:tcW w:w="2512" w:type="dxa"/>
            <w:shd w:val="clear" w:color="auto" w:fill="auto"/>
          </w:tcPr>
          <w:p w14:paraId="3DE91312" w14:textId="77777777" w:rsidR="00CC452E" w:rsidRPr="00A746CF" w:rsidRDefault="00CC452E" w:rsidP="00633708">
            <w:pPr>
              <w:pStyle w:val="Noindent"/>
              <w:spacing w:line="240" w:lineRule="auto"/>
              <w:jc w:val="left"/>
              <w:rPr>
                <w:sz w:val="22"/>
                <w:szCs w:val="22"/>
              </w:rPr>
            </w:pPr>
            <w:r w:rsidRPr="00A746CF">
              <w:rPr>
                <w:sz w:val="22"/>
                <w:szCs w:val="22"/>
              </w:rPr>
              <w:t>Receipt of ICU admission and  intensive procedure over 12 months</w:t>
            </w:r>
          </w:p>
        </w:tc>
      </w:tr>
      <w:tr w:rsidR="00A746CF" w:rsidRPr="00A746CF" w14:paraId="6ABE848C" w14:textId="77777777" w:rsidTr="00633708">
        <w:tc>
          <w:tcPr>
            <w:tcW w:w="1177" w:type="dxa"/>
            <w:shd w:val="clear" w:color="auto" w:fill="auto"/>
          </w:tcPr>
          <w:p w14:paraId="172C08F8" w14:textId="77777777" w:rsidR="00CC452E" w:rsidRPr="00A746CF" w:rsidRDefault="00CC452E" w:rsidP="00633708">
            <w:pPr>
              <w:pStyle w:val="Noindent"/>
              <w:spacing w:line="240" w:lineRule="auto"/>
              <w:jc w:val="left"/>
              <w:rPr>
                <w:sz w:val="22"/>
                <w:szCs w:val="22"/>
              </w:rPr>
            </w:pPr>
            <w:r w:rsidRPr="00A746CF">
              <w:rPr>
                <w:sz w:val="22"/>
                <w:szCs w:val="22"/>
              </w:rPr>
              <w:t>Barnato et al., 2007c</w:t>
            </w:r>
          </w:p>
        </w:tc>
        <w:tc>
          <w:tcPr>
            <w:tcW w:w="1759" w:type="dxa"/>
            <w:shd w:val="clear" w:color="auto" w:fill="auto"/>
          </w:tcPr>
          <w:p w14:paraId="0F60D60F" w14:textId="77777777" w:rsidR="00CC452E" w:rsidRPr="00A746CF" w:rsidRDefault="00CC452E" w:rsidP="00633708">
            <w:pPr>
              <w:pStyle w:val="Noindent"/>
              <w:spacing w:line="240" w:lineRule="auto"/>
              <w:jc w:val="left"/>
              <w:rPr>
                <w:sz w:val="22"/>
                <w:szCs w:val="22"/>
              </w:rPr>
            </w:pPr>
            <w:r w:rsidRPr="00A746CF">
              <w:rPr>
                <w:sz w:val="22"/>
                <w:szCs w:val="22"/>
              </w:rPr>
              <w:t>2004 Survey</w:t>
            </w:r>
            <w:r w:rsidRPr="00A746CF">
              <w:rPr>
                <w:sz w:val="22"/>
                <w:szCs w:val="22"/>
              </w:rPr>
              <w:br/>
            </w:r>
          </w:p>
          <w:p w14:paraId="1100A743" w14:textId="77777777" w:rsidR="00CC452E" w:rsidRPr="00A746CF" w:rsidRDefault="00CC452E" w:rsidP="00633708">
            <w:pPr>
              <w:pStyle w:val="Noindent"/>
              <w:spacing w:line="240" w:lineRule="auto"/>
              <w:jc w:val="left"/>
              <w:rPr>
                <w:sz w:val="22"/>
                <w:szCs w:val="22"/>
              </w:rPr>
            </w:pPr>
            <w:r w:rsidRPr="00A746CF">
              <w:rPr>
                <w:sz w:val="22"/>
                <w:szCs w:val="22"/>
              </w:rPr>
              <w:t>2000 and 2004 EOL Intensity Rates</w:t>
            </w:r>
          </w:p>
        </w:tc>
        <w:tc>
          <w:tcPr>
            <w:tcW w:w="2302" w:type="dxa"/>
            <w:shd w:val="clear" w:color="auto" w:fill="auto"/>
          </w:tcPr>
          <w:p w14:paraId="611D7673"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139 administrative and clinical staff from 11 Pennsylvania hospitals</w:t>
            </w:r>
          </w:p>
        </w:tc>
        <w:tc>
          <w:tcPr>
            <w:tcW w:w="1554" w:type="dxa"/>
            <w:shd w:val="clear" w:color="auto" w:fill="auto"/>
          </w:tcPr>
          <w:p w14:paraId="4256140F"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 xml:space="preserve">Survey of staff </w:t>
            </w:r>
          </w:p>
          <w:p w14:paraId="7B4C6E12" w14:textId="77777777" w:rsidR="00CC452E" w:rsidRPr="00A746CF" w:rsidRDefault="00CC452E" w:rsidP="00633708">
            <w:pPr>
              <w:autoSpaceDE w:val="0"/>
              <w:autoSpaceDN w:val="0"/>
              <w:adjustRightInd w:val="0"/>
              <w:spacing w:line="240" w:lineRule="auto"/>
              <w:ind w:firstLine="0"/>
              <w:jc w:val="left"/>
              <w:rPr>
                <w:sz w:val="22"/>
                <w:szCs w:val="22"/>
              </w:rPr>
            </w:pPr>
          </w:p>
          <w:p w14:paraId="3E279496"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Ecologic study for correlation of hospital-level measures</w:t>
            </w:r>
          </w:p>
        </w:tc>
        <w:tc>
          <w:tcPr>
            <w:tcW w:w="2512" w:type="dxa"/>
            <w:shd w:val="clear" w:color="auto" w:fill="auto"/>
          </w:tcPr>
          <w:p w14:paraId="0F7C15A3"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Survey-derived</w:t>
            </w:r>
          </w:p>
          <w:p w14:paraId="2656CB35" w14:textId="77777777" w:rsidR="00CC452E" w:rsidRPr="00A746CF" w:rsidRDefault="00CC452E" w:rsidP="00633708">
            <w:pPr>
              <w:autoSpaceDE w:val="0"/>
              <w:autoSpaceDN w:val="0"/>
              <w:adjustRightInd w:val="0"/>
              <w:spacing w:line="240" w:lineRule="auto"/>
              <w:ind w:firstLine="0"/>
              <w:jc w:val="left"/>
              <w:rPr>
                <w:sz w:val="22"/>
                <w:szCs w:val="22"/>
              </w:rPr>
            </w:pPr>
            <w:r w:rsidRPr="00A746CF">
              <w:rPr>
                <w:sz w:val="22"/>
                <w:szCs w:val="22"/>
              </w:rPr>
              <w:t>perceptions of hospital's norms of EOL decision making and treatment</w:t>
            </w:r>
          </w:p>
        </w:tc>
      </w:tr>
      <w:tr w:rsidR="00A746CF" w:rsidRPr="00A746CF" w14:paraId="22E112D9" w14:textId="77777777" w:rsidTr="00633708">
        <w:tc>
          <w:tcPr>
            <w:tcW w:w="1177" w:type="dxa"/>
            <w:shd w:val="clear" w:color="auto" w:fill="auto"/>
          </w:tcPr>
          <w:p w14:paraId="29EFD5F6" w14:textId="77777777" w:rsidR="00340ED8" w:rsidRPr="00A746CF" w:rsidRDefault="00340ED8" w:rsidP="00633708">
            <w:pPr>
              <w:pStyle w:val="Noindent"/>
              <w:spacing w:line="240" w:lineRule="auto"/>
              <w:jc w:val="left"/>
              <w:rPr>
                <w:sz w:val="22"/>
                <w:szCs w:val="22"/>
              </w:rPr>
            </w:pPr>
            <w:r w:rsidRPr="00A746CF">
              <w:rPr>
                <w:sz w:val="22"/>
                <w:szCs w:val="22"/>
              </w:rPr>
              <w:t>Lin et al., 2009</w:t>
            </w:r>
          </w:p>
        </w:tc>
        <w:tc>
          <w:tcPr>
            <w:tcW w:w="1759" w:type="dxa"/>
            <w:shd w:val="clear" w:color="auto" w:fill="auto"/>
          </w:tcPr>
          <w:p w14:paraId="70F015CE" w14:textId="77777777" w:rsidR="00340ED8" w:rsidRPr="00A746CF" w:rsidRDefault="00340ED8" w:rsidP="00633708">
            <w:pPr>
              <w:pStyle w:val="Noindent"/>
              <w:spacing w:line="240" w:lineRule="auto"/>
              <w:jc w:val="left"/>
              <w:rPr>
                <w:sz w:val="22"/>
                <w:szCs w:val="22"/>
              </w:rPr>
            </w:pPr>
            <w:r w:rsidRPr="00A746CF">
              <w:rPr>
                <w:sz w:val="22"/>
                <w:szCs w:val="22"/>
              </w:rPr>
              <w:t>April 2001-March 2005 PHC4 and June 2005-May 2006 survey</w:t>
            </w:r>
          </w:p>
        </w:tc>
        <w:tc>
          <w:tcPr>
            <w:tcW w:w="2302" w:type="dxa"/>
            <w:shd w:val="clear" w:color="auto" w:fill="auto"/>
          </w:tcPr>
          <w:p w14:paraId="45817F10" w14:textId="77777777" w:rsidR="00340ED8" w:rsidRPr="00A746CF" w:rsidRDefault="00340ED8" w:rsidP="00633708">
            <w:pPr>
              <w:pStyle w:val="Noindent"/>
              <w:spacing w:line="240" w:lineRule="auto"/>
              <w:jc w:val="left"/>
              <w:rPr>
                <w:sz w:val="22"/>
                <w:szCs w:val="22"/>
              </w:rPr>
            </w:pPr>
            <w:r w:rsidRPr="00A746CF">
              <w:rPr>
                <w:sz w:val="22"/>
                <w:szCs w:val="22"/>
              </w:rPr>
              <w:t>124 hospitals in Pennsylvania completed the survey</w:t>
            </w:r>
          </w:p>
        </w:tc>
        <w:tc>
          <w:tcPr>
            <w:tcW w:w="1554" w:type="dxa"/>
            <w:shd w:val="clear" w:color="auto" w:fill="auto"/>
          </w:tcPr>
          <w:p w14:paraId="13F47324"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Survey of chief nursing officers</w:t>
            </w:r>
            <w:r w:rsidRPr="00A746CF">
              <w:rPr>
                <w:sz w:val="22"/>
                <w:szCs w:val="22"/>
              </w:rPr>
              <w:br/>
            </w:r>
          </w:p>
          <w:p w14:paraId="23F1D5E4"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Retrospective cohort of patients with high probability of dying</w:t>
            </w:r>
          </w:p>
          <w:p w14:paraId="0FA74CF2"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br/>
              <w:t>Ecologic study for correlation of hospital-level measures</w:t>
            </w:r>
          </w:p>
        </w:tc>
        <w:tc>
          <w:tcPr>
            <w:tcW w:w="2512" w:type="dxa"/>
            <w:shd w:val="clear" w:color="auto" w:fill="auto"/>
          </w:tcPr>
          <w:p w14:paraId="203F8D79"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 xml:space="preserve">Hospital-level observed-to-expected ratios of ICU admission, ICU length of stay, and life-sustaining treatment use among admissions with a high probability of dying </w:t>
            </w:r>
          </w:p>
          <w:p w14:paraId="41231F38" w14:textId="77777777" w:rsidR="00340ED8" w:rsidRPr="00A746CF" w:rsidRDefault="00340ED8" w:rsidP="00633708">
            <w:pPr>
              <w:autoSpaceDE w:val="0"/>
              <w:autoSpaceDN w:val="0"/>
              <w:adjustRightInd w:val="0"/>
              <w:spacing w:line="240" w:lineRule="auto"/>
              <w:ind w:firstLine="0"/>
              <w:jc w:val="left"/>
              <w:rPr>
                <w:sz w:val="22"/>
                <w:szCs w:val="22"/>
              </w:rPr>
            </w:pPr>
          </w:p>
          <w:p w14:paraId="7B716D06"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Survey information about hospital and ICU programs, policies, or practices</w:t>
            </w:r>
          </w:p>
          <w:p w14:paraId="49707C89" w14:textId="77777777" w:rsidR="00340ED8" w:rsidRPr="00A746CF" w:rsidRDefault="00340ED8" w:rsidP="00633708">
            <w:pPr>
              <w:spacing w:line="240" w:lineRule="auto"/>
              <w:rPr>
                <w:sz w:val="22"/>
                <w:szCs w:val="22"/>
              </w:rPr>
            </w:pPr>
          </w:p>
          <w:p w14:paraId="7B666942" w14:textId="77777777" w:rsidR="00340ED8" w:rsidRPr="00A746CF" w:rsidRDefault="00340ED8" w:rsidP="00633708">
            <w:pPr>
              <w:spacing w:line="240" w:lineRule="auto"/>
              <w:rPr>
                <w:sz w:val="22"/>
                <w:szCs w:val="22"/>
              </w:rPr>
            </w:pPr>
          </w:p>
        </w:tc>
      </w:tr>
      <w:tr w:rsidR="00A746CF" w:rsidRPr="00A746CF" w14:paraId="48100EDC" w14:textId="77777777" w:rsidTr="00633708">
        <w:tc>
          <w:tcPr>
            <w:tcW w:w="1177" w:type="dxa"/>
            <w:shd w:val="clear" w:color="auto" w:fill="auto"/>
          </w:tcPr>
          <w:p w14:paraId="5F92D5D7" w14:textId="19797254" w:rsidR="00340ED8" w:rsidRPr="00A746CF" w:rsidRDefault="00340ED8" w:rsidP="00633708">
            <w:pPr>
              <w:pStyle w:val="Noindent"/>
              <w:spacing w:line="240" w:lineRule="auto"/>
              <w:jc w:val="left"/>
              <w:rPr>
                <w:sz w:val="22"/>
                <w:szCs w:val="22"/>
              </w:rPr>
            </w:pPr>
            <w:r w:rsidRPr="00A746CF">
              <w:rPr>
                <w:sz w:val="22"/>
                <w:szCs w:val="22"/>
              </w:rPr>
              <w:t>Smith et al., 2009</w:t>
            </w:r>
          </w:p>
        </w:tc>
        <w:tc>
          <w:tcPr>
            <w:tcW w:w="1759" w:type="dxa"/>
            <w:shd w:val="clear" w:color="auto" w:fill="auto"/>
          </w:tcPr>
          <w:p w14:paraId="1F227B30" w14:textId="6323CB84" w:rsidR="00340ED8" w:rsidRPr="00A746CF" w:rsidRDefault="00340ED8" w:rsidP="00633708">
            <w:pPr>
              <w:pStyle w:val="Noindent"/>
              <w:spacing w:line="240" w:lineRule="auto"/>
              <w:jc w:val="left"/>
              <w:rPr>
                <w:sz w:val="22"/>
                <w:szCs w:val="22"/>
              </w:rPr>
            </w:pPr>
            <w:r w:rsidRPr="00A746CF">
              <w:rPr>
                <w:sz w:val="22"/>
                <w:szCs w:val="22"/>
              </w:rPr>
              <w:t>1992 to 1999</w:t>
            </w:r>
          </w:p>
        </w:tc>
        <w:tc>
          <w:tcPr>
            <w:tcW w:w="2302" w:type="dxa"/>
            <w:shd w:val="clear" w:color="auto" w:fill="auto"/>
          </w:tcPr>
          <w:p w14:paraId="08DCB15D" w14:textId="023C554D" w:rsidR="00340ED8" w:rsidRPr="00A746CF" w:rsidRDefault="00766CE2" w:rsidP="00633708">
            <w:pPr>
              <w:pStyle w:val="Noindent"/>
              <w:spacing w:line="240" w:lineRule="auto"/>
              <w:jc w:val="left"/>
              <w:rPr>
                <w:sz w:val="22"/>
                <w:szCs w:val="22"/>
              </w:rPr>
            </w:pPr>
            <w:r>
              <w:rPr>
                <w:sz w:val="22"/>
                <w:szCs w:val="22"/>
              </w:rPr>
              <w:t>40,</w:t>
            </w:r>
            <w:r w:rsidR="00340ED8" w:rsidRPr="00A746CF">
              <w:rPr>
                <w:sz w:val="22"/>
                <w:szCs w:val="22"/>
              </w:rPr>
              <w:t>960 Medicare fee-service decedents with advanced cancer</w:t>
            </w:r>
          </w:p>
        </w:tc>
        <w:tc>
          <w:tcPr>
            <w:tcW w:w="1554" w:type="dxa"/>
            <w:shd w:val="clear" w:color="auto" w:fill="auto"/>
          </w:tcPr>
          <w:p w14:paraId="158CF6DC" w14:textId="0B9F46FA"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Retrospective case series of those who died with advanced cancer</w:t>
            </w:r>
          </w:p>
        </w:tc>
        <w:tc>
          <w:tcPr>
            <w:tcW w:w="2512" w:type="dxa"/>
            <w:shd w:val="clear" w:color="auto" w:fill="auto"/>
          </w:tcPr>
          <w:p w14:paraId="5BE700A1" w14:textId="2869986B"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 xml:space="preserve">Percent enrolled in hospice, hospitalized two or more times in the last month of life, spent more than 14 days hospitalized in the last month of life, admitted to the intensive care unit in the last month of life, </w:t>
            </w:r>
            <w:r w:rsidR="00766CE2">
              <w:rPr>
                <w:sz w:val="22"/>
                <w:szCs w:val="22"/>
              </w:rPr>
              <w:t>or</w:t>
            </w:r>
            <w:r w:rsidRPr="00A746CF">
              <w:rPr>
                <w:sz w:val="22"/>
                <w:szCs w:val="22"/>
              </w:rPr>
              <w:t xml:space="preserve"> died in the hospital</w:t>
            </w:r>
          </w:p>
        </w:tc>
      </w:tr>
    </w:tbl>
    <w:p w14:paraId="30044920" w14:textId="5500ACED" w:rsidR="00334F18" w:rsidRDefault="00334F18"/>
    <w:p w14:paraId="15F6E2EE" w14:textId="3DC877D7" w:rsidR="00334F18" w:rsidRDefault="00334F18" w:rsidP="00334F18">
      <w:pPr>
        <w:pStyle w:val="Caption"/>
        <w:keepNext/>
        <w:ind w:firstLine="0"/>
        <w:jc w:val="center"/>
      </w:pPr>
      <w:r>
        <w:lastRenderedPageBreak/>
        <w:t>Table 1</w:t>
      </w:r>
      <w:r w:rsidR="00766CE2">
        <w:t xml:space="preserve"> Continued</w:t>
      </w:r>
    </w:p>
    <w:tbl>
      <w:tblPr>
        <w:tblpPr w:leftFromText="180" w:rightFromText="180" w:vertAnchor="text" w:tblpX="108"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acteristics of Included Studies"/>
      </w:tblPr>
      <w:tblGrid>
        <w:gridCol w:w="1177"/>
        <w:gridCol w:w="1759"/>
        <w:gridCol w:w="2369"/>
        <w:gridCol w:w="1554"/>
        <w:gridCol w:w="2429"/>
      </w:tblGrid>
      <w:tr w:rsidR="00334F18" w:rsidRPr="00A746CF" w14:paraId="3C630BA1" w14:textId="77777777" w:rsidTr="00633708">
        <w:tc>
          <w:tcPr>
            <w:tcW w:w="1177" w:type="dxa"/>
            <w:shd w:val="clear" w:color="auto" w:fill="auto"/>
          </w:tcPr>
          <w:p w14:paraId="46A6D759" w14:textId="67089EE4" w:rsidR="00334F18" w:rsidRPr="00A746CF" w:rsidRDefault="00334F18" w:rsidP="00633708">
            <w:pPr>
              <w:pStyle w:val="Noindent"/>
              <w:spacing w:line="240" w:lineRule="auto"/>
              <w:jc w:val="left"/>
              <w:rPr>
                <w:sz w:val="22"/>
                <w:szCs w:val="22"/>
              </w:rPr>
            </w:pPr>
            <w:r w:rsidRPr="00A746CF">
              <w:rPr>
                <w:sz w:val="22"/>
                <w:szCs w:val="22"/>
              </w:rPr>
              <w:t>Author</w:t>
            </w:r>
          </w:p>
        </w:tc>
        <w:tc>
          <w:tcPr>
            <w:tcW w:w="1759" w:type="dxa"/>
            <w:shd w:val="clear" w:color="auto" w:fill="auto"/>
          </w:tcPr>
          <w:p w14:paraId="09A03E96" w14:textId="50C48232" w:rsidR="00334F18" w:rsidRPr="00A746CF" w:rsidRDefault="00334F18" w:rsidP="00633708">
            <w:pPr>
              <w:pStyle w:val="Noindent"/>
              <w:spacing w:line="240" w:lineRule="auto"/>
              <w:jc w:val="left"/>
              <w:rPr>
                <w:sz w:val="22"/>
                <w:szCs w:val="22"/>
              </w:rPr>
            </w:pPr>
            <w:r w:rsidRPr="00A746CF">
              <w:rPr>
                <w:sz w:val="22"/>
                <w:szCs w:val="22"/>
              </w:rPr>
              <w:t>Study Year</w:t>
            </w:r>
          </w:p>
        </w:tc>
        <w:tc>
          <w:tcPr>
            <w:tcW w:w="2369" w:type="dxa"/>
            <w:shd w:val="clear" w:color="auto" w:fill="auto"/>
          </w:tcPr>
          <w:p w14:paraId="638DBE62" w14:textId="1DC38B30" w:rsidR="00334F18" w:rsidRPr="00A746CF" w:rsidRDefault="00334F18" w:rsidP="00633708">
            <w:pPr>
              <w:pStyle w:val="Noindent"/>
              <w:spacing w:line="240" w:lineRule="auto"/>
              <w:jc w:val="left"/>
              <w:rPr>
                <w:sz w:val="22"/>
                <w:szCs w:val="22"/>
              </w:rPr>
            </w:pPr>
            <w:r w:rsidRPr="00A746CF">
              <w:rPr>
                <w:sz w:val="22"/>
                <w:szCs w:val="22"/>
              </w:rPr>
              <w:t>Cohort</w:t>
            </w:r>
          </w:p>
        </w:tc>
        <w:tc>
          <w:tcPr>
            <w:tcW w:w="1554" w:type="dxa"/>
            <w:shd w:val="clear" w:color="auto" w:fill="auto"/>
          </w:tcPr>
          <w:p w14:paraId="4FCD90CA" w14:textId="71BF6DCD" w:rsidR="00334F18" w:rsidRPr="00A746CF" w:rsidRDefault="00334F18" w:rsidP="00633708">
            <w:pPr>
              <w:autoSpaceDE w:val="0"/>
              <w:autoSpaceDN w:val="0"/>
              <w:adjustRightInd w:val="0"/>
              <w:spacing w:line="240" w:lineRule="auto"/>
              <w:ind w:firstLine="0"/>
              <w:jc w:val="left"/>
              <w:rPr>
                <w:sz w:val="22"/>
                <w:szCs w:val="22"/>
              </w:rPr>
            </w:pPr>
            <w:r w:rsidRPr="00A746CF">
              <w:rPr>
                <w:sz w:val="22"/>
                <w:szCs w:val="22"/>
              </w:rPr>
              <w:t>Design</w:t>
            </w:r>
          </w:p>
        </w:tc>
        <w:tc>
          <w:tcPr>
            <w:tcW w:w="2429" w:type="dxa"/>
            <w:shd w:val="clear" w:color="auto" w:fill="auto"/>
          </w:tcPr>
          <w:p w14:paraId="1C387166" w14:textId="57E4489C" w:rsidR="00334F18" w:rsidRPr="00A746CF" w:rsidRDefault="00334F18" w:rsidP="00633708">
            <w:pPr>
              <w:autoSpaceDE w:val="0"/>
              <w:autoSpaceDN w:val="0"/>
              <w:adjustRightInd w:val="0"/>
              <w:spacing w:line="240" w:lineRule="auto"/>
              <w:ind w:firstLine="0"/>
              <w:jc w:val="left"/>
              <w:rPr>
                <w:sz w:val="22"/>
                <w:szCs w:val="22"/>
              </w:rPr>
            </w:pPr>
            <w:r w:rsidRPr="00A746CF">
              <w:rPr>
                <w:sz w:val="22"/>
                <w:szCs w:val="22"/>
              </w:rPr>
              <w:t>Measure</w:t>
            </w:r>
          </w:p>
        </w:tc>
      </w:tr>
      <w:tr w:rsidR="00A746CF" w:rsidRPr="00A746CF" w14:paraId="5D9D21A9" w14:textId="77777777" w:rsidTr="00633708">
        <w:tc>
          <w:tcPr>
            <w:tcW w:w="1177" w:type="dxa"/>
            <w:shd w:val="clear" w:color="auto" w:fill="auto"/>
          </w:tcPr>
          <w:p w14:paraId="2F9CCAB3" w14:textId="77777777" w:rsidR="00340ED8" w:rsidRPr="00A746CF" w:rsidRDefault="00340ED8" w:rsidP="00633708">
            <w:pPr>
              <w:pStyle w:val="Noindent"/>
              <w:spacing w:line="240" w:lineRule="auto"/>
              <w:jc w:val="left"/>
              <w:rPr>
                <w:sz w:val="22"/>
                <w:szCs w:val="22"/>
              </w:rPr>
            </w:pPr>
            <w:r w:rsidRPr="00A746CF">
              <w:rPr>
                <w:sz w:val="22"/>
                <w:szCs w:val="22"/>
              </w:rPr>
              <w:t>Teno et al., 2010</w:t>
            </w:r>
          </w:p>
        </w:tc>
        <w:tc>
          <w:tcPr>
            <w:tcW w:w="1759" w:type="dxa"/>
            <w:shd w:val="clear" w:color="auto" w:fill="auto"/>
          </w:tcPr>
          <w:p w14:paraId="2D1913E3" w14:textId="77777777" w:rsidR="00340ED8" w:rsidRPr="00A746CF" w:rsidRDefault="00340ED8" w:rsidP="00633708">
            <w:pPr>
              <w:pStyle w:val="Noindent"/>
              <w:spacing w:line="240" w:lineRule="auto"/>
              <w:jc w:val="left"/>
              <w:rPr>
                <w:sz w:val="22"/>
                <w:szCs w:val="22"/>
              </w:rPr>
            </w:pPr>
            <w:r w:rsidRPr="00A746CF">
              <w:rPr>
                <w:sz w:val="22"/>
                <w:szCs w:val="22"/>
              </w:rPr>
              <w:t>2000-2007</w:t>
            </w:r>
          </w:p>
        </w:tc>
        <w:tc>
          <w:tcPr>
            <w:tcW w:w="2369" w:type="dxa"/>
            <w:shd w:val="clear" w:color="auto" w:fill="auto"/>
          </w:tcPr>
          <w:p w14:paraId="361CC3A8" w14:textId="6B0EA1BF" w:rsidR="001105C7" w:rsidRPr="00A746CF" w:rsidRDefault="00340ED8" w:rsidP="00633708">
            <w:pPr>
              <w:pStyle w:val="Noindent"/>
              <w:spacing w:line="240" w:lineRule="auto"/>
              <w:jc w:val="left"/>
              <w:rPr>
                <w:sz w:val="22"/>
                <w:szCs w:val="22"/>
              </w:rPr>
            </w:pPr>
            <w:r w:rsidRPr="00A746CF">
              <w:rPr>
                <w:sz w:val="22"/>
                <w:szCs w:val="22"/>
              </w:rPr>
              <w:t>2,797 hospitals with at least 30 admissions of nursing home residents with advanced cognitive impairment (280,869 admissions among the 163,022 nursing home residents)</w:t>
            </w:r>
          </w:p>
        </w:tc>
        <w:tc>
          <w:tcPr>
            <w:tcW w:w="1554" w:type="dxa"/>
            <w:shd w:val="clear" w:color="auto" w:fill="auto"/>
          </w:tcPr>
          <w:p w14:paraId="088AD5DB" w14:textId="77777777" w:rsidR="00340ED8" w:rsidRPr="00A746CF" w:rsidRDefault="00340ED8" w:rsidP="00633708">
            <w:pPr>
              <w:spacing w:line="240" w:lineRule="auto"/>
              <w:ind w:firstLine="0"/>
              <w:jc w:val="left"/>
              <w:rPr>
                <w:sz w:val="22"/>
                <w:szCs w:val="22"/>
              </w:rPr>
            </w:pPr>
            <w:r w:rsidRPr="00A746CF">
              <w:rPr>
                <w:sz w:val="22"/>
                <w:szCs w:val="22"/>
              </w:rPr>
              <w:t xml:space="preserve">Ecologic study </w:t>
            </w:r>
          </w:p>
        </w:tc>
        <w:tc>
          <w:tcPr>
            <w:tcW w:w="2429" w:type="dxa"/>
            <w:shd w:val="clear" w:color="auto" w:fill="auto"/>
          </w:tcPr>
          <w:p w14:paraId="513AF385" w14:textId="77777777" w:rsidR="00340ED8" w:rsidRPr="00A746CF" w:rsidRDefault="00340ED8" w:rsidP="00633708">
            <w:pPr>
              <w:pStyle w:val="Noindent"/>
              <w:spacing w:line="240" w:lineRule="auto"/>
              <w:jc w:val="left"/>
              <w:rPr>
                <w:sz w:val="22"/>
                <w:szCs w:val="22"/>
              </w:rPr>
            </w:pPr>
            <w:r w:rsidRPr="00A746CF">
              <w:rPr>
                <w:sz w:val="22"/>
                <w:szCs w:val="22"/>
              </w:rPr>
              <w:t xml:space="preserve">Rate of feeding tube insertion </w:t>
            </w:r>
          </w:p>
        </w:tc>
      </w:tr>
      <w:tr w:rsidR="00A746CF" w:rsidRPr="00A746CF" w14:paraId="6D47694D" w14:textId="77777777" w:rsidTr="00633708">
        <w:trPr>
          <w:trHeight w:val="1997"/>
        </w:trPr>
        <w:tc>
          <w:tcPr>
            <w:tcW w:w="1177" w:type="dxa"/>
            <w:shd w:val="clear" w:color="auto" w:fill="auto"/>
          </w:tcPr>
          <w:p w14:paraId="70214342" w14:textId="77777777" w:rsidR="00340ED8" w:rsidRPr="00A746CF" w:rsidRDefault="00340ED8" w:rsidP="00633708">
            <w:pPr>
              <w:pStyle w:val="Noindent"/>
              <w:spacing w:line="240" w:lineRule="auto"/>
              <w:jc w:val="left"/>
              <w:rPr>
                <w:sz w:val="22"/>
                <w:szCs w:val="22"/>
              </w:rPr>
            </w:pPr>
            <w:r w:rsidRPr="00A746CF">
              <w:rPr>
                <w:sz w:val="22"/>
                <w:szCs w:val="22"/>
              </w:rPr>
              <w:t>Kaplan, 2011</w:t>
            </w:r>
          </w:p>
        </w:tc>
        <w:tc>
          <w:tcPr>
            <w:tcW w:w="1759" w:type="dxa"/>
            <w:shd w:val="clear" w:color="auto" w:fill="auto"/>
          </w:tcPr>
          <w:p w14:paraId="471E2646" w14:textId="77777777" w:rsidR="00340ED8" w:rsidRPr="00A746CF" w:rsidRDefault="00340ED8" w:rsidP="00633708">
            <w:pPr>
              <w:pStyle w:val="Noindent"/>
              <w:spacing w:line="240" w:lineRule="auto"/>
              <w:jc w:val="left"/>
              <w:rPr>
                <w:sz w:val="22"/>
                <w:szCs w:val="22"/>
              </w:rPr>
            </w:pPr>
            <w:r w:rsidRPr="00A746CF">
              <w:rPr>
                <w:sz w:val="22"/>
                <w:szCs w:val="22"/>
              </w:rPr>
              <w:t>Deaths in 2004-2005 and two year follow-up period</w:t>
            </w:r>
          </w:p>
        </w:tc>
        <w:tc>
          <w:tcPr>
            <w:tcW w:w="2369" w:type="dxa"/>
            <w:shd w:val="clear" w:color="auto" w:fill="auto"/>
          </w:tcPr>
          <w:p w14:paraId="6AAF2976" w14:textId="77777777" w:rsidR="00340ED8" w:rsidRPr="00A746CF" w:rsidRDefault="00340ED8" w:rsidP="00633708">
            <w:pPr>
              <w:pStyle w:val="Noindent"/>
              <w:spacing w:line="240" w:lineRule="auto"/>
              <w:jc w:val="left"/>
              <w:rPr>
                <w:sz w:val="22"/>
                <w:szCs w:val="22"/>
              </w:rPr>
            </w:pPr>
            <w:r w:rsidRPr="00A746CF">
              <w:rPr>
                <w:sz w:val="22"/>
                <w:szCs w:val="22"/>
              </w:rPr>
              <w:t xml:space="preserve">Medicare fee-for-service in last two years of life </w:t>
            </w:r>
          </w:p>
        </w:tc>
        <w:tc>
          <w:tcPr>
            <w:tcW w:w="1554" w:type="dxa"/>
            <w:shd w:val="clear" w:color="auto" w:fill="auto"/>
          </w:tcPr>
          <w:p w14:paraId="5CD6927F" w14:textId="77777777" w:rsidR="00340ED8" w:rsidRPr="00A746CF" w:rsidRDefault="00340ED8" w:rsidP="00633708">
            <w:pPr>
              <w:pStyle w:val="Noindent"/>
              <w:spacing w:line="240" w:lineRule="auto"/>
              <w:jc w:val="left"/>
              <w:rPr>
                <w:sz w:val="22"/>
                <w:szCs w:val="22"/>
              </w:rPr>
            </w:pPr>
            <w:r w:rsidRPr="00A746CF">
              <w:rPr>
                <w:sz w:val="22"/>
                <w:szCs w:val="22"/>
              </w:rPr>
              <w:t xml:space="preserve">Retrospective case series of those who died  </w:t>
            </w:r>
            <w:r w:rsidRPr="00A746CF">
              <w:rPr>
                <w:sz w:val="22"/>
                <w:szCs w:val="22"/>
              </w:rPr>
              <w:br/>
            </w:r>
            <w:r w:rsidRPr="00A746CF">
              <w:rPr>
                <w:sz w:val="22"/>
                <w:szCs w:val="22"/>
              </w:rPr>
              <w:br/>
              <w:t>Ecologic study for correlation of aggregate measures</w:t>
            </w:r>
          </w:p>
        </w:tc>
        <w:tc>
          <w:tcPr>
            <w:tcW w:w="2429" w:type="dxa"/>
            <w:shd w:val="clear" w:color="auto" w:fill="auto"/>
          </w:tcPr>
          <w:p w14:paraId="2EBEEAEE" w14:textId="250BC7CA" w:rsidR="00340ED8" w:rsidRPr="00A746CF" w:rsidRDefault="00340ED8" w:rsidP="00633708">
            <w:pPr>
              <w:pStyle w:val="Noindent"/>
              <w:spacing w:line="240" w:lineRule="auto"/>
              <w:jc w:val="left"/>
              <w:rPr>
                <w:sz w:val="22"/>
                <w:szCs w:val="22"/>
              </w:rPr>
            </w:pPr>
            <w:r w:rsidRPr="00A746CF">
              <w:rPr>
                <w:sz w:val="22"/>
                <w:szCs w:val="22"/>
              </w:rPr>
              <w:t xml:space="preserve">Ratios of Medicare costs in last two years of life </w:t>
            </w:r>
          </w:p>
        </w:tc>
      </w:tr>
      <w:tr w:rsidR="005C788A" w:rsidRPr="00A746CF" w14:paraId="632C8C05" w14:textId="77777777" w:rsidTr="00633708">
        <w:trPr>
          <w:trHeight w:val="1598"/>
        </w:trPr>
        <w:tc>
          <w:tcPr>
            <w:tcW w:w="1177" w:type="dxa"/>
            <w:shd w:val="clear" w:color="auto" w:fill="auto"/>
          </w:tcPr>
          <w:p w14:paraId="50F6A4ED" w14:textId="643F1C90" w:rsidR="005C788A" w:rsidRPr="00A746CF" w:rsidRDefault="005C788A" w:rsidP="00633708">
            <w:pPr>
              <w:pStyle w:val="Noindent"/>
              <w:spacing w:line="240" w:lineRule="auto"/>
              <w:jc w:val="left"/>
              <w:rPr>
                <w:sz w:val="22"/>
                <w:szCs w:val="22"/>
              </w:rPr>
            </w:pPr>
            <w:r>
              <w:rPr>
                <w:sz w:val="22"/>
                <w:szCs w:val="22"/>
              </w:rPr>
              <w:t>Kelley et al., 2011</w:t>
            </w:r>
          </w:p>
        </w:tc>
        <w:tc>
          <w:tcPr>
            <w:tcW w:w="1759" w:type="dxa"/>
            <w:shd w:val="clear" w:color="auto" w:fill="auto"/>
          </w:tcPr>
          <w:p w14:paraId="2121ED25" w14:textId="4AFFEBFA" w:rsidR="005C788A" w:rsidRPr="00A746CF" w:rsidRDefault="005C788A" w:rsidP="00633708">
            <w:pPr>
              <w:pStyle w:val="Noindent"/>
              <w:spacing w:line="240" w:lineRule="auto"/>
              <w:jc w:val="left"/>
              <w:rPr>
                <w:sz w:val="22"/>
                <w:szCs w:val="22"/>
              </w:rPr>
            </w:pPr>
            <w:r>
              <w:rPr>
                <w:sz w:val="22"/>
                <w:szCs w:val="22"/>
              </w:rPr>
              <w:t>2000 to 2006</w:t>
            </w:r>
          </w:p>
        </w:tc>
        <w:tc>
          <w:tcPr>
            <w:tcW w:w="2369" w:type="dxa"/>
            <w:shd w:val="clear" w:color="auto" w:fill="auto"/>
          </w:tcPr>
          <w:p w14:paraId="70CA5C71" w14:textId="011C563B" w:rsidR="005C788A" w:rsidRPr="00A746CF" w:rsidRDefault="005C788A" w:rsidP="00633708">
            <w:pPr>
              <w:pStyle w:val="Noindent"/>
              <w:spacing w:line="240" w:lineRule="auto"/>
              <w:jc w:val="left"/>
              <w:rPr>
                <w:sz w:val="22"/>
                <w:szCs w:val="22"/>
              </w:rPr>
            </w:pPr>
            <w:r>
              <w:rPr>
                <w:sz w:val="22"/>
                <w:szCs w:val="22"/>
              </w:rPr>
              <w:t>2,394</w:t>
            </w:r>
            <w:r w:rsidRPr="00A746CF">
              <w:rPr>
                <w:sz w:val="22"/>
                <w:szCs w:val="22"/>
              </w:rPr>
              <w:t xml:space="preserve"> Medicare fee-for-serve decedents linked to the Health and Retirement</w:t>
            </w:r>
          </w:p>
          <w:p w14:paraId="2D935E23" w14:textId="56470A4E" w:rsidR="005C788A" w:rsidRPr="00A746CF" w:rsidRDefault="00766CE2" w:rsidP="00633708">
            <w:pPr>
              <w:pStyle w:val="Noindent"/>
              <w:spacing w:line="240" w:lineRule="auto"/>
              <w:jc w:val="left"/>
              <w:rPr>
                <w:sz w:val="22"/>
                <w:szCs w:val="22"/>
              </w:rPr>
            </w:pPr>
            <w:r>
              <w:rPr>
                <w:sz w:val="22"/>
                <w:szCs w:val="22"/>
              </w:rPr>
              <w:t>Study (HRS) survey</w:t>
            </w:r>
          </w:p>
        </w:tc>
        <w:tc>
          <w:tcPr>
            <w:tcW w:w="1554" w:type="dxa"/>
            <w:shd w:val="clear" w:color="auto" w:fill="auto"/>
          </w:tcPr>
          <w:p w14:paraId="35F2B4FD" w14:textId="77777777" w:rsidR="005C788A" w:rsidRPr="00A746CF" w:rsidRDefault="005C788A" w:rsidP="00633708">
            <w:pPr>
              <w:pStyle w:val="Noindent"/>
              <w:spacing w:line="240" w:lineRule="auto"/>
              <w:jc w:val="left"/>
              <w:rPr>
                <w:sz w:val="22"/>
                <w:szCs w:val="22"/>
              </w:rPr>
            </w:pPr>
            <w:r w:rsidRPr="00A746CF">
              <w:rPr>
                <w:sz w:val="22"/>
                <w:szCs w:val="22"/>
              </w:rPr>
              <w:t>Prospective survey</w:t>
            </w:r>
          </w:p>
          <w:p w14:paraId="3B1629C6" w14:textId="77777777" w:rsidR="005C788A" w:rsidRPr="00A746CF" w:rsidRDefault="005C788A" w:rsidP="00633708">
            <w:pPr>
              <w:pStyle w:val="Noindent"/>
              <w:spacing w:line="240" w:lineRule="auto"/>
              <w:jc w:val="left"/>
              <w:rPr>
                <w:sz w:val="22"/>
                <w:szCs w:val="22"/>
              </w:rPr>
            </w:pPr>
          </w:p>
          <w:p w14:paraId="098F3950" w14:textId="5C4D5EEE" w:rsidR="005C788A" w:rsidRPr="00A746CF" w:rsidRDefault="005C788A" w:rsidP="00633708">
            <w:pPr>
              <w:pStyle w:val="Noindent"/>
              <w:spacing w:line="240" w:lineRule="auto"/>
              <w:jc w:val="left"/>
              <w:rPr>
                <w:sz w:val="22"/>
                <w:szCs w:val="22"/>
              </w:rPr>
            </w:pPr>
            <w:r w:rsidRPr="00A746CF">
              <w:rPr>
                <w:sz w:val="22"/>
                <w:szCs w:val="22"/>
              </w:rPr>
              <w:t>Retrospective case series of those who died</w:t>
            </w:r>
          </w:p>
        </w:tc>
        <w:tc>
          <w:tcPr>
            <w:tcW w:w="2429" w:type="dxa"/>
            <w:shd w:val="clear" w:color="auto" w:fill="auto"/>
          </w:tcPr>
          <w:p w14:paraId="5696684F" w14:textId="6E285EA9" w:rsidR="005C788A" w:rsidRPr="00A746CF" w:rsidRDefault="005C788A" w:rsidP="00633708">
            <w:pPr>
              <w:pStyle w:val="Noindent"/>
              <w:spacing w:line="240" w:lineRule="auto"/>
              <w:jc w:val="left"/>
              <w:rPr>
                <w:sz w:val="22"/>
                <w:szCs w:val="22"/>
              </w:rPr>
            </w:pPr>
            <w:r w:rsidRPr="005C788A">
              <w:rPr>
                <w:sz w:val="22"/>
                <w:szCs w:val="22"/>
              </w:rPr>
              <w:t>Medicare expenditures in the last 6 months of life</w:t>
            </w:r>
          </w:p>
        </w:tc>
      </w:tr>
      <w:tr w:rsidR="00A746CF" w:rsidRPr="00A746CF" w14:paraId="39061DDB" w14:textId="77777777" w:rsidTr="00633708">
        <w:tc>
          <w:tcPr>
            <w:tcW w:w="1177" w:type="dxa"/>
            <w:shd w:val="clear" w:color="auto" w:fill="auto"/>
          </w:tcPr>
          <w:p w14:paraId="679F9BB1" w14:textId="77777777" w:rsidR="00340ED8" w:rsidRPr="00A746CF" w:rsidRDefault="00340ED8" w:rsidP="00633708">
            <w:pPr>
              <w:pStyle w:val="Noindent"/>
              <w:spacing w:line="240" w:lineRule="auto"/>
              <w:jc w:val="left"/>
              <w:rPr>
                <w:sz w:val="22"/>
                <w:szCs w:val="22"/>
              </w:rPr>
            </w:pPr>
            <w:r w:rsidRPr="00A746CF">
              <w:rPr>
                <w:sz w:val="22"/>
                <w:szCs w:val="22"/>
              </w:rPr>
              <w:t>Kwok et al., 2011</w:t>
            </w:r>
          </w:p>
        </w:tc>
        <w:tc>
          <w:tcPr>
            <w:tcW w:w="1759" w:type="dxa"/>
            <w:shd w:val="clear" w:color="auto" w:fill="auto"/>
          </w:tcPr>
          <w:p w14:paraId="7124C4B7" w14:textId="77777777" w:rsidR="00340ED8" w:rsidRPr="00A746CF" w:rsidRDefault="00340ED8" w:rsidP="00633708">
            <w:pPr>
              <w:pStyle w:val="Noindent"/>
              <w:spacing w:line="240" w:lineRule="auto"/>
              <w:jc w:val="left"/>
              <w:rPr>
                <w:sz w:val="22"/>
                <w:szCs w:val="22"/>
              </w:rPr>
            </w:pPr>
            <w:r w:rsidRPr="00A746CF">
              <w:rPr>
                <w:sz w:val="22"/>
                <w:szCs w:val="22"/>
              </w:rPr>
              <w:t>2007-2008</w:t>
            </w:r>
          </w:p>
        </w:tc>
        <w:tc>
          <w:tcPr>
            <w:tcW w:w="2369" w:type="dxa"/>
            <w:shd w:val="clear" w:color="auto" w:fill="auto"/>
          </w:tcPr>
          <w:p w14:paraId="2A9BA481" w14:textId="77777777" w:rsidR="00340ED8" w:rsidRPr="00A746CF" w:rsidRDefault="00340ED8" w:rsidP="00633708">
            <w:pPr>
              <w:pStyle w:val="Noindent"/>
              <w:spacing w:line="240" w:lineRule="auto"/>
              <w:jc w:val="left"/>
              <w:rPr>
                <w:sz w:val="22"/>
                <w:szCs w:val="22"/>
              </w:rPr>
            </w:pPr>
            <w:r w:rsidRPr="00A746CF">
              <w:rPr>
                <w:sz w:val="22"/>
                <w:szCs w:val="22"/>
              </w:rPr>
              <w:t>1,8020,29 Medicare fee-for-service decedents</w:t>
            </w:r>
          </w:p>
        </w:tc>
        <w:tc>
          <w:tcPr>
            <w:tcW w:w="1554" w:type="dxa"/>
            <w:shd w:val="clear" w:color="auto" w:fill="auto"/>
          </w:tcPr>
          <w:p w14:paraId="3002C4CD" w14:textId="194A6BA0" w:rsidR="00340ED8" w:rsidRPr="00A746CF" w:rsidRDefault="008A4D0F" w:rsidP="00633708">
            <w:pPr>
              <w:autoSpaceDE w:val="0"/>
              <w:autoSpaceDN w:val="0"/>
              <w:adjustRightInd w:val="0"/>
              <w:spacing w:line="240" w:lineRule="auto"/>
              <w:ind w:firstLine="0"/>
              <w:jc w:val="left"/>
              <w:rPr>
                <w:sz w:val="22"/>
                <w:szCs w:val="22"/>
              </w:rPr>
            </w:pPr>
            <w:r w:rsidRPr="00A746CF">
              <w:rPr>
                <w:sz w:val="22"/>
                <w:szCs w:val="22"/>
              </w:rPr>
              <w:t>Retrospective c</w:t>
            </w:r>
            <w:r w:rsidR="00340ED8" w:rsidRPr="00A746CF">
              <w:rPr>
                <w:sz w:val="22"/>
                <w:szCs w:val="22"/>
              </w:rPr>
              <w:t xml:space="preserve">ase series of decedents </w:t>
            </w:r>
            <w:r w:rsidR="00340ED8" w:rsidRPr="00A746CF">
              <w:rPr>
                <w:sz w:val="22"/>
                <w:szCs w:val="22"/>
              </w:rPr>
              <w:br/>
            </w:r>
            <w:r w:rsidR="00340ED8" w:rsidRPr="00A746CF">
              <w:rPr>
                <w:sz w:val="22"/>
                <w:szCs w:val="22"/>
              </w:rPr>
              <w:br/>
              <w:t xml:space="preserve">Ecologic study for correlation of aggregate measures </w:t>
            </w:r>
          </w:p>
        </w:tc>
        <w:tc>
          <w:tcPr>
            <w:tcW w:w="2429" w:type="dxa"/>
            <w:shd w:val="clear" w:color="auto" w:fill="auto"/>
          </w:tcPr>
          <w:p w14:paraId="7544C170"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End-of-life surgical intensity score (proportion of decedents who received surgical procedure during last year of life)</w:t>
            </w:r>
          </w:p>
          <w:p w14:paraId="350C6EDF" w14:textId="256B0273" w:rsidR="00340ED8" w:rsidRPr="00A746CF" w:rsidRDefault="00340ED8" w:rsidP="00633708">
            <w:pPr>
              <w:autoSpaceDE w:val="0"/>
              <w:autoSpaceDN w:val="0"/>
              <w:adjustRightInd w:val="0"/>
              <w:spacing w:line="240" w:lineRule="auto"/>
              <w:ind w:firstLine="0"/>
              <w:jc w:val="left"/>
              <w:rPr>
                <w:sz w:val="22"/>
                <w:szCs w:val="22"/>
              </w:rPr>
            </w:pPr>
          </w:p>
        </w:tc>
      </w:tr>
      <w:tr w:rsidR="00A746CF" w:rsidRPr="00A746CF" w14:paraId="499092F1" w14:textId="77777777" w:rsidTr="00633708">
        <w:tc>
          <w:tcPr>
            <w:tcW w:w="1177" w:type="dxa"/>
            <w:shd w:val="clear" w:color="auto" w:fill="auto"/>
          </w:tcPr>
          <w:p w14:paraId="1AE69097" w14:textId="7677A978" w:rsidR="00340ED8" w:rsidRPr="00A746CF" w:rsidRDefault="00340ED8" w:rsidP="00633708">
            <w:pPr>
              <w:pStyle w:val="Noindent"/>
              <w:spacing w:line="240" w:lineRule="auto"/>
              <w:jc w:val="left"/>
              <w:rPr>
                <w:sz w:val="22"/>
                <w:szCs w:val="22"/>
              </w:rPr>
            </w:pPr>
            <w:r w:rsidRPr="00A746CF">
              <w:rPr>
                <w:sz w:val="22"/>
                <w:szCs w:val="22"/>
              </w:rPr>
              <w:t>Nicholas et al., 2011</w:t>
            </w:r>
          </w:p>
        </w:tc>
        <w:tc>
          <w:tcPr>
            <w:tcW w:w="1759" w:type="dxa"/>
            <w:shd w:val="clear" w:color="auto" w:fill="auto"/>
          </w:tcPr>
          <w:p w14:paraId="67AD4645" w14:textId="77777777" w:rsidR="00340ED8" w:rsidRPr="00A746CF" w:rsidRDefault="00340ED8" w:rsidP="00633708">
            <w:pPr>
              <w:pStyle w:val="Noindent"/>
              <w:spacing w:line="240" w:lineRule="auto"/>
              <w:jc w:val="left"/>
              <w:rPr>
                <w:sz w:val="22"/>
                <w:szCs w:val="22"/>
              </w:rPr>
            </w:pPr>
            <w:r w:rsidRPr="00A746CF">
              <w:rPr>
                <w:sz w:val="22"/>
                <w:szCs w:val="22"/>
              </w:rPr>
              <w:t xml:space="preserve">1998-2007 </w:t>
            </w:r>
          </w:p>
          <w:p w14:paraId="1A45A17D" w14:textId="77777777" w:rsidR="00340ED8" w:rsidRPr="00A746CF" w:rsidRDefault="00340ED8" w:rsidP="00633708">
            <w:pPr>
              <w:pStyle w:val="Noindent"/>
              <w:spacing w:line="240" w:lineRule="auto"/>
              <w:jc w:val="left"/>
              <w:rPr>
                <w:sz w:val="22"/>
                <w:szCs w:val="22"/>
              </w:rPr>
            </w:pPr>
          </w:p>
        </w:tc>
        <w:tc>
          <w:tcPr>
            <w:tcW w:w="2369" w:type="dxa"/>
            <w:shd w:val="clear" w:color="auto" w:fill="auto"/>
          </w:tcPr>
          <w:p w14:paraId="74449B9E" w14:textId="696648AB" w:rsidR="00340ED8" w:rsidRPr="00A746CF" w:rsidRDefault="00340ED8" w:rsidP="00633708">
            <w:pPr>
              <w:pStyle w:val="Noindent"/>
              <w:spacing w:line="240" w:lineRule="auto"/>
              <w:jc w:val="left"/>
              <w:rPr>
                <w:sz w:val="22"/>
                <w:szCs w:val="22"/>
              </w:rPr>
            </w:pPr>
            <w:r w:rsidRPr="00A746CF">
              <w:rPr>
                <w:sz w:val="22"/>
                <w:szCs w:val="22"/>
              </w:rPr>
              <w:t xml:space="preserve">3,302 Medicare fee-for-serve decedents linked to the </w:t>
            </w:r>
            <w:r w:rsidR="00766CE2">
              <w:rPr>
                <w:sz w:val="22"/>
                <w:szCs w:val="22"/>
              </w:rPr>
              <w:t>HRS</w:t>
            </w:r>
            <w:r w:rsidRPr="00A746CF">
              <w:rPr>
                <w:sz w:val="22"/>
                <w:szCs w:val="22"/>
              </w:rPr>
              <w:t xml:space="preserve"> survey</w:t>
            </w:r>
          </w:p>
          <w:p w14:paraId="7C50E776" w14:textId="071301B3" w:rsidR="00340ED8" w:rsidRPr="00A746CF" w:rsidRDefault="00340ED8" w:rsidP="00633708">
            <w:pPr>
              <w:pStyle w:val="Noindent"/>
              <w:spacing w:line="240" w:lineRule="auto"/>
              <w:jc w:val="left"/>
              <w:rPr>
                <w:sz w:val="22"/>
                <w:szCs w:val="22"/>
              </w:rPr>
            </w:pPr>
            <w:r w:rsidRPr="00A746CF">
              <w:rPr>
                <w:sz w:val="22"/>
                <w:szCs w:val="22"/>
              </w:rPr>
              <w:t xml:space="preserve">  </w:t>
            </w:r>
          </w:p>
        </w:tc>
        <w:tc>
          <w:tcPr>
            <w:tcW w:w="1554" w:type="dxa"/>
            <w:shd w:val="clear" w:color="auto" w:fill="auto"/>
          </w:tcPr>
          <w:p w14:paraId="7F34E8E5" w14:textId="77777777" w:rsidR="00340ED8" w:rsidRPr="00A746CF" w:rsidRDefault="00340ED8" w:rsidP="00633708">
            <w:pPr>
              <w:pStyle w:val="Noindent"/>
              <w:spacing w:line="240" w:lineRule="auto"/>
              <w:jc w:val="left"/>
              <w:rPr>
                <w:sz w:val="22"/>
                <w:szCs w:val="22"/>
              </w:rPr>
            </w:pPr>
            <w:r w:rsidRPr="00A746CF">
              <w:rPr>
                <w:sz w:val="22"/>
                <w:szCs w:val="22"/>
              </w:rPr>
              <w:t>Prospective survey</w:t>
            </w:r>
          </w:p>
          <w:p w14:paraId="2BD7943A" w14:textId="77777777" w:rsidR="00340ED8" w:rsidRPr="00A746CF" w:rsidRDefault="00340ED8" w:rsidP="00633708">
            <w:pPr>
              <w:pStyle w:val="Noindent"/>
              <w:spacing w:line="240" w:lineRule="auto"/>
              <w:jc w:val="left"/>
              <w:rPr>
                <w:sz w:val="22"/>
                <w:szCs w:val="22"/>
              </w:rPr>
            </w:pPr>
          </w:p>
          <w:p w14:paraId="46CC9CC4" w14:textId="085E3271"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Retrospective case series of those who died</w:t>
            </w:r>
          </w:p>
        </w:tc>
        <w:tc>
          <w:tcPr>
            <w:tcW w:w="2429" w:type="dxa"/>
            <w:shd w:val="clear" w:color="auto" w:fill="auto"/>
          </w:tcPr>
          <w:p w14:paraId="32A6F1A2" w14:textId="20C1C376"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Medicare expenditures, life-sustaining treatments, hospice care, and in-hospital death in the last 6 months of life</w:t>
            </w:r>
          </w:p>
        </w:tc>
      </w:tr>
      <w:tr w:rsidR="00A746CF" w:rsidRPr="00A746CF" w14:paraId="08236BC3" w14:textId="77777777" w:rsidTr="00633708">
        <w:tc>
          <w:tcPr>
            <w:tcW w:w="1177" w:type="dxa"/>
            <w:shd w:val="clear" w:color="auto" w:fill="auto"/>
          </w:tcPr>
          <w:p w14:paraId="3AB420EB" w14:textId="5B984045" w:rsidR="00340ED8" w:rsidRPr="00A746CF" w:rsidRDefault="00340ED8" w:rsidP="00633708">
            <w:pPr>
              <w:pStyle w:val="Noindent"/>
              <w:spacing w:line="240" w:lineRule="auto"/>
              <w:jc w:val="left"/>
              <w:rPr>
                <w:sz w:val="22"/>
                <w:szCs w:val="22"/>
              </w:rPr>
            </w:pPr>
            <w:r w:rsidRPr="00A746CF">
              <w:rPr>
                <w:sz w:val="22"/>
                <w:szCs w:val="22"/>
              </w:rPr>
              <w:t>Zheng et al., 2011</w:t>
            </w:r>
          </w:p>
        </w:tc>
        <w:tc>
          <w:tcPr>
            <w:tcW w:w="1759" w:type="dxa"/>
            <w:shd w:val="clear" w:color="auto" w:fill="auto"/>
          </w:tcPr>
          <w:p w14:paraId="2B5FA05A" w14:textId="77777777" w:rsidR="00340ED8" w:rsidRPr="00A746CF" w:rsidRDefault="00340ED8" w:rsidP="00633708">
            <w:pPr>
              <w:pStyle w:val="Noindent"/>
              <w:spacing w:line="240" w:lineRule="auto"/>
              <w:jc w:val="left"/>
              <w:rPr>
                <w:sz w:val="22"/>
                <w:szCs w:val="22"/>
              </w:rPr>
            </w:pPr>
            <w:r w:rsidRPr="00A746CF">
              <w:rPr>
                <w:sz w:val="22"/>
                <w:szCs w:val="22"/>
              </w:rPr>
              <w:t>2005-2007</w:t>
            </w:r>
          </w:p>
        </w:tc>
        <w:tc>
          <w:tcPr>
            <w:tcW w:w="2369" w:type="dxa"/>
            <w:shd w:val="clear" w:color="auto" w:fill="auto"/>
          </w:tcPr>
          <w:p w14:paraId="0E977364" w14:textId="10C4F361" w:rsidR="00340ED8" w:rsidRPr="00A746CF" w:rsidRDefault="00340ED8" w:rsidP="00633708">
            <w:pPr>
              <w:pStyle w:val="Noindent"/>
              <w:spacing w:line="240" w:lineRule="auto"/>
              <w:jc w:val="left"/>
              <w:rPr>
                <w:sz w:val="22"/>
                <w:szCs w:val="22"/>
              </w:rPr>
            </w:pPr>
            <w:r w:rsidRPr="00A746CF">
              <w:rPr>
                <w:sz w:val="22"/>
                <w:szCs w:val="22"/>
              </w:rPr>
              <w:t>49,048 long-term care residents in 555 New York State nursing homes who died in the hospital based on Medicare inpatient and hospice claims</w:t>
            </w:r>
          </w:p>
        </w:tc>
        <w:tc>
          <w:tcPr>
            <w:tcW w:w="1554" w:type="dxa"/>
            <w:shd w:val="clear" w:color="auto" w:fill="auto"/>
          </w:tcPr>
          <w:p w14:paraId="63327CDF" w14:textId="77777777" w:rsidR="00340ED8" w:rsidRPr="00A746CF" w:rsidRDefault="00340ED8" w:rsidP="00633708">
            <w:pPr>
              <w:pStyle w:val="Noindent"/>
              <w:spacing w:line="240" w:lineRule="auto"/>
              <w:jc w:val="left"/>
              <w:rPr>
                <w:sz w:val="22"/>
                <w:szCs w:val="22"/>
              </w:rPr>
            </w:pPr>
            <w:r w:rsidRPr="00A746CF">
              <w:rPr>
                <w:sz w:val="22"/>
                <w:szCs w:val="22"/>
              </w:rPr>
              <w:t>Retrospective case series of decedents</w:t>
            </w:r>
          </w:p>
        </w:tc>
        <w:tc>
          <w:tcPr>
            <w:tcW w:w="2429" w:type="dxa"/>
            <w:shd w:val="clear" w:color="auto" w:fill="auto"/>
          </w:tcPr>
          <w:p w14:paraId="22ED6409" w14:textId="77777777" w:rsidR="00340ED8" w:rsidRPr="00A746CF" w:rsidRDefault="00340ED8" w:rsidP="00633708">
            <w:pPr>
              <w:pStyle w:val="Noindent"/>
              <w:spacing w:line="240" w:lineRule="auto"/>
              <w:jc w:val="left"/>
              <w:rPr>
                <w:sz w:val="22"/>
                <w:szCs w:val="22"/>
              </w:rPr>
            </w:pPr>
            <w:r w:rsidRPr="00A746CF">
              <w:rPr>
                <w:sz w:val="22"/>
                <w:szCs w:val="22"/>
              </w:rPr>
              <w:t xml:space="preserve">Hospice use and in-hospital death within eight days of nursing home transfer </w:t>
            </w:r>
          </w:p>
        </w:tc>
      </w:tr>
    </w:tbl>
    <w:p w14:paraId="13212A34" w14:textId="68A51D7C" w:rsidR="00334F18" w:rsidRDefault="00334F18"/>
    <w:p w14:paraId="216911BD" w14:textId="4EAA4B25" w:rsidR="00334F18" w:rsidRDefault="00766CE2" w:rsidP="00334F18">
      <w:pPr>
        <w:pStyle w:val="Caption"/>
        <w:keepNext/>
        <w:ind w:firstLine="0"/>
        <w:jc w:val="center"/>
      </w:pPr>
      <w:r>
        <w:lastRenderedPageBreak/>
        <w:t>Table 1 Continued</w:t>
      </w:r>
    </w:p>
    <w:tbl>
      <w:tblPr>
        <w:tblpPr w:leftFromText="180" w:rightFromText="180" w:vertAnchor="text" w:tblpX="108"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acteristics of Included Studies"/>
      </w:tblPr>
      <w:tblGrid>
        <w:gridCol w:w="1177"/>
        <w:gridCol w:w="1759"/>
        <w:gridCol w:w="2369"/>
        <w:gridCol w:w="1554"/>
        <w:gridCol w:w="2429"/>
      </w:tblGrid>
      <w:tr w:rsidR="00334F18" w:rsidRPr="00A746CF" w14:paraId="14005035" w14:textId="77777777" w:rsidTr="00633708">
        <w:tc>
          <w:tcPr>
            <w:tcW w:w="1177" w:type="dxa"/>
            <w:shd w:val="clear" w:color="auto" w:fill="auto"/>
          </w:tcPr>
          <w:p w14:paraId="3D7EBF1F" w14:textId="6112BBB2" w:rsidR="00334F18" w:rsidRPr="00A746CF" w:rsidRDefault="00334F18" w:rsidP="00633708">
            <w:pPr>
              <w:pStyle w:val="Noindent"/>
              <w:spacing w:line="240" w:lineRule="auto"/>
              <w:jc w:val="left"/>
              <w:rPr>
                <w:sz w:val="22"/>
                <w:szCs w:val="22"/>
              </w:rPr>
            </w:pPr>
            <w:r w:rsidRPr="00A746CF">
              <w:rPr>
                <w:sz w:val="22"/>
                <w:szCs w:val="22"/>
              </w:rPr>
              <w:t>Author</w:t>
            </w:r>
          </w:p>
        </w:tc>
        <w:tc>
          <w:tcPr>
            <w:tcW w:w="1759" w:type="dxa"/>
            <w:shd w:val="clear" w:color="auto" w:fill="auto"/>
          </w:tcPr>
          <w:p w14:paraId="4276EB18" w14:textId="26B77CA0" w:rsidR="00334F18" w:rsidRPr="00A746CF" w:rsidRDefault="00334F18" w:rsidP="00633708">
            <w:pPr>
              <w:pStyle w:val="Noindent"/>
              <w:spacing w:line="240" w:lineRule="auto"/>
              <w:jc w:val="left"/>
              <w:rPr>
                <w:sz w:val="22"/>
                <w:szCs w:val="22"/>
              </w:rPr>
            </w:pPr>
            <w:r w:rsidRPr="00A746CF">
              <w:rPr>
                <w:sz w:val="22"/>
                <w:szCs w:val="22"/>
              </w:rPr>
              <w:t>Study Year</w:t>
            </w:r>
          </w:p>
        </w:tc>
        <w:tc>
          <w:tcPr>
            <w:tcW w:w="2369" w:type="dxa"/>
            <w:shd w:val="clear" w:color="auto" w:fill="auto"/>
          </w:tcPr>
          <w:p w14:paraId="6725C199" w14:textId="6834BB3F" w:rsidR="00334F18" w:rsidRPr="00A746CF" w:rsidRDefault="00334F18" w:rsidP="00633708">
            <w:pPr>
              <w:pStyle w:val="Noindent"/>
              <w:spacing w:line="240" w:lineRule="auto"/>
              <w:jc w:val="left"/>
              <w:rPr>
                <w:sz w:val="22"/>
                <w:szCs w:val="22"/>
              </w:rPr>
            </w:pPr>
            <w:r w:rsidRPr="00A746CF">
              <w:rPr>
                <w:sz w:val="22"/>
                <w:szCs w:val="22"/>
              </w:rPr>
              <w:t>Cohort</w:t>
            </w:r>
          </w:p>
        </w:tc>
        <w:tc>
          <w:tcPr>
            <w:tcW w:w="1554" w:type="dxa"/>
            <w:shd w:val="clear" w:color="auto" w:fill="auto"/>
          </w:tcPr>
          <w:p w14:paraId="2E80E82B" w14:textId="4A0057C6" w:rsidR="00334F18" w:rsidRPr="00A746CF" w:rsidRDefault="00334F18" w:rsidP="00633708">
            <w:pPr>
              <w:pStyle w:val="Noindent"/>
              <w:spacing w:line="240" w:lineRule="auto"/>
              <w:jc w:val="left"/>
              <w:rPr>
                <w:sz w:val="22"/>
                <w:szCs w:val="22"/>
              </w:rPr>
            </w:pPr>
            <w:r w:rsidRPr="00A746CF">
              <w:rPr>
                <w:sz w:val="22"/>
                <w:szCs w:val="22"/>
              </w:rPr>
              <w:t>Design</w:t>
            </w:r>
          </w:p>
        </w:tc>
        <w:tc>
          <w:tcPr>
            <w:tcW w:w="2429" w:type="dxa"/>
            <w:shd w:val="clear" w:color="auto" w:fill="auto"/>
          </w:tcPr>
          <w:p w14:paraId="22578E71" w14:textId="0A341263" w:rsidR="00334F18" w:rsidRPr="00A746CF" w:rsidRDefault="00334F18" w:rsidP="00633708">
            <w:pPr>
              <w:pStyle w:val="Noindent"/>
              <w:spacing w:line="240" w:lineRule="auto"/>
              <w:jc w:val="left"/>
              <w:rPr>
                <w:sz w:val="22"/>
                <w:szCs w:val="22"/>
              </w:rPr>
            </w:pPr>
            <w:r w:rsidRPr="00A746CF">
              <w:rPr>
                <w:sz w:val="22"/>
                <w:szCs w:val="22"/>
              </w:rPr>
              <w:t>Measure</w:t>
            </w:r>
          </w:p>
        </w:tc>
      </w:tr>
      <w:tr w:rsidR="00A746CF" w:rsidRPr="00A746CF" w14:paraId="26AAB8D4" w14:textId="77777777" w:rsidTr="00633708">
        <w:tc>
          <w:tcPr>
            <w:tcW w:w="1177" w:type="dxa"/>
            <w:shd w:val="clear" w:color="auto" w:fill="auto"/>
          </w:tcPr>
          <w:p w14:paraId="51E9DE0C" w14:textId="77777777" w:rsidR="00340ED8" w:rsidRPr="00A746CF" w:rsidRDefault="00340ED8" w:rsidP="00633708">
            <w:pPr>
              <w:pStyle w:val="Noindent"/>
              <w:spacing w:line="240" w:lineRule="auto"/>
              <w:jc w:val="left"/>
              <w:rPr>
                <w:sz w:val="22"/>
                <w:szCs w:val="22"/>
              </w:rPr>
            </w:pPr>
            <w:r w:rsidRPr="00A746CF">
              <w:rPr>
                <w:sz w:val="22"/>
                <w:szCs w:val="22"/>
              </w:rPr>
              <w:t>Barnato et al., 2012</w:t>
            </w:r>
          </w:p>
        </w:tc>
        <w:tc>
          <w:tcPr>
            <w:tcW w:w="1759" w:type="dxa"/>
            <w:shd w:val="clear" w:color="auto" w:fill="auto"/>
          </w:tcPr>
          <w:p w14:paraId="13F853C5" w14:textId="77777777" w:rsidR="00340ED8" w:rsidRPr="00A746CF" w:rsidRDefault="00340ED8" w:rsidP="00633708">
            <w:pPr>
              <w:pStyle w:val="Noindent"/>
              <w:spacing w:line="240" w:lineRule="auto"/>
              <w:jc w:val="left"/>
              <w:rPr>
                <w:sz w:val="22"/>
                <w:szCs w:val="22"/>
              </w:rPr>
            </w:pPr>
            <w:r w:rsidRPr="00A746CF">
              <w:rPr>
                <w:sz w:val="22"/>
                <w:szCs w:val="22"/>
              </w:rPr>
              <w:t>2008-2009</w:t>
            </w:r>
          </w:p>
        </w:tc>
        <w:tc>
          <w:tcPr>
            <w:tcW w:w="2369" w:type="dxa"/>
            <w:shd w:val="clear" w:color="auto" w:fill="auto"/>
          </w:tcPr>
          <w:p w14:paraId="38B26523" w14:textId="441CD2DB" w:rsidR="00340ED8" w:rsidRPr="00A746CF" w:rsidRDefault="00766CE2" w:rsidP="00633708">
            <w:pPr>
              <w:pStyle w:val="Noindent"/>
              <w:spacing w:line="240" w:lineRule="auto"/>
              <w:jc w:val="left"/>
              <w:rPr>
                <w:sz w:val="22"/>
                <w:szCs w:val="22"/>
              </w:rPr>
            </w:pPr>
            <w:r>
              <w:rPr>
                <w:sz w:val="22"/>
                <w:szCs w:val="22"/>
              </w:rPr>
              <w:t xml:space="preserve">Observed 80 and 73 patients. </w:t>
            </w:r>
            <w:r w:rsidR="00340ED8" w:rsidRPr="00A746CF">
              <w:rPr>
                <w:sz w:val="22"/>
                <w:szCs w:val="22"/>
              </w:rPr>
              <w:t xml:space="preserve">Interviewed 23 </w:t>
            </w:r>
            <w:r>
              <w:rPr>
                <w:sz w:val="22"/>
                <w:szCs w:val="22"/>
              </w:rPr>
              <w:t>and 26 staff and three and four patients and families at a</w:t>
            </w:r>
            <w:r w:rsidR="00340ED8" w:rsidRPr="00A746CF">
              <w:rPr>
                <w:sz w:val="22"/>
                <w:szCs w:val="22"/>
              </w:rPr>
              <w:t xml:space="preserve"> low intensity academic medical center (AMC) and high intensity</w:t>
            </w:r>
            <w:r>
              <w:rPr>
                <w:sz w:val="22"/>
                <w:szCs w:val="22"/>
              </w:rPr>
              <w:t xml:space="preserve"> </w:t>
            </w:r>
            <w:r w:rsidR="00340ED8" w:rsidRPr="00A746CF">
              <w:rPr>
                <w:sz w:val="22"/>
                <w:szCs w:val="22"/>
              </w:rPr>
              <w:t>AMC, respectively.</w:t>
            </w:r>
          </w:p>
        </w:tc>
        <w:tc>
          <w:tcPr>
            <w:tcW w:w="1554" w:type="dxa"/>
            <w:shd w:val="clear" w:color="auto" w:fill="auto"/>
          </w:tcPr>
          <w:p w14:paraId="2EDECEE0"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Mixed methods case study at</w:t>
            </w:r>
          </w:p>
          <w:p w14:paraId="34B33514" w14:textId="77777777" w:rsidR="00340ED8" w:rsidRPr="00A746CF" w:rsidRDefault="00340ED8" w:rsidP="00633708">
            <w:pPr>
              <w:pStyle w:val="Noindent"/>
              <w:spacing w:line="240" w:lineRule="auto"/>
              <w:jc w:val="left"/>
              <w:rPr>
                <w:sz w:val="22"/>
                <w:szCs w:val="22"/>
              </w:rPr>
            </w:pPr>
            <w:r w:rsidRPr="00A746CF">
              <w:rPr>
                <w:sz w:val="22"/>
                <w:szCs w:val="22"/>
              </w:rPr>
              <w:t>each AMC</w:t>
            </w:r>
          </w:p>
        </w:tc>
        <w:tc>
          <w:tcPr>
            <w:tcW w:w="2429" w:type="dxa"/>
            <w:shd w:val="clear" w:color="auto" w:fill="auto"/>
          </w:tcPr>
          <w:p w14:paraId="5A08019A" w14:textId="77777777" w:rsidR="00340ED8" w:rsidRPr="00A746CF" w:rsidRDefault="00340ED8" w:rsidP="00633708">
            <w:pPr>
              <w:autoSpaceDE w:val="0"/>
              <w:autoSpaceDN w:val="0"/>
              <w:adjustRightInd w:val="0"/>
              <w:spacing w:line="240" w:lineRule="auto"/>
              <w:ind w:firstLine="0"/>
              <w:jc w:val="left"/>
              <w:rPr>
                <w:sz w:val="22"/>
                <w:szCs w:val="22"/>
              </w:rPr>
            </w:pPr>
            <w:r w:rsidRPr="00A746CF">
              <w:rPr>
                <w:sz w:val="22"/>
                <w:szCs w:val="22"/>
              </w:rPr>
              <w:t>Patterns of decision making regarding</w:t>
            </w:r>
          </w:p>
          <w:p w14:paraId="003259C6" w14:textId="77777777" w:rsidR="00340ED8" w:rsidRPr="00A746CF" w:rsidRDefault="00340ED8" w:rsidP="00633708">
            <w:pPr>
              <w:pStyle w:val="Noindent"/>
              <w:tabs>
                <w:tab w:val="left" w:pos="760"/>
              </w:tabs>
              <w:spacing w:line="240" w:lineRule="auto"/>
              <w:jc w:val="left"/>
              <w:rPr>
                <w:sz w:val="22"/>
                <w:szCs w:val="22"/>
              </w:rPr>
            </w:pPr>
            <w:r w:rsidRPr="00A746CF">
              <w:rPr>
                <w:sz w:val="22"/>
                <w:szCs w:val="22"/>
              </w:rPr>
              <w:t xml:space="preserve">initiation, continuation, and withdrawal of life-sustaining treatment </w:t>
            </w:r>
          </w:p>
        </w:tc>
      </w:tr>
      <w:tr w:rsidR="00A746CF" w:rsidRPr="00A746CF" w14:paraId="1584F65D" w14:textId="77777777" w:rsidTr="00633708">
        <w:tc>
          <w:tcPr>
            <w:tcW w:w="1177" w:type="dxa"/>
            <w:shd w:val="clear" w:color="auto" w:fill="auto"/>
          </w:tcPr>
          <w:p w14:paraId="7E8163D2" w14:textId="77777777" w:rsidR="00340ED8" w:rsidRPr="00A746CF" w:rsidRDefault="00340ED8" w:rsidP="00633708">
            <w:pPr>
              <w:pStyle w:val="Noindent"/>
              <w:spacing w:line="240" w:lineRule="auto"/>
              <w:jc w:val="left"/>
              <w:rPr>
                <w:sz w:val="22"/>
                <w:szCs w:val="22"/>
              </w:rPr>
            </w:pPr>
            <w:r w:rsidRPr="00A746CF">
              <w:rPr>
                <w:sz w:val="22"/>
                <w:szCs w:val="22"/>
              </w:rPr>
              <w:t>Barnett et al., 2012</w:t>
            </w:r>
          </w:p>
        </w:tc>
        <w:tc>
          <w:tcPr>
            <w:tcW w:w="1759" w:type="dxa"/>
            <w:shd w:val="clear" w:color="auto" w:fill="auto"/>
          </w:tcPr>
          <w:p w14:paraId="44DF7077" w14:textId="77777777" w:rsidR="00340ED8" w:rsidRPr="00A746CF" w:rsidRDefault="00340ED8" w:rsidP="00633708">
            <w:pPr>
              <w:pStyle w:val="Noindent"/>
              <w:spacing w:line="240" w:lineRule="auto"/>
              <w:jc w:val="left"/>
              <w:rPr>
                <w:sz w:val="22"/>
                <w:szCs w:val="22"/>
              </w:rPr>
            </w:pPr>
            <w:r w:rsidRPr="00A746CF">
              <w:rPr>
                <w:sz w:val="22"/>
                <w:szCs w:val="22"/>
              </w:rPr>
              <w:t>2006 CMS encounter data, 2006 American Medical Association (AMA) and American Hospital Association (AHA) descriptive data, and 2001-2005 Dartmouth Atlas cost and intensity data</w:t>
            </w:r>
          </w:p>
        </w:tc>
        <w:tc>
          <w:tcPr>
            <w:tcW w:w="2369" w:type="dxa"/>
            <w:shd w:val="clear" w:color="auto" w:fill="auto"/>
          </w:tcPr>
          <w:p w14:paraId="4AEA64C4" w14:textId="77777777" w:rsidR="00340ED8" w:rsidRPr="00A746CF" w:rsidRDefault="00340ED8" w:rsidP="00633708">
            <w:pPr>
              <w:pStyle w:val="Noindent"/>
              <w:spacing w:line="240" w:lineRule="auto"/>
              <w:jc w:val="left"/>
              <w:rPr>
                <w:sz w:val="22"/>
                <w:szCs w:val="22"/>
              </w:rPr>
            </w:pPr>
            <w:r w:rsidRPr="00A746CF">
              <w:rPr>
                <w:sz w:val="22"/>
                <w:szCs w:val="22"/>
              </w:rPr>
              <w:t>2.6 million Medicare Part A and B fee-for-service patients hospitalized for one of nine life-threatening conditions in the last two years of life (61,146 physicians associated with 528 hospitals)</w:t>
            </w:r>
          </w:p>
        </w:tc>
        <w:tc>
          <w:tcPr>
            <w:tcW w:w="1554" w:type="dxa"/>
            <w:shd w:val="clear" w:color="auto" w:fill="auto"/>
          </w:tcPr>
          <w:p w14:paraId="1D287D62" w14:textId="20D1E18B" w:rsidR="00340ED8" w:rsidRPr="00A746CF" w:rsidRDefault="00340ED8" w:rsidP="00633708">
            <w:pPr>
              <w:pStyle w:val="Noindent"/>
              <w:spacing w:line="240" w:lineRule="auto"/>
              <w:jc w:val="left"/>
              <w:rPr>
                <w:sz w:val="22"/>
                <w:szCs w:val="22"/>
              </w:rPr>
            </w:pPr>
            <w:r w:rsidRPr="00A746CF">
              <w:rPr>
                <w:sz w:val="22"/>
                <w:szCs w:val="22"/>
              </w:rPr>
              <w:t>Retrospective case series of Medicare fee-for-service patients hospitalized at least once in last two years of life</w:t>
            </w:r>
            <w:r w:rsidRPr="00A746CF">
              <w:rPr>
                <w:sz w:val="22"/>
                <w:szCs w:val="22"/>
              </w:rPr>
              <w:br/>
            </w:r>
            <w:r w:rsidRPr="00A746CF">
              <w:rPr>
                <w:sz w:val="22"/>
                <w:szCs w:val="22"/>
              </w:rPr>
              <w:br/>
              <w:t>Ecologic study for correlation of aggregate measures</w:t>
            </w:r>
          </w:p>
        </w:tc>
        <w:tc>
          <w:tcPr>
            <w:tcW w:w="2429" w:type="dxa"/>
            <w:shd w:val="clear" w:color="auto" w:fill="auto"/>
          </w:tcPr>
          <w:p w14:paraId="355EEBB3" w14:textId="2F6BCA3B" w:rsidR="00340ED8" w:rsidRPr="00A746CF" w:rsidRDefault="00340ED8" w:rsidP="00633708">
            <w:pPr>
              <w:pStyle w:val="Noindent"/>
              <w:spacing w:line="240" w:lineRule="auto"/>
              <w:jc w:val="left"/>
              <w:rPr>
                <w:sz w:val="22"/>
                <w:szCs w:val="22"/>
              </w:rPr>
            </w:pPr>
            <w:r w:rsidRPr="00A746CF">
              <w:rPr>
                <w:sz w:val="22"/>
                <w:szCs w:val="22"/>
              </w:rPr>
              <w:t xml:space="preserve">Hospital-level spending (three measures) and intensity (six measures)  in </w:t>
            </w:r>
            <w:r w:rsidR="00766CE2">
              <w:rPr>
                <w:sz w:val="22"/>
                <w:szCs w:val="22"/>
              </w:rPr>
              <w:t xml:space="preserve">the </w:t>
            </w:r>
            <w:r w:rsidRPr="00A746CF">
              <w:rPr>
                <w:sz w:val="22"/>
                <w:szCs w:val="22"/>
              </w:rPr>
              <w:t>last two years of life</w:t>
            </w:r>
          </w:p>
        </w:tc>
      </w:tr>
      <w:tr w:rsidR="00A746CF" w:rsidRPr="00A746CF" w14:paraId="5EBA7CAD" w14:textId="77777777" w:rsidTr="00633708">
        <w:tc>
          <w:tcPr>
            <w:tcW w:w="1177" w:type="dxa"/>
            <w:shd w:val="clear" w:color="auto" w:fill="auto"/>
          </w:tcPr>
          <w:p w14:paraId="1F18E150" w14:textId="7922F3C8" w:rsidR="00340ED8" w:rsidRPr="00B109D2" w:rsidRDefault="00340ED8" w:rsidP="00633708">
            <w:pPr>
              <w:pStyle w:val="Noindent"/>
              <w:spacing w:line="240" w:lineRule="auto"/>
              <w:jc w:val="left"/>
              <w:rPr>
                <w:sz w:val="22"/>
                <w:szCs w:val="22"/>
              </w:rPr>
            </w:pPr>
            <w:r w:rsidRPr="00B109D2">
              <w:rPr>
                <w:sz w:val="22"/>
                <w:szCs w:val="22"/>
              </w:rPr>
              <w:t>Miesfeldt  et al., 2012</w:t>
            </w:r>
          </w:p>
        </w:tc>
        <w:tc>
          <w:tcPr>
            <w:tcW w:w="1759" w:type="dxa"/>
            <w:shd w:val="clear" w:color="auto" w:fill="auto"/>
          </w:tcPr>
          <w:p w14:paraId="188888D1" w14:textId="4CEF33B8" w:rsidR="00340ED8" w:rsidRPr="00B109D2" w:rsidRDefault="00340ED8" w:rsidP="00633708">
            <w:pPr>
              <w:pStyle w:val="Noindent"/>
              <w:spacing w:line="240" w:lineRule="auto"/>
              <w:jc w:val="left"/>
              <w:rPr>
                <w:sz w:val="22"/>
                <w:szCs w:val="22"/>
              </w:rPr>
            </w:pPr>
            <w:r w:rsidRPr="00B109D2">
              <w:rPr>
                <w:sz w:val="22"/>
                <w:szCs w:val="22"/>
              </w:rPr>
              <w:t>2003 to 2007</w:t>
            </w:r>
          </w:p>
        </w:tc>
        <w:tc>
          <w:tcPr>
            <w:tcW w:w="2369" w:type="dxa"/>
            <w:shd w:val="clear" w:color="auto" w:fill="auto"/>
          </w:tcPr>
          <w:p w14:paraId="48F569BB" w14:textId="0FA0019F" w:rsidR="00340ED8" w:rsidRPr="00B109D2" w:rsidRDefault="00340ED8" w:rsidP="00633708">
            <w:pPr>
              <w:pStyle w:val="Noindent"/>
              <w:spacing w:line="240" w:lineRule="auto"/>
              <w:jc w:val="left"/>
              <w:rPr>
                <w:sz w:val="22"/>
                <w:szCs w:val="22"/>
              </w:rPr>
            </w:pPr>
            <w:r w:rsidRPr="00B109D2">
              <w:rPr>
                <w:sz w:val="22"/>
                <w:szCs w:val="22"/>
              </w:rPr>
              <w:t>235,821 Medicare fee-for-service cancer decedents</w:t>
            </w:r>
          </w:p>
        </w:tc>
        <w:tc>
          <w:tcPr>
            <w:tcW w:w="1554" w:type="dxa"/>
            <w:shd w:val="clear" w:color="auto" w:fill="auto"/>
          </w:tcPr>
          <w:p w14:paraId="09E6006E" w14:textId="086AFA32" w:rsidR="00340ED8" w:rsidRPr="00B109D2" w:rsidRDefault="00340ED8" w:rsidP="00633708">
            <w:pPr>
              <w:pStyle w:val="Noindent"/>
              <w:spacing w:line="240" w:lineRule="auto"/>
              <w:jc w:val="left"/>
              <w:rPr>
                <w:sz w:val="22"/>
                <w:szCs w:val="22"/>
              </w:rPr>
            </w:pPr>
            <w:r w:rsidRPr="00B109D2">
              <w:rPr>
                <w:sz w:val="22"/>
                <w:szCs w:val="22"/>
              </w:rPr>
              <w:t>Retrospective case series of those who died with cancer</w:t>
            </w:r>
          </w:p>
        </w:tc>
        <w:tc>
          <w:tcPr>
            <w:tcW w:w="2429" w:type="dxa"/>
            <w:shd w:val="clear" w:color="auto" w:fill="auto"/>
          </w:tcPr>
          <w:p w14:paraId="57AB391A" w14:textId="2BACA806" w:rsidR="00340ED8" w:rsidRPr="00B109D2" w:rsidRDefault="00340ED8" w:rsidP="00633708">
            <w:pPr>
              <w:pStyle w:val="Noindent"/>
              <w:spacing w:line="240" w:lineRule="auto"/>
              <w:jc w:val="left"/>
              <w:rPr>
                <w:sz w:val="22"/>
                <w:szCs w:val="22"/>
              </w:rPr>
            </w:pPr>
            <w:r w:rsidRPr="00B109D2">
              <w:rPr>
                <w:sz w:val="22"/>
                <w:szCs w:val="22"/>
              </w:rPr>
              <w:t>Proportion with more than one hospitalization or ER visit in the last 30 days of life, an admission to ICU in the last 30 days, a death in an acute care hospital, chemotherapy in the last 14 and 30 days of life, no admission to hospice within the last 6 months of life, and admission to</w:t>
            </w:r>
            <w:r w:rsidR="00766CE2">
              <w:rPr>
                <w:sz w:val="22"/>
                <w:szCs w:val="22"/>
              </w:rPr>
              <w:t xml:space="preserve"> hospice within 3 days of death</w:t>
            </w:r>
          </w:p>
        </w:tc>
      </w:tr>
    </w:tbl>
    <w:p w14:paraId="6360FB58" w14:textId="2C8673E5" w:rsidR="00334F18" w:rsidRDefault="00334F18"/>
    <w:p w14:paraId="3D18DAF4" w14:textId="2A67B4B7" w:rsidR="00334F18" w:rsidRDefault="00334F18"/>
    <w:p w14:paraId="678C9064" w14:textId="735974DC" w:rsidR="00334F18" w:rsidRDefault="00334F18"/>
    <w:p w14:paraId="49E5100F" w14:textId="69CFCDF5" w:rsidR="00334F18" w:rsidRDefault="00334F18"/>
    <w:p w14:paraId="641D2890" w14:textId="7611B4B0" w:rsidR="00334F18" w:rsidRDefault="00334F18" w:rsidP="00633708">
      <w:pPr>
        <w:pStyle w:val="Caption"/>
        <w:keepNext/>
        <w:tabs>
          <w:tab w:val="left" w:pos="9270"/>
        </w:tabs>
        <w:ind w:right="90" w:firstLine="0"/>
        <w:jc w:val="center"/>
      </w:pPr>
      <w:r>
        <w:lastRenderedPageBreak/>
        <w:t>Table 1 Continued</w:t>
      </w:r>
    </w:p>
    <w:tbl>
      <w:tblPr>
        <w:tblpPr w:leftFromText="180" w:rightFromText="180" w:vertAnchor="text" w:tblpX="108"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acteristics of Included Studies"/>
      </w:tblPr>
      <w:tblGrid>
        <w:gridCol w:w="1177"/>
        <w:gridCol w:w="1759"/>
        <w:gridCol w:w="2212"/>
        <w:gridCol w:w="1554"/>
        <w:gridCol w:w="2512"/>
      </w:tblGrid>
      <w:tr w:rsidR="00334F18" w:rsidRPr="00A746CF" w14:paraId="2992AADB" w14:textId="77777777" w:rsidTr="00633708">
        <w:tc>
          <w:tcPr>
            <w:tcW w:w="1177" w:type="dxa"/>
            <w:shd w:val="clear" w:color="auto" w:fill="auto"/>
          </w:tcPr>
          <w:p w14:paraId="0099040E" w14:textId="096FBC55" w:rsidR="00334F18" w:rsidRPr="00B109D2" w:rsidRDefault="00334F18" w:rsidP="00633708">
            <w:pPr>
              <w:pStyle w:val="Noindent"/>
              <w:spacing w:line="240" w:lineRule="auto"/>
              <w:jc w:val="left"/>
              <w:rPr>
                <w:sz w:val="22"/>
                <w:szCs w:val="22"/>
              </w:rPr>
            </w:pPr>
            <w:r w:rsidRPr="00A746CF">
              <w:rPr>
                <w:sz w:val="22"/>
                <w:szCs w:val="22"/>
              </w:rPr>
              <w:t>Author</w:t>
            </w:r>
          </w:p>
        </w:tc>
        <w:tc>
          <w:tcPr>
            <w:tcW w:w="1759" w:type="dxa"/>
            <w:shd w:val="clear" w:color="auto" w:fill="auto"/>
          </w:tcPr>
          <w:p w14:paraId="093D3613" w14:textId="1E98C44D" w:rsidR="00334F18" w:rsidRPr="00B109D2" w:rsidRDefault="00334F18" w:rsidP="00633708">
            <w:pPr>
              <w:pStyle w:val="Noindent"/>
              <w:spacing w:line="240" w:lineRule="auto"/>
              <w:jc w:val="left"/>
              <w:rPr>
                <w:sz w:val="22"/>
                <w:szCs w:val="22"/>
              </w:rPr>
            </w:pPr>
            <w:r w:rsidRPr="00A746CF">
              <w:rPr>
                <w:sz w:val="22"/>
                <w:szCs w:val="22"/>
              </w:rPr>
              <w:t>Study Year</w:t>
            </w:r>
          </w:p>
        </w:tc>
        <w:tc>
          <w:tcPr>
            <w:tcW w:w="2212" w:type="dxa"/>
            <w:shd w:val="clear" w:color="auto" w:fill="auto"/>
          </w:tcPr>
          <w:p w14:paraId="0C503818" w14:textId="65AF7305" w:rsidR="00334F18" w:rsidRPr="00B109D2" w:rsidRDefault="00334F18" w:rsidP="00633708">
            <w:pPr>
              <w:pStyle w:val="Noindent"/>
              <w:spacing w:line="240" w:lineRule="auto"/>
              <w:jc w:val="left"/>
              <w:rPr>
                <w:sz w:val="22"/>
                <w:szCs w:val="22"/>
              </w:rPr>
            </w:pPr>
            <w:r w:rsidRPr="00A746CF">
              <w:rPr>
                <w:sz w:val="22"/>
                <w:szCs w:val="22"/>
              </w:rPr>
              <w:t>Cohort</w:t>
            </w:r>
          </w:p>
        </w:tc>
        <w:tc>
          <w:tcPr>
            <w:tcW w:w="1554" w:type="dxa"/>
            <w:shd w:val="clear" w:color="auto" w:fill="auto"/>
          </w:tcPr>
          <w:p w14:paraId="7C84B0BE" w14:textId="16DC77BC" w:rsidR="00334F18" w:rsidRPr="00B109D2" w:rsidRDefault="00334F18" w:rsidP="00633708">
            <w:pPr>
              <w:pStyle w:val="Noindent"/>
              <w:spacing w:line="240" w:lineRule="auto"/>
              <w:jc w:val="left"/>
              <w:rPr>
                <w:sz w:val="22"/>
                <w:szCs w:val="22"/>
              </w:rPr>
            </w:pPr>
            <w:r w:rsidRPr="00A746CF">
              <w:rPr>
                <w:sz w:val="22"/>
                <w:szCs w:val="22"/>
              </w:rPr>
              <w:t>Design</w:t>
            </w:r>
          </w:p>
        </w:tc>
        <w:tc>
          <w:tcPr>
            <w:tcW w:w="2512" w:type="dxa"/>
            <w:shd w:val="clear" w:color="auto" w:fill="auto"/>
          </w:tcPr>
          <w:p w14:paraId="097D5E2D" w14:textId="22EA36DF" w:rsidR="00334F18" w:rsidRPr="00B109D2" w:rsidRDefault="00334F18" w:rsidP="00633708">
            <w:pPr>
              <w:pStyle w:val="Noindent"/>
              <w:spacing w:line="240" w:lineRule="auto"/>
              <w:jc w:val="left"/>
              <w:rPr>
                <w:sz w:val="22"/>
                <w:szCs w:val="22"/>
              </w:rPr>
            </w:pPr>
            <w:r w:rsidRPr="00A746CF">
              <w:rPr>
                <w:sz w:val="22"/>
                <w:szCs w:val="22"/>
              </w:rPr>
              <w:t>Measure</w:t>
            </w:r>
          </w:p>
        </w:tc>
      </w:tr>
      <w:tr w:rsidR="00E2511F" w:rsidRPr="00A746CF" w14:paraId="31743C24" w14:textId="77777777" w:rsidTr="00633708">
        <w:tc>
          <w:tcPr>
            <w:tcW w:w="1177" w:type="dxa"/>
            <w:shd w:val="clear" w:color="auto" w:fill="auto"/>
          </w:tcPr>
          <w:p w14:paraId="71B4FC67" w14:textId="7639C258" w:rsidR="00E2511F" w:rsidRPr="00B109D2" w:rsidRDefault="00E2511F" w:rsidP="00633708">
            <w:pPr>
              <w:pStyle w:val="Noindent"/>
              <w:spacing w:line="240" w:lineRule="auto"/>
              <w:jc w:val="left"/>
              <w:rPr>
                <w:sz w:val="22"/>
                <w:szCs w:val="22"/>
              </w:rPr>
            </w:pPr>
            <w:r w:rsidRPr="00B109D2">
              <w:rPr>
                <w:sz w:val="22"/>
                <w:szCs w:val="22"/>
              </w:rPr>
              <w:t>Baker et al., 2014</w:t>
            </w:r>
          </w:p>
        </w:tc>
        <w:tc>
          <w:tcPr>
            <w:tcW w:w="1759" w:type="dxa"/>
            <w:shd w:val="clear" w:color="auto" w:fill="auto"/>
          </w:tcPr>
          <w:p w14:paraId="4743DE40" w14:textId="188340D7" w:rsidR="00E2511F" w:rsidRPr="00B109D2" w:rsidRDefault="009357BC" w:rsidP="00633708">
            <w:pPr>
              <w:pStyle w:val="Noindent"/>
              <w:spacing w:line="240" w:lineRule="auto"/>
              <w:jc w:val="left"/>
              <w:rPr>
                <w:sz w:val="22"/>
                <w:szCs w:val="22"/>
              </w:rPr>
            </w:pPr>
            <w:r w:rsidRPr="00B109D2">
              <w:rPr>
                <w:sz w:val="22"/>
                <w:szCs w:val="22"/>
              </w:rPr>
              <w:t>2005 survey, 2005 mortality and spending data, and 2016 supply data from the Dartmouth Atlas</w:t>
            </w:r>
          </w:p>
        </w:tc>
        <w:tc>
          <w:tcPr>
            <w:tcW w:w="2212" w:type="dxa"/>
            <w:shd w:val="clear" w:color="auto" w:fill="auto"/>
          </w:tcPr>
          <w:p w14:paraId="11B20735" w14:textId="44813869" w:rsidR="00E2511F" w:rsidRPr="00B109D2" w:rsidRDefault="009357BC" w:rsidP="00633708">
            <w:pPr>
              <w:pStyle w:val="Noindent"/>
              <w:spacing w:line="240" w:lineRule="auto"/>
              <w:jc w:val="left"/>
              <w:rPr>
                <w:sz w:val="22"/>
                <w:szCs w:val="22"/>
              </w:rPr>
            </w:pPr>
            <w:r w:rsidRPr="00B109D2">
              <w:rPr>
                <w:sz w:val="22"/>
                <w:szCs w:val="22"/>
              </w:rPr>
              <w:t>4,000 Medicare fee-for-service decedents</w:t>
            </w:r>
          </w:p>
        </w:tc>
        <w:tc>
          <w:tcPr>
            <w:tcW w:w="1554" w:type="dxa"/>
            <w:shd w:val="clear" w:color="auto" w:fill="auto"/>
          </w:tcPr>
          <w:p w14:paraId="567B814D" w14:textId="69653F4C" w:rsidR="009357BC" w:rsidRPr="00B109D2" w:rsidRDefault="009357BC" w:rsidP="00633708">
            <w:pPr>
              <w:pStyle w:val="Noindent"/>
              <w:spacing w:line="240" w:lineRule="auto"/>
              <w:jc w:val="left"/>
              <w:rPr>
                <w:sz w:val="22"/>
                <w:szCs w:val="22"/>
              </w:rPr>
            </w:pPr>
            <w:r w:rsidRPr="00B109D2">
              <w:rPr>
                <w:sz w:val="22"/>
                <w:szCs w:val="22"/>
              </w:rPr>
              <w:t>Cross-sectional survey</w:t>
            </w:r>
          </w:p>
          <w:p w14:paraId="6C3A2A09" w14:textId="77777777" w:rsidR="009357BC" w:rsidRPr="00B109D2" w:rsidRDefault="009357BC" w:rsidP="00633708">
            <w:pPr>
              <w:spacing w:line="240" w:lineRule="auto"/>
            </w:pPr>
          </w:p>
          <w:p w14:paraId="75CB3A71" w14:textId="5B1C4E73" w:rsidR="00E2511F" w:rsidRPr="00B109D2" w:rsidRDefault="009357BC" w:rsidP="00633708">
            <w:pPr>
              <w:pStyle w:val="Noindent"/>
              <w:spacing w:line="240" w:lineRule="auto"/>
              <w:jc w:val="left"/>
              <w:rPr>
                <w:sz w:val="22"/>
                <w:szCs w:val="22"/>
              </w:rPr>
            </w:pPr>
            <w:r w:rsidRPr="00B109D2">
              <w:rPr>
                <w:sz w:val="22"/>
                <w:szCs w:val="22"/>
              </w:rPr>
              <w:t>Ecological study</w:t>
            </w:r>
          </w:p>
        </w:tc>
        <w:tc>
          <w:tcPr>
            <w:tcW w:w="2512" w:type="dxa"/>
            <w:shd w:val="clear" w:color="auto" w:fill="auto"/>
          </w:tcPr>
          <w:p w14:paraId="108DF81D" w14:textId="27A49828" w:rsidR="00E2511F" w:rsidRPr="00B109D2" w:rsidRDefault="004A0281" w:rsidP="00633708">
            <w:pPr>
              <w:pStyle w:val="Noindent"/>
              <w:spacing w:line="240" w:lineRule="auto"/>
              <w:jc w:val="left"/>
              <w:rPr>
                <w:sz w:val="22"/>
                <w:szCs w:val="22"/>
              </w:rPr>
            </w:pPr>
            <w:r w:rsidRPr="00B109D2">
              <w:rPr>
                <w:sz w:val="22"/>
                <w:szCs w:val="22"/>
              </w:rPr>
              <w:t>Medicare spending and preferences around</w:t>
            </w:r>
            <w:r w:rsidR="009357BC" w:rsidRPr="00B109D2">
              <w:rPr>
                <w:sz w:val="22"/>
                <w:szCs w:val="22"/>
              </w:rPr>
              <w:t xml:space="preserve"> </w:t>
            </w:r>
            <w:r w:rsidRPr="00B109D2">
              <w:rPr>
                <w:sz w:val="22"/>
                <w:szCs w:val="22"/>
              </w:rPr>
              <w:t xml:space="preserve">physicians, health status, and health care in the last six months of life across </w:t>
            </w:r>
            <w:r w:rsidR="00766CE2">
              <w:rPr>
                <w:sz w:val="22"/>
                <w:szCs w:val="22"/>
              </w:rPr>
              <w:t>HRRs</w:t>
            </w:r>
          </w:p>
        </w:tc>
      </w:tr>
      <w:tr w:rsidR="00A746CF" w:rsidRPr="00A746CF" w14:paraId="16C94610" w14:textId="77777777" w:rsidTr="00633708">
        <w:tc>
          <w:tcPr>
            <w:tcW w:w="1177" w:type="dxa"/>
            <w:shd w:val="clear" w:color="auto" w:fill="auto"/>
          </w:tcPr>
          <w:p w14:paraId="4A1DD32D" w14:textId="6ACEDDDD" w:rsidR="00340ED8" w:rsidRPr="00A746CF" w:rsidRDefault="00340ED8" w:rsidP="00633708">
            <w:pPr>
              <w:pStyle w:val="Noindent"/>
              <w:spacing w:line="240" w:lineRule="auto"/>
              <w:jc w:val="left"/>
              <w:rPr>
                <w:sz w:val="22"/>
                <w:szCs w:val="22"/>
              </w:rPr>
            </w:pPr>
            <w:r w:rsidRPr="00A746CF">
              <w:rPr>
                <w:sz w:val="22"/>
                <w:szCs w:val="22"/>
              </w:rPr>
              <w:t>Barnato et al., 2014</w:t>
            </w:r>
          </w:p>
        </w:tc>
        <w:tc>
          <w:tcPr>
            <w:tcW w:w="1759" w:type="dxa"/>
            <w:shd w:val="clear" w:color="auto" w:fill="auto"/>
          </w:tcPr>
          <w:p w14:paraId="753B44F4" w14:textId="79D142AF" w:rsidR="00340ED8" w:rsidRPr="00A746CF" w:rsidRDefault="00340ED8" w:rsidP="00633708">
            <w:pPr>
              <w:pStyle w:val="Noindent"/>
              <w:spacing w:line="240" w:lineRule="auto"/>
              <w:jc w:val="left"/>
              <w:rPr>
                <w:sz w:val="22"/>
                <w:szCs w:val="22"/>
              </w:rPr>
            </w:pPr>
            <w:r w:rsidRPr="00A746CF">
              <w:rPr>
                <w:sz w:val="22"/>
                <w:szCs w:val="22"/>
              </w:rPr>
              <w:t>2009</w:t>
            </w:r>
          </w:p>
        </w:tc>
        <w:tc>
          <w:tcPr>
            <w:tcW w:w="2212" w:type="dxa"/>
            <w:shd w:val="clear" w:color="auto" w:fill="auto"/>
          </w:tcPr>
          <w:p w14:paraId="7DD13C26" w14:textId="0A59F2AE" w:rsidR="00340ED8" w:rsidRPr="00A746CF" w:rsidRDefault="00340ED8" w:rsidP="00633708">
            <w:pPr>
              <w:pStyle w:val="Noindent"/>
              <w:spacing w:line="240" w:lineRule="auto"/>
              <w:jc w:val="left"/>
              <w:rPr>
                <w:sz w:val="22"/>
                <w:szCs w:val="22"/>
              </w:rPr>
            </w:pPr>
            <w:r w:rsidRPr="00A746CF">
              <w:rPr>
                <w:sz w:val="22"/>
                <w:szCs w:val="22"/>
              </w:rPr>
              <w:t xml:space="preserve">48 physicians from two </w:t>
            </w:r>
            <w:r w:rsidR="00766CE2">
              <w:rPr>
                <w:sz w:val="22"/>
                <w:szCs w:val="22"/>
              </w:rPr>
              <w:t xml:space="preserve">AMCs, using two </w:t>
            </w:r>
            <w:r w:rsidRPr="00A746CF">
              <w:rPr>
                <w:sz w:val="22"/>
                <w:szCs w:val="22"/>
              </w:rPr>
              <w:t>standardized actors of a critically ill 78 year old with metastatic gastric cancer</w:t>
            </w:r>
          </w:p>
        </w:tc>
        <w:tc>
          <w:tcPr>
            <w:tcW w:w="1554" w:type="dxa"/>
            <w:shd w:val="clear" w:color="auto" w:fill="auto"/>
          </w:tcPr>
          <w:p w14:paraId="5EFD7337" w14:textId="0DAEA8D9" w:rsidR="00340ED8" w:rsidRPr="00A746CF" w:rsidRDefault="00340ED8" w:rsidP="00633708">
            <w:pPr>
              <w:pStyle w:val="Noindent"/>
              <w:spacing w:line="240" w:lineRule="auto"/>
              <w:jc w:val="left"/>
              <w:rPr>
                <w:sz w:val="22"/>
                <w:szCs w:val="22"/>
              </w:rPr>
            </w:pPr>
            <w:r w:rsidRPr="00A746CF">
              <w:rPr>
                <w:sz w:val="22"/>
                <w:szCs w:val="22"/>
              </w:rPr>
              <w:t xml:space="preserve">Mixed methods interview and survey of physicians based on </w:t>
            </w:r>
            <w:r w:rsidR="00766CE2">
              <w:rPr>
                <w:sz w:val="22"/>
                <w:szCs w:val="22"/>
              </w:rPr>
              <w:t>a simulated case</w:t>
            </w:r>
          </w:p>
        </w:tc>
        <w:tc>
          <w:tcPr>
            <w:tcW w:w="2512" w:type="dxa"/>
            <w:shd w:val="clear" w:color="auto" w:fill="auto"/>
          </w:tcPr>
          <w:p w14:paraId="3C39F719" w14:textId="40C96C37" w:rsidR="00340ED8" w:rsidRPr="00A746CF" w:rsidRDefault="00340ED8" w:rsidP="00633708">
            <w:pPr>
              <w:pStyle w:val="Noindent"/>
              <w:spacing w:line="240" w:lineRule="auto"/>
              <w:jc w:val="left"/>
              <w:rPr>
                <w:sz w:val="22"/>
                <w:szCs w:val="22"/>
              </w:rPr>
            </w:pPr>
            <w:r w:rsidRPr="00A746CF">
              <w:rPr>
                <w:sz w:val="22"/>
                <w:szCs w:val="22"/>
              </w:rPr>
              <w:t>Treatment plan, prognosis, diagnosis, case perceptions, and clinical reasoning across AMCs</w:t>
            </w:r>
          </w:p>
        </w:tc>
      </w:tr>
      <w:tr w:rsidR="00A746CF" w:rsidRPr="00A746CF" w14:paraId="7C53001F" w14:textId="77777777" w:rsidTr="00633708">
        <w:tc>
          <w:tcPr>
            <w:tcW w:w="1177" w:type="dxa"/>
            <w:shd w:val="clear" w:color="auto" w:fill="auto"/>
          </w:tcPr>
          <w:p w14:paraId="62E7A292" w14:textId="06C6F61B" w:rsidR="00340ED8" w:rsidRPr="00A746CF" w:rsidRDefault="00340ED8" w:rsidP="00633708">
            <w:pPr>
              <w:pStyle w:val="Noindent"/>
              <w:spacing w:line="240" w:lineRule="auto"/>
              <w:jc w:val="left"/>
              <w:rPr>
                <w:sz w:val="22"/>
                <w:szCs w:val="22"/>
              </w:rPr>
            </w:pPr>
            <w:r w:rsidRPr="00A746CF">
              <w:rPr>
                <w:sz w:val="22"/>
                <w:szCs w:val="22"/>
              </w:rPr>
              <w:t>Tschirhart et al., 2014</w:t>
            </w:r>
          </w:p>
        </w:tc>
        <w:tc>
          <w:tcPr>
            <w:tcW w:w="1759" w:type="dxa"/>
            <w:shd w:val="clear" w:color="auto" w:fill="auto"/>
          </w:tcPr>
          <w:p w14:paraId="6B549540" w14:textId="19DC15DE" w:rsidR="00340ED8" w:rsidRPr="00A746CF" w:rsidRDefault="00340ED8" w:rsidP="00633708">
            <w:pPr>
              <w:pStyle w:val="Noindent"/>
              <w:spacing w:line="240" w:lineRule="auto"/>
              <w:jc w:val="left"/>
              <w:rPr>
                <w:sz w:val="22"/>
                <w:szCs w:val="22"/>
              </w:rPr>
            </w:pPr>
            <w:r w:rsidRPr="00A746CF">
              <w:rPr>
                <w:sz w:val="22"/>
                <w:szCs w:val="22"/>
              </w:rPr>
              <w:t>2002 to 2008 HRS linked to Medicare fee-for-serve claims</w:t>
            </w:r>
          </w:p>
        </w:tc>
        <w:tc>
          <w:tcPr>
            <w:tcW w:w="2212" w:type="dxa"/>
            <w:shd w:val="clear" w:color="auto" w:fill="auto"/>
          </w:tcPr>
          <w:p w14:paraId="26EEACC4" w14:textId="2B3FB7FF" w:rsidR="00340ED8" w:rsidRPr="00A746CF" w:rsidRDefault="00340ED8" w:rsidP="00633708">
            <w:pPr>
              <w:pStyle w:val="Noindent"/>
              <w:spacing w:line="240" w:lineRule="auto"/>
              <w:jc w:val="left"/>
              <w:rPr>
                <w:sz w:val="22"/>
                <w:szCs w:val="22"/>
              </w:rPr>
            </w:pPr>
            <w:r w:rsidRPr="00A746CF">
              <w:rPr>
                <w:sz w:val="22"/>
                <w:szCs w:val="22"/>
              </w:rPr>
              <w:t>3,069 HRS decedents over age 65 linked to Medicare claims</w:t>
            </w:r>
          </w:p>
        </w:tc>
        <w:tc>
          <w:tcPr>
            <w:tcW w:w="1554" w:type="dxa"/>
            <w:shd w:val="clear" w:color="auto" w:fill="auto"/>
          </w:tcPr>
          <w:p w14:paraId="46827D04" w14:textId="77777777" w:rsidR="00340ED8" w:rsidRPr="00A746CF" w:rsidRDefault="00340ED8" w:rsidP="00633708">
            <w:pPr>
              <w:pStyle w:val="Noindent"/>
              <w:spacing w:line="240" w:lineRule="auto"/>
              <w:jc w:val="left"/>
              <w:rPr>
                <w:sz w:val="22"/>
                <w:szCs w:val="22"/>
              </w:rPr>
            </w:pPr>
            <w:r w:rsidRPr="00A746CF">
              <w:rPr>
                <w:sz w:val="22"/>
                <w:szCs w:val="22"/>
              </w:rPr>
              <w:t>Prospective survey</w:t>
            </w:r>
          </w:p>
          <w:p w14:paraId="1702D1F4" w14:textId="77777777" w:rsidR="00340ED8" w:rsidRPr="00A746CF" w:rsidRDefault="00340ED8" w:rsidP="00633708">
            <w:pPr>
              <w:pStyle w:val="Noindent"/>
              <w:spacing w:line="240" w:lineRule="auto"/>
              <w:jc w:val="left"/>
              <w:rPr>
                <w:sz w:val="22"/>
                <w:szCs w:val="22"/>
              </w:rPr>
            </w:pPr>
          </w:p>
          <w:p w14:paraId="2D66A010" w14:textId="623D4CC3" w:rsidR="00340ED8" w:rsidRPr="00A746CF" w:rsidRDefault="00340ED8" w:rsidP="00633708">
            <w:pPr>
              <w:pStyle w:val="Noindent"/>
              <w:spacing w:line="240" w:lineRule="auto"/>
              <w:jc w:val="left"/>
              <w:rPr>
                <w:sz w:val="22"/>
                <w:szCs w:val="22"/>
              </w:rPr>
            </w:pPr>
            <w:r w:rsidRPr="00A746CF">
              <w:rPr>
                <w:sz w:val="22"/>
                <w:szCs w:val="22"/>
              </w:rPr>
              <w:t>Retrospective case series of those who died</w:t>
            </w:r>
          </w:p>
        </w:tc>
        <w:tc>
          <w:tcPr>
            <w:tcW w:w="2512" w:type="dxa"/>
            <w:shd w:val="clear" w:color="auto" w:fill="auto"/>
          </w:tcPr>
          <w:p w14:paraId="55175CE1" w14:textId="74AD633A" w:rsidR="00340ED8" w:rsidRPr="00A746CF" w:rsidRDefault="00766CE2" w:rsidP="00633708">
            <w:pPr>
              <w:pStyle w:val="Noindent"/>
              <w:spacing w:line="240" w:lineRule="auto"/>
              <w:jc w:val="left"/>
              <w:rPr>
                <w:sz w:val="22"/>
                <w:szCs w:val="22"/>
              </w:rPr>
            </w:pPr>
            <w:r>
              <w:rPr>
                <w:sz w:val="22"/>
                <w:szCs w:val="22"/>
              </w:rPr>
              <w:t>The proportion of dece</w:t>
            </w:r>
            <w:r w:rsidR="00340ED8" w:rsidRPr="00A746CF">
              <w:rPr>
                <w:sz w:val="22"/>
                <w:szCs w:val="22"/>
              </w:rPr>
              <w:t>dents who received intubation and mechanical ventilation, tracheostomy, gastrostomy tub insertion, enteral and parenteral nutrition, or cardiopulmonary resuscitation in the last six months of life</w:t>
            </w:r>
          </w:p>
        </w:tc>
      </w:tr>
      <w:tr w:rsidR="00A746CF" w:rsidRPr="00A746CF" w14:paraId="73C1B31E" w14:textId="77777777" w:rsidTr="00633708">
        <w:tc>
          <w:tcPr>
            <w:tcW w:w="1177" w:type="dxa"/>
            <w:shd w:val="clear" w:color="auto" w:fill="auto"/>
          </w:tcPr>
          <w:p w14:paraId="7927EA9C" w14:textId="20CEE066" w:rsidR="00340ED8" w:rsidRPr="00A746CF" w:rsidRDefault="00340ED8" w:rsidP="00633708">
            <w:pPr>
              <w:pStyle w:val="Noindent"/>
              <w:spacing w:line="240" w:lineRule="auto"/>
              <w:jc w:val="left"/>
              <w:rPr>
                <w:sz w:val="22"/>
                <w:szCs w:val="22"/>
              </w:rPr>
            </w:pPr>
            <w:r w:rsidRPr="00A746CF">
              <w:rPr>
                <w:sz w:val="22"/>
                <w:szCs w:val="22"/>
              </w:rPr>
              <w:t>Hart et al., 2015</w:t>
            </w:r>
          </w:p>
        </w:tc>
        <w:tc>
          <w:tcPr>
            <w:tcW w:w="1759" w:type="dxa"/>
            <w:shd w:val="clear" w:color="auto" w:fill="auto"/>
          </w:tcPr>
          <w:p w14:paraId="0B60571D" w14:textId="3B836B4B" w:rsidR="00340ED8" w:rsidRPr="00A746CF" w:rsidRDefault="00340ED8" w:rsidP="00633708">
            <w:pPr>
              <w:pStyle w:val="Noindent"/>
              <w:spacing w:line="240" w:lineRule="auto"/>
              <w:jc w:val="left"/>
              <w:rPr>
                <w:sz w:val="22"/>
                <w:szCs w:val="22"/>
              </w:rPr>
            </w:pPr>
            <w:r w:rsidRPr="00A746CF">
              <w:rPr>
                <w:sz w:val="22"/>
                <w:szCs w:val="22"/>
              </w:rPr>
              <w:t>April 1, 2011 to December 31, 2008 (Project IMPACT ICU clinical information system)</w:t>
            </w:r>
          </w:p>
        </w:tc>
        <w:tc>
          <w:tcPr>
            <w:tcW w:w="2212" w:type="dxa"/>
            <w:shd w:val="clear" w:color="auto" w:fill="auto"/>
          </w:tcPr>
          <w:p w14:paraId="09FAB181" w14:textId="3BB7E59A" w:rsidR="00340ED8" w:rsidRPr="00A746CF" w:rsidRDefault="00340ED8" w:rsidP="00633708">
            <w:pPr>
              <w:pStyle w:val="Noindent"/>
              <w:spacing w:line="240" w:lineRule="auto"/>
              <w:jc w:val="left"/>
              <w:rPr>
                <w:sz w:val="22"/>
                <w:szCs w:val="22"/>
              </w:rPr>
            </w:pPr>
            <w:r w:rsidRPr="00A746CF">
              <w:rPr>
                <w:sz w:val="22"/>
                <w:szCs w:val="22"/>
              </w:rPr>
              <w:t xml:space="preserve">277,693 ICU patient visits in 141 ICUs in 105 hospitals </w:t>
            </w:r>
          </w:p>
        </w:tc>
        <w:tc>
          <w:tcPr>
            <w:tcW w:w="1554" w:type="dxa"/>
            <w:shd w:val="clear" w:color="auto" w:fill="auto"/>
          </w:tcPr>
          <w:p w14:paraId="71785DA7" w14:textId="18F0181E" w:rsidR="00340ED8" w:rsidRPr="00A746CF" w:rsidRDefault="00340ED8" w:rsidP="00633708">
            <w:pPr>
              <w:pStyle w:val="Noindent"/>
              <w:spacing w:line="240" w:lineRule="auto"/>
              <w:jc w:val="left"/>
              <w:rPr>
                <w:sz w:val="22"/>
                <w:szCs w:val="22"/>
              </w:rPr>
            </w:pPr>
            <w:r w:rsidRPr="00A746CF">
              <w:rPr>
                <w:sz w:val="22"/>
                <w:szCs w:val="22"/>
              </w:rPr>
              <w:t>Retrospective cohort survey</w:t>
            </w:r>
          </w:p>
        </w:tc>
        <w:tc>
          <w:tcPr>
            <w:tcW w:w="2512" w:type="dxa"/>
            <w:shd w:val="clear" w:color="auto" w:fill="auto"/>
          </w:tcPr>
          <w:p w14:paraId="31ADCDEC" w14:textId="220E7E7E" w:rsidR="00340ED8" w:rsidRPr="00A746CF" w:rsidRDefault="00340ED8" w:rsidP="00633708">
            <w:pPr>
              <w:pStyle w:val="Noindent"/>
              <w:spacing w:line="240" w:lineRule="auto"/>
              <w:jc w:val="left"/>
              <w:rPr>
                <w:sz w:val="22"/>
                <w:szCs w:val="22"/>
              </w:rPr>
            </w:pPr>
            <w:r w:rsidRPr="00A746CF">
              <w:rPr>
                <w:sz w:val="22"/>
                <w:szCs w:val="22"/>
              </w:rPr>
              <w:t>Among ICU patients with limitations on life-sustaining treatments, the proportion who received cardiopulmonary resuscitation, new forms of life support, and the addition or rev</w:t>
            </w:r>
            <w:r w:rsidR="00766CE2">
              <w:rPr>
                <w:sz w:val="22"/>
                <w:szCs w:val="22"/>
              </w:rPr>
              <w:t>ersal of treatment limitations</w:t>
            </w:r>
          </w:p>
        </w:tc>
      </w:tr>
    </w:tbl>
    <w:p w14:paraId="0F6325E9" w14:textId="77777777" w:rsidR="00E2511F" w:rsidRDefault="00E2511F" w:rsidP="00C7312D">
      <w:pPr>
        <w:autoSpaceDE w:val="0"/>
        <w:autoSpaceDN w:val="0"/>
        <w:adjustRightInd w:val="0"/>
        <w:spacing w:line="240" w:lineRule="auto"/>
        <w:ind w:firstLine="0"/>
        <w:jc w:val="left"/>
        <w:rPr>
          <w:rFonts w:ascii="AdvTT92610610.B" w:hAnsi="AdvTT92610610.B" w:cs="AdvTT92610610.B"/>
          <w:color w:val="131313"/>
          <w:sz w:val="13"/>
          <w:szCs w:val="13"/>
        </w:rPr>
      </w:pPr>
    </w:p>
    <w:p w14:paraId="28EC1A70" w14:textId="7600950E" w:rsidR="00CD1CAF" w:rsidRDefault="00A746CF" w:rsidP="00C7312D">
      <w:pPr>
        <w:autoSpaceDE w:val="0"/>
        <w:autoSpaceDN w:val="0"/>
        <w:adjustRightInd w:val="0"/>
        <w:spacing w:line="240" w:lineRule="auto"/>
        <w:ind w:firstLine="0"/>
        <w:jc w:val="left"/>
        <w:rPr>
          <w:rFonts w:ascii="AdvTT92610610.B" w:hAnsi="AdvTT92610610.B" w:cs="AdvTT92610610.B"/>
          <w:color w:val="131313"/>
          <w:sz w:val="13"/>
          <w:szCs w:val="13"/>
        </w:rPr>
      </w:pPr>
      <w:r>
        <w:rPr>
          <w:rFonts w:ascii="AdvTT92610610.B" w:hAnsi="AdvTT92610610.B" w:cs="AdvTT92610610.B"/>
          <w:color w:val="131313"/>
          <w:sz w:val="13"/>
          <w:szCs w:val="13"/>
        </w:rPr>
        <w:br w:type="textWrapping" w:clear="all"/>
      </w:r>
    </w:p>
    <w:p w14:paraId="04BF0D90" w14:textId="2D6494C1" w:rsidR="008F1D5C" w:rsidRDefault="008F1D5C" w:rsidP="008F1D5C">
      <w:pPr>
        <w:pStyle w:val="ListParagraph"/>
        <w:ind w:left="0" w:firstLine="720"/>
      </w:pPr>
    </w:p>
    <w:p w14:paraId="06AB69BD" w14:textId="55E12CDB" w:rsidR="00334F18" w:rsidRDefault="00334F18" w:rsidP="008F1D5C">
      <w:pPr>
        <w:pStyle w:val="ListParagraph"/>
        <w:ind w:left="0" w:firstLine="720"/>
      </w:pPr>
    </w:p>
    <w:p w14:paraId="3A82ACB8" w14:textId="4C4B004E" w:rsidR="00334F18" w:rsidRDefault="00334F18" w:rsidP="008F1D5C">
      <w:pPr>
        <w:pStyle w:val="ListParagraph"/>
        <w:ind w:left="0" w:firstLine="720"/>
      </w:pPr>
    </w:p>
    <w:p w14:paraId="7457A106" w14:textId="7897F367" w:rsidR="00334F18" w:rsidRDefault="00334F18" w:rsidP="008F1D5C">
      <w:pPr>
        <w:pStyle w:val="ListParagraph"/>
        <w:ind w:left="0" w:firstLine="720"/>
      </w:pPr>
    </w:p>
    <w:p w14:paraId="7861BCFC" w14:textId="6EDE3B6F" w:rsidR="00334F18" w:rsidRDefault="00334F18" w:rsidP="008F1D5C">
      <w:pPr>
        <w:pStyle w:val="ListParagraph"/>
        <w:ind w:left="0" w:firstLine="720"/>
      </w:pPr>
    </w:p>
    <w:p w14:paraId="5E9B0B28" w14:textId="77777777" w:rsidR="00334F18" w:rsidRDefault="00334F18" w:rsidP="008F1D5C">
      <w:pPr>
        <w:pStyle w:val="ListParagraph"/>
        <w:ind w:left="0" w:firstLine="720"/>
      </w:pPr>
    </w:p>
    <w:p w14:paraId="21177AF2" w14:textId="77777777" w:rsidR="00766CE2" w:rsidRDefault="00766CE2" w:rsidP="008F1D5C">
      <w:pPr>
        <w:pStyle w:val="ListParagraph"/>
        <w:ind w:left="0" w:firstLine="720"/>
      </w:pPr>
    </w:p>
    <w:p w14:paraId="63C4899E" w14:textId="77777777" w:rsidR="00766CE2" w:rsidRDefault="00766CE2" w:rsidP="008F1D5C">
      <w:pPr>
        <w:pStyle w:val="ListParagraph"/>
        <w:ind w:left="0" w:firstLine="720"/>
      </w:pPr>
    </w:p>
    <w:p w14:paraId="3077FCBE" w14:textId="77777777" w:rsidR="00E175F7" w:rsidRPr="005A647B" w:rsidRDefault="00E175F7" w:rsidP="005A647B">
      <w:pPr>
        <w:tabs>
          <w:tab w:val="left" w:pos="9270"/>
        </w:tabs>
        <w:spacing w:line="240" w:lineRule="auto"/>
        <w:ind w:firstLine="0"/>
        <w:jc w:val="center"/>
        <w:rPr>
          <w:sz w:val="20"/>
          <w:szCs w:val="20"/>
        </w:rPr>
      </w:pPr>
    </w:p>
    <w:p w14:paraId="0627DE0B" w14:textId="0D76FCAF" w:rsidR="008F0264" w:rsidRDefault="008F0264" w:rsidP="008F0264">
      <w:pPr>
        <w:pStyle w:val="Caption"/>
        <w:keepNext/>
        <w:ind w:firstLine="0"/>
        <w:jc w:val="center"/>
      </w:pPr>
      <w:bookmarkStart w:id="12" w:name="_Toc480035042"/>
      <w:r>
        <w:lastRenderedPageBreak/>
        <w:t xml:space="preserve">Table </w:t>
      </w:r>
      <w:r w:rsidR="002C7D4F">
        <w:fldChar w:fldCharType="begin"/>
      </w:r>
      <w:r w:rsidR="002C7D4F">
        <w:instrText xml:space="preserve"> SEQ Table \* ARABIC </w:instrText>
      </w:r>
      <w:r w:rsidR="002C7D4F">
        <w:fldChar w:fldCharType="separate"/>
      </w:r>
      <w:r w:rsidR="00E151B5">
        <w:rPr>
          <w:noProof/>
        </w:rPr>
        <w:t>2</w:t>
      </w:r>
      <w:r w:rsidR="002C7D4F">
        <w:rPr>
          <w:noProof/>
        </w:rPr>
        <w:fldChar w:fldCharType="end"/>
      </w:r>
      <w:r w:rsidR="00766CE2">
        <w:t xml:space="preserve">: </w:t>
      </w:r>
      <w:r w:rsidRPr="001D0AA1">
        <w:t>Primary Findings of Included Studies</w:t>
      </w:r>
      <w:bookmarkEnd w:id="12"/>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137"/>
      </w:tblGrid>
      <w:tr w:rsidR="00157788" w:rsidRPr="00EC1707" w14:paraId="02F0CBB1" w14:textId="77777777" w:rsidTr="00633708">
        <w:tc>
          <w:tcPr>
            <w:tcW w:w="1133" w:type="dxa"/>
            <w:shd w:val="clear" w:color="auto" w:fill="auto"/>
          </w:tcPr>
          <w:p w14:paraId="427DF761" w14:textId="77777777" w:rsidR="00157788" w:rsidRPr="00EC1707" w:rsidRDefault="00157788" w:rsidP="002302D2">
            <w:pPr>
              <w:pStyle w:val="Noindent"/>
              <w:spacing w:line="240" w:lineRule="auto"/>
              <w:rPr>
                <w:sz w:val="22"/>
                <w:szCs w:val="22"/>
              </w:rPr>
            </w:pPr>
            <w:r w:rsidRPr="00EC1707">
              <w:rPr>
                <w:sz w:val="22"/>
                <w:szCs w:val="22"/>
              </w:rPr>
              <w:t>Author</w:t>
            </w:r>
          </w:p>
        </w:tc>
        <w:tc>
          <w:tcPr>
            <w:tcW w:w="8137" w:type="dxa"/>
            <w:shd w:val="clear" w:color="auto" w:fill="auto"/>
          </w:tcPr>
          <w:p w14:paraId="75882498" w14:textId="77777777" w:rsidR="00157788" w:rsidRPr="00EC1707" w:rsidRDefault="00E175F7" w:rsidP="002302D2">
            <w:pPr>
              <w:pStyle w:val="Noindent"/>
              <w:spacing w:line="240" w:lineRule="auto"/>
              <w:jc w:val="left"/>
              <w:rPr>
                <w:sz w:val="22"/>
                <w:szCs w:val="22"/>
              </w:rPr>
            </w:pPr>
            <w:r w:rsidRPr="00EC1707">
              <w:rPr>
                <w:sz w:val="22"/>
                <w:szCs w:val="22"/>
              </w:rPr>
              <w:t xml:space="preserve">Primary </w:t>
            </w:r>
            <w:r w:rsidR="00157788" w:rsidRPr="00EC1707">
              <w:rPr>
                <w:sz w:val="22"/>
                <w:szCs w:val="22"/>
              </w:rPr>
              <w:t>Findings</w:t>
            </w:r>
          </w:p>
        </w:tc>
      </w:tr>
      <w:tr w:rsidR="00D8096D" w:rsidRPr="00EC1707" w14:paraId="092E4B7F" w14:textId="77777777" w:rsidTr="00633708">
        <w:tc>
          <w:tcPr>
            <w:tcW w:w="1133" w:type="dxa"/>
            <w:shd w:val="clear" w:color="auto" w:fill="auto"/>
          </w:tcPr>
          <w:p w14:paraId="4F4C95D2" w14:textId="13DB4B5E" w:rsidR="00D8096D" w:rsidRPr="006A24A4" w:rsidRDefault="00D8096D" w:rsidP="00CF3150">
            <w:pPr>
              <w:pStyle w:val="Noindent"/>
              <w:spacing w:line="240" w:lineRule="auto"/>
              <w:jc w:val="left"/>
              <w:rPr>
                <w:sz w:val="22"/>
                <w:szCs w:val="22"/>
              </w:rPr>
            </w:pPr>
            <w:r w:rsidRPr="006A24A4">
              <w:rPr>
                <w:sz w:val="22"/>
                <w:szCs w:val="22"/>
              </w:rPr>
              <w:t>Cher and Lenert, 1997</w:t>
            </w:r>
          </w:p>
        </w:tc>
        <w:tc>
          <w:tcPr>
            <w:tcW w:w="8137" w:type="dxa"/>
            <w:shd w:val="clear" w:color="auto" w:fill="auto"/>
          </w:tcPr>
          <w:p w14:paraId="481C8530" w14:textId="0857EA82" w:rsidR="00D8096D" w:rsidRPr="006A24A4" w:rsidRDefault="00D8096D" w:rsidP="00766CE2">
            <w:pPr>
              <w:pStyle w:val="Noindent"/>
              <w:spacing w:line="240" w:lineRule="auto"/>
              <w:jc w:val="left"/>
              <w:rPr>
                <w:sz w:val="22"/>
                <w:szCs w:val="22"/>
              </w:rPr>
            </w:pPr>
            <w:r w:rsidRPr="006A24A4">
              <w:rPr>
                <w:sz w:val="22"/>
                <w:szCs w:val="22"/>
              </w:rPr>
              <w:t>The occurrence of potentially ineffective care was less common among Medicare managed care beneficiaries than Medicare fee-service beneficiaries (</w:t>
            </w:r>
            <w:r w:rsidR="00766CE2">
              <w:rPr>
                <w:sz w:val="22"/>
                <w:szCs w:val="22"/>
              </w:rPr>
              <w:t>adjusted odds ratio [AOR]</w:t>
            </w:r>
            <w:r w:rsidRPr="006A24A4">
              <w:rPr>
                <w:sz w:val="22"/>
                <w:szCs w:val="22"/>
              </w:rPr>
              <w:t xml:space="preserve"> </w:t>
            </w:r>
            <w:r w:rsidR="00766CE2">
              <w:rPr>
                <w:sz w:val="22"/>
                <w:szCs w:val="22"/>
              </w:rPr>
              <w:t xml:space="preserve">of 0.75 [95% CI </w:t>
            </w:r>
            <w:r w:rsidRPr="006A24A4">
              <w:rPr>
                <w:sz w:val="22"/>
                <w:szCs w:val="22"/>
              </w:rPr>
              <w:t>0.65-0.87]).</w:t>
            </w:r>
          </w:p>
        </w:tc>
      </w:tr>
      <w:tr w:rsidR="007D2D52" w:rsidRPr="00EC1707" w14:paraId="33FE9B06" w14:textId="77777777" w:rsidTr="00633708">
        <w:tc>
          <w:tcPr>
            <w:tcW w:w="1133" w:type="dxa"/>
            <w:shd w:val="clear" w:color="auto" w:fill="auto"/>
          </w:tcPr>
          <w:p w14:paraId="6AC2EB23" w14:textId="77777777" w:rsidR="007D2D52" w:rsidRPr="006A24A4" w:rsidRDefault="007D2D52" w:rsidP="007D2D52">
            <w:pPr>
              <w:pStyle w:val="Noindent"/>
              <w:spacing w:line="240" w:lineRule="auto"/>
              <w:jc w:val="left"/>
              <w:rPr>
                <w:sz w:val="22"/>
                <w:szCs w:val="22"/>
              </w:rPr>
            </w:pPr>
            <w:r w:rsidRPr="006A24A4">
              <w:rPr>
                <w:sz w:val="22"/>
                <w:szCs w:val="22"/>
              </w:rPr>
              <w:t>Pritchard, 1998</w:t>
            </w:r>
          </w:p>
        </w:tc>
        <w:tc>
          <w:tcPr>
            <w:tcW w:w="8137" w:type="dxa"/>
            <w:shd w:val="clear" w:color="auto" w:fill="auto"/>
          </w:tcPr>
          <w:p w14:paraId="52C39381" w14:textId="2FCC3B32" w:rsidR="007D2D52" w:rsidRPr="006A24A4" w:rsidRDefault="007D2D52" w:rsidP="007D2D52">
            <w:pPr>
              <w:autoSpaceDE w:val="0"/>
              <w:autoSpaceDN w:val="0"/>
              <w:adjustRightInd w:val="0"/>
              <w:spacing w:line="240" w:lineRule="auto"/>
              <w:ind w:firstLine="0"/>
              <w:jc w:val="left"/>
              <w:rPr>
                <w:sz w:val="22"/>
                <w:szCs w:val="22"/>
              </w:rPr>
            </w:pPr>
            <w:r w:rsidRPr="006A24A4">
              <w:rPr>
                <w:sz w:val="22"/>
                <w:szCs w:val="22"/>
              </w:rPr>
              <w:t>The percent dying in-hospital varied from 23% to 54% across U.S. Ho</w:t>
            </w:r>
            <w:r w:rsidR="002D546F" w:rsidRPr="006A24A4">
              <w:rPr>
                <w:sz w:val="22"/>
                <w:szCs w:val="22"/>
              </w:rPr>
              <w:t xml:space="preserve">spital Referral Regions (HRRs).  </w:t>
            </w:r>
            <w:r w:rsidRPr="006A24A4">
              <w:rPr>
                <w:sz w:val="22"/>
                <w:szCs w:val="22"/>
              </w:rPr>
              <w:t xml:space="preserve">The risk of in-hospital death increased for residents of regions with greater hospital bed availability and use. </w:t>
            </w:r>
            <w:r w:rsidR="00766CE2">
              <w:rPr>
                <w:sz w:val="22"/>
                <w:szCs w:val="22"/>
              </w:rPr>
              <w:t xml:space="preserve"> </w:t>
            </w:r>
            <w:r w:rsidRPr="006A24A4">
              <w:rPr>
                <w:sz w:val="22"/>
                <w:szCs w:val="22"/>
              </w:rPr>
              <w:t>In contrast, the risk of in-hospital death decreased in regions with greater nursing home and hospice availability and use.</w:t>
            </w:r>
          </w:p>
        </w:tc>
      </w:tr>
      <w:tr w:rsidR="007D2D52" w:rsidRPr="00EC1707" w14:paraId="7CA10682" w14:textId="77777777" w:rsidTr="00633708">
        <w:tc>
          <w:tcPr>
            <w:tcW w:w="1133" w:type="dxa"/>
            <w:shd w:val="clear" w:color="auto" w:fill="auto"/>
          </w:tcPr>
          <w:p w14:paraId="498E02E1" w14:textId="77777777" w:rsidR="007D2D52" w:rsidRPr="006A24A4" w:rsidRDefault="007D2D52" w:rsidP="007D2D52">
            <w:pPr>
              <w:pStyle w:val="Noindent"/>
              <w:spacing w:line="240" w:lineRule="auto"/>
              <w:jc w:val="left"/>
              <w:rPr>
                <w:sz w:val="22"/>
                <w:szCs w:val="22"/>
              </w:rPr>
            </w:pPr>
            <w:r w:rsidRPr="006A24A4">
              <w:rPr>
                <w:sz w:val="22"/>
                <w:szCs w:val="22"/>
              </w:rPr>
              <w:t>Fisher et al., 2003</w:t>
            </w:r>
          </w:p>
        </w:tc>
        <w:tc>
          <w:tcPr>
            <w:tcW w:w="8137" w:type="dxa"/>
            <w:shd w:val="clear" w:color="auto" w:fill="auto"/>
          </w:tcPr>
          <w:p w14:paraId="68115970" w14:textId="77777777" w:rsidR="007D2D52" w:rsidRPr="006A24A4" w:rsidRDefault="007D2D52" w:rsidP="007D2D52">
            <w:pPr>
              <w:autoSpaceDE w:val="0"/>
              <w:autoSpaceDN w:val="0"/>
              <w:adjustRightInd w:val="0"/>
              <w:spacing w:line="240" w:lineRule="auto"/>
              <w:ind w:firstLine="0"/>
              <w:jc w:val="left"/>
              <w:rPr>
                <w:sz w:val="22"/>
                <w:szCs w:val="22"/>
              </w:rPr>
            </w:pPr>
            <w:r w:rsidRPr="006A24A4">
              <w:rPr>
                <w:sz w:val="22"/>
                <w:szCs w:val="22"/>
              </w:rPr>
              <w:t>Higher-spending quintiles had more hospital beds and physicians, a higher proportion of large hospitals, teaching hospitals, and urban residents, more black patients, and more patients in the highest and lowest income categories.</w:t>
            </w:r>
          </w:p>
        </w:tc>
      </w:tr>
      <w:tr w:rsidR="008A4D0F" w:rsidRPr="00EC1707" w14:paraId="741F9C74" w14:textId="77777777" w:rsidTr="00633708">
        <w:tc>
          <w:tcPr>
            <w:tcW w:w="1133" w:type="dxa"/>
            <w:shd w:val="clear" w:color="auto" w:fill="auto"/>
          </w:tcPr>
          <w:p w14:paraId="6087AAD7" w14:textId="19B8B264" w:rsidR="008A4D0F" w:rsidRPr="006A24A4" w:rsidRDefault="008A4D0F" w:rsidP="008A4D0F">
            <w:pPr>
              <w:pStyle w:val="Noindent"/>
              <w:spacing w:line="240" w:lineRule="auto"/>
              <w:jc w:val="left"/>
              <w:rPr>
                <w:sz w:val="22"/>
                <w:szCs w:val="22"/>
              </w:rPr>
            </w:pPr>
            <w:r w:rsidRPr="006A24A4">
              <w:rPr>
                <w:sz w:val="22"/>
                <w:szCs w:val="22"/>
              </w:rPr>
              <w:t>Wennberg et al.,  2004</w:t>
            </w:r>
          </w:p>
        </w:tc>
        <w:tc>
          <w:tcPr>
            <w:tcW w:w="8137" w:type="dxa"/>
            <w:shd w:val="clear" w:color="auto" w:fill="auto"/>
          </w:tcPr>
          <w:p w14:paraId="4FB1D405" w14:textId="4B787026" w:rsidR="008A4D0F" w:rsidRPr="006A24A4" w:rsidRDefault="006A24A4" w:rsidP="00766CE2">
            <w:pPr>
              <w:autoSpaceDE w:val="0"/>
              <w:autoSpaceDN w:val="0"/>
              <w:adjustRightInd w:val="0"/>
              <w:spacing w:line="240" w:lineRule="auto"/>
              <w:ind w:firstLine="0"/>
              <w:jc w:val="left"/>
              <w:rPr>
                <w:sz w:val="22"/>
                <w:szCs w:val="22"/>
              </w:rPr>
            </w:pPr>
            <w:r w:rsidRPr="006A24A4">
              <w:rPr>
                <w:sz w:val="22"/>
                <w:szCs w:val="22"/>
              </w:rPr>
              <w:t xml:space="preserve">Among 77 hospitals, </w:t>
            </w:r>
            <w:r w:rsidR="008A4D0F" w:rsidRPr="006A24A4">
              <w:rPr>
                <w:sz w:val="22"/>
                <w:szCs w:val="22"/>
              </w:rPr>
              <w:t>the days in hospital per de</w:t>
            </w:r>
            <w:r w:rsidRPr="006A24A4">
              <w:rPr>
                <w:sz w:val="22"/>
                <w:szCs w:val="22"/>
              </w:rPr>
              <w:t>c</w:t>
            </w:r>
            <w:r w:rsidR="00766CE2">
              <w:rPr>
                <w:sz w:val="22"/>
                <w:szCs w:val="22"/>
              </w:rPr>
              <w:t>edent ranged from 9.4 to 27.1.  T</w:t>
            </w:r>
            <w:r w:rsidRPr="006A24A4">
              <w:rPr>
                <w:sz w:val="22"/>
                <w:szCs w:val="22"/>
              </w:rPr>
              <w:t xml:space="preserve">he </w:t>
            </w:r>
            <w:r w:rsidR="008A4D0F" w:rsidRPr="006A24A4">
              <w:rPr>
                <w:sz w:val="22"/>
                <w:szCs w:val="22"/>
              </w:rPr>
              <w:t>days in intensive care</w:t>
            </w:r>
            <w:r w:rsidR="00766CE2">
              <w:rPr>
                <w:sz w:val="22"/>
                <w:szCs w:val="22"/>
              </w:rPr>
              <w:t xml:space="preserve"> units ranged from 1.6 to 9.5. T</w:t>
            </w:r>
            <w:r w:rsidRPr="006A24A4">
              <w:rPr>
                <w:sz w:val="22"/>
                <w:szCs w:val="22"/>
              </w:rPr>
              <w:t>he n</w:t>
            </w:r>
            <w:r w:rsidR="008A4D0F" w:rsidRPr="006A24A4">
              <w:rPr>
                <w:sz w:val="22"/>
                <w:szCs w:val="22"/>
              </w:rPr>
              <w:t>umber of physician visits ranged from 17.6 to 76</w:t>
            </w:r>
            <w:r w:rsidR="00766CE2">
              <w:rPr>
                <w:sz w:val="22"/>
                <w:szCs w:val="22"/>
              </w:rPr>
              <w:t>.2. T</w:t>
            </w:r>
            <w:r w:rsidRPr="006A24A4">
              <w:rPr>
                <w:sz w:val="22"/>
                <w:szCs w:val="22"/>
              </w:rPr>
              <w:t xml:space="preserve">he </w:t>
            </w:r>
            <w:r w:rsidR="008A4D0F" w:rsidRPr="006A24A4">
              <w:rPr>
                <w:sz w:val="22"/>
                <w:szCs w:val="22"/>
              </w:rPr>
              <w:t>percentage of patients seeing 10 or more physici</w:t>
            </w:r>
            <w:r w:rsidR="00766CE2">
              <w:rPr>
                <w:sz w:val="22"/>
                <w:szCs w:val="22"/>
              </w:rPr>
              <w:t xml:space="preserve">ans ranged from 16.9% to 58.5%.  And </w:t>
            </w:r>
            <w:r w:rsidR="008A4D0F" w:rsidRPr="006A24A4">
              <w:rPr>
                <w:sz w:val="22"/>
                <w:szCs w:val="22"/>
              </w:rPr>
              <w:t xml:space="preserve">hospice enrollment ranged from 10.8% to 43.8%. </w:t>
            </w:r>
            <w:r w:rsidR="00766CE2">
              <w:rPr>
                <w:sz w:val="22"/>
                <w:szCs w:val="22"/>
              </w:rPr>
              <w:t xml:space="preserve"> </w:t>
            </w:r>
            <w:r w:rsidR="008A4D0F" w:rsidRPr="006A24A4">
              <w:rPr>
                <w:sz w:val="22"/>
                <w:szCs w:val="22"/>
              </w:rPr>
              <w:t>Potential explanations include variation in bed and workforce supply.</w:t>
            </w:r>
          </w:p>
        </w:tc>
      </w:tr>
      <w:tr w:rsidR="007D2D52" w:rsidRPr="00EC1707" w14:paraId="729CF187" w14:textId="77777777" w:rsidTr="00633708">
        <w:tc>
          <w:tcPr>
            <w:tcW w:w="1133" w:type="dxa"/>
            <w:shd w:val="clear" w:color="auto" w:fill="auto"/>
          </w:tcPr>
          <w:p w14:paraId="4883ADD9" w14:textId="77777777" w:rsidR="007D2D52" w:rsidRPr="00EC1707" w:rsidRDefault="007D2D52" w:rsidP="007D2D52">
            <w:pPr>
              <w:pStyle w:val="Noindent"/>
              <w:spacing w:line="240" w:lineRule="auto"/>
              <w:jc w:val="left"/>
              <w:rPr>
                <w:sz w:val="22"/>
                <w:szCs w:val="22"/>
              </w:rPr>
            </w:pPr>
            <w:r w:rsidRPr="00EC1707">
              <w:rPr>
                <w:sz w:val="22"/>
                <w:szCs w:val="22"/>
              </w:rPr>
              <w:t>Teno et al., 2005</w:t>
            </w:r>
          </w:p>
        </w:tc>
        <w:tc>
          <w:tcPr>
            <w:tcW w:w="8137" w:type="dxa"/>
            <w:shd w:val="clear" w:color="auto" w:fill="auto"/>
          </w:tcPr>
          <w:p w14:paraId="7EB14B26" w14:textId="69C448FE" w:rsidR="007D2D52" w:rsidRPr="00EC1707" w:rsidRDefault="007D2D52" w:rsidP="00766CE2">
            <w:pPr>
              <w:autoSpaceDE w:val="0"/>
              <w:autoSpaceDN w:val="0"/>
              <w:adjustRightInd w:val="0"/>
              <w:spacing w:line="240" w:lineRule="auto"/>
              <w:ind w:firstLine="0"/>
              <w:jc w:val="left"/>
              <w:rPr>
                <w:sz w:val="22"/>
                <w:szCs w:val="22"/>
              </w:rPr>
            </w:pPr>
            <w:r w:rsidRPr="00EC1707">
              <w:rPr>
                <w:sz w:val="22"/>
                <w:szCs w:val="22"/>
              </w:rPr>
              <w:t>Decedents in the lower-ICU-use hospital service areas (HSAs) were more likely to have completed a formal advance directive (79.3% vs 61.0%; p=.06) and expressed wishes for care (71.4% vs 61.9; p=.05). Respondents from high-intensity HSAs were more likely to report inadequate emotional support for the decedent (</w:t>
            </w:r>
            <w:r w:rsidR="00766CE2">
              <w:rPr>
                <w:sz w:val="22"/>
                <w:szCs w:val="22"/>
              </w:rPr>
              <w:t>risk ration [RR] of</w:t>
            </w:r>
            <w:r w:rsidRPr="00EC1707">
              <w:rPr>
                <w:sz w:val="22"/>
                <w:szCs w:val="22"/>
              </w:rPr>
              <w:t xml:space="preserve"> 51.2 [95% CI 51.0–1.4]), concerns with shared decision-making (RR 51.8 [95% CI 51.0–2.9]), inadequate information about what to expect (RR 51.5 [95% CI 51.3–1.8]), and failure to treat the decedent with respe</w:t>
            </w:r>
            <w:r w:rsidR="002D546F" w:rsidRPr="00EC1707">
              <w:rPr>
                <w:sz w:val="22"/>
                <w:szCs w:val="22"/>
              </w:rPr>
              <w:t xml:space="preserve">ct (RR 51.4 [95% CI 51.0–1.9]).  </w:t>
            </w:r>
            <w:r w:rsidRPr="00EC1707">
              <w:rPr>
                <w:sz w:val="22"/>
                <w:szCs w:val="22"/>
              </w:rPr>
              <w:t>In the higher-ICU-use regions, the average quality rating for EOL care was 2.7 points below the average rating in the lower-ICU-use regions.</w:t>
            </w:r>
          </w:p>
        </w:tc>
      </w:tr>
      <w:tr w:rsidR="007D2D52" w:rsidRPr="00EC1707" w14:paraId="5FD365B5" w14:textId="77777777" w:rsidTr="00633708">
        <w:tc>
          <w:tcPr>
            <w:tcW w:w="1133" w:type="dxa"/>
            <w:shd w:val="clear" w:color="auto" w:fill="auto"/>
          </w:tcPr>
          <w:p w14:paraId="09EACAA6" w14:textId="77777777" w:rsidR="007D2D52" w:rsidRPr="00EC1707" w:rsidRDefault="007D2D52" w:rsidP="007D2D52">
            <w:pPr>
              <w:pStyle w:val="Noindent"/>
              <w:spacing w:line="240" w:lineRule="auto"/>
              <w:jc w:val="left"/>
              <w:rPr>
                <w:sz w:val="22"/>
                <w:szCs w:val="22"/>
              </w:rPr>
            </w:pPr>
            <w:r w:rsidRPr="00EC1707">
              <w:rPr>
                <w:sz w:val="22"/>
                <w:szCs w:val="22"/>
              </w:rPr>
              <w:t>Barnato et al., 2007a</w:t>
            </w:r>
          </w:p>
        </w:tc>
        <w:tc>
          <w:tcPr>
            <w:tcW w:w="8137" w:type="dxa"/>
            <w:shd w:val="clear" w:color="auto" w:fill="auto"/>
          </w:tcPr>
          <w:p w14:paraId="0F6CE680" w14:textId="1F745B9E" w:rsidR="007D2D52" w:rsidRPr="00EC1707" w:rsidRDefault="007D2D52" w:rsidP="007D2D52">
            <w:pPr>
              <w:autoSpaceDE w:val="0"/>
              <w:autoSpaceDN w:val="0"/>
              <w:adjustRightInd w:val="0"/>
              <w:spacing w:line="240" w:lineRule="auto"/>
              <w:ind w:firstLine="0"/>
              <w:jc w:val="left"/>
              <w:rPr>
                <w:sz w:val="22"/>
                <w:szCs w:val="22"/>
              </w:rPr>
            </w:pPr>
            <w:r w:rsidRPr="00EC1707">
              <w:rPr>
                <w:sz w:val="22"/>
                <w:szCs w:val="22"/>
              </w:rPr>
              <w:t xml:space="preserve">When the lowest spending quintile was compared to the highest, there were no differences in regard to: (a) concern about getting too little treatment (39.6% vs. 41.2%; p=0.637) or too much treatment (44.2% vs. 45.1%; p=0.797) at the end of life, (b) preference for spending last days in a hospital (8.4% vs. 8.5%; p=0.965), (c) preferences for potentially life-prolonging drugs that made them feel worse all the time (14.4% vs.16.5%; p=0.326), (d) preferences for palliative drugs (77.7% vs. 73.4%; </w:t>
            </w:r>
            <w:r w:rsidRPr="00EC1707">
              <w:rPr>
                <w:i/>
                <w:iCs/>
                <w:sz w:val="22"/>
                <w:szCs w:val="22"/>
              </w:rPr>
              <w:t>p=</w:t>
            </w:r>
            <w:r w:rsidRPr="00EC1707">
              <w:rPr>
                <w:sz w:val="22"/>
                <w:szCs w:val="22"/>
              </w:rPr>
              <w:t>0.138), and</w:t>
            </w:r>
            <w:r w:rsidR="00934D22">
              <w:rPr>
                <w:sz w:val="22"/>
                <w:szCs w:val="22"/>
              </w:rPr>
              <w:t xml:space="preserve"> (e)</w:t>
            </w:r>
            <w:r w:rsidRPr="00EC1707">
              <w:rPr>
                <w:sz w:val="22"/>
                <w:szCs w:val="22"/>
              </w:rPr>
              <w:t xml:space="preserve"> preferences for mechanical ventilation (21% vs. 21.4%; p=0.870 if it would extend their life by 1 month).</w:t>
            </w:r>
          </w:p>
        </w:tc>
      </w:tr>
      <w:tr w:rsidR="007D2D52" w:rsidRPr="00EC1707" w14:paraId="4E2D0E3F" w14:textId="77777777" w:rsidTr="00633708">
        <w:tc>
          <w:tcPr>
            <w:tcW w:w="1133" w:type="dxa"/>
            <w:shd w:val="clear" w:color="auto" w:fill="auto"/>
          </w:tcPr>
          <w:p w14:paraId="4BF1CD36" w14:textId="77777777" w:rsidR="007D2D52" w:rsidRPr="00CF3150" w:rsidRDefault="007D2D52" w:rsidP="007D2D52">
            <w:pPr>
              <w:pStyle w:val="Noindent"/>
              <w:spacing w:line="240" w:lineRule="auto"/>
              <w:jc w:val="left"/>
              <w:rPr>
                <w:sz w:val="22"/>
                <w:szCs w:val="22"/>
              </w:rPr>
            </w:pPr>
            <w:r w:rsidRPr="00CF3150">
              <w:rPr>
                <w:sz w:val="22"/>
                <w:szCs w:val="22"/>
              </w:rPr>
              <w:t>Barnato et al., 2007b</w:t>
            </w:r>
          </w:p>
        </w:tc>
        <w:tc>
          <w:tcPr>
            <w:tcW w:w="8137" w:type="dxa"/>
            <w:shd w:val="clear" w:color="auto" w:fill="auto"/>
          </w:tcPr>
          <w:p w14:paraId="2400CFB5" w14:textId="0664054A" w:rsidR="007D2D52" w:rsidRPr="00CF3150" w:rsidRDefault="007D2D52" w:rsidP="00934D22">
            <w:pPr>
              <w:pStyle w:val="Noindent"/>
              <w:spacing w:line="240" w:lineRule="auto"/>
              <w:jc w:val="left"/>
              <w:rPr>
                <w:sz w:val="22"/>
                <w:szCs w:val="22"/>
              </w:rPr>
            </w:pPr>
            <w:r w:rsidRPr="00CF3150">
              <w:rPr>
                <w:sz w:val="22"/>
                <w:szCs w:val="22"/>
              </w:rPr>
              <w:t>Black decedents were not more likely than non</w:t>
            </w:r>
            <w:r w:rsidR="00934D22">
              <w:rPr>
                <w:sz w:val="22"/>
                <w:szCs w:val="22"/>
              </w:rPr>
              <w:t>-</w:t>
            </w:r>
            <w:r w:rsidRPr="00CF3150">
              <w:rPr>
                <w:sz w:val="22"/>
                <w:szCs w:val="22"/>
              </w:rPr>
              <w:t>blacks to be admitted to the ICU during the last 12 months of l</w:t>
            </w:r>
            <w:r w:rsidR="00934D22">
              <w:rPr>
                <w:sz w:val="22"/>
                <w:szCs w:val="22"/>
              </w:rPr>
              <w:t>ife (AOR 1.0 [95% CI 0.99-1.03]</w:t>
            </w:r>
            <w:r w:rsidRPr="00CF3150">
              <w:rPr>
                <w:sz w:val="22"/>
                <w:szCs w:val="22"/>
              </w:rPr>
              <w:t>), more likely to be admitted to the ICU during the terminal hospitalizat</w:t>
            </w:r>
            <w:r w:rsidR="00934D22">
              <w:rPr>
                <w:sz w:val="22"/>
                <w:szCs w:val="22"/>
              </w:rPr>
              <w:t>ion (AOR 1.03 [95% CI 1.0-1.06]</w:t>
            </w:r>
            <w:r w:rsidRPr="00CF3150">
              <w:rPr>
                <w:sz w:val="22"/>
                <w:szCs w:val="22"/>
              </w:rPr>
              <w:t>), and more likely to receive an intensive procedure during the last 12 mont</w:t>
            </w:r>
            <w:r w:rsidR="00934D22">
              <w:rPr>
                <w:sz w:val="22"/>
                <w:szCs w:val="22"/>
              </w:rPr>
              <w:t>hs of life (AOR 1.1 [1.08-1.14]</w:t>
            </w:r>
            <w:r w:rsidRPr="00CF3150">
              <w:rPr>
                <w:sz w:val="22"/>
                <w:szCs w:val="22"/>
              </w:rPr>
              <w:t>) and terminal hospit</w:t>
            </w:r>
            <w:r w:rsidR="00934D22">
              <w:rPr>
                <w:sz w:val="22"/>
                <w:szCs w:val="22"/>
              </w:rPr>
              <w:t>alization (AOR 1.23 [1.20-1.26]</w:t>
            </w:r>
            <w:r w:rsidRPr="00CF3150">
              <w:rPr>
                <w:sz w:val="22"/>
                <w:szCs w:val="22"/>
              </w:rPr>
              <w:t>). However, blacks’ hospital access and choice may med</w:t>
            </w:r>
            <w:r w:rsidR="00934D22">
              <w:rPr>
                <w:sz w:val="22"/>
                <w:szCs w:val="22"/>
              </w:rPr>
              <w:t xml:space="preserve">iate the observed relationship. </w:t>
            </w:r>
            <w:r w:rsidRPr="00CF3150">
              <w:rPr>
                <w:sz w:val="22"/>
                <w:szCs w:val="22"/>
              </w:rPr>
              <w:t>In comparison, black survivors were less likely than non</w:t>
            </w:r>
            <w:r w:rsidR="00934D22">
              <w:rPr>
                <w:sz w:val="22"/>
                <w:szCs w:val="22"/>
              </w:rPr>
              <w:t>-</w:t>
            </w:r>
            <w:r w:rsidRPr="00CF3150">
              <w:rPr>
                <w:sz w:val="22"/>
                <w:szCs w:val="22"/>
              </w:rPr>
              <w:t>blacks to be admitted t</w:t>
            </w:r>
            <w:r w:rsidR="00934D22">
              <w:rPr>
                <w:sz w:val="22"/>
                <w:szCs w:val="22"/>
              </w:rPr>
              <w:t>o the ICU (AOR 0.93 [0.91-0.95]</w:t>
            </w:r>
            <w:r w:rsidRPr="00CF3150">
              <w:rPr>
                <w:sz w:val="22"/>
                <w:szCs w:val="22"/>
              </w:rPr>
              <w:t>) and to receive an intensive</w:t>
            </w:r>
            <w:r w:rsidR="00934D22">
              <w:rPr>
                <w:sz w:val="22"/>
                <w:szCs w:val="22"/>
              </w:rPr>
              <w:t xml:space="preserve"> procedure (AOR 0.72 [0.70-0.73]</w:t>
            </w:r>
            <w:r w:rsidRPr="00CF3150">
              <w:rPr>
                <w:sz w:val="22"/>
                <w:szCs w:val="22"/>
              </w:rPr>
              <w:t xml:space="preserve">). </w:t>
            </w:r>
          </w:p>
        </w:tc>
      </w:tr>
      <w:tr w:rsidR="007D2D52" w:rsidRPr="00EC1707" w14:paraId="5172F873" w14:textId="77777777" w:rsidTr="00633708">
        <w:tc>
          <w:tcPr>
            <w:tcW w:w="1133" w:type="dxa"/>
            <w:shd w:val="clear" w:color="auto" w:fill="auto"/>
          </w:tcPr>
          <w:p w14:paraId="31886945" w14:textId="77777777" w:rsidR="007D2D52" w:rsidRPr="00CF3150" w:rsidRDefault="007D2D52" w:rsidP="007D2D52">
            <w:pPr>
              <w:pStyle w:val="Noindent"/>
              <w:spacing w:line="240" w:lineRule="auto"/>
              <w:jc w:val="left"/>
              <w:rPr>
                <w:sz w:val="22"/>
                <w:szCs w:val="22"/>
              </w:rPr>
            </w:pPr>
            <w:r w:rsidRPr="00CF3150">
              <w:rPr>
                <w:sz w:val="22"/>
                <w:szCs w:val="22"/>
              </w:rPr>
              <w:t>Barnato et al., 2007c</w:t>
            </w:r>
          </w:p>
        </w:tc>
        <w:tc>
          <w:tcPr>
            <w:tcW w:w="8137" w:type="dxa"/>
            <w:shd w:val="clear" w:color="auto" w:fill="auto"/>
          </w:tcPr>
          <w:p w14:paraId="593B427F" w14:textId="6B088687" w:rsidR="007D2D52" w:rsidRPr="00CF3150" w:rsidRDefault="007D2D52" w:rsidP="007D2D52">
            <w:pPr>
              <w:autoSpaceDE w:val="0"/>
              <w:autoSpaceDN w:val="0"/>
              <w:adjustRightInd w:val="0"/>
              <w:spacing w:line="240" w:lineRule="auto"/>
              <w:ind w:firstLine="0"/>
              <w:jc w:val="left"/>
              <w:rPr>
                <w:sz w:val="22"/>
                <w:szCs w:val="22"/>
              </w:rPr>
            </w:pPr>
            <w:r w:rsidRPr="00CF3150">
              <w:rPr>
                <w:sz w:val="22"/>
                <w:szCs w:val="22"/>
              </w:rPr>
              <w:t xml:space="preserve">Of the four factors surveyed among hospital staff, only patient-doctor familiarity was inversely correlated with terminal ICU admission (p&lt;0.001) and mechanical ventilation (p=0.03). </w:t>
            </w:r>
            <w:r w:rsidR="002D546F" w:rsidRPr="00CF3150">
              <w:rPr>
                <w:sz w:val="22"/>
                <w:szCs w:val="22"/>
              </w:rPr>
              <w:t xml:space="preserve"> </w:t>
            </w:r>
            <w:r w:rsidRPr="00CF3150">
              <w:rPr>
                <w:sz w:val="22"/>
                <w:szCs w:val="22"/>
              </w:rPr>
              <w:t xml:space="preserve">The four factors survey included staff perceptions of informal norms around life prolongation, palliation, shared decision-making, </w:t>
            </w:r>
            <w:r w:rsidR="00934D22">
              <w:rPr>
                <w:sz w:val="22"/>
                <w:szCs w:val="22"/>
              </w:rPr>
              <w:t>and patient-doctor familiarity.</w:t>
            </w:r>
            <w:r w:rsidRPr="00CF3150">
              <w:rPr>
                <w:sz w:val="22"/>
                <w:szCs w:val="22"/>
              </w:rPr>
              <w:t xml:space="preserve"> </w:t>
            </w:r>
            <w:r w:rsidR="00934D22">
              <w:rPr>
                <w:sz w:val="22"/>
                <w:szCs w:val="22"/>
              </w:rPr>
              <w:t xml:space="preserve"> </w:t>
            </w:r>
            <w:r w:rsidRPr="00CF3150">
              <w:rPr>
                <w:sz w:val="22"/>
                <w:szCs w:val="22"/>
              </w:rPr>
              <w:t xml:space="preserve">Staff responses varied more between hospitals than within hospitals (p≤0.03). </w:t>
            </w:r>
          </w:p>
        </w:tc>
      </w:tr>
    </w:tbl>
    <w:p w14:paraId="3A27EB07" w14:textId="3A5695AA" w:rsidR="00334F18" w:rsidRDefault="00334F18"/>
    <w:p w14:paraId="26B8647D" w14:textId="5FEC4789" w:rsidR="00334F18" w:rsidRDefault="00334F18" w:rsidP="00334F18">
      <w:pPr>
        <w:pStyle w:val="Caption"/>
        <w:keepNext/>
        <w:ind w:firstLine="0"/>
        <w:jc w:val="center"/>
      </w:pPr>
      <w:r>
        <w:lastRenderedPageBreak/>
        <w:t>Table 2</w:t>
      </w:r>
      <w:r w:rsidR="00934D22">
        <w:t xml:space="preserve"> Continue</w:t>
      </w:r>
      <w:r w:rsidR="008536E6">
        <w:t>d</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222"/>
      </w:tblGrid>
      <w:tr w:rsidR="00334F18" w:rsidRPr="00EC1707" w14:paraId="5150A2B6" w14:textId="77777777" w:rsidTr="00633708">
        <w:tc>
          <w:tcPr>
            <w:tcW w:w="1133" w:type="dxa"/>
            <w:shd w:val="clear" w:color="auto" w:fill="auto"/>
          </w:tcPr>
          <w:p w14:paraId="7CADCCE1" w14:textId="5B9FEA60" w:rsidR="00334F18" w:rsidRPr="00CF3150" w:rsidRDefault="00334F18" w:rsidP="00334F18">
            <w:pPr>
              <w:pStyle w:val="Noindent"/>
              <w:spacing w:line="240" w:lineRule="auto"/>
              <w:jc w:val="left"/>
              <w:rPr>
                <w:sz w:val="22"/>
                <w:szCs w:val="22"/>
              </w:rPr>
            </w:pPr>
            <w:r w:rsidRPr="00EC1707">
              <w:rPr>
                <w:sz w:val="22"/>
                <w:szCs w:val="22"/>
              </w:rPr>
              <w:t>Author</w:t>
            </w:r>
          </w:p>
        </w:tc>
        <w:tc>
          <w:tcPr>
            <w:tcW w:w="8222" w:type="dxa"/>
            <w:shd w:val="clear" w:color="auto" w:fill="auto"/>
          </w:tcPr>
          <w:p w14:paraId="3299CCC0" w14:textId="20EF3FD7" w:rsidR="00334F18" w:rsidRPr="00CF3150" w:rsidRDefault="00334F18" w:rsidP="00334F18">
            <w:pPr>
              <w:autoSpaceDE w:val="0"/>
              <w:autoSpaceDN w:val="0"/>
              <w:adjustRightInd w:val="0"/>
              <w:spacing w:line="240" w:lineRule="auto"/>
              <w:ind w:firstLine="0"/>
              <w:jc w:val="left"/>
              <w:rPr>
                <w:sz w:val="22"/>
                <w:szCs w:val="22"/>
              </w:rPr>
            </w:pPr>
            <w:r w:rsidRPr="00EC1707">
              <w:rPr>
                <w:sz w:val="22"/>
                <w:szCs w:val="22"/>
              </w:rPr>
              <w:t>Primary Findings</w:t>
            </w:r>
          </w:p>
        </w:tc>
      </w:tr>
      <w:tr w:rsidR="007D2D52" w:rsidRPr="00EC1707" w14:paraId="159BE489" w14:textId="77777777" w:rsidTr="00633708">
        <w:tc>
          <w:tcPr>
            <w:tcW w:w="1133" w:type="dxa"/>
            <w:shd w:val="clear" w:color="auto" w:fill="auto"/>
          </w:tcPr>
          <w:p w14:paraId="42B22659" w14:textId="77777777" w:rsidR="007D2D52" w:rsidRPr="00CF3150" w:rsidRDefault="007D2D52" w:rsidP="007D2D52">
            <w:pPr>
              <w:pStyle w:val="Noindent"/>
              <w:spacing w:line="240" w:lineRule="auto"/>
              <w:jc w:val="left"/>
              <w:rPr>
                <w:sz w:val="22"/>
                <w:szCs w:val="22"/>
              </w:rPr>
            </w:pPr>
            <w:r w:rsidRPr="00CF3150">
              <w:rPr>
                <w:sz w:val="22"/>
                <w:szCs w:val="22"/>
              </w:rPr>
              <w:t>Lin et al., 2009</w:t>
            </w:r>
          </w:p>
        </w:tc>
        <w:tc>
          <w:tcPr>
            <w:tcW w:w="8222" w:type="dxa"/>
            <w:shd w:val="clear" w:color="auto" w:fill="auto"/>
          </w:tcPr>
          <w:p w14:paraId="4776049D" w14:textId="77777777" w:rsidR="007D2D52" w:rsidRPr="00CF3150" w:rsidRDefault="007D2D52" w:rsidP="007D2D52">
            <w:pPr>
              <w:autoSpaceDE w:val="0"/>
              <w:autoSpaceDN w:val="0"/>
              <w:adjustRightInd w:val="0"/>
              <w:spacing w:line="240" w:lineRule="auto"/>
              <w:ind w:firstLine="0"/>
              <w:jc w:val="left"/>
              <w:rPr>
                <w:sz w:val="22"/>
                <w:szCs w:val="22"/>
              </w:rPr>
            </w:pPr>
            <w:r w:rsidRPr="00CF3150">
              <w:rPr>
                <w:sz w:val="22"/>
                <w:szCs w:val="22"/>
              </w:rPr>
              <w:t xml:space="preserve">The following factors were independently associated with greater EOL treatment intensity at the alpha level of 0.05 and explained about 50% of the total variation in EOL treatment intensity: hospital bed size, percent of admissions comprised of black patients, area-level competition, and the presence of an ICU long length </w:t>
            </w:r>
            <w:r w:rsidR="002D546F" w:rsidRPr="00CF3150">
              <w:rPr>
                <w:sz w:val="22"/>
                <w:szCs w:val="22"/>
              </w:rPr>
              <w:t xml:space="preserve">of stay review committee.  </w:t>
            </w:r>
            <w:r w:rsidRPr="00CF3150">
              <w:rPr>
                <w:sz w:val="22"/>
                <w:szCs w:val="22"/>
              </w:rPr>
              <w:t>These factors were stronger predictors of intensity than hospital programs, policies, or practices.</w:t>
            </w:r>
          </w:p>
        </w:tc>
      </w:tr>
      <w:tr w:rsidR="008A4D0F" w:rsidRPr="00EC1707" w14:paraId="1600B301" w14:textId="77777777" w:rsidTr="00633708">
        <w:tc>
          <w:tcPr>
            <w:tcW w:w="1133" w:type="dxa"/>
            <w:shd w:val="clear" w:color="auto" w:fill="auto"/>
          </w:tcPr>
          <w:p w14:paraId="1E5F4C95" w14:textId="3C2B282F" w:rsidR="008A4D0F" w:rsidRPr="00CF3150" w:rsidRDefault="008A4D0F" w:rsidP="008A4D0F">
            <w:pPr>
              <w:pStyle w:val="Noindent"/>
              <w:spacing w:line="240" w:lineRule="auto"/>
              <w:jc w:val="left"/>
              <w:rPr>
                <w:sz w:val="22"/>
                <w:szCs w:val="22"/>
              </w:rPr>
            </w:pPr>
            <w:r w:rsidRPr="00CF3150">
              <w:rPr>
                <w:sz w:val="22"/>
                <w:szCs w:val="22"/>
              </w:rPr>
              <w:t>Smith et al., 2009</w:t>
            </w:r>
          </w:p>
        </w:tc>
        <w:tc>
          <w:tcPr>
            <w:tcW w:w="8222" w:type="dxa"/>
            <w:shd w:val="clear" w:color="auto" w:fill="auto"/>
          </w:tcPr>
          <w:p w14:paraId="4909BF67" w14:textId="56902807" w:rsidR="008A4D0F" w:rsidRPr="00CF3150" w:rsidRDefault="008A4D0F" w:rsidP="008A4D0F">
            <w:pPr>
              <w:autoSpaceDE w:val="0"/>
              <w:autoSpaceDN w:val="0"/>
              <w:adjustRightInd w:val="0"/>
              <w:spacing w:line="240" w:lineRule="auto"/>
              <w:ind w:firstLine="0"/>
              <w:jc w:val="left"/>
              <w:rPr>
                <w:sz w:val="22"/>
                <w:szCs w:val="22"/>
              </w:rPr>
            </w:pPr>
            <w:r w:rsidRPr="00CF3150">
              <w:rPr>
                <w:sz w:val="22"/>
                <w:szCs w:val="22"/>
              </w:rPr>
              <w:t xml:space="preserve">The hospice enrollment percentages included 42.0% for white patients, 36.9% for black patients, 32.2% for Asian patients, and 37.7% for Hispanic patients. The hospitalized percentages included 11.7%, 15.0%, 13.7% for </w:t>
            </w:r>
            <w:r w:rsidR="006A24A4" w:rsidRPr="00CF3150">
              <w:rPr>
                <w:sz w:val="22"/>
                <w:szCs w:val="22"/>
              </w:rPr>
              <w:t>b</w:t>
            </w:r>
            <w:r w:rsidRPr="00CF3150">
              <w:rPr>
                <w:sz w:val="22"/>
                <w:szCs w:val="22"/>
              </w:rPr>
              <w:t xml:space="preserve">lack, Asian, and white patients, respectively. The percentages admitted to the ICU in the last month of life included 12.0%, 17.0%, and 16.2% for </w:t>
            </w:r>
            <w:r w:rsidR="006A24A4" w:rsidRPr="00CF3150">
              <w:rPr>
                <w:sz w:val="22"/>
                <w:szCs w:val="22"/>
              </w:rPr>
              <w:t>b</w:t>
            </w:r>
            <w:r w:rsidRPr="00CF3150">
              <w:rPr>
                <w:sz w:val="22"/>
                <w:szCs w:val="22"/>
              </w:rPr>
              <w:t xml:space="preserve">lack, Asian, and white patients, respectively. The percentages who died in the hospital included 26.5%, 31.3%, 33.7% for </w:t>
            </w:r>
            <w:r w:rsidR="006A24A4" w:rsidRPr="00CF3150">
              <w:rPr>
                <w:sz w:val="22"/>
                <w:szCs w:val="22"/>
              </w:rPr>
              <w:t>b</w:t>
            </w:r>
            <w:r w:rsidRPr="00CF3150">
              <w:rPr>
                <w:sz w:val="22"/>
                <w:szCs w:val="22"/>
              </w:rPr>
              <w:t xml:space="preserve">lack, Asian, and white patients, respectively. These differences remained after adjustment. </w:t>
            </w:r>
          </w:p>
        </w:tc>
      </w:tr>
      <w:tr w:rsidR="007D2D52" w:rsidRPr="00EC1707" w14:paraId="7AB127D3" w14:textId="77777777" w:rsidTr="00633708">
        <w:tc>
          <w:tcPr>
            <w:tcW w:w="1133" w:type="dxa"/>
            <w:shd w:val="clear" w:color="auto" w:fill="auto"/>
          </w:tcPr>
          <w:p w14:paraId="189B2C05" w14:textId="77777777" w:rsidR="007D2D52" w:rsidRPr="00EC1707" w:rsidRDefault="007D2D52" w:rsidP="007D2D52">
            <w:pPr>
              <w:pStyle w:val="Noindent"/>
              <w:spacing w:line="240" w:lineRule="auto"/>
              <w:jc w:val="left"/>
              <w:rPr>
                <w:sz w:val="22"/>
                <w:szCs w:val="22"/>
              </w:rPr>
            </w:pPr>
            <w:r w:rsidRPr="00EC1707">
              <w:rPr>
                <w:sz w:val="22"/>
                <w:szCs w:val="22"/>
              </w:rPr>
              <w:t>Teno et al., 2010</w:t>
            </w:r>
          </w:p>
        </w:tc>
        <w:tc>
          <w:tcPr>
            <w:tcW w:w="8222" w:type="dxa"/>
            <w:shd w:val="clear" w:color="auto" w:fill="auto"/>
          </w:tcPr>
          <w:p w14:paraId="6C830DB1" w14:textId="7968B368" w:rsidR="007D2D52" w:rsidRPr="00EC1707" w:rsidRDefault="007D2D52" w:rsidP="00934D22">
            <w:pPr>
              <w:autoSpaceDE w:val="0"/>
              <w:autoSpaceDN w:val="0"/>
              <w:adjustRightInd w:val="0"/>
              <w:spacing w:line="240" w:lineRule="auto"/>
              <w:ind w:firstLine="0"/>
              <w:jc w:val="left"/>
              <w:rPr>
                <w:sz w:val="22"/>
                <w:szCs w:val="22"/>
              </w:rPr>
            </w:pPr>
            <w:r w:rsidRPr="00EC1707">
              <w:rPr>
                <w:sz w:val="22"/>
                <w:szCs w:val="22"/>
              </w:rPr>
              <w:t>Higher feeding tube insertion rates were associated with the following hospital features: for-profit ownership vs. government owned (AOR 1.33 [95% CI 1.21-</w:t>
            </w:r>
            <w:r w:rsidR="00934D22">
              <w:rPr>
                <w:sz w:val="22"/>
                <w:szCs w:val="22"/>
              </w:rPr>
              <w:t>1.46]), 310 beds vs. 101 beds (</w:t>
            </w:r>
            <w:r w:rsidRPr="00EC1707">
              <w:rPr>
                <w:sz w:val="22"/>
                <w:szCs w:val="22"/>
              </w:rPr>
              <w:t>AOR 1.48 [1.35-1.63]), and greater ICU use in the last 6 months of life when the highest and lowest decile were compared (AOR 2.60 [</w:t>
            </w:r>
            <w:r w:rsidR="00934D22">
              <w:rPr>
                <w:sz w:val="22"/>
                <w:szCs w:val="22"/>
              </w:rPr>
              <w:t xml:space="preserve">2.20-3.06]). </w:t>
            </w:r>
            <w:r w:rsidRPr="00EC1707">
              <w:rPr>
                <w:sz w:val="22"/>
                <w:szCs w:val="22"/>
              </w:rPr>
              <w:t>Levels of specialty care and hospice care were weakly or not associated with r</w:t>
            </w:r>
            <w:r w:rsidR="00934D22">
              <w:rPr>
                <w:sz w:val="22"/>
                <w:szCs w:val="22"/>
              </w:rPr>
              <w:t xml:space="preserve">ates of feeding tube insertion. </w:t>
            </w:r>
            <w:r w:rsidRPr="00EC1707">
              <w:rPr>
                <w:sz w:val="22"/>
                <w:szCs w:val="22"/>
              </w:rPr>
              <w:t xml:space="preserve">Blacks and Hispanics were more likely to undergo a feeding tube </w:t>
            </w:r>
            <w:r w:rsidR="00EC1707">
              <w:rPr>
                <w:sz w:val="22"/>
                <w:szCs w:val="22"/>
              </w:rPr>
              <w:t>insertion (AOR 1.96 [</w:t>
            </w:r>
            <w:r w:rsidR="00934D22">
              <w:rPr>
                <w:sz w:val="22"/>
                <w:szCs w:val="22"/>
              </w:rPr>
              <w:t>1</w:t>
            </w:r>
            <w:r w:rsidR="00EC1707">
              <w:rPr>
                <w:sz w:val="22"/>
                <w:szCs w:val="22"/>
              </w:rPr>
              <w:t>.89-2.04] and AOR 1.36 [1.27-1.46]</w:t>
            </w:r>
            <w:r w:rsidRPr="00EC1707">
              <w:rPr>
                <w:sz w:val="22"/>
                <w:szCs w:val="22"/>
              </w:rPr>
              <w:t xml:space="preserve">, respectively). </w:t>
            </w:r>
            <w:r w:rsidR="00934D22">
              <w:rPr>
                <w:sz w:val="22"/>
                <w:szCs w:val="22"/>
              </w:rPr>
              <w:t xml:space="preserve"> </w:t>
            </w:r>
            <w:r w:rsidRPr="00EC1707">
              <w:rPr>
                <w:sz w:val="22"/>
                <w:szCs w:val="22"/>
              </w:rPr>
              <w:t>The following directives and orders were associa</w:t>
            </w:r>
            <w:r w:rsidR="00934D22">
              <w:rPr>
                <w:sz w:val="22"/>
                <w:szCs w:val="22"/>
              </w:rPr>
              <w:t xml:space="preserve">ted with lower rates of feeding </w:t>
            </w:r>
            <w:r w:rsidRPr="00EC1707">
              <w:rPr>
                <w:sz w:val="22"/>
                <w:szCs w:val="22"/>
              </w:rPr>
              <w:t>tube insertions: advance directive living will, advance directive durable power of attorney for health care</w:t>
            </w:r>
            <w:r w:rsidR="00934D22">
              <w:rPr>
                <w:sz w:val="22"/>
                <w:szCs w:val="22"/>
              </w:rPr>
              <w:t>, written do-not-</w:t>
            </w:r>
            <w:r w:rsidRPr="00EC1707">
              <w:rPr>
                <w:sz w:val="22"/>
                <w:szCs w:val="22"/>
              </w:rPr>
              <w:t>resuscitate</w:t>
            </w:r>
            <w:r w:rsidR="00934D22">
              <w:rPr>
                <w:sz w:val="22"/>
                <w:szCs w:val="22"/>
              </w:rPr>
              <w:t xml:space="preserve"> (DNR)</w:t>
            </w:r>
            <w:r w:rsidRPr="00EC1707">
              <w:rPr>
                <w:sz w:val="22"/>
                <w:szCs w:val="22"/>
              </w:rPr>
              <w:t xml:space="preserve"> order, and written order to forgo artificial hydration and nutri</w:t>
            </w:r>
            <w:r w:rsidR="00EC1707">
              <w:rPr>
                <w:sz w:val="22"/>
                <w:szCs w:val="22"/>
              </w:rPr>
              <w:t xml:space="preserve">tion (AOR 0.75 [0.70-0.79], 0.88 [0.84-0.91], 0.65 [0.62-0.67], </w:t>
            </w:r>
            <w:r w:rsidR="00934D22">
              <w:rPr>
                <w:sz w:val="22"/>
                <w:szCs w:val="22"/>
              </w:rPr>
              <w:t xml:space="preserve">and </w:t>
            </w:r>
            <w:r w:rsidR="00EC1707">
              <w:rPr>
                <w:sz w:val="22"/>
                <w:szCs w:val="22"/>
              </w:rPr>
              <w:t>0.73 [0.67-0.80]</w:t>
            </w:r>
            <w:r w:rsidRPr="00EC1707">
              <w:rPr>
                <w:sz w:val="22"/>
                <w:szCs w:val="22"/>
              </w:rPr>
              <w:t>, respectively).</w:t>
            </w:r>
          </w:p>
        </w:tc>
      </w:tr>
      <w:tr w:rsidR="007D2D52" w:rsidRPr="00EC1707" w14:paraId="74A98AE1" w14:textId="77777777" w:rsidTr="00633708">
        <w:tc>
          <w:tcPr>
            <w:tcW w:w="1133" w:type="dxa"/>
            <w:shd w:val="clear" w:color="auto" w:fill="auto"/>
          </w:tcPr>
          <w:p w14:paraId="7951B279" w14:textId="77777777" w:rsidR="007D2D52" w:rsidRPr="00CF3150" w:rsidRDefault="007D2D52" w:rsidP="007D2D52">
            <w:pPr>
              <w:pStyle w:val="Noindent"/>
              <w:spacing w:line="240" w:lineRule="auto"/>
              <w:jc w:val="left"/>
              <w:rPr>
                <w:sz w:val="22"/>
                <w:szCs w:val="22"/>
              </w:rPr>
            </w:pPr>
            <w:r w:rsidRPr="00CF3150">
              <w:rPr>
                <w:sz w:val="22"/>
                <w:szCs w:val="22"/>
              </w:rPr>
              <w:t>Kaplan, 2011</w:t>
            </w:r>
          </w:p>
        </w:tc>
        <w:tc>
          <w:tcPr>
            <w:tcW w:w="8222" w:type="dxa"/>
            <w:shd w:val="clear" w:color="auto" w:fill="auto"/>
          </w:tcPr>
          <w:p w14:paraId="4E38D0A8" w14:textId="77777777" w:rsidR="007D2D52" w:rsidRPr="00CF3150" w:rsidRDefault="007D2D52" w:rsidP="007D2D52">
            <w:pPr>
              <w:autoSpaceDE w:val="0"/>
              <w:autoSpaceDN w:val="0"/>
              <w:adjustRightInd w:val="0"/>
              <w:spacing w:line="240" w:lineRule="auto"/>
              <w:ind w:firstLine="0"/>
              <w:jc w:val="left"/>
              <w:rPr>
                <w:sz w:val="22"/>
                <w:szCs w:val="22"/>
              </w:rPr>
            </w:pPr>
            <w:r w:rsidRPr="00CF3150">
              <w:rPr>
                <w:sz w:val="22"/>
                <w:szCs w:val="22"/>
              </w:rPr>
              <w:t>In San Diego, 44.6% of decedents were enrolled in hospice during the last 6 months of life compared to 22.4% in Los Angeles, which had 30% more acute hospital beds.</w:t>
            </w:r>
          </w:p>
        </w:tc>
      </w:tr>
      <w:tr w:rsidR="005C788A" w:rsidRPr="00EC1707" w14:paraId="020ED740" w14:textId="77777777" w:rsidTr="00633708">
        <w:tc>
          <w:tcPr>
            <w:tcW w:w="1133" w:type="dxa"/>
            <w:shd w:val="clear" w:color="auto" w:fill="auto"/>
          </w:tcPr>
          <w:p w14:paraId="61DE825B" w14:textId="04EE9E86" w:rsidR="005C788A" w:rsidRPr="00CF3150" w:rsidRDefault="005C788A" w:rsidP="007D2D52">
            <w:pPr>
              <w:pStyle w:val="Noindent"/>
              <w:spacing w:line="240" w:lineRule="auto"/>
              <w:jc w:val="left"/>
              <w:rPr>
                <w:sz w:val="22"/>
                <w:szCs w:val="22"/>
              </w:rPr>
            </w:pPr>
            <w:r>
              <w:rPr>
                <w:sz w:val="22"/>
                <w:szCs w:val="22"/>
              </w:rPr>
              <w:t>Kelley et al., 2011</w:t>
            </w:r>
          </w:p>
        </w:tc>
        <w:tc>
          <w:tcPr>
            <w:tcW w:w="8222" w:type="dxa"/>
            <w:shd w:val="clear" w:color="auto" w:fill="auto"/>
          </w:tcPr>
          <w:p w14:paraId="303BD2B3" w14:textId="27B5B159" w:rsidR="005C788A" w:rsidRPr="00CF3150" w:rsidRDefault="005C788A" w:rsidP="00200875">
            <w:pPr>
              <w:autoSpaceDE w:val="0"/>
              <w:autoSpaceDN w:val="0"/>
              <w:adjustRightInd w:val="0"/>
              <w:spacing w:line="240" w:lineRule="auto"/>
              <w:ind w:firstLine="0"/>
              <w:jc w:val="left"/>
              <w:rPr>
                <w:sz w:val="22"/>
                <w:szCs w:val="22"/>
              </w:rPr>
            </w:pPr>
            <w:r w:rsidRPr="00200875">
              <w:rPr>
                <w:sz w:val="22"/>
                <w:szCs w:val="22"/>
              </w:rPr>
              <w:t xml:space="preserve">The following were associated with </w:t>
            </w:r>
            <w:r w:rsidR="00200875" w:rsidRPr="00200875">
              <w:rPr>
                <w:sz w:val="22"/>
                <w:szCs w:val="22"/>
              </w:rPr>
              <w:t>higher</w:t>
            </w:r>
            <w:r w:rsidRPr="00200875">
              <w:rPr>
                <w:sz w:val="22"/>
                <w:szCs w:val="22"/>
              </w:rPr>
              <w:t xml:space="preserve"> Medicare expenditures in the last six months of life: decline in function (RR of 1.64 [95% CI 1.46 to 1.83]), Hispanic ethnicity (RR of 1.50 </w:t>
            </w:r>
            <w:r w:rsidR="00200875" w:rsidRPr="00200875">
              <w:rPr>
                <w:sz w:val="22"/>
                <w:szCs w:val="22"/>
              </w:rPr>
              <w:t>[1.22 to 1.85]); black race (RR of</w:t>
            </w:r>
            <w:r w:rsidRPr="00200875">
              <w:rPr>
                <w:sz w:val="22"/>
                <w:szCs w:val="22"/>
              </w:rPr>
              <w:t xml:space="preserve"> 1.43 [</w:t>
            </w:r>
            <w:r w:rsidR="00200875" w:rsidRPr="00200875">
              <w:rPr>
                <w:sz w:val="22"/>
                <w:szCs w:val="22"/>
              </w:rPr>
              <w:t xml:space="preserve">1.25 to 1.64]); </w:t>
            </w:r>
            <w:r w:rsidRPr="00200875">
              <w:rPr>
                <w:sz w:val="22"/>
                <w:szCs w:val="22"/>
              </w:rPr>
              <w:t>certain chronic diseases</w:t>
            </w:r>
            <w:r w:rsidR="00200875" w:rsidRPr="00200875">
              <w:rPr>
                <w:sz w:val="22"/>
                <w:szCs w:val="22"/>
              </w:rPr>
              <w:t>; EOL practice patterns (RR of 1.09 [1.06 to 1.14]), and hospital beds per capita (RR of 1.01 [1.00 to 1.02]). And the following were associated wit</w:t>
            </w:r>
            <w:r w:rsidR="00934D22">
              <w:rPr>
                <w:sz w:val="22"/>
                <w:szCs w:val="22"/>
              </w:rPr>
              <w:t>h lower Medicare expenditures: n</w:t>
            </w:r>
            <w:r w:rsidR="00200875" w:rsidRPr="00200875">
              <w:rPr>
                <w:sz w:val="22"/>
                <w:szCs w:val="22"/>
              </w:rPr>
              <w:t>earby family (RR of 0.90 [</w:t>
            </w:r>
            <w:r w:rsidRPr="00200875">
              <w:rPr>
                <w:sz w:val="22"/>
                <w:szCs w:val="22"/>
              </w:rPr>
              <w:t>0.82 to 0.98</w:t>
            </w:r>
            <w:r w:rsidR="00200875" w:rsidRPr="00200875">
              <w:rPr>
                <w:sz w:val="22"/>
                <w:szCs w:val="22"/>
              </w:rPr>
              <w:t xml:space="preserve">]) and dementia (RR of </w:t>
            </w:r>
            <w:r w:rsidRPr="00200875">
              <w:rPr>
                <w:sz w:val="22"/>
                <w:szCs w:val="22"/>
              </w:rPr>
              <w:t xml:space="preserve">0.78 </w:t>
            </w:r>
            <w:r w:rsidR="00200875" w:rsidRPr="00200875">
              <w:rPr>
                <w:sz w:val="22"/>
                <w:szCs w:val="22"/>
              </w:rPr>
              <w:t>[0.71 to 0.87]). A</w:t>
            </w:r>
            <w:r w:rsidRPr="00200875">
              <w:rPr>
                <w:sz w:val="22"/>
                <w:szCs w:val="22"/>
              </w:rPr>
              <w:t xml:space="preserve">dvance care planning had no association. </w:t>
            </w:r>
          </w:p>
        </w:tc>
      </w:tr>
      <w:tr w:rsidR="002D546F" w:rsidRPr="00EC1707" w14:paraId="597C0541" w14:textId="77777777" w:rsidTr="00633708">
        <w:tc>
          <w:tcPr>
            <w:tcW w:w="1133" w:type="dxa"/>
            <w:shd w:val="clear" w:color="auto" w:fill="auto"/>
          </w:tcPr>
          <w:p w14:paraId="2741CF61" w14:textId="7FA1B8AE" w:rsidR="002D546F" w:rsidRPr="00CF3150" w:rsidRDefault="002D546F" w:rsidP="002D546F">
            <w:pPr>
              <w:pStyle w:val="Noindent"/>
              <w:spacing w:line="240" w:lineRule="auto"/>
              <w:jc w:val="left"/>
              <w:rPr>
                <w:sz w:val="22"/>
                <w:szCs w:val="22"/>
              </w:rPr>
            </w:pPr>
            <w:r w:rsidRPr="00CF3150">
              <w:rPr>
                <w:sz w:val="22"/>
                <w:szCs w:val="22"/>
              </w:rPr>
              <w:t>Kwok et al., 2011</w:t>
            </w:r>
          </w:p>
        </w:tc>
        <w:tc>
          <w:tcPr>
            <w:tcW w:w="8222" w:type="dxa"/>
            <w:shd w:val="clear" w:color="auto" w:fill="auto"/>
          </w:tcPr>
          <w:p w14:paraId="22BD769C" w14:textId="36702D83" w:rsidR="002D546F" w:rsidRPr="00CF3150" w:rsidRDefault="002D546F" w:rsidP="00934D22">
            <w:pPr>
              <w:autoSpaceDE w:val="0"/>
              <w:autoSpaceDN w:val="0"/>
              <w:adjustRightInd w:val="0"/>
              <w:spacing w:line="240" w:lineRule="auto"/>
              <w:ind w:firstLine="0"/>
              <w:jc w:val="left"/>
              <w:rPr>
                <w:rFonts w:eastAsia="ScalaLancetPro"/>
                <w:sz w:val="22"/>
                <w:szCs w:val="22"/>
              </w:rPr>
            </w:pPr>
            <w:r w:rsidRPr="00CF3150">
              <w:rPr>
                <w:rFonts w:eastAsia="ScalaLancetPro"/>
                <w:sz w:val="22"/>
                <w:szCs w:val="22"/>
              </w:rPr>
              <w:t>Compared to decedents who did not undergo surgery, decedents who underwent surgery were younger (82.5 years old vs. 79</w:t>
            </w:r>
            <w:r w:rsidR="00934D22">
              <w:rPr>
                <w:rFonts w:eastAsia="ScalaLancetPro"/>
                <w:sz w:val="22"/>
                <w:szCs w:val="22"/>
              </w:rPr>
              <w:t>.8 years old</w:t>
            </w:r>
            <w:r w:rsidRPr="00CF3150">
              <w:rPr>
                <w:rFonts w:eastAsia="ScalaLancetPro"/>
                <w:sz w:val="22"/>
                <w:szCs w:val="22"/>
              </w:rPr>
              <w:t>), more often men, and more often non-white.  Patients who underwent a surgical procedure more often had a Charlson Comorbidity Index of 3 or more.  There were positive correlations with hospital referral region</w:t>
            </w:r>
            <w:r w:rsidR="00934D22">
              <w:rPr>
                <w:rFonts w:eastAsia="ScalaLancetPro"/>
                <w:sz w:val="22"/>
                <w:szCs w:val="22"/>
              </w:rPr>
              <w:t xml:space="preserve"> (HRR)</w:t>
            </w:r>
            <w:r w:rsidRPr="00CF3150">
              <w:rPr>
                <w:rFonts w:eastAsia="ScalaLancetPro"/>
                <w:sz w:val="22"/>
                <w:szCs w:val="22"/>
              </w:rPr>
              <w:t xml:space="preserve"> adjusted death r</w:t>
            </w:r>
            <w:r w:rsidRPr="00934D22">
              <w:rPr>
                <w:rFonts w:eastAsia="ScalaLancetPro"/>
                <w:sz w:val="22"/>
                <w:szCs w:val="22"/>
              </w:rPr>
              <w:t>ates (</w:t>
            </w:r>
            <w:r w:rsidRPr="00934D22">
              <w:rPr>
                <w:rFonts w:eastAsia="ScalaLancetPro"/>
                <w:iCs/>
                <w:sz w:val="22"/>
                <w:szCs w:val="22"/>
              </w:rPr>
              <w:t>r</w:t>
            </w:r>
            <w:r w:rsidRPr="00934D22">
              <w:rPr>
                <w:rFonts w:eastAsia="ScalaLancetPro"/>
                <w:sz w:val="22"/>
                <w:szCs w:val="22"/>
              </w:rPr>
              <w:t>=0.13; p=0.03), hospital beds (</w:t>
            </w:r>
            <w:r w:rsidRPr="00934D22">
              <w:rPr>
                <w:rFonts w:eastAsia="ScalaLancetPro"/>
                <w:iCs/>
                <w:sz w:val="22"/>
                <w:szCs w:val="22"/>
              </w:rPr>
              <w:t>r</w:t>
            </w:r>
            <w:r w:rsidRPr="00934D22">
              <w:rPr>
                <w:rFonts w:eastAsia="ScalaLancetPro"/>
                <w:sz w:val="22"/>
                <w:szCs w:val="22"/>
              </w:rPr>
              <w:t>=0.37; p&lt;0∙0001), and Medicare reimbursements (</w:t>
            </w:r>
            <w:r w:rsidRPr="00934D22">
              <w:rPr>
                <w:rFonts w:eastAsia="ScalaLancetPro"/>
                <w:iCs/>
                <w:sz w:val="22"/>
                <w:szCs w:val="22"/>
              </w:rPr>
              <w:t>r</w:t>
            </w:r>
            <w:r w:rsidR="00934D22" w:rsidRPr="00934D22">
              <w:rPr>
                <w:rFonts w:eastAsia="ScalaLancetPro"/>
                <w:sz w:val="22"/>
                <w:szCs w:val="22"/>
              </w:rPr>
              <w:t>=0.</w:t>
            </w:r>
            <w:r w:rsidRPr="00CF3150">
              <w:rPr>
                <w:rFonts w:eastAsia="ScalaLancetPro"/>
                <w:sz w:val="22"/>
                <w:szCs w:val="22"/>
              </w:rPr>
              <w:t>50; p&lt;0∙0001).</w:t>
            </w:r>
          </w:p>
        </w:tc>
      </w:tr>
      <w:tr w:rsidR="008A4D0F" w:rsidRPr="00EC1707" w14:paraId="15612CBA" w14:textId="77777777" w:rsidTr="00633708">
        <w:tc>
          <w:tcPr>
            <w:tcW w:w="1133" w:type="dxa"/>
            <w:shd w:val="clear" w:color="auto" w:fill="auto"/>
          </w:tcPr>
          <w:p w14:paraId="3E324619" w14:textId="6AB2964F" w:rsidR="008A4D0F" w:rsidRPr="00CF3150" w:rsidRDefault="008A4D0F" w:rsidP="008A4D0F">
            <w:pPr>
              <w:pStyle w:val="Noindent"/>
              <w:spacing w:line="240" w:lineRule="auto"/>
              <w:jc w:val="left"/>
              <w:rPr>
                <w:sz w:val="22"/>
                <w:szCs w:val="22"/>
              </w:rPr>
            </w:pPr>
            <w:r w:rsidRPr="00CF3150">
              <w:rPr>
                <w:sz w:val="22"/>
                <w:szCs w:val="22"/>
              </w:rPr>
              <w:t>Nicholas, et al., 2011</w:t>
            </w:r>
          </w:p>
        </w:tc>
        <w:tc>
          <w:tcPr>
            <w:tcW w:w="8222" w:type="dxa"/>
            <w:shd w:val="clear" w:color="auto" w:fill="auto"/>
          </w:tcPr>
          <w:p w14:paraId="29B81097" w14:textId="76D77920" w:rsidR="008A4D0F" w:rsidRPr="00CF3150" w:rsidRDefault="008A4D0F" w:rsidP="00934D22">
            <w:pPr>
              <w:autoSpaceDE w:val="0"/>
              <w:autoSpaceDN w:val="0"/>
              <w:adjustRightInd w:val="0"/>
              <w:spacing w:line="240" w:lineRule="auto"/>
              <w:ind w:firstLine="0"/>
              <w:jc w:val="left"/>
              <w:rPr>
                <w:rFonts w:eastAsia="ScalaLancetPro"/>
                <w:sz w:val="22"/>
                <w:szCs w:val="22"/>
              </w:rPr>
            </w:pPr>
            <w:r w:rsidRPr="00CF3150">
              <w:rPr>
                <w:sz w:val="22"/>
                <w:szCs w:val="22"/>
              </w:rPr>
              <w:t>In high-spending</w:t>
            </w:r>
            <w:r w:rsidR="00934D22">
              <w:rPr>
                <w:sz w:val="22"/>
                <w:szCs w:val="22"/>
              </w:rPr>
              <w:t xml:space="preserve"> HRRs</w:t>
            </w:r>
            <w:r w:rsidRPr="00CF3150">
              <w:rPr>
                <w:sz w:val="22"/>
                <w:szCs w:val="22"/>
              </w:rPr>
              <w:t>, advance directives that specified limits in care were associated with lower</w:t>
            </w:r>
            <w:r w:rsidR="006A24A4" w:rsidRPr="00CF3150">
              <w:rPr>
                <w:sz w:val="22"/>
                <w:szCs w:val="22"/>
              </w:rPr>
              <w:t xml:space="preserve"> spending (-$5</w:t>
            </w:r>
            <w:r w:rsidR="00190F06">
              <w:rPr>
                <w:sz w:val="22"/>
                <w:szCs w:val="22"/>
              </w:rPr>
              <w:t>,</w:t>
            </w:r>
            <w:r w:rsidR="006A24A4" w:rsidRPr="00CF3150">
              <w:rPr>
                <w:sz w:val="22"/>
                <w:szCs w:val="22"/>
              </w:rPr>
              <w:t>585 per decedent [95% CI</w:t>
            </w:r>
            <w:r w:rsidRPr="00CF3150">
              <w:rPr>
                <w:sz w:val="22"/>
                <w:szCs w:val="22"/>
              </w:rPr>
              <w:t xml:space="preserve"> -$10,903 to -$267), lower adjusted probabiliti</w:t>
            </w:r>
            <w:r w:rsidR="006A24A4" w:rsidRPr="00CF3150">
              <w:rPr>
                <w:sz w:val="22"/>
                <w:szCs w:val="22"/>
              </w:rPr>
              <w:t>es of in-hospital death (-9.8% [-</w:t>
            </w:r>
            <w:r w:rsidRPr="00CF3150">
              <w:rPr>
                <w:sz w:val="22"/>
                <w:szCs w:val="22"/>
              </w:rPr>
              <w:t>16% to -3%</w:t>
            </w:r>
            <w:r w:rsidR="006A24A4" w:rsidRPr="00CF3150">
              <w:rPr>
                <w:sz w:val="22"/>
                <w:szCs w:val="22"/>
              </w:rPr>
              <w:t>]</w:t>
            </w:r>
            <w:r w:rsidRPr="00CF3150">
              <w:rPr>
                <w:sz w:val="22"/>
                <w:szCs w:val="22"/>
              </w:rPr>
              <w:t>), and higher adjusted pro</w:t>
            </w:r>
            <w:r w:rsidR="006A24A4" w:rsidRPr="00CF3150">
              <w:rPr>
                <w:sz w:val="22"/>
                <w:szCs w:val="22"/>
              </w:rPr>
              <w:t>babilities of hospice use (17% [</w:t>
            </w:r>
            <w:r w:rsidRPr="00CF3150">
              <w:rPr>
                <w:sz w:val="22"/>
                <w:szCs w:val="22"/>
              </w:rPr>
              <w:t>11% to 23%</w:t>
            </w:r>
            <w:r w:rsidR="006A24A4" w:rsidRPr="00CF3150">
              <w:rPr>
                <w:sz w:val="22"/>
                <w:szCs w:val="22"/>
              </w:rPr>
              <w:t>]</w:t>
            </w:r>
            <w:r w:rsidRPr="00CF3150">
              <w:rPr>
                <w:sz w:val="22"/>
                <w:szCs w:val="22"/>
              </w:rPr>
              <w:t>).</w:t>
            </w:r>
          </w:p>
        </w:tc>
      </w:tr>
    </w:tbl>
    <w:p w14:paraId="4B6FE50E" w14:textId="15FCC01E" w:rsidR="00334F18" w:rsidRDefault="00334F18"/>
    <w:p w14:paraId="40B78D66" w14:textId="77777777" w:rsidR="00934D22" w:rsidRDefault="00934D22"/>
    <w:p w14:paraId="1C630C27" w14:textId="06812D49" w:rsidR="00334F18" w:rsidRDefault="00334F18" w:rsidP="00334F18">
      <w:pPr>
        <w:pStyle w:val="Caption"/>
        <w:keepNext/>
        <w:ind w:firstLine="0"/>
        <w:jc w:val="center"/>
      </w:pPr>
      <w:r>
        <w:lastRenderedPageBreak/>
        <w:t>Table 2 Continued</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137"/>
      </w:tblGrid>
      <w:tr w:rsidR="00334F18" w:rsidRPr="00EC1707" w14:paraId="484DC8A0" w14:textId="77777777" w:rsidTr="00633708">
        <w:tc>
          <w:tcPr>
            <w:tcW w:w="1133" w:type="dxa"/>
            <w:shd w:val="clear" w:color="auto" w:fill="auto"/>
          </w:tcPr>
          <w:p w14:paraId="5DEF31F6" w14:textId="25B50211" w:rsidR="00334F18" w:rsidRPr="00CF3150" w:rsidRDefault="00334F18" w:rsidP="00334F18">
            <w:pPr>
              <w:pStyle w:val="Noindent"/>
              <w:spacing w:line="240" w:lineRule="auto"/>
              <w:jc w:val="left"/>
              <w:rPr>
                <w:sz w:val="22"/>
                <w:szCs w:val="22"/>
              </w:rPr>
            </w:pPr>
            <w:r w:rsidRPr="00EC1707">
              <w:rPr>
                <w:sz w:val="22"/>
                <w:szCs w:val="22"/>
              </w:rPr>
              <w:t>Author</w:t>
            </w:r>
          </w:p>
        </w:tc>
        <w:tc>
          <w:tcPr>
            <w:tcW w:w="8137" w:type="dxa"/>
            <w:shd w:val="clear" w:color="auto" w:fill="auto"/>
          </w:tcPr>
          <w:p w14:paraId="3C5C9F08" w14:textId="2C1D033E" w:rsidR="00334F18" w:rsidRPr="00CF3150" w:rsidRDefault="00334F18" w:rsidP="00334F18">
            <w:pPr>
              <w:autoSpaceDE w:val="0"/>
              <w:autoSpaceDN w:val="0"/>
              <w:adjustRightInd w:val="0"/>
              <w:spacing w:line="240" w:lineRule="auto"/>
              <w:ind w:firstLine="0"/>
              <w:jc w:val="left"/>
              <w:rPr>
                <w:sz w:val="22"/>
                <w:szCs w:val="22"/>
              </w:rPr>
            </w:pPr>
            <w:r w:rsidRPr="00EC1707">
              <w:rPr>
                <w:sz w:val="22"/>
                <w:szCs w:val="22"/>
              </w:rPr>
              <w:t>Primary Findings</w:t>
            </w:r>
          </w:p>
        </w:tc>
      </w:tr>
      <w:tr w:rsidR="007D2D52" w:rsidRPr="00EC1707" w14:paraId="0EE8D0D2" w14:textId="77777777" w:rsidTr="00633708">
        <w:tc>
          <w:tcPr>
            <w:tcW w:w="1133" w:type="dxa"/>
            <w:shd w:val="clear" w:color="auto" w:fill="auto"/>
          </w:tcPr>
          <w:p w14:paraId="05E26C81" w14:textId="77777777" w:rsidR="007D2D52" w:rsidRPr="00CF3150" w:rsidRDefault="007D2D52" w:rsidP="007D2D52">
            <w:pPr>
              <w:pStyle w:val="Noindent"/>
              <w:spacing w:line="240" w:lineRule="auto"/>
              <w:jc w:val="left"/>
              <w:rPr>
                <w:sz w:val="22"/>
                <w:szCs w:val="22"/>
              </w:rPr>
            </w:pPr>
            <w:r w:rsidRPr="00CF3150">
              <w:rPr>
                <w:sz w:val="22"/>
                <w:szCs w:val="22"/>
              </w:rPr>
              <w:t>Zheng et al., 2011</w:t>
            </w:r>
          </w:p>
        </w:tc>
        <w:tc>
          <w:tcPr>
            <w:tcW w:w="8137" w:type="dxa"/>
            <w:shd w:val="clear" w:color="auto" w:fill="auto"/>
          </w:tcPr>
          <w:p w14:paraId="5A6934D4" w14:textId="6F275074" w:rsidR="007D2D52" w:rsidRPr="00CF3150" w:rsidRDefault="007D2D52" w:rsidP="007D2D52">
            <w:pPr>
              <w:autoSpaceDE w:val="0"/>
              <w:autoSpaceDN w:val="0"/>
              <w:adjustRightInd w:val="0"/>
              <w:spacing w:line="240" w:lineRule="auto"/>
              <w:ind w:firstLine="0"/>
              <w:jc w:val="left"/>
              <w:rPr>
                <w:sz w:val="22"/>
                <w:szCs w:val="22"/>
              </w:rPr>
            </w:pPr>
            <w:r w:rsidRPr="00CF3150">
              <w:rPr>
                <w:sz w:val="22"/>
                <w:szCs w:val="22"/>
              </w:rPr>
              <w:t>Blacks are more likely than whites to die in the hospital (</w:t>
            </w:r>
            <w:r w:rsidR="00934D22">
              <w:rPr>
                <w:sz w:val="22"/>
                <w:szCs w:val="22"/>
              </w:rPr>
              <w:t>odd ratio (OR)</w:t>
            </w:r>
            <w:r w:rsidRPr="00CF3150">
              <w:rPr>
                <w:sz w:val="22"/>
                <w:szCs w:val="22"/>
              </w:rPr>
              <w:t xml:space="preserve"> 2.05 [95% CI 1.92–2.19]). Blacks are less likely than whites to use hospice (OR 0.65 [0.58–0.71]).</w:t>
            </w:r>
            <w:r w:rsidR="002D546F" w:rsidRPr="00CF3150">
              <w:rPr>
                <w:sz w:val="22"/>
                <w:szCs w:val="22"/>
              </w:rPr>
              <w:t xml:space="preserve"> </w:t>
            </w:r>
            <w:r w:rsidRPr="00CF3150">
              <w:rPr>
                <w:sz w:val="22"/>
                <w:szCs w:val="22"/>
              </w:rPr>
              <w:t xml:space="preserve"> More black residents have feeding tubes compared with whites (31.12% vs. 10.08%).</w:t>
            </w:r>
            <w:r w:rsidR="002D546F" w:rsidRPr="00CF3150">
              <w:rPr>
                <w:sz w:val="22"/>
                <w:szCs w:val="22"/>
              </w:rPr>
              <w:t xml:space="preserve"> </w:t>
            </w:r>
            <w:r w:rsidRPr="00CF3150">
              <w:rPr>
                <w:sz w:val="22"/>
                <w:szCs w:val="22"/>
              </w:rPr>
              <w:t xml:space="preserve"> Fewer</w:t>
            </w:r>
            <w:r w:rsidR="00934D22">
              <w:rPr>
                <w:sz w:val="22"/>
                <w:szCs w:val="22"/>
              </w:rPr>
              <w:t xml:space="preserve"> blacks have DNR or do-not-</w:t>
            </w:r>
            <w:r w:rsidRPr="00CF3150">
              <w:rPr>
                <w:sz w:val="22"/>
                <w:szCs w:val="22"/>
              </w:rPr>
              <w:t>hospitalize orders than whites</w:t>
            </w:r>
          </w:p>
          <w:p w14:paraId="111C8A0D" w14:textId="25F979A4" w:rsidR="007D2D52" w:rsidRPr="00CF3150" w:rsidRDefault="007D2D52" w:rsidP="00934D22">
            <w:pPr>
              <w:autoSpaceDE w:val="0"/>
              <w:autoSpaceDN w:val="0"/>
              <w:adjustRightInd w:val="0"/>
              <w:spacing w:line="240" w:lineRule="auto"/>
              <w:ind w:firstLine="0"/>
              <w:jc w:val="left"/>
              <w:rPr>
                <w:sz w:val="22"/>
                <w:szCs w:val="22"/>
              </w:rPr>
            </w:pPr>
            <w:r w:rsidRPr="00CF3150">
              <w:rPr>
                <w:sz w:val="22"/>
                <w:szCs w:val="22"/>
              </w:rPr>
              <w:t xml:space="preserve">(41.21% vs. 75.45% and 2.61% vs. 7.82%, respectively). </w:t>
            </w:r>
            <w:r w:rsidR="002D546F" w:rsidRPr="00CF3150">
              <w:rPr>
                <w:sz w:val="22"/>
                <w:szCs w:val="22"/>
              </w:rPr>
              <w:t xml:space="preserve"> </w:t>
            </w:r>
            <w:r w:rsidRPr="00CF3150">
              <w:rPr>
                <w:sz w:val="22"/>
                <w:szCs w:val="22"/>
              </w:rPr>
              <w:t>Within the same facility, there w</w:t>
            </w:r>
            <w:r w:rsidR="002D546F" w:rsidRPr="00CF3150">
              <w:rPr>
                <w:sz w:val="22"/>
                <w:szCs w:val="22"/>
              </w:rPr>
              <w:t>ere</w:t>
            </w:r>
            <w:r w:rsidRPr="00CF3150">
              <w:rPr>
                <w:sz w:val="22"/>
                <w:szCs w:val="22"/>
              </w:rPr>
              <w:t xml:space="preserve"> no racial disparities in in-hospital death (OR 0.95 [0.87–1.04]) or hospice use (OR</w:t>
            </w:r>
            <w:r w:rsidR="00934D22">
              <w:rPr>
                <w:sz w:val="22"/>
                <w:szCs w:val="22"/>
              </w:rPr>
              <w:t xml:space="preserve"> 0.90 [</w:t>
            </w:r>
            <w:r w:rsidRPr="00CF3150">
              <w:rPr>
                <w:sz w:val="22"/>
                <w:szCs w:val="22"/>
              </w:rPr>
              <w:t xml:space="preserve">0.79–1.02]). </w:t>
            </w:r>
          </w:p>
        </w:tc>
      </w:tr>
      <w:tr w:rsidR="00157788" w:rsidRPr="00EC1707" w14:paraId="5E7203EA" w14:textId="77777777" w:rsidTr="00633708">
        <w:trPr>
          <w:trHeight w:val="1403"/>
        </w:trPr>
        <w:tc>
          <w:tcPr>
            <w:tcW w:w="1133" w:type="dxa"/>
            <w:shd w:val="clear" w:color="auto" w:fill="auto"/>
          </w:tcPr>
          <w:p w14:paraId="149FAF54" w14:textId="77777777" w:rsidR="00157788" w:rsidRPr="00EC1707" w:rsidRDefault="00157788" w:rsidP="00EA6D1D">
            <w:pPr>
              <w:pStyle w:val="Noindent"/>
              <w:spacing w:line="240" w:lineRule="auto"/>
              <w:jc w:val="left"/>
              <w:rPr>
                <w:sz w:val="22"/>
                <w:szCs w:val="22"/>
              </w:rPr>
            </w:pPr>
            <w:r w:rsidRPr="00EC1707">
              <w:rPr>
                <w:sz w:val="22"/>
                <w:szCs w:val="22"/>
              </w:rPr>
              <w:t>Barnato et al., 2012</w:t>
            </w:r>
          </w:p>
        </w:tc>
        <w:tc>
          <w:tcPr>
            <w:tcW w:w="8137" w:type="dxa"/>
            <w:shd w:val="clear" w:color="auto" w:fill="auto"/>
          </w:tcPr>
          <w:p w14:paraId="4D15F558" w14:textId="73A7A455" w:rsidR="00157788" w:rsidRPr="00EC1707" w:rsidRDefault="001315E3" w:rsidP="00EA6D1D">
            <w:pPr>
              <w:autoSpaceDE w:val="0"/>
              <w:autoSpaceDN w:val="0"/>
              <w:adjustRightInd w:val="0"/>
              <w:spacing w:line="240" w:lineRule="auto"/>
              <w:ind w:firstLine="0"/>
              <w:jc w:val="left"/>
              <w:rPr>
                <w:sz w:val="22"/>
                <w:szCs w:val="22"/>
              </w:rPr>
            </w:pPr>
            <w:r w:rsidRPr="00EC1707">
              <w:rPr>
                <w:sz w:val="22"/>
                <w:szCs w:val="22"/>
              </w:rPr>
              <w:t xml:space="preserve">The low-intensity academic medical center </w:t>
            </w:r>
            <w:r w:rsidR="00157788" w:rsidRPr="00EC1707">
              <w:rPr>
                <w:sz w:val="22"/>
                <w:szCs w:val="22"/>
              </w:rPr>
              <w:t>was m</w:t>
            </w:r>
            <w:r w:rsidRPr="00EC1707">
              <w:rPr>
                <w:sz w:val="22"/>
                <w:szCs w:val="22"/>
              </w:rPr>
              <w:t xml:space="preserve">ore likely to use a time-limited </w:t>
            </w:r>
            <w:r w:rsidR="00157788" w:rsidRPr="00EC1707">
              <w:rPr>
                <w:sz w:val="22"/>
                <w:szCs w:val="22"/>
              </w:rPr>
              <w:t xml:space="preserve">trial of </w:t>
            </w:r>
            <w:r w:rsidR="00EA6D1D" w:rsidRPr="00EC1707">
              <w:rPr>
                <w:sz w:val="22"/>
                <w:szCs w:val="22"/>
              </w:rPr>
              <w:t>life-</w:t>
            </w:r>
            <w:r w:rsidRPr="00EC1707">
              <w:rPr>
                <w:sz w:val="22"/>
                <w:szCs w:val="22"/>
              </w:rPr>
              <w:t>sustaining treatment follow</w:t>
            </w:r>
            <w:r w:rsidR="000310AF">
              <w:rPr>
                <w:sz w:val="22"/>
                <w:szCs w:val="22"/>
              </w:rPr>
              <w:t>ed by withdrawal (27% vs. 8%; p=</w:t>
            </w:r>
            <w:r w:rsidRPr="00EC1707">
              <w:rPr>
                <w:sz w:val="22"/>
                <w:szCs w:val="22"/>
              </w:rPr>
              <w:t xml:space="preserve">0.01) and to have a known outcome of </w:t>
            </w:r>
            <w:r w:rsidR="00157788" w:rsidRPr="00EC1707">
              <w:rPr>
                <w:sz w:val="22"/>
                <w:szCs w:val="22"/>
              </w:rPr>
              <w:t>death (31</w:t>
            </w:r>
            <w:r w:rsidRPr="00EC1707">
              <w:rPr>
                <w:sz w:val="22"/>
                <w:szCs w:val="22"/>
              </w:rPr>
              <w:t>% vs. 4%;</w:t>
            </w:r>
            <w:r w:rsidR="00C43125" w:rsidRPr="00EC1707">
              <w:rPr>
                <w:sz w:val="22"/>
                <w:szCs w:val="22"/>
              </w:rPr>
              <w:t xml:space="preserve"> p=</w:t>
            </w:r>
            <w:r w:rsidR="002D546F" w:rsidRPr="00EC1707">
              <w:rPr>
                <w:sz w:val="22"/>
                <w:szCs w:val="22"/>
              </w:rPr>
              <w:t xml:space="preserve">0.001).  </w:t>
            </w:r>
            <w:r w:rsidR="00EA6D1D" w:rsidRPr="00EC1707">
              <w:rPr>
                <w:sz w:val="22"/>
                <w:szCs w:val="22"/>
              </w:rPr>
              <w:t>Between the low- and high-intensity ICUs, t</w:t>
            </w:r>
            <w:r w:rsidRPr="00EC1707">
              <w:rPr>
                <w:sz w:val="22"/>
                <w:szCs w:val="22"/>
              </w:rPr>
              <w:t xml:space="preserve">here </w:t>
            </w:r>
            <w:r w:rsidR="00EA6D1D" w:rsidRPr="00EC1707">
              <w:rPr>
                <w:sz w:val="22"/>
                <w:szCs w:val="22"/>
              </w:rPr>
              <w:t>were</w:t>
            </w:r>
            <w:r w:rsidRPr="00EC1707">
              <w:rPr>
                <w:sz w:val="22"/>
                <w:szCs w:val="22"/>
              </w:rPr>
              <w:t xml:space="preserve"> qualitative differences in goals of life-sustaining treatment, the determination of </w:t>
            </w:r>
            <w:r w:rsidR="00EA6D1D" w:rsidRPr="00EC1707">
              <w:rPr>
                <w:sz w:val="22"/>
                <w:szCs w:val="22"/>
              </w:rPr>
              <w:t>dying,</w:t>
            </w:r>
            <w:r w:rsidRPr="00EC1707">
              <w:rPr>
                <w:sz w:val="22"/>
                <w:szCs w:val="22"/>
              </w:rPr>
              <w:t xml:space="preserve"> concern about harms of commission versus omission, and physician self-effica</w:t>
            </w:r>
            <w:r w:rsidR="00EA6D1D" w:rsidRPr="00EC1707">
              <w:rPr>
                <w:sz w:val="22"/>
                <w:szCs w:val="22"/>
              </w:rPr>
              <w:t>cy for life-sustaining decision-</w:t>
            </w:r>
            <w:r w:rsidR="00157788" w:rsidRPr="00EC1707">
              <w:rPr>
                <w:sz w:val="22"/>
                <w:szCs w:val="22"/>
              </w:rPr>
              <w:t xml:space="preserve">making. </w:t>
            </w:r>
          </w:p>
        </w:tc>
      </w:tr>
      <w:tr w:rsidR="007D2D52" w:rsidRPr="00EC1707" w14:paraId="340956FD" w14:textId="77777777" w:rsidTr="00633708">
        <w:trPr>
          <w:trHeight w:val="1403"/>
        </w:trPr>
        <w:tc>
          <w:tcPr>
            <w:tcW w:w="1133" w:type="dxa"/>
            <w:shd w:val="clear" w:color="auto" w:fill="auto"/>
          </w:tcPr>
          <w:p w14:paraId="570D04C5" w14:textId="77777777" w:rsidR="007D2D52" w:rsidRPr="00CF3150" w:rsidRDefault="007D2D52" w:rsidP="007D2D52">
            <w:pPr>
              <w:pStyle w:val="Noindent"/>
              <w:spacing w:line="240" w:lineRule="auto"/>
              <w:jc w:val="left"/>
              <w:rPr>
                <w:sz w:val="22"/>
                <w:szCs w:val="22"/>
              </w:rPr>
            </w:pPr>
            <w:r w:rsidRPr="00CF3150">
              <w:rPr>
                <w:sz w:val="22"/>
                <w:szCs w:val="22"/>
              </w:rPr>
              <w:t>Barnett et al., 2012</w:t>
            </w:r>
          </w:p>
        </w:tc>
        <w:tc>
          <w:tcPr>
            <w:tcW w:w="8137" w:type="dxa"/>
            <w:shd w:val="clear" w:color="auto" w:fill="auto"/>
          </w:tcPr>
          <w:p w14:paraId="297CCE76" w14:textId="77777777" w:rsidR="007D2D52" w:rsidRPr="00CF3150" w:rsidRDefault="007D2D52" w:rsidP="002D546F">
            <w:pPr>
              <w:pStyle w:val="Noindent"/>
              <w:spacing w:line="240" w:lineRule="auto"/>
              <w:jc w:val="left"/>
              <w:rPr>
                <w:sz w:val="22"/>
                <w:szCs w:val="22"/>
              </w:rPr>
            </w:pPr>
            <w:r w:rsidRPr="00CF3150">
              <w:rPr>
                <w:sz w:val="22"/>
                <w:szCs w:val="22"/>
              </w:rPr>
              <w:t xml:space="preserve">A one standard deviation increase in the median number of connections per physician at an average-sized urban hospital was associated with a 17.8% increase (95% CI 13.2-22.25) in Medicare spending, 17.4% (95% CI 12.6-22.4) increase in hospital days, and 23.8% (95% CI 18.6-29.1) increase in physician visits. </w:t>
            </w:r>
            <w:r w:rsidR="002D546F" w:rsidRPr="00CF3150">
              <w:rPr>
                <w:sz w:val="22"/>
                <w:szCs w:val="22"/>
              </w:rPr>
              <w:t xml:space="preserve"> </w:t>
            </w:r>
            <w:r w:rsidRPr="00CF3150">
              <w:rPr>
                <w:sz w:val="22"/>
                <w:szCs w:val="22"/>
              </w:rPr>
              <w:t xml:space="preserve">In contrast, a one standard deviation increase in the centrality of primary care was associated with a </w:t>
            </w:r>
            <w:r w:rsidR="002D546F" w:rsidRPr="00CF3150">
              <w:rPr>
                <w:sz w:val="22"/>
                <w:szCs w:val="22"/>
              </w:rPr>
              <w:t>6.0% (-9.5 to -2.4) lower</w:t>
            </w:r>
            <w:r w:rsidRPr="00CF3150">
              <w:rPr>
                <w:sz w:val="22"/>
                <w:szCs w:val="22"/>
              </w:rPr>
              <w:t xml:space="preserve"> overall spending</w:t>
            </w:r>
            <w:r w:rsidR="002D546F" w:rsidRPr="00CF3150">
              <w:rPr>
                <w:sz w:val="22"/>
                <w:szCs w:val="22"/>
              </w:rPr>
              <w:t xml:space="preserve">, 9.2% (-13.1 to -5.1) </w:t>
            </w:r>
            <w:r w:rsidRPr="00CF3150">
              <w:rPr>
                <w:sz w:val="22"/>
                <w:szCs w:val="22"/>
              </w:rPr>
              <w:t xml:space="preserve">lower spending on imaging, and </w:t>
            </w:r>
            <w:r w:rsidR="002D546F" w:rsidRPr="00CF3150">
              <w:rPr>
                <w:sz w:val="22"/>
                <w:szCs w:val="22"/>
              </w:rPr>
              <w:br/>
            </w:r>
            <w:r w:rsidRPr="00CF3150">
              <w:rPr>
                <w:sz w:val="22"/>
                <w:szCs w:val="22"/>
              </w:rPr>
              <w:t xml:space="preserve">12.9% (-13.1 to -5.1) lower spending on tests. </w:t>
            </w:r>
          </w:p>
        </w:tc>
      </w:tr>
      <w:tr w:rsidR="008A4D0F" w:rsidRPr="00EC1707" w14:paraId="11E9C57E" w14:textId="77777777" w:rsidTr="00633708">
        <w:trPr>
          <w:trHeight w:val="1403"/>
        </w:trPr>
        <w:tc>
          <w:tcPr>
            <w:tcW w:w="1133" w:type="dxa"/>
            <w:shd w:val="clear" w:color="auto" w:fill="auto"/>
          </w:tcPr>
          <w:p w14:paraId="3231812E" w14:textId="632B8B9C" w:rsidR="008A4D0F" w:rsidRPr="00CF3150" w:rsidRDefault="008A4D0F" w:rsidP="008A4D0F">
            <w:pPr>
              <w:pStyle w:val="Noindent"/>
              <w:spacing w:line="240" w:lineRule="auto"/>
              <w:jc w:val="left"/>
              <w:rPr>
                <w:sz w:val="22"/>
                <w:szCs w:val="22"/>
              </w:rPr>
            </w:pPr>
            <w:r w:rsidRPr="00CF3150">
              <w:rPr>
                <w:sz w:val="22"/>
                <w:szCs w:val="22"/>
              </w:rPr>
              <w:t>Miesfeldt et al., 2012</w:t>
            </w:r>
          </w:p>
        </w:tc>
        <w:tc>
          <w:tcPr>
            <w:tcW w:w="8137" w:type="dxa"/>
            <w:shd w:val="clear" w:color="auto" w:fill="auto"/>
          </w:tcPr>
          <w:p w14:paraId="30359033" w14:textId="123A791A" w:rsidR="008A4D0F" w:rsidRPr="00CF3150" w:rsidRDefault="008A4D0F" w:rsidP="008A4D0F">
            <w:pPr>
              <w:pStyle w:val="Noindent"/>
              <w:spacing w:line="240" w:lineRule="auto"/>
              <w:jc w:val="left"/>
              <w:rPr>
                <w:sz w:val="22"/>
                <w:szCs w:val="22"/>
              </w:rPr>
            </w:pPr>
            <w:r w:rsidRPr="00CF3150">
              <w:rPr>
                <w:sz w:val="22"/>
                <w:szCs w:val="22"/>
              </w:rPr>
              <w:t xml:space="preserve">Older age (≥ 75 vs 66-75) was associated with lower </w:t>
            </w:r>
            <w:r w:rsidR="006A24A4" w:rsidRPr="00CF3150">
              <w:rPr>
                <w:sz w:val="22"/>
                <w:szCs w:val="22"/>
              </w:rPr>
              <w:t xml:space="preserve">ORs </w:t>
            </w:r>
            <w:r w:rsidRPr="00CF3150">
              <w:rPr>
                <w:sz w:val="22"/>
                <w:szCs w:val="22"/>
              </w:rPr>
              <w:t>of 0.49 to 0.89 for aggressive care and a lower</w:t>
            </w:r>
            <w:r w:rsidR="002A5528" w:rsidRPr="00CF3150">
              <w:rPr>
                <w:sz w:val="22"/>
                <w:szCs w:val="22"/>
              </w:rPr>
              <w:t xml:space="preserve"> OR of 0.92 [95% CI 0.89-0.95]</w:t>
            </w:r>
            <w:r w:rsidRPr="00CF3150">
              <w:rPr>
                <w:sz w:val="22"/>
                <w:szCs w:val="22"/>
              </w:rPr>
              <w:t xml:space="preserve"> for late hospice enrollment. Female gender was associated </w:t>
            </w:r>
            <w:r w:rsidR="006A24A4" w:rsidRPr="00CF3150">
              <w:rPr>
                <w:sz w:val="22"/>
                <w:szCs w:val="22"/>
              </w:rPr>
              <w:t>with lower ORs of 0.82 to 0.86</w:t>
            </w:r>
            <w:r w:rsidRPr="00CF3150">
              <w:rPr>
                <w:sz w:val="22"/>
                <w:szCs w:val="22"/>
              </w:rPr>
              <w:t xml:space="preserve"> for aggressive care,</w:t>
            </w:r>
            <w:r w:rsidR="002A5528" w:rsidRPr="00CF3150">
              <w:rPr>
                <w:sz w:val="22"/>
                <w:szCs w:val="22"/>
              </w:rPr>
              <w:t xml:space="preserve"> and an OR of 0.84 [0.81-0.8]</w:t>
            </w:r>
            <w:r w:rsidRPr="00CF3150">
              <w:rPr>
                <w:sz w:val="22"/>
                <w:szCs w:val="22"/>
              </w:rPr>
              <w:t xml:space="preserve"> for late hospice enrollment. Black race </w:t>
            </w:r>
            <w:r w:rsidR="006A24A4" w:rsidRPr="00CF3150">
              <w:rPr>
                <w:sz w:val="22"/>
                <w:szCs w:val="22"/>
              </w:rPr>
              <w:t>was associated with higher ORs of 1.08 to 1.38</w:t>
            </w:r>
            <w:r w:rsidRPr="00CF3150">
              <w:rPr>
                <w:sz w:val="22"/>
                <w:szCs w:val="22"/>
              </w:rPr>
              <w:t xml:space="preserve"> for aggressive acute care, </w:t>
            </w:r>
            <w:r w:rsidR="006A24A4" w:rsidRPr="00CF3150">
              <w:rPr>
                <w:sz w:val="22"/>
                <w:szCs w:val="22"/>
              </w:rPr>
              <w:t xml:space="preserve">a </w:t>
            </w:r>
            <w:r w:rsidRPr="00CF3150">
              <w:rPr>
                <w:sz w:val="22"/>
                <w:szCs w:val="22"/>
              </w:rPr>
              <w:t>l</w:t>
            </w:r>
            <w:r w:rsidR="006A24A4" w:rsidRPr="00CF3150">
              <w:rPr>
                <w:sz w:val="22"/>
                <w:szCs w:val="22"/>
              </w:rPr>
              <w:t>ower OR of 0.76 [0.71-0.81] for late chemotherapy</w:t>
            </w:r>
            <w:r w:rsidRPr="00CF3150">
              <w:rPr>
                <w:sz w:val="22"/>
                <w:szCs w:val="22"/>
              </w:rPr>
              <w:t xml:space="preserve">, and </w:t>
            </w:r>
            <w:r w:rsidR="006A24A4" w:rsidRPr="00CF3150">
              <w:rPr>
                <w:sz w:val="22"/>
                <w:szCs w:val="22"/>
              </w:rPr>
              <w:t xml:space="preserve">a lower OR of 0.81 [0.76-0.86] for </w:t>
            </w:r>
            <w:r w:rsidRPr="00CF3150">
              <w:rPr>
                <w:sz w:val="22"/>
                <w:szCs w:val="22"/>
              </w:rPr>
              <w:t>late h</w:t>
            </w:r>
            <w:r w:rsidR="006A24A4" w:rsidRPr="00CF3150">
              <w:rPr>
                <w:sz w:val="22"/>
                <w:szCs w:val="22"/>
              </w:rPr>
              <w:t>ospice enrollment</w:t>
            </w:r>
            <w:r w:rsidRPr="00CF3150">
              <w:rPr>
                <w:sz w:val="22"/>
                <w:szCs w:val="22"/>
              </w:rPr>
              <w:t>.</w:t>
            </w:r>
          </w:p>
        </w:tc>
      </w:tr>
      <w:tr w:rsidR="004A0281" w:rsidRPr="00EC1707" w14:paraId="3967C08A" w14:textId="77777777" w:rsidTr="00633708">
        <w:trPr>
          <w:trHeight w:val="1403"/>
        </w:trPr>
        <w:tc>
          <w:tcPr>
            <w:tcW w:w="1133" w:type="dxa"/>
            <w:shd w:val="clear" w:color="auto" w:fill="auto"/>
          </w:tcPr>
          <w:p w14:paraId="744E170B" w14:textId="766823A8" w:rsidR="004A0281" w:rsidRPr="004A0281" w:rsidRDefault="004A0281" w:rsidP="008A4D0F">
            <w:pPr>
              <w:pStyle w:val="Noindent"/>
              <w:spacing w:line="240" w:lineRule="auto"/>
              <w:jc w:val="left"/>
              <w:rPr>
                <w:sz w:val="22"/>
                <w:szCs w:val="22"/>
              </w:rPr>
            </w:pPr>
            <w:r w:rsidRPr="004A0281">
              <w:rPr>
                <w:sz w:val="22"/>
                <w:szCs w:val="22"/>
              </w:rPr>
              <w:t>Baker et al., 2014</w:t>
            </w:r>
          </w:p>
        </w:tc>
        <w:tc>
          <w:tcPr>
            <w:tcW w:w="8137" w:type="dxa"/>
            <w:shd w:val="clear" w:color="auto" w:fill="auto"/>
          </w:tcPr>
          <w:p w14:paraId="72D6E6F9" w14:textId="54F3D3B4" w:rsidR="004A0281" w:rsidRPr="004A0281" w:rsidRDefault="004A0281" w:rsidP="004A0281">
            <w:pPr>
              <w:pStyle w:val="Noindent"/>
              <w:spacing w:line="240" w:lineRule="auto"/>
              <w:jc w:val="left"/>
              <w:rPr>
                <w:sz w:val="22"/>
                <w:szCs w:val="22"/>
              </w:rPr>
            </w:pPr>
            <w:r w:rsidRPr="004A0281">
              <w:rPr>
                <w:sz w:val="22"/>
                <w:szCs w:val="22"/>
              </w:rPr>
              <w:t>Supply factors (e.g., the number of physic</w:t>
            </w:r>
            <w:r>
              <w:rPr>
                <w:sz w:val="22"/>
                <w:szCs w:val="22"/>
              </w:rPr>
              <w:t xml:space="preserve">ians, specialists, and hospital </w:t>
            </w:r>
            <w:r w:rsidRPr="004A0281">
              <w:rPr>
                <w:sz w:val="22"/>
                <w:szCs w:val="22"/>
              </w:rPr>
              <w:t>beds) expla</w:t>
            </w:r>
            <w:r>
              <w:rPr>
                <w:sz w:val="22"/>
                <w:szCs w:val="22"/>
              </w:rPr>
              <w:t xml:space="preserve">ined </w:t>
            </w:r>
            <w:r w:rsidRPr="004A0281">
              <w:rPr>
                <w:sz w:val="22"/>
                <w:szCs w:val="22"/>
              </w:rPr>
              <w:t>23% of Medicare spending variation across HRRs, patients’</w:t>
            </w:r>
            <w:r>
              <w:rPr>
                <w:sz w:val="22"/>
                <w:szCs w:val="22"/>
              </w:rPr>
              <w:t xml:space="preserve"> health and income explained </w:t>
            </w:r>
            <w:r w:rsidRPr="004A0281">
              <w:rPr>
                <w:sz w:val="22"/>
                <w:szCs w:val="22"/>
              </w:rPr>
              <w:t xml:space="preserve">12%, and patients’ preferences explained 5%. </w:t>
            </w:r>
            <w:r>
              <w:rPr>
                <w:sz w:val="22"/>
                <w:szCs w:val="22"/>
              </w:rPr>
              <w:t xml:space="preserve">Relative to </w:t>
            </w:r>
            <w:r w:rsidRPr="004A0281">
              <w:rPr>
                <w:sz w:val="22"/>
                <w:szCs w:val="22"/>
              </w:rPr>
              <w:t>these factors</w:t>
            </w:r>
            <w:r>
              <w:rPr>
                <w:sz w:val="22"/>
                <w:szCs w:val="22"/>
              </w:rPr>
              <w:t xml:space="preserve">, patients’ </w:t>
            </w:r>
            <w:r w:rsidRPr="004A0281">
              <w:rPr>
                <w:sz w:val="22"/>
                <w:szCs w:val="22"/>
              </w:rPr>
              <w:t>preferences explained the largest share of variation in end-of-life spending</w:t>
            </w:r>
            <w:r>
              <w:rPr>
                <w:sz w:val="22"/>
                <w:szCs w:val="22"/>
              </w:rPr>
              <w:t xml:space="preserve"> when the </w:t>
            </w:r>
            <w:r w:rsidRPr="004A0281">
              <w:rPr>
                <w:sz w:val="22"/>
                <w:szCs w:val="22"/>
              </w:rPr>
              <w:t xml:space="preserve">relative importance of preferences was explored for spending at the end of </w:t>
            </w:r>
            <w:r>
              <w:rPr>
                <w:sz w:val="22"/>
                <w:szCs w:val="22"/>
              </w:rPr>
              <w:t xml:space="preserve">life, inpatient </w:t>
            </w:r>
            <w:r w:rsidRPr="004A0281">
              <w:rPr>
                <w:sz w:val="22"/>
                <w:szCs w:val="22"/>
              </w:rPr>
              <w:t xml:space="preserve">spending, and spending on physician services. </w:t>
            </w:r>
          </w:p>
        </w:tc>
      </w:tr>
      <w:tr w:rsidR="008A4D0F" w:rsidRPr="00EC1707" w14:paraId="429A358A" w14:textId="77777777" w:rsidTr="00633708">
        <w:trPr>
          <w:trHeight w:val="620"/>
        </w:trPr>
        <w:tc>
          <w:tcPr>
            <w:tcW w:w="1133" w:type="dxa"/>
            <w:shd w:val="clear" w:color="auto" w:fill="auto"/>
          </w:tcPr>
          <w:p w14:paraId="3910606B" w14:textId="3F28A755" w:rsidR="008A4D0F" w:rsidRPr="00CF3150" w:rsidRDefault="008A4D0F" w:rsidP="008A4D0F">
            <w:pPr>
              <w:pStyle w:val="Noindent"/>
              <w:spacing w:line="240" w:lineRule="auto"/>
              <w:jc w:val="left"/>
              <w:rPr>
                <w:sz w:val="22"/>
                <w:szCs w:val="22"/>
              </w:rPr>
            </w:pPr>
            <w:r w:rsidRPr="00CF3150">
              <w:rPr>
                <w:sz w:val="22"/>
                <w:szCs w:val="22"/>
              </w:rPr>
              <w:t>Barnato et al., 2014</w:t>
            </w:r>
          </w:p>
        </w:tc>
        <w:tc>
          <w:tcPr>
            <w:tcW w:w="8137" w:type="dxa"/>
            <w:shd w:val="clear" w:color="auto" w:fill="auto"/>
          </w:tcPr>
          <w:p w14:paraId="444FC08A" w14:textId="0B122FA7" w:rsidR="008A4D0F" w:rsidRPr="00CF3150" w:rsidRDefault="00EC1707" w:rsidP="000310AF">
            <w:pPr>
              <w:pStyle w:val="Noindent"/>
              <w:spacing w:line="240" w:lineRule="auto"/>
              <w:jc w:val="left"/>
              <w:rPr>
                <w:sz w:val="22"/>
                <w:szCs w:val="22"/>
              </w:rPr>
            </w:pPr>
            <w:r w:rsidRPr="00CF3150">
              <w:rPr>
                <w:sz w:val="22"/>
                <w:szCs w:val="22"/>
              </w:rPr>
              <w:t xml:space="preserve">Treatment decisions, diagnosis, and prognosis between the high and low-intensity </w:t>
            </w:r>
            <w:r w:rsidR="000310AF">
              <w:rPr>
                <w:sz w:val="22"/>
                <w:szCs w:val="22"/>
              </w:rPr>
              <w:t>academic medical centers (AMC)</w:t>
            </w:r>
            <w:r w:rsidRPr="00CF3150">
              <w:rPr>
                <w:sz w:val="22"/>
                <w:szCs w:val="22"/>
              </w:rPr>
              <w:t xml:space="preserve"> did not significantly differ. However, c</w:t>
            </w:r>
            <w:r w:rsidR="008A4D0F" w:rsidRPr="00CF3150">
              <w:rPr>
                <w:sz w:val="22"/>
                <w:szCs w:val="22"/>
              </w:rPr>
              <w:t>ase percept</w:t>
            </w:r>
            <w:r w:rsidRPr="00CF3150">
              <w:rPr>
                <w:sz w:val="22"/>
                <w:szCs w:val="22"/>
              </w:rPr>
              <w:t xml:space="preserve">ions at the low-intensity AMC appeared </w:t>
            </w:r>
            <w:r w:rsidR="008A4D0F" w:rsidRPr="00CF3150">
              <w:rPr>
                <w:sz w:val="22"/>
                <w:szCs w:val="22"/>
              </w:rPr>
              <w:t>to be inf</w:t>
            </w:r>
            <w:r w:rsidRPr="00CF3150">
              <w:rPr>
                <w:sz w:val="22"/>
                <w:szCs w:val="22"/>
              </w:rPr>
              <w:t xml:space="preserve">luenced by the absence of a </w:t>
            </w:r>
            <w:r w:rsidR="000310AF">
              <w:rPr>
                <w:sz w:val="22"/>
                <w:szCs w:val="22"/>
              </w:rPr>
              <w:t>DNR</w:t>
            </w:r>
            <w:r w:rsidR="006A24A4" w:rsidRPr="00CF3150">
              <w:rPr>
                <w:sz w:val="22"/>
                <w:szCs w:val="22"/>
              </w:rPr>
              <w:t xml:space="preserve"> order</w:t>
            </w:r>
            <w:r w:rsidRPr="00CF3150">
              <w:rPr>
                <w:sz w:val="22"/>
                <w:szCs w:val="22"/>
              </w:rPr>
              <w:t xml:space="preserve">, and at the high-intensity AMC, the case perceptions appeared </w:t>
            </w:r>
            <w:r w:rsidR="008A4D0F" w:rsidRPr="00CF3150">
              <w:rPr>
                <w:sz w:val="22"/>
                <w:szCs w:val="22"/>
              </w:rPr>
              <w:t xml:space="preserve">to be influenced by the patient’s </w:t>
            </w:r>
            <w:r w:rsidRPr="00CF3150">
              <w:rPr>
                <w:sz w:val="22"/>
                <w:szCs w:val="22"/>
              </w:rPr>
              <w:t xml:space="preserve">critical illness. The low-intensity AMC had norms of universal code status discussion and documentation, whereas the high-intensity AMC had norms </w:t>
            </w:r>
            <w:r w:rsidR="008A4D0F" w:rsidRPr="00CF3150">
              <w:rPr>
                <w:sz w:val="22"/>
                <w:szCs w:val="22"/>
              </w:rPr>
              <w:t xml:space="preserve">of oncologists’ avoiding code status discussions. </w:t>
            </w:r>
          </w:p>
        </w:tc>
      </w:tr>
      <w:tr w:rsidR="008A4D0F" w:rsidRPr="00EC1707" w14:paraId="5FC84934" w14:textId="77777777" w:rsidTr="00633708">
        <w:trPr>
          <w:trHeight w:val="1403"/>
        </w:trPr>
        <w:tc>
          <w:tcPr>
            <w:tcW w:w="1133" w:type="dxa"/>
            <w:shd w:val="clear" w:color="auto" w:fill="auto"/>
          </w:tcPr>
          <w:p w14:paraId="681A34E5" w14:textId="353D8559" w:rsidR="008A4D0F" w:rsidRPr="00CF3150" w:rsidRDefault="008A4D0F" w:rsidP="008A4D0F">
            <w:pPr>
              <w:pStyle w:val="Noindent"/>
              <w:spacing w:line="240" w:lineRule="auto"/>
              <w:jc w:val="left"/>
              <w:rPr>
                <w:sz w:val="22"/>
                <w:szCs w:val="22"/>
              </w:rPr>
            </w:pPr>
            <w:r w:rsidRPr="00CF3150">
              <w:rPr>
                <w:sz w:val="22"/>
                <w:szCs w:val="22"/>
              </w:rPr>
              <w:t>Tschirhart et al., 2014</w:t>
            </w:r>
          </w:p>
        </w:tc>
        <w:tc>
          <w:tcPr>
            <w:tcW w:w="8137" w:type="dxa"/>
            <w:shd w:val="clear" w:color="auto" w:fill="auto"/>
          </w:tcPr>
          <w:p w14:paraId="506C24B0" w14:textId="5F92EE75" w:rsidR="008A4D0F" w:rsidRPr="00CF3150" w:rsidRDefault="008A4D0F" w:rsidP="000310AF">
            <w:pPr>
              <w:pStyle w:val="Noindent"/>
              <w:spacing w:line="240" w:lineRule="auto"/>
              <w:jc w:val="left"/>
              <w:rPr>
                <w:sz w:val="22"/>
                <w:szCs w:val="22"/>
              </w:rPr>
            </w:pPr>
            <w:r w:rsidRPr="00CF3150">
              <w:rPr>
                <w:sz w:val="22"/>
                <w:szCs w:val="22"/>
              </w:rPr>
              <w:t>A lower adjusted odds ratio</w:t>
            </w:r>
            <w:r w:rsidR="000310AF">
              <w:rPr>
                <w:sz w:val="22"/>
                <w:szCs w:val="22"/>
              </w:rPr>
              <w:t xml:space="preserve"> (AOR)</w:t>
            </w:r>
            <w:r w:rsidRPr="00CF3150">
              <w:rPr>
                <w:sz w:val="22"/>
                <w:szCs w:val="22"/>
              </w:rPr>
              <w:t xml:space="preserve"> of an intensive procedure was significantly associated with 85–94 year old</w:t>
            </w:r>
            <w:r w:rsidR="002A5528" w:rsidRPr="00CF3150">
              <w:rPr>
                <w:sz w:val="22"/>
                <w:szCs w:val="22"/>
              </w:rPr>
              <w:t>s vs</w:t>
            </w:r>
            <w:r w:rsidR="000310AF">
              <w:rPr>
                <w:sz w:val="22"/>
                <w:szCs w:val="22"/>
              </w:rPr>
              <w:t>.</w:t>
            </w:r>
            <w:r w:rsidR="002A5528" w:rsidRPr="00CF3150">
              <w:rPr>
                <w:sz w:val="22"/>
                <w:szCs w:val="22"/>
              </w:rPr>
              <w:t xml:space="preserve"> 65-74 year olds (AOR 0.67 [95% CI 0.51–0.90])</w:t>
            </w:r>
            <w:r w:rsidRPr="00CF3150">
              <w:rPr>
                <w:sz w:val="22"/>
                <w:szCs w:val="22"/>
              </w:rPr>
              <w:t>, Alzheimer’s disease (AOR 0.</w:t>
            </w:r>
            <w:r w:rsidR="002A5528" w:rsidRPr="00CF3150">
              <w:rPr>
                <w:sz w:val="22"/>
                <w:szCs w:val="22"/>
              </w:rPr>
              <w:t>71 [0.54–0.94], cancer (AOR 0.60 [</w:t>
            </w:r>
            <w:r w:rsidRPr="00CF3150">
              <w:rPr>
                <w:sz w:val="22"/>
                <w:szCs w:val="22"/>
              </w:rPr>
              <w:t>0.4</w:t>
            </w:r>
            <w:r w:rsidR="002A5528" w:rsidRPr="00CF3150">
              <w:rPr>
                <w:sz w:val="22"/>
                <w:szCs w:val="22"/>
              </w:rPr>
              <w:t>3–0.85]</w:t>
            </w:r>
            <w:r w:rsidR="006A24A4" w:rsidRPr="00CF3150">
              <w:rPr>
                <w:sz w:val="22"/>
                <w:szCs w:val="22"/>
              </w:rPr>
              <w:t>)</w:t>
            </w:r>
            <w:r w:rsidRPr="00CF3150">
              <w:rPr>
                <w:sz w:val="22"/>
                <w:szCs w:val="22"/>
              </w:rPr>
              <w:t>, nursing hom</w:t>
            </w:r>
            <w:r w:rsidR="002A5528" w:rsidRPr="00CF3150">
              <w:rPr>
                <w:sz w:val="22"/>
                <w:szCs w:val="22"/>
              </w:rPr>
              <w:t>e residence (AOR 0.70 [0.50–0.97])</w:t>
            </w:r>
            <w:r w:rsidRPr="00CF3150">
              <w:rPr>
                <w:sz w:val="22"/>
                <w:szCs w:val="22"/>
              </w:rPr>
              <w:t xml:space="preserve">, and having an advance directive (AOR </w:t>
            </w:r>
            <w:r w:rsidR="002A5528" w:rsidRPr="00CF3150">
              <w:rPr>
                <w:sz w:val="22"/>
                <w:szCs w:val="22"/>
              </w:rPr>
              <w:t>0.71 [0.57–0.89])</w:t>
            </w:r>
            <w:r w:rsidRPr="00CF3150">
              <w:rPr>
                <w:sz w:val="22"/>
                <w:szCs w:val="22"/>
              </w:rPr>
              <w:t xml:space="preserve">. A higher </w:t>
            </w:r>
            <w:r w:rsidR="000310AF">
              <w:rPr>
                <w:sz w:val="22"/>
                <w:szCs w:val="22"/>
              </w:rPr>
              <w:t>AOR</w:t>
            </w:r>
            <w:r w:rsidRPr="00CF3150">
              <w:rPr>
                <w:sz w:val="22"/>
                <w:szCs w:val="22"/>
              </w:rPr>
              <w:t xml:space="preserve"> was significantly associated with living in a region with higher hos</w:t>
            </w:r>
            <w:r w:rsidR="002A5528" w:rsidRPr="00CF3150">
              <w:rPr>
                <w:sz w:val="22"/>
                <w:szCs w:val="22"/>
              </w:rPr>
              <w:t xml:space="preserve">pital care intensity (AOR 2.16 [1.48–3.13]) </w:t>
            </w:r>
            <w:r w:rsidRPr="00CF3150">
              <w:rPr>
                <w:sz w:val="22"/>
                <w:szCs w:val="22"/>
              </w:rPr>
              <w:t xml:space="preserve">and </w:t>
            </w:r>
            <w:r w:rsidR="00EC1707" w:rsidRPr="00CF3150">
              <w:rPr>
                <w:sz w:val="22"/>
                <w:szCs w:val="22"/>
              </w:rPr>
              <w:t xml:space="preserve">black race </w:t>
            </w:r>
            <w:r w:rsidRPr="00CF3150">
              <w:rPr>
                <w:sz w:val="22"/>
                <w:szCs w:val="22"/>
              </w:rPr>
              <w:t>(AOR</w:t>
            </w:r>
            <w:r w:rsidR="00EC1707" w:rsidRPr="00CF3150">
              <w:rPr>
                <w:sz w:val="22"/>
                <w:szCs w:val="22"/>
              </w:rPr>
              <w:t xml:space="preserve"> 2.02</w:t>
            </w:r>
            <w:r w:rsidR="002A5528" w:rsidRPr="00CF3150">
              <w:rPr>
                <w:sz w:val="22"/>
                <w:szCs w:val="22"/>
              </w:rPr>
              <w:t xml:space="preserve"> [</w:t>
            </w:r>
            <w:r w:rsidR="00EC1707" w:rsidRPr="00CF3150">
              <w:rPr>
                <w:sz w:val="22"/>
                <w:szCs w:val="22"/>
              </w:rPr>
              <w:t>1.52–2.69</w:t>
            </w:r>
            <w:r w:rsidR="002A5528" w:rsidRPr="00CF3150">
              <w:rPr>
                <w:sz w:val="22"/>
                <w:szCs w:val="22"/>
              </w:rPr>
              <w:t>]</w:t>
            </w:r>
            <w:r w:rsidR="00EC1707" w:rsidRPr="00CF3150">
              <w:rPr>
                <w:sz w:val="22"/>
                <w:szCs w:val="22"/>
              </w:rPr>
              <w:t xml:space="preserve">). </w:t>
            </w:r>
            <w:r w:rsidRPr="00CF3150">
              <w:rPr>
                <w:sz w:val="22"/>
                <w:szCs w:val="22"/>
              </w:rPr>
              <w:t xml:space="preserve">Hospital beds per capita did not significantly affect the odds of undergoing an intensive procedure. </w:t>
            </w:r>
          </w:p>
        </w:tc>
      </w:tr>
    </w:tbl>
    <w:p w14:paraId="782C3E12" w14:textId="2E120AC4" w:rsidR="00334F18" w:rsidRDefault="00334F18"/>
    <w:p w14:paraId="0533DEB8" w14:textId="24B30D2F" w:rsidR="00334F18" w:rsidRDefault="00334F18" w:rsidP="00334F18">
      <w:pPr>
        <w:pStyle w:val="Caption"/>
        <w:keepNext/>
        <w:ind w:firstLine="0"/>
        <w:jc w:val="center"/>
      </w:pPr>
      <w:r>
        <w:lastRenderedPageBreak/>
        <w:t>Table 2 Continued</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137"/>
      </w:tblGrid>
      <w:tr w:rsidR="00334F18" w:rsidRPr="00EC1707" w14:paraId="69AA2975" w14:textId="77777777" w:rsidTr="00633708">
        <w:trPr>
          <w:trHeight w:val="251"/>
        </w:trPr>
        <w:tc>
          <w:tcPr>
            <w:tcW w:w="1133" w:type="dxa"/>
            <w:shd w:val="clear" w:color="auto" w:fill="auto"/>
          </w:tcPr>
          <w:p w14:paraId="1A71BA31" w14:textId="697EA235" w:rsidR="00334F18" w:rsidRPr="00CF3150" w:rsidRDefault="00334F18" w:rsidP="00334F18">
            <w:pPr>
              <w:pStyle w:val="Noindent"/>
              <w:spacing w:line="240" w:lineRule="auto"/>
              <w:jc w:val="left"/>
              <w:rPr>
                <w:sz w:val="22"/>
                <w:szCs w:val="22"/>
              </w:rPr>
            </w:pPr>
            <w:r w:rsidRPr="00EC1707">
              <w:rPr>
                <w:sz w:val="22"/>
                <w:szCs w:val="22"/>
              </w:rPr>
              <w:t>Author</w:t>
            </w:r>
          </w:p>
        </w:tc>
        <w:tc>
          <w:tcPr>
            <w:tcW w:w="8137" w:type="dxa"/>
            <w:shd w:val="clear" w:color="auto" w:fill="auto"/>
          </w:tcPr>
          <w:p w14:paraId="180096E9" w14:textId="3A21C743" w:rsidR="00334F18" w:rsidRPr="00CF3150" w:rsidRDefault="00334F18" w:rsidP="00334F18">
            <w:pPr>
              <w:pStyle w:val="Noindent"/>
              <w:spacing w:line="240" w:lineRule="auto"/>
              <w:jc w:val="left"/>
              <w:rPr>
                <w:sz w:val="22"/>
                <w:szCs w:val="22"/>
              </w:rPr>
            </w:pPr>
            <w:r w:rsidRPr="00EC1707">
              <w:rPr>
                <w:sz w:val="22"/>
                <w:szCs w:val="22"/>
              </w:rPr>
              <w:t>Primary Findings</w:t>
            </w:r>
          </w:p>
        </w:tc>
      </w:tr>
      <w:tr w:rsidR="00F36444" w:rsidRPr="00EC1707" w14:paraId="3073E007" w14:textId="77777777" w:rsidTr="00633708">
        <w:trPr>
          <w:trHeight w:val="1403"/>
        </w:trPr>
        <w:tc>
          <w:tcPr>
            <w:tcW w:w="1133" w:type="dxa"/>
            <w:shd w:val="clear" w:color="auto" w:fill="auto"/>
          </w:tcPr>
          <w:p w14:paraId="30416925" w14:textId="68663F43" w:rsidR="00F36444" w:rsidRPr="00CF3150" w:rsidRDefault="00F36444" w:rsidP="007D2D52">
            <w:pPr>
              <w:pStyle w:val="Noindent"/>
              <w:spacing w:line="240" w:lineRule="auto"/>
              <w:jc w:val="left"/>
              <w:rPr>
                <w:sz w:val="22"/>
                <w:szCs w:val="22"/>
              </w:rPr>
            </w:pPr>
            <w:r w:rsidRPr="00CF3150">
              <w:rPr>
                <w:sz w:val="22"/>
                <w:szCs w:val="22"/>
              </w:rPr>
              <w:t>Hart et al., 2015</w:t>
            </w:r>
          </w:p>
        </w:tc>
        <w:tc>
          <w:tcPr>
            <w:tcW w:w="8137" w:type="dxa"/>
            <w:shd w:val="clear" w:color="auto" w:fill="auto"/>
          </w:tcPr>
          <w:p w14:paraId="586B8901" w14:textId="0F508744" w:rsidR="00F36444" w:rsidRPr="00CF3150" w:rsidRDefault="00F36444" w:rsidP="00073D57">
            <w:pPr>
              <w:pStyle w:val="Noindent"/>
              <w:spacing w:line="240" w:lineRule="auto"/>
              <w:jc w:val="left"/>
              <w:rPr>
                <w:sz w:val="22"/>
                <w:szCs w:val="22"/>
              </w:rPr>
            </w:pPr>
            <w:r w:rsidRPr="00CF3150">
              <w:rPr>
                <w:sz w:val="22"/>
                <w:szCs w:val="22"/>
              </w:rPr>
              <w:t xml:space="preserve">After risk adjustments, </w:t>
            </w:r>
            <w:r w:rsidR="00073D57" w:rsidRPr="00CF3150">
              <w:rPr>
                <w:sz w:val="22"/>
                <w:szCs w:val="22"/>
              </w:rPr>
              <w:t xml:space="preserve">across the ICUs, </w:t>
            </w:r>
            <w:r w:rsidRPr="00CF3150">
              <w:rPr>
                <w:sz w:val="22"/>
                <w:szCs w:val="22"/>
              </w:rPr>
              <w:t>the proportion of patients admitted with treatment limitations</w:t>
            </w:r>
            <w:r w:rsidR="006A24A4" w:rsidRPr="00CF3150">
              <w:rPr>
                <w:sz w:val="22"/>
                <w:szCs w:val="22"/>
              </w:rPr>
              <w:t xml:space="preserve"> who</w:t>
            </w:r>
            <w:r w:rsidR="00073D57" w:rsidRPr="00CF3150">
              <w:rPr>
                <w:sz w:val="22"/>
                <w:szCs w:val="22"/>
              </w:rPr>
              <w:t xml:space="preserve">: </w:t>
            </w:r>
            <w:r w:rsidRPr="00CF3150">
              <w:rPr>
                <w:sz w:val="22"/>
                <w:szCs w:val="22"/>
              </w:rPr>
              <w:t>received cardiopulmonary resuscitation</w:t>
            </w:r>
            <w:r w:rsidR="00073D57" w:rsidRPr="00CF3150">
              <w:rPr>
                <w:sz w:val="22"/>
                <w:szCs w:val="22"/>
              </w:rPr>
              <w:t xml:space="preserve"> ranged from 3.8% to 92.4% </w:t>
            </w:r>
            <w:r w:rsidRPr="00CF3150">
              <w:rPr>
                <w:sz w:val="22"/>
                <w:szCs w:val="22"/>
              </w:rPr>
              <w:t>(</w:t>
            </w:r>
            <w:r w:rsidR="00073D57" w:rsidRPr="00CF3150">
              <w:rPr>
                <w:sz w:val="22"/>
                <w:szCs w:val="22"/>
              </w:rPr>
              <w:t xml:space="preserve">median of </w:t>
            </w:r>
            <w:r w:rsidRPr="00CF3150">
              <w:rPr>
                <w:sz w:val="22"/>
                <w:szCs w:val="22"/>
              </w:rPr>
              <w:t xml:space="preserve">37.7%), </w:t>
            </w:r>
            <w:r w:rsidR="00073D57" w:rsidRPr="00CF3150">
              <w:rPr>
                <w:sz w:val="22"/>
                <w:szCs w:val="22"/>
              </w:rPr>
              <w:t>received new</w:t>
            </w:r>
            <w:r w:rsidRPr="00CF3150">
              <w:rPr>
                <w:sz w:val="22"/>
                <w:szCs w:val="22"/>
              </w:rPr>
              <w:t xml:space="preserve"> forms of life support</w:t>
            </w:r>
            <w:r w:rsidR="00073D57" w:rsidRPr="00CF3150">
              <w:rPr>
                <w:sz w:val="22"/>
                <w:szCs w:val="22"/>
              </w:rPr>
              <w:t xml:space="preserve"> ranged from 6.0% to 84.2% </w:t>
            </w:r>
            <w:r w:rsidRPr="00CF3150">
              <w:rPr>
                <w:sz w:val="22"/>
                <w:szCs w:val="22"/>
              </w:rPr>
              <w:t>(</w:t>
            </w:r>
            <w:r w:rsidR="00073D57" w:rsidRPr="00CF3150">
              <w:rPr>
                <w:sz w:val="22"/>
                <w:szCs w:val="22"/>
              </w:rPr>
              <w:t>median of 30.0%), survived and had</w:t>
            </w:r>
            <w:r w:rsidRPr="00CF3150">
              <w:rPr>
                <w:sz w:val="22"/>
                <w:szCs w:val="22"/>
              </w:rPr>
              <w:t xml:space="preserve"> new tre</w:t>
            </w:r>
            <w:r w:rsidR="00073D57" w:rsidRPr="00CF3150">
              <w:rPr>
                <w:sz w:val="22"/>
                <w:szCs w:val="22"/>
              </w:rPr>
              <w:t xml:space="preserve">atment limitations established ranged from 1.9% to 57.3% (median of 11.2%), </w:t>
            </w:r>
            <w:r w:rsidR="00CF3150" w:rsidRPr="00CF3150">
              <w:rPr>
                <w:sz w:val="22"/>
                <w:szCs w:val="22"/>
              </w:rPr>
              <w:t>and</w:t>
            </w:r>
            <w:r w:rsidR="00073D57" w:rsidRPr="00CF3150">
              <w:rPr>
                <w:sz w:val="22"/>
                <w:szCs w:val="22"/>
              </w:rPr>
              <w:t xml:space="preserve"> survived and had </w:t>
            </w:r>
            <w:r w:rsidRPr="00CF3150">
              <w:rPr>
                <w:sz w:val="22"/>
                <w:szCs w:val="22"/>
              </w:rPr>
              <w:t>reversal of treatment limi</w:t>
            </w:r>
            <w:r w:rsidR="00073D57" w:rsidRPr="00CF3150">
              <w:rPr>
                <w:sz w:val="22"/>
                <w:szCs w:val="22"/>
              </w:rPr>
              <w:t xml:space="preserve">tations during or following ICU admission ranged from 1.8% to 76.2% (median of </w:t>
            </w:r>
            <w:r w:rsidRPr="00CF3150">
              <w:rPr>
                <w:sz w:val="22"/>
                <w:szCs w:val="22"/>
              </w:rPr>
              <w:t>20.2%).</w:t>
            </w:r>
          </w:p>
        </w:tc>
      </w:tr>
    </w:tbl>
    <w:p w14:paraId="655B04BF" w14:textId="69DB327E" w:rsidR="00C23E9B" w:rsidRDefault="00C23E9B" w:rsidP="008F1D5C">
      <w:pPr>
        <w:pStyle w:val="ListParagraph"/>
        <w:ind w:left="0" w:firstLine="720"/>
      </w:pPr>
    </w:p>
    <w:p w14:paraId="6FD1EF3F" w14:textId="77777777" w:rsidR="00B54B37" w:rsidRPr="00B54B37" w:rsidRDefault="00B54B37" w:rsidP="00B54B37">
      <w:pPr>
        <w:pStyle w:val="Heading2"/>
        <w:jc w:val="left"/>
      </w:pPr>
      <w:bookmarkStart w:id="13" w:name="_Toc480035034"/>
      <w:r>
        <w:t xml:space="preserve">Factors contributing to higher EOL Treatment </w:t>
      </w:r>
      <w:r w:rsidR="002B4E53">
        <w:t>InTensity</w:t>
      </w:r>
      <w:bookmarkEnd w:id="13"/>
    </w:p>
    <w:p w14:paraId="63D43840" w14:textId="6E574B1A" w:rsidR="00C23E9B" w:rsidRDefault="00F045CF" w:rsidP="00AE6DB3">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Table 3 categorizes the</w:t>
      </w:r>
      <w:r w:rsidR="00AE6DB3">
        <w:rPr>
          <w:rFonts w:ascii="Times New Roman" w:hAnsi="Times New Roman"/>
          <w:sz w:val="24"/>
          <w:szCs w:val="24"/>
        </w:rPr>
        <w:t xml:space="preserve"> factors from Table 2</w:t>
      </w:r>
      <w:r w:rsidR="000310AF">
        <w:rPr>
          <w:rFonts w:ascii="Times New Roman" w:hAnsi="Times New Roman"/>
          <w:sz w:val="24"/>
          <w:szCs w:val="24"/>
        </w:rPr>
        <w:t xml:space="preserve"> that </w:t>
      </w:r>
      <w:r>
        <w:rPr>
          <w:rFonts w:ascii="Times New Roman" w:hAnsi="Times New Roman"/>
          <w:sz w:val="24"/>
          <w:szCs w:val="24"/>
        </w:rPr>
        <w:t>affect</w:t>
      </w:r>
      <w:r w:rsidR="000310AF">
        <w:rPr>
          <w:rFonts w:ascii="Times New Roman" w:hAnsi="Times New Roman"/>
          <w:sz w:val="24"/>
          <w:szCs w:val="24"/>
        </w:rPr>
        <w:t>ed</w:t>
      </w:r>
      <w:r w:rsidR="00D63A57" w:rsidRPr="00AE6DB3">
        <w:rPr>
          <w:rFonts w:ascii="Times New Roman" w:hAnsi="Times New Roman"/>
          <w:sz w:val="24"/>
          <w:szCs w:val="24"/>
        </w:rPr>
        <w:t xml:space="preserve"> higher EOL treatment intensity</w:t>
      </w:r>
      <w:r w:rsidR="003F7084">
        <w:rPr>
          <w:rFonts w:ascii="Times New Roman" w:hAnsi="Times New Roman"/>
          <w:sz w:val="24"/>
          <w:szCs w:val="24"/>
        </w:rPr>
        <w:t xml:space="preserve"> into the following levels of the </w:t>
      </w:r>
      <w:r w:rsidR="000310AF">
        <w:rPr>
          <w:rFonts w:ascii="Times New Roman" w:hAnsi="Times New Roman"/>
          <w:sz w:val="24"/>
          <w:szCs w:val="24"/>
        </w:rPr>
        <w:t>social-ecological framework (</w:t>
      </w:r>
      <w:r w:rsidR="002D546F">
        <w:rPr>
          <w:rFonts w:ascii="Times New Roman" w:hAnsi="Times New Roman"/>
          <w:sz w:val="24"/>
          <w:szCs w:val="24"/>
        </w:rPr>
        <w:t>SEF</w:t>
      </w:r>
      <w:r w:rsidR="000310AF">
        <w:rPr>
          <w:rFonts w:ascii="Times New Roman" w:hAnsi="Times New Roman"/>
          <w:sz w:val="24"/>
          <w:szCs w:val="24"/>
        </w:rPr>
        <w:t>)</w:t>
      </w:r>
      <w:r w:rsidR="00487799">
        <w:rPr>
          <w:rFonts w:ascii="Times New Roman" w:hAnsi="Times New Roman"/>
          <w:sz w:val="24"/>
          <w:szCs w:val="24"/>
        </w:rPr>
        <w:t xml:space="preserve"> from the perspective of the patient</w:t>
      </w:r>
      <w:r w:rsidR="003F7084">
        <w:rPr>
          <w:rFonts w:ascii="Times New Roman" w:hAnsi="Times New Roman"/>
          <w:sz w:val="24"/>
          <w:szCs w:val="24"/>
        </w:rPr>
        <w:t xml:space="preserve">: </w:t>
      </w:r>
      <w:r w:rsidR="00D63A57" w:rsidRPr="00AE6DB3">
        <w:rPr>
          <w:rFonts w:ascii="Times New Roman" w:hAnsi="Times New Roman"/>
          <w:sz w:val="24"/>
          <w:szCs w:val="24"/>
        </w:rPr>
        <w:t xml:space="preserve">individual, interpersonal, community, and institutional.  </w:t>
      </w:r>
      <w:r w:rsidR="001332F6">
        <w:rPr>
          <w:rFonts w:ascii="Times New Roman" w:hAnsi="Times New Roman"/>
          <w:sz w:val="24"/>
          <w:szCs w:val="24"/>
        </w:rPr>
        <w:t>Although individual, patient-level factors are likely confounding variables of geographical variat</w:t>
      </w:r>
      <w:r w:rsidR="000310AF">
        <w:rPr>
          <w:rFonts w:ascii="Times New Roman" w:hAnsi="Times New Roman"/>
          <w:sz w:val="24"/>
          <w:szCs w:val="24"/>
        </w:rPr>
        <w:t>ion, these factors are included</w:t>
      </w:r>
      <w:r w:rsidR="00487799">
        <w:rPr>
          <w:rFonts w:ascii="Times New Roman" w:hAnsi="Times New Roman"/>
          <w:sz w:val="24"/>
          <w:szCs w:val="24"/>
        </w:rPr>
        <w:t xml:space="preserve"> </w:t>
      </w:r>
      <w:r w:rsidR="001332F6">
        <w:rPr>
          <w:rFonts w:ascii="Times New Roman" w:hAnsi="Times New Roman"/>
          <w:sz w:val="24"/>
          <w:szCs w:val="24"/>
        </w:rPr>
        <w:t>to provide a comprehensive list of all of the factors that have been associated with higher EOL treatment intensity</w:t>
      </w:r>
      <w:r w:rsidR="00487799">
        <w:rPr>
          <w:rFonts w:ascii="Times New Roman" w:hAnsi="Times New Roman"/>
          <w:sz w:val="24"/>
          <w:szCs w:val="24"/>
        </w:rPr>
        <w:t xml:space="preserve"> in the included studies</w:t>
      </w:r>
      <w:r w:rsidR="001332F6">
        <w:rPr>
          <w:rFonts w:ascii="Times New Roman" w:hAnsi="Times New Roman"/>
          <w:sz w:val="24"/>
          <w:szCs w:val="24"/>
        </w:rPr>
        <w:t xml:space="preserve">. </w:t>
      </w:r>
    </w:p>
    <w:p w14:paraId="2A19B701" w14:textId="78376F19" w:rsidR="00334F18" w:rsidRDefault="00334F18" w:rsidP="00AE6DB3">
      <w:pPr>
        <w:pStyle w:val="ListParagraph"/>
        <w:spacing w:after="0" w:line="480" w:lineRule="auto"/>
        <w:ind w:left="0" w:firstLine="720"/>
        <w:rPr>
          <w:rFonts w:ascii="Times New Roman" w:hAnsi="Times New Roman"/>
          <w:sz w:val="24"/>
          <w:szCs w:val="24"/>
        </w:rPr>
      </w:pPr>
    </w:p>
    <w:p w14:paraId="01AE04A7" w14:textId="3763FBB8" w:rsidR="00334F18" w:rsidRDefault="00334F18" w:rsidP="00AE6DB3">
      <w:pPr>
        <w:pStyle w:val="ListParagraph"/>
        <w:spacing w:after="0" w:line="480" w:lineRule="auto"/>
        <w:ind w:left="0" w:firstLine="720"/>
        <w:rPr>
          <w:rFonts w:ascii="Times New Roman" w:hAnsi="Times New Roman"/>
          <w:sz w:val="24"/>
          <w:szCs w:val="24"/>
        </w:rPr>
      </w:pPr>
    </w:p>
    <w:p w14:paraId="11BC9D69" w14:textId="22A8CD33" w:rsidR="00334F18" w:rsidRDefault="00334F18" w:rsidP="00AE6DB3">
      <w:pPr>
        <w:pStyle w:val="ListParagraph"/>
        <w:spacing w:after="0" w:line="480" w:lineRule="auto"/>
        <w:ind w:left="0" w:firstLine="720"/>
        <w:rPr>
          <w:rFonts w:ascii="Times New Roman" w:hAnsi="Times New Roman"/>
          <w:sz w:val="24"/>
          <w:szCs w:val="24"/>
        </w:rPr>
      </w:pPr>
    </w:p>
    <w:p w14:paraId="40D4D234" w14:textId="325F7043" w:rsidR="00334F18" w:rsidRDefault="00334F18" w:rsidP="00AE6DB3">
      <w:pPr>
        <w:pStyle w:val="ListParagraph"/>
        <w:spacing w:after="0" w:line="480" w:lineRule="auto"/>
        <w:ind w:left="0" w:firstLine="720"/>
        <w:rPr>
          <w:rFonts w:ascii="Times New Roman" w:hAnsi="Times New Roman"/>
          <w:sz w:val="24"/>
          <w:szCs w:val="24"/>
        </w:rPr>
      </w:pPr>
    </w:p>
    <w:p w14:paraId="126281E6" w14:textId="0BD47A0B" w:rsidR="00334F18" w:rsidRDefault="00334F18" w:rsidP="00AE6DB3">
      <w:pPr>
        <w:pStyle w:val="ListParagraph"/>
        <w:spacing w:after="0" w:line="480" w:lineRule="auto"/>
        <w:ind w:left="0" w:firstLine="720"/>
        <w:rPr>
          <w:rFonts w:ascii="Times New Roman" w:hAnsi="Times New Roman"/>
          <w:sz w:val="24"/>
          <w:szCs w:val="24"/>
        </w:rPr>
      </w:pPr>
    </w:p>
    <w:p w14:paraId="715AB702" w14:textId="459C121B" w:rsidR="00334F18" w:rsidRDefault="00334F18" w:rsidP="00AE6DB3">
      <w:pPr>
        <w:pStyle w:val="ListParagraph"/>
        <w:spacing w:after="0" w:line="480" w:lineRule="auto"/>
        <w:ind w:left="0" w:firstLine="720"/>
        <w:rPr>
          <w:rFonts w:ascii="Times New Roman" w:hAnsi="Times New Roman"/>
          <w:sz w:val="24"/>
          <w:szCs w:val="24"/>
        </w:rPr>
      </w:pPr>
    </w:p>
    <w:p w14:paraId="0F6F5F77" w14:textId="79FF232E" w:rsidR="00334F18" w:rsidRDefault="00334F18" w:rsidP="00AE6DB3">
      <w:pPr>
        <w:pStyle w:val="ListParagraph"/>
        <w:spacing w:after="0" w:line="480" w:lineRule="auto"/>
        <w:ind w:left="0" w:firstLine="720"/>
        <w:rPr>
          <w:rFonts w:ascii="Times New Roman" w:hAnsi="Times New Roman"/>
          <w:sz w:val="24"/>
          <w:szCs w:val="24"/>
        </w:rPr>
      </w:pPr>
    </w:p>
    <w:p w14:paraId="4BF58B34" w14:textId="1A80846C" w:rsidR="00334F18" w:rsidRDefault="00334F18" w:rsidP="00AE6DB3">
      <w:pPr>
        <w:pStyle w:val="ListParagraph"/>
        <w:spacing w:after="0" w:line="480" w:lineRule="auto"/>
        <w:ind w:left="0" w:firstLine="720"/>
        <w:rPr>
          <w:rFonts w:ascii="Times New Roman" w:hAnsi="Times New Roman"/>
          <w:sz w:val="24"/>
          <w:szCs w:val="24"/>
        </w:rPr>
      </w:pPr>
    </w:p>
    <w:p w14:paraId="5F7ECC89" w14:textId="572F7503" w:rsidR="00D63A57" w:rsidRPr="005A647B" w:rsidRDefault="00D63A57" w:rsidP="005A647B">
      <w:pPr>
        <w:pStyle w:val="ListParagraph"/>
        <w:spacing w:after="0" w:line="240" w:lineRule="auto"/>
        <w:ind w:left="0"/>
        <w:jc w:val="center"/>
        <w:rPr>
          <w:rFonts w:ascii="Times New Roman" w:hAnsi="Times New Roman"/>
          <w:sz w:val="20"/>
          <w:szCs w:val="20"/>
        </w:rPr>
      </w:pPr>
    </w:p>
    <w:p w14:paraId="1E798315" w14:textId="65F1D410" w:rsidR="008F0264" w:rsidRDefault="008F0264" w:rsidP="008F0264">
      <w:pPr>
        <w:pStyle w:val="Caption"/>
        <w:keepNext/>
        <w:ind w:firstLine="0"/>
        <w:jc w:val="center"/>
      </w:pPr>
      <w:bookmarkStart w:id="14" w:name="_Toc480035043"/>
      <w:r>
        <w:lastRenderedPageBreak/>
        <w:t xml:space="preserve">Table </w:t>
      </w:r>
      <w:r w:rsidR="002C7D4F">
        <w:fldChar w:fldCharType="begin"/>
      </w:r>
      <w:r w:rsidR="002C7D4F">
        <w:instrText xml:space="preserve"> SEQ Table \* ARABIC </w:instrText>
      </w:r>
      <w:r w:rsidR="002C7D4F">
        <w:fldChar w:fldCharType="separate"/>
      </w:r>
      <w:r w:rsidR="00E151B5">
        <w:rPr>
          <w:noProof/>
        </w:rPr>
        <w:t>3</w:t>
      </w:r>
      <w:r w:rsidR="002C7D4F">
        <w:rPr>
          <w:noProof/>
        </w:rPr>
        <w:fldChar w:fldCharType="end"/>
      </w:r>
      <w:r w:rsidR="00E221BB">
        <w:t xml:space="preserve">: </w:t>
      </w:r>
      <w:r w:rsidRPr="001D0AA1">
        <w:t xml:space="preserve">Factors </w:t>
      </w:r>
      <w:r w:rsidR="00A81EC3" w:rsidRPr="001D0AA1">
        <w:t>Affecting</w:t>
      </w:r>
      <w:r w:rsidRPr="001D0AA1">
        <w:t xml:space="preserve"> Higher EOL Treatment Intensity, by Social-Ecological Framework Level</w:t>
      </w:r>
      <w:bookmarkEnd w:id="14"/>
    </w:p>
    <w:tbl>
      <w:tblPr>
        <w:tblStyle w:val="TableGrid"/>
        <w:tblW w:w="0" w:type="auto"/>
        <w:tblInd w:w="108" w:type="dxa"/>
        <w:tblLook w:val="04A0" w:firstRow="1" w:lastRow="0" w:firstColumn="1" w:lastColumn="0" w:noHBand="0" w:noVBand="1"/>
      </w:tblPr>
      <w:tblGrid>
        <w:gridCol w:w="2515"/>
        <w:gridCol w:w="6755"/>
      </w:tblGrid>
      <w:tr w:rsidR="00D63A57" w:rsidRPr="00487799" w14:paraId="21056E74" w14:textId="77777777" w:rsidTr="00633708">
        <w:tc>
          <w:tcPr>
            <w:tcW w:w="2515" w:type="dxa"/>
          </w:tcPr>
          <w:p w14:paraId="36A671E7" w14:textId="6EE5EDFB" w:rsidR="00D63A57" w:rsidRPr="00487799" w:rsidRDefault="003F7084" w:rsidP="00D63A57">
            <w:pPr>
              <w:spacing w:line="240" w:lineRule="auto"/>
              <w:ind w:firstLine="0"/>
              <w:jc w:val="left"/>
              <w:rPr>
                <w:sz w:val="22"/>
                <w:szCs w:val="22"/>
              </w:rPr>
            </w:pPr>
            <w:r w:rsidRPr="00487799">
              <w:rPr>
                <w:sz w:val="22"/>
                <w:szCs w:val="22"/>
              </w:rPr>
              <w:t>Social-</w:t>
            </w:r>
            <w:r w:rsidR="00D63A57" w:rsidRPr="00487799">
              <w:rPr>
                <w:sz w:val="22"/>
                <w:szCs w:val="22"/>
              </w:rPr>
              <w:t>Ecological Framework</w:t>
            </w:r>
            <w:r w:rsidR="00487799" w:rsidRPr="00487799">
              <w:rPr>
                <w:sz w:val="22"/>
                <w:szCs w:val="22"/>
              </w:rPr>
              <w:t xml:space="preserve"> (SEF)</w:t>
            </w:r>
            <w:r w:rsidR="00D63A57" w:rsidRPr="00487799">
              <w:rPr>
                <w:sz w:val="22"/>
                <w:szCs w:val="22"/>
              </w:rPr>
              <w:t xml:space="preserve"> Level</w:t>
            </w:r>
          </w:p>
        </w:tc>
        <w:tc>
          <w:tcPr>
            <w:tcW w:w="6755" w:type="dxa"/>
          </w:tcPr>
          <w:p w14:paraId="2A6C8A61" w14:textId="77777777" w:rsidR="00D63A57" w:rsidRPr="00487799" w:rsidRDefault="00D63A57" w:rsidP="00D63A57">
            <w:pPr>
              <w:spacing w:line="240" w:lineRule="auto"/>
              <w:ind w:firstLine="0"/>
              <w:jc w:val="left"/>
              <w:rPr>
                <w:sz w:val="22"/>
                <w:szCs w:val="22"/>
              </w:rPr>
            </w:pPr>
            <w:r w:rsidRPr="00487799">
              <w:rPr>
                <w:sz w:val="22"/>
                <w:szCs w:val="22"/>
              </w:rPr>
              <w:t xml:space="preserve">Factors </w:t>
            </w:r>
            <w:r w:rsidR="00A81EC3" w:rsidRPr="00487799">
              <w:rPr>
                <w:sz w:val="22"/>
                <w:szCs w:val="22"/>
              </w:rPr>
              <w:t xml:space="preserve">Affecting </w:t>
            </w:r>
            <w:r w:rsidRPr="00487799">
              <w:rPr>
                <w:sz w:val="22"/>
                <w:szCs w:val="22"/>
              </w:rPr>
              <w:t>Higher EOL Treatment Intensity</w:t>
            </w:r>
          </w:p>
        </w:tc>
      </w:tr>
      <w:tr w:rsidR="00D63A57" w:rsidRPr="00487799" w14:paraId="7B8FE5AC" w14:textId="77777777" w:rsidTr="00633708">
        <w:tc>
          <w:tcPr>
            <w:tcW w:w="2515" w:type="dxa"/>
          </w:tcPr>
          <w:p w14:paraId="686B08FE" w14:textId="77777777" w:rsidR="00D63A57" w:rsidRPr="00487799" w:rsidRDefault="00D63A57" w:rsidP="00D63A57">
            <w:pPr>
              <w:spacing w:line="240" w:lineRule="auto"/>
              <w:ind w:firstLine="0"/>
              <w:jc w:val="left"/>
              <w:rPr>
                <w:sz w:val="22"/>
                <w:szCs w:val="22"/>
              </w:rPr>
            </w:pPr>
            <w:r w:rsidRPr="00487799">
              <w:rPr>
                <w:sz w:val="22"/>
                <w:szCs w:val="22"/>
              </w:rPr>
              <w:t>Individual</w:t>
            </w:r>
            <w:r w:rsidRPr="00487799">
              <w:rPr>
                <w:sz w:val="22"/>
                <w:szCs w:val="22"/>
                <w:vertAlign w:val="superscript"/>
              </w:rPr>
              <w:t>1</w:t>
            </w:r>
          </w:p>
        </w:tc>
        <w:tc>
          <w:tcPr>
            <w:tcW w:w="6755" w:type="dxa"/>
          </w:tcPr>
          <w:p w14:paraId="6D44E298" w14:textId="1EDE9A85" w:rsidR="00D63A57" w:rsidRPr="00487799" w:rsidRDefault="00D63A57" w:rsidP="00566FB7">
            <w:pPr>
              <w:pStyle w:val="ListParagraph"/>
              <w:numPr>
                <w:ilvl w:val="0"/>
                <w:numId w:val="3"/>
              </w:numPr>
              <w:spacing w:after="0" w:line="240" w:lineRule="auto"/>
              <w:rPr>
                <w:rFonts w:ascii="Times New Roman" w:hAnsi="Times New Roman"/>
              </w:rPr>
            </w:pPr>
            <w:r w:rsidRPr="00487799">
              <w:rPr>
                <w:rFonts w:ascii="Times New Roman" w:hAnsi="Times New Roman"/>
              </w:rPr>
              <w:t>Younger age</w:t>
            </w:r>
          </w:p>
          <w:p w14:paraId="5CDAB249" w14:textId="7DA032EE" w:rsidR="0026118E" w:rsidRPr="00487799" w:rsidRDefault="0026118E" w:rsidP="00566FB7">
            <w:pPr>
              <w:pStyle w:val="ListParagraph"/>
              <w:numPr>
                <w:ilvl w:val="0"/>
                <w:numId w:val="3"/>
              </w:numPr>
              <w:spacing w:after="0" w:line="240" w:lineRule="auto"/>
              <w:rPr>
                <w:rFonts w:ascii="Times New Roman" w:hAnsi="Times New Roman"/>
              </w:rPr>
            </w:pPr>
            <w:r w:rsidRPr="00487799">
              <w:rPr>
                <w:rFonts w:ascii="Times New Roman" w:hAnsi="Times New Roman"/>
              </w:rPr>
              <w:t>Female</w:t>
            </w:r>
          </w:p>
          <w:p w14:paraId="06B5D7C2" w14:textId="109DD569" w:rsidR="00D63A57" w:rsidRPr="00487799" w:rsidRDefault="0026118E" w:rsidP="00566FB7">
            <w:pPr>
              <w:pStyle w:val="ListParagraph"/>
              <w:numPr>
                <w:ilvl w:val="0"/>
                <w:numId w:val="3"/>
              </w:numPr>
              <w:spacing w:after="0" w:line="240" w:lineRule="auto"/>
              <w:rPr>
                <w:rFonts w:ascii="Times New Roman" w:hAnsi="Times New Roman"/>
              </w:rPr>
            </w:pPr>
            <w:r w:rsidRPr="00487799">
              <w:rPr>
                <w:rFonts w:ascii="Times New Roman" w:hAnsi="Times New Roman"/>
              </w:rPr>
              <w:t xml:space="preserve">Blacks, </w:t>
            </w:r>
            <w:r w:rsidR="00D63A57" w:rsidRPr="00487799">
              <w:rPr>
                <w:rFonts w:ascii="Times New Roman" w:hAnsi="Times New Roman"/>
              </w:rPr>
              <w:t>Hispanics</w:t>
            </w:r>
            <w:r w:rsidRPr="00487799">
              <w:rPr>
                <w:rFonts w:ascii="Times New Roman" w:hAnsi="Times New Roman"/>
              </w:rPr>
              <w:t>, and Asians</w:t>
            </w:r>
            <w:r w:rsidR="00D63A57" w:rsidRPr="00487799">
              <w:rPr>
                <w:rFonts w:ascii="Times New Roman" w:hAnsi="Times New Roman"/>
                <w:vertAlign w:val="superscript"/>
              </w:rPr>
              <w:t>2</w:t>
            </w:r>
          </w:p>
          <w:p w14:paraId="0922EEBE" w14:textId="77777777" w:rsidR="00D63A57" w:rsidRPr="00487799" w:rsidRDefault="00D63A57" w:rsidP="00566FB7">
            <w:pPr>
              <w:pStyle w:val="ListParagraph"/>
              <w:numPr>
                <w:ilvl w:val="0"/>
                <w:numId w:val="3"/>
              </w:numPr>
              <w:spacing w:after="0" w:line="240" w:lineRule="auto"/>
              <w:rPr>
                <w:rFonts w:ascii="Times New Roman" w:hAnsi="Times New Roman"/>
              </w:rPr>
            </w:pPr>
            <w:r w:rsidRPr="00487799">
              <w:rPr>
                <w:rFonts w:ascii="Times New Roman" w:hAnsi="Times New Roman"/>
              </w:rPr>
              <w:t>Highest or lowest income bracket</w:t>
            </w:r>
          </w:p>
          <w:p w14:paraId="1EF36C56" w14:textId="2DFA7DA4" w:rsidR="00F045CF" w:rsidRPr="00487799" w:rsidRDefault="00190F06" w:rsidP="002D406B">
            <w:pPr>
              <w:pStyle w:val="ListParagraph"/>
              <w:numPr>
                <w:ilvl w:val="0"/>
                <w:numId w:val="3"/>
              </w:numPr>
              <w:spacing w:after="0" w:line="240" w:lineRule="auto"/>
              <w:rPr>
                <w:rFonts w:ascii="Times New Roman" w:hAnsi="Times New Roman"/>
              </w:rPr>
            </w:pPr>
            <w:r>
              <w:rPr>
                <w:rFonts w:ascii="Times New Roman" w:hAnsi="Times New Roman"/>
              </w:rPr>
              <w:t>Use or evidence of</w:t>
            </w:r>
            <w:r w:rsidR="003F7084" w:rsidRPr="00487799">
              <w:rPr>
                <w:rFonts w:ascii="Times New Roman" w:hAnsi="Times New Roman"/>
              </w:rPr>
              <w:t>: a</w:t>
            </w:r>
            <w:r w:rsidR="00D63A57" w:rsidRPr="00487799">
              <w:rPr>
                <w:rFonts w:ascii="Times New Roman" w:hAnsi="Times New Roman"/>
              </w:rPr>
              <w:t xml:space="preserve">dvance directive living will, </w:t>
            </w:r>
            <w:r w:rsidR="003F7084" w:rsidRPr="00487799">
              <w:rPr>
                <w:rFonts w:ascii="Times New Roman" w:hAnsi="Times New Roman"/>
              </w:rPr>
              <w:t>a</w:t>
            </w:r>
            <w:r w:rsidR="00D63A57" w:rsidRPr="00487799">
              <w:rPr>
                <w:rFonts w:ascii="Times New Roman" w:hAnsi="Times New Roman"/>
              </w:rPr>
              <w:t xml:space="preserve">dvance directive durable power of attorney for health care, </w:t>
            </w:r>
            <w:r w:rsidR="0026118E" w:rsidRPr="00487799">
              <w:rPr>
                <w:rFonts w:ascii="Times New Roman" w:hAnsi="Times New Roman"/>
              </w:rPr>
              <w:t xml:space="preserve">advance directives that specific limits in care, </w:t>
            </w:r>
            <w:r w:rsidR="00D63A57" w:rsidRPr="00487799">
              <w:rPr>
                <w:rFonts w:ascii="Times New Roman" w:hAnsi="Times New Roman"/>
              </w:rPr>
              <w:t>written do</w:t>
            </w:r>
            <w:r w:rsidR="008274D6">
              <w:rPr>
                <w:rFonts w:ascii="Times New Roman" w:hAnsi="Times New Roman"/>
              </w:rPr>
              <w:t>-</w:t>
            </w:r>
            <w:r w:rsidR="00D63A57" w:rsidRPr="00487799">
              <w:rPr>
                <w:rFonts w:ascii="Times New Roman" w:hAnsi="Times New Roman"/>
              </w:rPr>
              <w:t>not</w:t>
            </w:r>
            <w:r w:rsidR="008274D6">
              <w:rPr>
                <w:rFonts w:ascii="Times New Roman" w:hAnsi="Times New Roman"/>
              </w:rPr>
              <w:t>-</w:t>
            </w:r>
            <w:r w:rsidR="00D63A57" w:rsidRPr="00487799">
              <w:rPr>
                <w:rFonts w:ascii="Times New Roman" w:hAnsi="Times New Roman"/>
              </w:rPr>
              <w:t>resuscitate</w:t>
            </w:r>
            <w:r w:rsidR="003F7084" w:rsidRPr="00487799">
              <w:rPr>
                <w:rFonts w:ascii="Times New Roman" w:hAnsi="Times New Roman"/>
              </w:rPr>
              <w:t xml:space="preserve"> </w:t>
            </w:r>
            <w:r w:rsidR="008274D6">
              <w:rPr>
                <w:rFonts w:ascii="Times New Roman" w:hAnsi="Times New Roman"/>
              </w:rPr>
              <w:t xml:space="preserve">(DNR) </w:t>
            </w:r>
            <w:r w:rsidR="003F7084" w:rsidRPr="00487799">
              <w:rPr>
                <w:rFonts w:ascii="Times New Roman" w:hAnsi="Times New Roman"/>
              </w:rPr>
              <w:t>order</w:t>
            </w:r>
            <w:r w:rsidR="00D63A57" w:rsidRPr="00487799">
              <w:rPr>
                <w:rFonts w:ascii="Times New Roman" w:hAnsi="Times New Roman"/>
              </w:rPr>
              <w:t xml:space="preserve">, </w:t>
            </w:r>
            <w:r w:rsidR="00F045CF" w:rsidRPr="00487799">
              <w:rPr>
                <w:rFonts w:ascii="Times New Roman" w:hAnsi="Times New Roman"/>
              </w:rPr>
              <w:t xml:space="preserve">and </w:t>
            </w:r>
            <w:r w:rsidR="00D63A57" w:rsidRPr="00487799">
              <w:rPr>
                <w:rFonts w:ascii="Times New Roman" w:hAnsi="Times New Roman"/>
              </w:rPr>
              <w:t>written order to forgo artificial hydration and nutrition</w:t>
            </w:r>
            <w:r>
              <w:rPr>
                <w:rFonts w:ascii="Times New Roman" w:hAnsi="Times New Roman"/>
              </w:rPr>
              <w:t xml:space="preserve"> (these factors affect lower EOL treatment intensity)</w:t>
            </w:r>
          </w:p>
        </w:tc>
      </w:tr>
      <w:tr w:rsidR="00D63A57" w:rsidRPr="00487799" w14:paraId="4CC2A12A" w14:textId="77777777" w:rsidTr="00633708">
        <w:tc>
          <w:tcPr>
            <w:tcW w:w="2515" w:type="dxa"/>
          </w:tcPr>
          <w:p w14:paraId="5A6AEDCB" w14:textId="4DE2522D" w:rsidR="00D63A57" w:rsidRPr="00487799" w:rsidRDefault="00D63A57" w:rsidP="00D63A57">
            <w:pPr>
              <w:spacing w:line="240" w:lineRule="auto"/>
              <w:ind w:firstLine="0"/>
              <w:jc w:val="left"/>
              <w:rPr>
                <w:sz w:val="22"/>
                <w:szCs w:val="22"/>
              </w:rPr>
            </w:pPr>
            <w:r w:rsidRPr="00487799">
              <w:rPr>
                <w:sz w:val="22"/>
                <w:szCs w:val="22"/>
              </w:rPr>
              <w:t>Interpersonal</w:t>
            </w:r>
            <w:r w:rsidR="00AB103D" w:rsidRPr="00487799">
              <w:rPr>
                <w:sz w:val="22"/>
                <w:szCs w:val="22"/>
                <w:vertAlign w:val="superscript"/>
              </w:rPr>
              <w:t>3</w:t>
            </w:r>
          </w:p>
        </w:tc>
        <w:tc>
          <w:tcPr>
            <w:tcW w:w="6755" w:type="dxa"/>
          </w:tcPr>
          <w:p w14:paraId="2D23182E" w14:textId="77777777" w:rsidR="00200875" w:rsidRDefault="00D63A57" w:rsidP="00200875">
            <w:pPr>
              <w:pStyle w:val="ListParagraph"/>
              <w:numPr>
                <w:ilvl w:val="0"/>
                <w:numId w:val="5"/>
              </w:numPr>
              <w:spacing w:after="0" w:line="240" w:lineRule="auto"/>
              <w:rPr>
                <w:rFonts w:ascii="Times New Roman" w:hAnsi="Times New Roman"/>
              </w:rPr>
            </w:pPr>
            <w:r w:rsidRPr="00487799">
              <w:rPr>
                <w:rFonts w:ascii="Times New Roman" w:hAnsi="Times New Roman"/>
              </w:rPr>
              <w:t>Lack of patient-doctor familiarity</w:t>
            </w:r>
          </w:p>
          <w:p w14:paraId="2CB23C5E" w14:textId="61DADAB3" w:rsidR="00200875" w:rsidRPr="00200875" w:rsidRDefault="00200875" w:rsidP="00200875">
            <w:pPr>
              <w:pStyle w:val="ListParagraph"/>
              <w:numPr>
                <w:ilvl w:val="0"/>
                <w:numId w:val="5"/>
              </w:numPr>
              <w:spacing w:after="0" w:line="240" w:lineRule="auto"/>
              <w:rPr>
                <w:rFonts w:ascii="Times New Roman" w:hAnsi="Times New Roman"/>
              </w:rPr>
            </w:pPr>
            <w:r>
              <w:rPr>
                <w:rFonts w:ascii="Times New Roman" w:hAnsi="Times New Roman"/>
              </w:rPr>
              <w:t>Not having nearby family</w:t>
            </w:r>
          </w:p>
        </w:tc>
      </w:tr>
      <w:tr w:rsidR="00D63A57" w:rsidRPr="00487799" w14:paraId="0B013CA9" w14:textId="77777777" w:rsidTr="00633708">
        <w:tc>
          <w:tcPr>
            <w:tcW w:w="2515" w:type="dxa"/>
          </w:tcPr>
          <w:p w14:paraId="61AD98E1" w14:textId="3EF7B4F2" w:rsidR="00D63A57" w:rsidRPr="00487799" w:rsidRDefault="00D63A57" w:rsidP="00D63A57">
            <w:pPr>
              <w:spacing w:line="240" w:lineRule="auto"/>
              <w:ind w:firstLine="0"/>
              <w:jc w:val="left"/>
              <w:rPr>
                <w:sz w:val="22"/>
                <w:szCs w:val="22"/>
              </w:rPr>
            </w:pPr>
            <w:r w:rsidRPr="00487799">
              <w:rPr>
                <w:sz w:val="22"/>
                <w:szCs w:val="22"/>
              </w:rPr>
              <w:t>Community</w:t>
            </w:r>
            <w:r w:rsidR="00AB103D" w:rsidRPr="00487799">
              <w:rPr>
                <w:sz w:val="22"/>
                <w:szCs w:val="22"/>
                <w:vertAlign w:val="superscript"/>
              </w:rPr>
              <w:t>4</w:t>
            </w:r>
          </w:p>
        </w:tc>
        <w:tc>
          <w:tcPr>
            <w:tcW w:w="6755" w:type="dxa"/>
          </w:tcPr>
          <w:p w14:paraId="5BCEDAA9" w14:textId="77777777" w:rsidR="00D63A57" w:rsidRPr="00487799" w:rsidRDefault="00D63A57" w:rsidP="00F045CF">
            <w:pPr>
              <w:pStyle w:val="ListParagraph"/>
              <w:numPr>
                <w:ilvl w:val="0"/>
                <w:numId w:val="3"/>
              </w:numPr>
              <w:spacing w:after="0" w:line="240" w:lineRule="auto"/>
              <w:rPr>
                <w:rFonts w:ascii="Times New Roman" w:hAnsi="Times New Roman"/>
              </w:rPr>
            </w:pPr>
            <w:r w:rsidRPr="00487799">
              <w:rPr>
                <w:rFonts w:ascii="Times New Roman" w:hAnsi="Times New Roman"/>
              </w:rPr>
              <w:t>Hospital doctors with more connections to providers</w:t>
            </w:r>
          </w:p>
          <w:p w14:paraId="29A766F4" w14:textId="77777777" w:rsidR="00D63A57" w:rsidRPr="00487799" w:rsidRDefault="00D63A57" w:rsidP="00F045CF">
            <w:pPr>
              <w:pStyle w:val="ListParagraph"/>
              <w:numPr>
                <w:ilvl w:val="0"/>
                <w:numId w:val="3"/>
              </w:numPr>
              <w:spacing w:after="0" w:line="240" w:lineRule="auto"/>
              <w:rPr>
                <w:rFonts w:ascii="Times New Roman" w:hAnsi="Times New Roman"/>
              </w:rPr>
            </w:pPr>
            <w:r w:rsidRPr="00487799">
              <w:rPr>
                <w:rFonts w:ascii="Times New Roman" w:hAnsi="Times New Roman"/>
              </w:rPr>
              <w:t>Hospitals without primary care-centered networks</w:t>
            </w:r>
          </w:p>
          <w:p w14:paraId="16256527" w14:textId="77777777" w:rsidR="00F045CF" w:rsidRPr="00487799" w:rsidRDefault="00F045CF" w:rsidP="00F045CF">
            <w:pPr>
              <w:pStyle w:val="ListParagraph"/>
              <w:numPr>
                <w:ilvl w:val="0"/>
                <w:numId w:val="3"/>
              </w:numPr>
              <w:spacing w:after="0" w:line="240" w:lineRule="auto"/>
              <w:rPr>
                <w:rFonts w:ascii="Times New Roman" w:hAnsi="Times New Roman"/>
              </w:rPr>
            </w:pPr>
            <w:r w:rsidRPr="00487799">
              <w:rPr>
                <w:rFonts w:ascii="Times New Roman" w:hAnsi="Times New Roman"/>
              </w:rPr>
              <w:t xml:space="preserve">Area-level competition </w:t>
            </w:r>
          </w:p>
          <w:p w14:paraId="2BB50CFE" w14:textId="77777777" w:rsidR="00D63A57" w:rsidRPr="00487799" w:rsidRDefault="00F045CF" w:rsidP="00F045CF">
            <w:pPr>
              <w:pStyle w:val="ListParagraph"/>
              <w:numPr>
                <w:ilvl w:val="0"/>
                <w:numId w:val="3"/>
              </w:numPr>
              <w:spacing w:after="0" w:line="240" w:lineRule="auto"/>
              <w:rPr>
                <w:rFonts w:ascii="Times New Roman" w:hAnsi="Times New Roman"/>
              </w:rPr>
            </w:pPr>
            <w:r w:rsidRPr="00487799">
              <w:rPr>
                <w:rFonts w:ascii="Times New Roman" w:hAnsi="Times New Roman"/>
              </w:rPr>
              <w:t>Percent of hospital admissions from black patients</w:t>
            </w:r>
          </w:p>
          <w:p w14:paraId="33A639B9" w14:textId="4E25B821" w:rsidR="0062156A" w:rsidRPr="00487799" w:rsidRDefault="0062156A" w:rsidP="00F045CF">
            <w:pPr>
              <w:pStyle w:val="ListParagraph"/>
              <w:numPr>
                <w:ilvl w:val="0"/>
                <w:numId w:val="3"/>
              </w:numPr>
              <w:spacing w:after="0" w:line="240" w:lineRule="auto"/>
              <w:rPr>
                <w:rFonts w:ascii="Times New Roman" w:hAnsi="Times New Roman"/>
              </w:rPr>
            </w:pPr>
            <w:r w:rsidRPr="00487799">
              <w:rPr>
                <w:rFonts w:ascii="Times New Roman" w:hAnsi="Times New Roman"/>
              </w:rPr>
              <w:t xml:space="preserve">Region with a higher hospital care </w:t>
            </w:r>
            <w:r w:rsidR="001332F6" w:rsidRPr="00487799">
              <w:rPr>
                <w:rFonts w:ascii="Times New Roman" w:hAnsi="Times New Roman"/>
              </w:rPr>
              <w:t>intensity</w:t>
            </w:r>
            <w:r w:rsidRPr="00487799">
              <w:rPr>
                <w:rFonts w:ascii="Times New Roman" w:hAnsi="Times New Roman"/>
              </w:rPr>
              <w:t xml:space="preserve"> level</w:t>
            </w:r>
          </w:p>
        </w:tc>
      </w:tr>
      <w:tr w:rsidR="00D63A57" w:rsidRPr="00487799" w14:paraId="05E4BE57" w14:textId="77777777" w:rsidTr="00633708">
        <w:tc>
          <w:tcPr>
            <w:tcW w:w="2515" w:type="dxa"/>
          </w:tcPr>
          <w:p w14:paraId="4980D9B0" w14:textId="091D315F" w:rsidR="00D63A57" w:rsidRPr="00487799" w:rsidRDefault="00D63A57" w:rsidP="00D63A57">
            <w:pPr>
              <w:spacing w:line="240" w:lineRule="auto"/>
              <w:ind w:firstLine="0"/>
              <w:jc w:val="left"/>
              <w:rPr>
                <w:sz w:val="22"/>
                <w:szCs w:val="22"/>
              </w:rPr>
            </w:pPr>
            <w:r w:rsidRPr="00487799">
              <w:rPr>
                <w:sz w:val="22"/>
                <w:szCs w:val="22"/>
              </w:rPr>
              <w:t>Institutional</w:t>
            </w:r>
            <w:r w:rsidR="00AB103D" w:rsidRPr="00487799">
              <w:rPr>
                <w:sz w:val="22"/>
                <w:szCs w:val="22"/>
                <w:vertAlign w:val="superscript"/>
              </w:rPr>
              <w:t>5</w:t>
            </w:r>
          </w:p>
        </w:tc>
        <w:tc>
          <w:tcPr>
            <w:tcW w:w="6755" w:type="dxa"/>
          </w:tcPr>
          <w:p w14:paraId="6F2C1AEA" w14:textId="4194E99E" w:rsidR="00A81EC3" w:rsidRPr="00487799" w:rsidRDefault="00A81EC3" w:rsidP="00487799">
            <w:pPr>
              <w:pStyle w:val="ListParagraph"/>
              <w:numPr>
                <w:ilvl w:val="0"/>
                <w:numId w:val="4"/>
              </w:numPr>
              <w:spacing w:after="0" w:line="240" w:lineRule="auto"/>
              <w:rPr>
                <w:rFonts w:ascii="Times New Roman" w:hAnsi="Times New Roman"/>
              </w:rPr>
            </w:pPr>
            <w:r w:rsidRPr="00487799">
              <w:rPr>
                <w:rFonts w:ascii="Times New Roman" w:hAnsi="Times New Roman"/>
              </w:rPr>
              <w:t>Providers’ EOL decision-making norms at different medical centers</w:t>
            </w:r>
          </w:p>
          <w:p w14:paraId="672BDE82" w14:textId="77777777" w:rsidR="00487799" w:rsidRPr="00487799" w:rsidRDefault="00487799" w:rsidP="00487799">
            <w:pPr>
              <w:pStyle w:val="ListParagraph"/>
              <w:numPr>
                <w:ilvl w:val="0"/>
                <w:numId w:val="4"/>
              </w:numPr>
              <w:spacing w:after="0" w:line="240" w:lineRule="auto"/>
              <w:rPr>
                <w:rFonts w:ascii="Times New Roman" w:hAnsi="Times New Roman"/>
              </w:rPr>
            </w:pPr>
            <w:r w:rsidRPr="00487799">
              <w:rPr>
                <w:rFonts w:ascii="Times New Roman" w:hAnsi="Times New Roman"/>
              </w:rPr>
              <w:t>Providers’ EOL treatment styles at different medical centers</w:t>
            </w:r>
          </w:p>
          <w:p w14:paraId="08D332FC" w14:textId="65FBEBDE" w:rsidR="0062156A" w:rsidRPr="00487799" w:rsidRDefault="0062156A" w:rsidP="00D16F32">
            <w:pPr>
              <w:pStyle w:val="ListParagraph"/>
              <w:numPr>
                <w:ilvl w:val="0"/>
                <w:numId w:val="4"/>
              </w:numPr>
              <w:spacing w:after="0" w:line="240" w:lineRule="auto"/>
              <w:rPr>
                <w:rFonts w:ascii="Times New Roman" w:hAnsi="Times New Roman"/>
              </w:rPr>
            </w:pPr>
            <w:r w:rsidRPr="00487799">
              <w:rPr>
                <w:rFonts w:ascii="Times New Roman" w:hAnsi="Times New Roman"/>
              </w:rPr>
              <w:t>Organizational norms around avoiding DNR status discussions (compared to norms about universal DNR code status discussion and documentation)</w:t>
            </w:r>
          </w:p>
          <w:p w14:paraId="0A116505" w14:textId="1A9675A2" w:rsidR="00D63A57" w:rsidRPr="00487799" w:rsidRDefault="00D63A57" w:rsidP="00487799">
            <w:pPr>
              <w:pStyle w:val="ListParagraph"/>
              <w:numPr>
                <w:ilvl w:val="0"/>
                <w:numId w:val="4"/>
              </w:numPr>
              <w:spacing w:after="0" w:line="240" w:lineRule="auto"/>
              <w:rPr>
                <w:rFonts w:ascii="Times New Roman" w:hAnsi="Times New Roman"/>
              </w:rPr>
            </w:pPr>
            <w:r w:rsidRPr="00487799">
              <w:rPr>
                <w:rFonts w:ascii="Times New Roman" w:hAnsi="Times New Roman"/>
              </w:rPr>
              <w:t>More hospital beds</w:t>
            </w:r>
            <w:r w:rsidR="0062156A" w:rsidRPr="00487799">
              <w:rPr>
                <w:rFonts w:ascii="Times New Roman" w:hAnsi="Times New Roman"/>
                <w:vertAlign w:val="superscript"/>
              </w:rPr>
              <w:t>6</w:t>
            </w:r>
            <w:r w:rsidRPr="00487799">
              <w:rPr>
                <w:rFonts w:ascii="Times New Roman" w:hAnsi="Times New Roman"/>
              </w:rPr>
              <w:t xml:space="preserve"> and providers</w:t>
            </w:r>
          </w:p>
          <w:p w14:paraId="585D1468" w14:textId="77777777" w:rsidR="00D63A57" w:rsidRPr="00487799" w:rsidRDefault="00D63A57" w:rsidP="00487799">
            <w:pPr>
              <w:pStyle w:val="ListParagraph"/>
              <w:numPr>
                <w:ilvl w:val="0"/>
                <w:numId w:val="4"/>
              </w:numPr>
              <w:spacing w:after="0" w:line="240" w:lineRule="auto"/>
              <w:rPr>
                <w:rFonts w:ascii="Times New Roman" w:hAnsi="Times New Roman"/>
              </w:rPr>
            </w:pPr>
            <w:r w:rsidRPr="00487799">
              <w:rPr>
                <w:rFonts w:ascii="Times New Roman" w:hAnsi="Times New Roman"/>
              </w:rPr>
              <w:t>For-profit compared to government-owned</w:t>
            </w:r>
          </w:p>
        </w:tc>
      </w:tr>
      <w:tr w:rsidR="00D63A57" w:rsidRPr="00487799" w14:paraId="77A6C2B3" w14:textId="77777777" w:rsidTr="00633708">
        <w:tc>
          <w:tcPr>
            <w:tcW w:w="2515" w:type="dxa"/>
          </w:tcPr>
          <w:p w14:paraId="3366B9F1" w14:textId="555E9BA2" w:rsidR="00D63A57" w:rsidRPr="00487799" w:rsidRDefault="00D63A57" w:rsidP="00D63A57">
            <w:pPr>
              <w:spacing w:line="240" w:lineRule="auto"/>
              <w:ind w:firstLine="0"/>
              <w:jc w:val="left"/>
              <w:rPr>
                <w:sz w:val="22"/>
                <w:szCs w:val="22"/>
              </w:rPr>
            </w:pPr>
            <w:r w:rsidRPr="00487799">
              <w:rPr>
                <w:sz w:val="22"/>
                <w:szCs w:val="22"/>
              </w:rPr>
              <w:t>Policy</w:t>
            </w:r>
            <w:r w:rsidR="005660B4">
              <w:rPr>
                <w:sz w:val="22"/>
                <w:szCs w:val="22"/>
                <w:vertAlign w:val="superscript"/>
              </w:rPr>
              <w:t>6</w:t>
            </w:r>
          </w:p>
        </w:tc>
        <w:tc>
          <w:tcPr>
            <w:tcW w:w="6755" w:type="dxa"/>
          </w:tcPr>
          <w:p w14:paraId="06F81E15" w14:textId="7448D78E" w:rsidR="00D63A57" w:rsidRPr="00487799" w:rsidRDefault="0026118E" w:rsidP="0026118E">
            <w:pPr>
              <w:pStyle w:val="ListParagraph"/>
              <w:numPr>
                <w:ilvl w:val="0"/>
                <w:numId w:val="9"/>
              </w:numPr>
              <w:spacing w:line="240" w:lineRule="auto"/>
              <w:rPr>
                <w:rFonts w:ascii="Times New Roman" w:hAnsi="Times New Roman"/>
              </w:rPr>
            </w:pPr>
            <w:r w:rsidRPr="00487799">
              <w:rPr>
                <w:rFonts w:ascii="Times New Roman" w:hAnsi="Times New Roman"/>
              </w:rPr>
              <w:t>Fee-for-service compared to managed care</w:t>
            </w:r>
          </w:p>
        </w:tc>
      </w:tr>
    </w:tbl>
    <w:p w14:paraId="24D0016C" w14:textId="049669E5" w:rsidR="00A746CF" w:rsidRPr="00AB103D" w:rsidRDefault="00AB103D" w:rsidP="00AB103D">
      <w:pPr>
        <w:spacing w:before="240" w:line="240" w:lineRule="auto"/>
        <w:ind w:firstLine="0"/>
        <w:rPr>
          <w:sz w:val="20"/>
          <w:szCs w:val="22"/>
        </w:rPr>
      </w:pPr>
      <w:r w:rsidRPr="005A647B">
        <w:rPr>
          <w:sz w:val="20"/>
          <w:szCs w:val="22"/>
          <w:vertAlign w:val="superscript"/>
        </w:rPr>
        <w:t>1</w:t>
      </w:r>
      <w:r>
        <w:rPr>
          <w:sz w:val="20"/>
          <w:szCs w:val="22"/>
          <w:vertAlign w:val="superscript"/>
        </w:rPr>
        <w:t xml:space="preserve"> </w:t>
      </w:r>
      <w:r w:rsidRPr="00AB103D">
        <w:rPr>
          <w:sz w:val="20"/>
          <w:szCs w:val="22"/>
        </w:rPr>
        <w:t xml:space="preserve">The individual </w:t>
      </w:r>
      <w:r w:rsidR="00487799">
        <w:rPr>
          <w:sz w:val="20"/>
          <w:szCs w:val="22"/>
        </w:rPr>
        <w:t>SEF</w:t>
      </w:r>
      <w:r w:rsidRPr="00AB103D">
        <w:rPr>
          <w:sz w:val="20"/>
          <w:szCs w:val="22"/>
        </w:rPr>
        <w:t xml:space="preserve"> level includes personal factors, such as health history, race, ethnicity, and biological factors.</w:t>
      </w:r>
      <w:r>
        <w:rPr>
          <w:sz w:val="20"/>
          <w:szCs w:val="22"/>
        </w:rPr>
        <w:t xml:space="preserve"> </w:t>
      </w:r>
    </w:p>
    <w:p w14:paraId="13DD25DC" w14:textId="2C01F0B7" w:rsidR="00AB103D" w:rsidRPr="005A647B" w:rsidRDefault="00AB103D" w:rsidP="00AB103D">
      <w:pPr>
        <w:spacing w:line="240" w:lineRule="auto"/>
        <w:ind w:firstLine="0"/>
        <w:rPr>
          <w:sz w:val="20"/>
          <w:szCs w:val="22"/>
        </w:rPr>
      </w:pPr>
      <w:r w:rsidRPr="005A647B">
        <w:rPr>
          <w:sz w:val="20"/>
          <w:szCs w:val="22"/>
          <w:vertAlign w:val="superscript"/>
        </w:rPr>
        <w:t xml:space="preserve">2 </w:t>
      </w:r>
      <w:r w:rsidR="000310AF">
        <w:rPr>
          <w:sz w:val="20"/>
          <w:szCs w:val="22"/>
        </w:rPr>
        <w:t>Race and ethnicity factors may</w:t>
      </w:r>
      <w:r w:rsidRPr="005A647B">
        <w:rPr>
          <w:sz w:val="20"/>
          <w:szCs w:val="22"/>
        </w:rPr>
        <w:t xml:space="preserve"> be mediated by access to and choice of hospitals, since within-hospital effects have not been </w:t>
      </w:r>
      <w:r w:rsidR="000310AF">
        <w:rPr>
          <w:sz w:val="20"/>
          <w:szCs w:val="22"/>
        </w:rPr>
        <w:t>observed for racial differences (</w:t>
      </w:r>
      <w:r w:rsidR="000310AF" w:rsidRPr="000310AF">
        <w:rPr>
          <w:sz w:val="20"/>
          <w:szCs w:val="22"/>
        </w:rPr>
        <w:t>Barnato et al., 2006</w:t>
      </w:r>
      <w:r w:rsidR="000310AF">
        <w:rPr>
          <w:sz w:val="20"/>
          <w:szCs w:val="22"/>
        </w:rPr>
        <w:t>).</w:t>
      </w:r>
    </w:p>
    <w:p w14:paraId="03A412A6" w14:textId="1F204619" w:rsidR="00AB103D" w:rsidRDefault="00AB103D" w:rsidP="00D63A57">
      <w:pPr>
        <w:spacing w:line="240" w:lineRule="auto"/>
        <w:ind w:firstLine="0"/>
        <w:rPr>
          <w:sz w:val="20"/>
          <w:szCs w:val="22"/>
        </w:rPr>
      </w:pPr>
      <w:r>
        <w:rPr>
          <w:sz w:val="20"/>
          <w:szCs w:val="22"/>
          <w:vertAlign w:val="superscript"/>
        </w:rPr>
        <w:t>3</w:t>
      </w:r>
      <w:r>
        <w:rPr>
          <w:sz w:val="20"/>
          <w:szCs w:val="22"/>
        </w:rPr>
        <w:t xml:space="preserve"> </w:t>
      </w:r>
      <w:r w:rsidRPr="00AB103D">
        <w:rPr>
          <w:sz w:val="20"/>
          <w:szCs w:val="22"/>
        </w:rPr>
        <w:t xml:space="preserve">The interpersonal </w:t>
      </w:r>
      <w:r w:rsidR="00487799">
        <w:rPr>
          <w:sz w:val="20"/>
          <w:szCs w:val="22"/>
        </w:rPr>
        <w:t>SEF</w:t>
      </w:r>
      <w:r w:rsidRPr="00AB103D">
        <w:rPr>
          <w:sz w:val="20"/>
          <w:szCs w:val="22"/>
        </w:rPr>
        <w:t xml:space="preserve"> level includes </w:t>
      </w:r>
      <w:r>
        <w:rPr>
          <w:sz w:val="20"/>
          <w:szCs w:val="22"/>
        </w:rPr>
        <w:t xml:space="preserve">relationships between people and peer influence. </w:t>
      </w:r>
    </w:p>
    <w:p w14:paraId="5D143D7D" w14:textId="687D3EF5" w:rsidR="0062156A" w:rsidRPr="0062156A" w:rsidRDefault="00AB103D" w:rsidP="00D63A57">
      <w:pPr>
        <w:spacing w:line="240" w:lineRule="auto"/>
        <w:ind w:firstLine="0"/>
        <w:rPr>
          <w:sz w:val="20"/>
          <w:szCs w:val="22"/>
        </w:rPr>
      </w:pPr>
      <w:r>
        <w:rPr>
          <w:sz w:val="20"/>
          <w:szCs w:val="22"/>
          <w:vertAlign w:val="superscript"/>
        </w:rPr>
        <w:t xml:space="preserve">4 </w:t>
      </w:r>
      <w:r>
        <w:rPr>
          <w:sz w:val="20"/>
          <w:szCs w:val="22"/>
        </w:rPr>
        <w:t xml:space="preserve">The community </w:t>
      </w:r>
      <w:r w:rsidR="00487799">
        <w:rPr>
          <w:sz w:val="20"/>
          <w:szCs w:val="22"/>
        </w:rPr>
        <w:t xml:space="preserve">SEF </w:t>
      </w:r>
      <w:r>
        <w:rPr>
          <w:sz w:val="20"/>
          <w:szCs w:val="22"/>
        </w:rPr>
        <w:t>level includes social networks and s</w:t>
      </w:r>
      <w:r w:rsidR="00487799">
        <w:rPr>
          <w:sz w:val="20"/>
          <w:szCs w:val="22"/>
        </w:rPr>
        <w:t xml:space="preserve">ocial norms in the community. </w:t>
      </w:r>
      <w:r>
        <w:rPr>
          <w:sz w:val="20"/>
          <w:szCs w:val="22"/>
        </w:rPr>
        <w:t xml:space="preserve"> </w:t>
      </w:r>
    </w:p>
    <w:p w14:paraId="0D51035C" w14:textId="095DCF70" w:rsidR="00AB103D" w:rsidRDefault="00AB103D" w:rsidP="00D63A57">
      <w:pPr>
        <w:spacing w:line="240" w:lineRule="auto"/>
        <w:ind w:firstLine="0"/>
        <w:rPr>
          <w:color w:val="FF0000"/>
          <w:sz w:val="20"/>
          <w:szCs w:val="22"/>
        </w:rPr>
      </w:pPr>
      <w:r>
        <w:rPr>
          <w:sz w:val="20"/>
          <w:szCs w:val="22"/>
          <w:vertAlign w:val="superscript"/>
        </w:rPr>
        <w:t>5</w:t>
      </w:r>
      <w:r>
        <w:rPr>
          <w:sz w:val="20"/>
          <w:szCs w:val="22"/>
        </w:rPr>
        <w:t xml:space="preserve">The institutional </w:t>
      </w:r>
      <w:r w:rsidR="00487799">
        <w:rPr>
          <w:sz w:val="20"/>
          <w:szCs w:val="22"/>
        </w:rPr>
        <w:t xml:space="preserve">SEF </w:t>
      </w:r>
      <w:r>
        <w:rPr>
          <w:sz w:val="20"/>
          <w:szCs w:val="22"/>
        </w:rPr>
        <w:t>level includes rules, regulations, structures</w:t>
      </w:r>
      <w:r w:rsidR="00487799">
        <w:rPr>
          <w:sz w:val="20"/>
          <w:szCs w:val="22"/>
        </w:rPr>
        <w:t>, and norms</w:t>
      </w:r>
      <w:r>
        <w:rPr>
          <w:sz w:val="20"/>
          <w:szCs w:val="22"/>
        </w:rPr>
        <w:t xml:space="preserve"> of institutions. </w:t>
      </w:r>
    </w:p>
    <w:p w14:paraId="53883A46" w14:textId="1F8C9298" w:rsidR="00D63A57" w:rsidRPr="005A647B" w:rsidRDefault="0062156A" w:rsidP="00D63A57">
      <w:pPr>
        <w:spacing w:line="240" w:lineRule="auto"/>
        <w:ind w:firstLine="0"/>
        <w:rPr>
          <w:sz w:val="20"/>
          <w:szCs w:val="22"/>
        </w:rPr>
      </w:pPr>
      <w:r>
        <w:rPr>
          <w:sz w:val="20"/>
          <w:szCs w:val="22"/>
          <w:vertAlign w:val="superscript"/>
        </w:rPr>
        <w:t>6</w:t>
      </w:r>
      <w:r w:rsidR="005660B4">
        <w:rPr>
          <w:sz w:val="20"/>
          <w:szCs w:val="22"/>
          <w:vertAlign w:val="superscript"/>
        </w:rPr>
        <w:t xml:space="preserve"> </w:t>
      </w:r>
      <w:r w:rsidR="00AB103D">
        <w:rPr>
          <w:sz w:val="20"/>
          <w:szCs w:val="22"/>
        </w:rPr>
        <w:t xml:space="preserve">The policy </w:t>
      </w:r>
      <w:r w:rsidR="00487799">
        <w:rPr>
          <w:sz w:val="20"/>
          <w:szCs w:val="22"/>
        </w:rPr>
        <w:t xml:space="preserve">SEF </w:t>
      </w:r>
      <w:r w:rsidR="00AB103D">
        <w:rPr>
          <w:sz w:val="20"/>
          <w:szCs w:val="22"/>
        </w:rPr>
        <w:t xml:space="preserve">level includes local, state, and federal policies. </w:t>
      </w:r>
    </w:p>
    <w:p w14:paraId="3F6FD8DD" w14:textId="77777777" w:rsidR="00334F18" w:rsidRDefault="00334F18" w:rsidP="00157788">
      <w:pPr>
        <w:pStyle w:val="ListParagraph"/>
        <w:ind w:left="0"/>
      </w:pPr>
    </w:p>
    <w:p w14:paraId="5BEF6911" w14:textId="77777777" w:rsidR="00334F18" w:rsidRDefault="00334F18" w:rsidP="00157788">
      <w:pPr>
        <w:pStyle w:val="ListParagraph"/>
        <w:ind w:left="0"/>
      </w:pPr>
    </w:p>
    <w:p w14:paraId="2B0CA3E3" w14:textId="77777777" w:rsidR="00633708" w:rsidRDefault="00633708" w:rsidP="00157788">
      <w:pPr>
        <w:pStyle w:val="ListParagraph"/>
        <w:ind w:left="0"/>
      </w:pPr>
    </w:p>
    <w:p w14:paraId="1EF80CC4" w14:textId="77777777" w:rsidR="00633708" w:rsidRDefault="00633708" w:rsidP="00157788">
      <w:pPr>
        <w:pStyle w:val="ListParagraph"/>
        <w:ind w:left="0"/>
      </w:pPr>
    </w:p>
    <w:p w14:paraId="2D0E71C1" w14:textId="77777777" w:rsidR="00633708" w:rsidRDefault="00633708" w:rsidP="00157788">
      <w:pPr>
        <w:pStyle w:val="ListParagraph"/>
        <w:ind w:left="0"/>
      </w:pPr>
    </w:p>
    <w:p w14:paraId="1E2EB595" w14:textId="77777777" w:rsidR="00633708" w:rsidRDefault="00633708" w:rsidP="00157788">
      <w:pPr>
        <w:pStyle w:val="ListParagraph"/>
        <w:ind w:left="0"/>
      </w:pPr>
    </w:p>
    <w:p w14:paraId="00F8DF03" w14:textId="77777777" w:rsidR="00633708" w:rsidRDefault="00633708" w:rsidP="00157788">
      <w:pPr>
        <w:pStyle w:val="ListParagraph"/>
        <w:ind w:left="0"/>
      </w:pPr>
    </w:p>
    <w:p w14:paraId="66902D4F" w14:textId="77777777" w:rsidR="00633708" w:rsidRDefault="00633708" w:rsidP="00157788">
      <w:pPr>
        <w:pStyle w:val="ListParagraph"/>
        <w:ind w:left="0"/>
      </w:pPr>
    </w:p>
    <w:p w14:paraId="44272AE2" w14:textId="77777777" w:rsidR="00633708" w:rsidRDefault="00633708" w:rsidP="00157788">
      <w:pPr>
        <w:pStyle w:val="ListParagraph"/>
        <w:ind w:left="0"/>
      </w:pPr>
    </w:p>
    <w:p w14:paraId="54C69D46" w14:textId="7422C7AF" w:rsidR="00487799" w:rsidRPr="005660B4" w:rsidRDefault="00103702" w:rsidP="00B109D2">
      <w:pPr>
        <w:pStyle w:val="ListParagraph"/>
        <w:spacing w:after="0" w:line="480" w:lineRule="auto"/>
        <w:ind w:left="0" w:firstLine="720"/>
        <w:rPr>
          <w:rFonts w:ascii="Times New Roman" w:hAnsi="Times New Roman"/>
          <w:sz w:val="24"/>
          <w:szCs w:val="24"/>
        </w:rPr>
      </w:pPr>
      <w:r w:rsidRPr="005660B4">
        <w:rPr>
          <w:rFonts w:ascii="Times New Roman" w:hAnsi="Times New Roman"/>
          <w:sz w:val="24"/>
          <w:szCs w:val="24"/>
        </w:rPr>
        <w:lastRenderedPageBreak/>
        <w:t xml:space="preserve">The articles also </w:t>
      </w:r>
      <w:r w:rsidR="00114BEB">
        <w:rPr>
          <w:rFonts w:ascii="Times New Roman" w:hAnsi="Times New Roman"/>
          <w:sz w:val="24"/>
          <w:szCs w:val="24"/>
        </w:rPr>
        <w:t xml:space="preserve">described </w:t>
      </w:r>
      <w:r w:rsidRPr="005660B4">
        <w:rPr>
          <w:rFonts w:ascii="Times New Roman" w:hAnsi="Times New Roman"/>
          <w:sz w:val="24"/>
          <w:szCs w:val="24"/>
        </w:rPr>
        <w:t xml:space="preserve">several factors that do not </w:t>
      </w:r>
      <w:r w:rsidR="00114BEB">
        <w:rPr>
          <w:rFonts w:ascii="Times New Roman" w:hAnsi="Times New Roman"/>
          <w:sz w:val="24"/>
          <w:szCs w:val="24"/>
        </w:rPr>
        <w:t>a</w:t>
      </w:r>
      <w:r w:rsidR="00114BEB" w:rsidRPr="005660B4">
        <w:rPr>
          <w:rFonts w:ascii="Times New Roman" w:hAnsi="Times New Roman"/>
          <w:sz w:val="24"/>
          <w:szCs w:val="24"/>
        </w:rPr>
        <w:t xml:space="preserve">ffect </w:t>
      </w:r>
      <w:r w:rsidRPr="005660B4">
        <w:rPr>
          <w:rFonts w:ascii="Times New Roman" w:hAnsi="Times New Roman"/>
          <w:sz w:val="24"/>
          <w:szCs w:val="24"/>
        </w:rPr>
        <w:t>higher EOL trea</w:t>
      </w:r>
      <w:r w:rsidR="000310AF">
        <w:rPr>
          <w:rFonts w:ascii="Times New Roman" w:hAnsi="Times New Roman"/>
          <w:sz w:val="24"/>
          <w:szCs w:val="24"/>
        </w:rPr>
        <w:t>tment intensity.</w:t>
      </w:r>
      <w:r w:rsidR="00114BEB">
        <w:rPr>
          <w:rFonts w:ascii="Times New Roman" w:hAnsi="Times New Roman"/>
          <w:sz w:val="24"/>
          <w:szCs w:val="24"/>
        </w:rPr>
        <w:t xml:space="preserve">  </w:t>
      </w:r>
      <w:r w:rsidR="000310AF">
        <w:rPr>
          <w:rFonts w:ascii="Times New Roman" w:hAnsi="Times New Roman"/>
          <w:sz w:val="24"/>
          <w:szCs w:val="24"/>
        </w:rPr>
        <w:t>Barnato et al.</w:t>
      </w:r>
      <w:r w:rsidRPr="005660B4">
        <w:rPr>
          <w:rFonts w:ascii="Times New Roman" w:hAnsi="Times New Roman"/>
          <w:sz w:val="24"/>
          <w:szCs w:val="24"/>
        </w:rPr>
        <w:t xml:space="preserve"> </w:t>
      </w:r>
      <w:r w:rsidR="0020177D">
        <w:rPr>
          <w:rFonts w:ascii="Times New Roman" w:hAnsi="Times New Roman"/>
          <w:sz w:val="24"/>
          <w:szCs w:val="24"/>
        </w:rPr>
        <w:t xml:space="preserve">did not find significant </w:t>
      </w:r>
      <w:r w:rsidRPr="005660B4">
        <w:rPr>
          <w:rFonts w:ascii="Times New Roman" w:hAnsi="Times New Roman"/>
          <w:sz w:val="24"/>
          <w:szCs w:val="24"/>
        </w:rPr>
        <w:t xml:space="preserve">differences regarding patient preferences when comparing the lowest </w:t>
      </w:r>
      <w:r w:rsidR="005660B4" w:rsidRPr="005660B4">
        <w:rPr>
          <w:rFonts w:ascii="Times New Roman" w:hAnsi="Times New Roman"/>
          <w:sz w:val="24"/>
          <w:szCs w:val="24"/>
        </w:rPr>
        <w:t>spending</w:t>
      </w:r>
      <w:r w:rsidRPr="005660B4">
        <w:rPr>
          <w:rFonts w:ascii="Times New Roman" w:hAnsi="Times New Roman"/>
          <w:sz w:val="24"/>
          <w:szCs w:val="24"/>
        </w:rPr>
        <w:t xml:space="preserve"> </w:t>
      </w:r>
      <w:r w:rsidR="005660B4" w:rsidRPr="005660B4">
        <w:rPr>
          <w:rFonts w:ascii="Times New Roman" w:hAnsi="Times New Roman"/>
          <w:sz w:val="24"/>
          <w:szCs w:val="24"/>
        </w:rPr>
        <w:t>quintile</w:t>
      </w:r>
      <w:r w:rsidRPr="005660B4">
        <w:rPr>
          <w:rFonts w:ascii="Times New Roman" w:hAnsi="Times New Roman"/>
          <w:sz w:val="24"/>
          <w:szCs w:val="24"/>
        </w:rPr>
        <w:t xml:space="preserve"> </w:t>
      </w:r>
      <w:r w:rsidR="005660B4" w:rsidRPr="005660B4">
        <w:rPr>
          <w:rFonts w:ascii="Times New Roman" w:hAnsi="Times New Roman"/>
          <w:sz w:val="24"/>
          <w:szCs w:val="24"/>
        </w:rPr>
        <w:t xml:space="preserve">regions </w:t>
      </w:r>
      <w:r w:rsidRPr="005660B4">
        <w:rPr>
          <w:rFonts w:ascii="Times New Roman" w:hAnsi="Times New Roman"/>
          <w:sz w:val="24"/>
          <w:szCs w:val="24"/>
        </w:rPr>
        <w:t xml:space="preserve">to the </w:t>
      </w:r>
      <w:r w:rsidR="005660B4" w:rsidRPr="005660B4">
        <w:rPr>
          <w:rFonts w:ascii="Times New Roman" w:hAnsi="Times New Roman"/>
          <w:sz w:val="24"/>
          <w:szCs w:val="24"/>
        </w:rPr>
        <w:t>highest spending quintile regions</w:t>
      </w:r>
      <w:r w:rsidR="000310AF">
        <w:rPr>
          <w:rFonts w:ascii="Times New Roman" w:hAnsi="Times New Roman"/>
          <w:sz w:val="24"/>
          <w:szCs w:val="24"/>
        </w:rPr>
        <w:t xml:space="preserve"> (</w:t>
      </w:r>
      <w:r w:rsidR="000310AF" w:rsidRPr="005660B4">
        <w:rPr>
          <w:rFonts w:ascii="Times New Roman" w:hAnsi="Times New Roman"/>
          <w:sz w:val="24"/>
          <w:szCs w:val="24"/>
        </w:rPr>
        <w:t>Barnato et al., 2007a</w:t>
      </w:r>
      <w:r w:rsidR="000310AF">
        <w:rPr>
          <w:rFonts w:ascii="Times New Roman" w:hAnsi="Times New Roman"/>
          <w:sz w:val="24"/>
          <w:szCs w:val="24"/>
        </w:rPr>
        <w:t>)</w:t>
      </w:r>
      <w:r w:rsidR="0020177D">
        <w:rPr>
          <w:rFonts w:ascii="Times New Roman" w:hAnsi="Times New Roman"/>
          <w:sz w:val="24"/>
          <w:szCs w:val="24"/>
        </w:rPr>
        <w:t xml:space="preserve">, and Baker et al. found that patient preferences only explain five percent of Medicare spending variation in the last six month of life across </w:t>
      </w:r>
      <w:r w:rsidR="00114BEB">
        <w:rPr>
          <w:rFonts w:ascii="Times New Roman" w:hAnsi="Times New Roman"/>
          <w:sz w:val="24"/>
          <w:szCs w:val="24"/>
        </w:rPr>
        <w:t>hospital referral regions (</w:t>
      </w:r>
      <w:r w:rsidR="0020177D">
        <w:rPr>
          <w:rFonts w:ascii="Times New Roman" w:hAnsi="Times New Roman"/>
          <w:sz w:val="24"/>
          <w:szCs w:val="24"/>
        </w:rPr>
        <w:t>HRR</w:t>
      </w:r>
      <w:r w:rsidR="00114BEB">
        <w:rPr>
          <w:rFonts w:ascii="Times New Roman" w:hAnsi="Times New Roman"/>
          <w:sz w:val="24"/>
          <w:szCs w:val="24"/>
        </w:rPr>
        <w:t>)</w:t>
      </w:r>
      <w:r w:rsidR="000310AF">
        <w:rPr>
          <w:rFonts w:ascii="Times New Roman" w:hAnsi="Times New Roman"/>
          <w:sz w:val="24"/>
          <w:szCs w:val="24"/>
        </w:rPr>
        <w:t xml:space="preserve"> (Baker et al., 2014)</w:t>
      </w:r>
      <w:r w:rsidR="0020177D">
        <w:rPr>
          <w:rFonts w:ascii="Times New Roman" w:hAnsi="Times New Roman"/>
          <w:sz w:val="24"/>
          <w:szCs w:val="24"/>
        </w:rPr>
        <w:t xml:space="preserve">. </w:t>
      </w:r>
      <w:r w:rsidR="000310AF">
        <w:rPr>
          <w:rFonts w:ascii="Times New Roman" w:hAnsi="Times New Roman"/>
          <w:sz w:val="24"/>
          <w:szCs w:val="24"/>
        </w:rPr>
        <w:t xml:space="preserve"> </w:t>
      </w:r>
      <w:r w:rsidR="00B109D2">
        <w:rPr>
          <w:rFonts w:ascii="Times New Roman" w:hAnsi="Times New Roman"/>
          <w:sz w:val="24"/>
          <w:szCs w:val="24"/>
        </w:rPr>
        <w:t xml:space="preserve">Also, </w:t>
      </w:r>
      <w:r w:rsidR="00B109D2" w:rsidRPr="005660B4">
        <w:rPr>
          <w:rFonts w:ascii="Times New Roman" w:hAnsi="Times New Roman"/>
          <w:sz w:val="24"/>
          <w:szCs w:val="24"/>
        </w:rPr>
        <w:t>Lin et al.</w:t>
      </w:r>
      <w:r w:rsidR="000310AF">
        <w:rPr>
          <w:rFonts w:ascii="Times New Roman" w:hAnsi="Times New Roman"/>
          <w:sz w:val="24"/>
          <w:szCs w:val="24"/>
        </w:rPr>
        <w:t xml:space="preserve"> r</w:t>
      </w:r>
      <w:r w:rsidR="00B109D2">
        <w:rPr>
          <w:rFonts w:ascii="Times New Roman" w:hAnsi="Times New Roman"/>
          <w:sz w:val="24"/>
          <w:szCs w:val="24"/>
        </w:rPr>
        <w:t xml:space="preserve">eported that most of the hospital </w:t>
      </w:r>
      <w:r w:rsidRPr="005660B4">
        <w:rPr>
          <w:rFonts w:ascii="Times New Roman" w:hAnsi="Times New Roman"/>
          <w:sz w:val="24"/>
          <w:szCs w:val="24"/>
        </w:rPr>
        <w:t xml:space="preserve">programs, policies, and practices that were significantly associated with EOL </w:t>
      </w:r>
      <w:r w:rsidR="0020177D">
        <w:rPr>
          <w:rFonts w:ascii="Times New Roman" w:hAnsi="Times New Roman"/>
          <w:sz w:val="24"/>
          <w:szCs w:val="24"/>
        </w:rPr>
        <w:t>i</w:t>
      </w:r>
      <w:r w:rsidR="00B109D2">
        <w:rPr>
          <w:rFonts w:ascii="Times New Roman" w:hAnsi="Times New Roman"/>
          <w:sz w:val="24"/>
          <w:szCs w:val="24"/>
        </w:rPr>
        <w:t xml:space="preserve">ntensity in univariable models </w:t>
      </w:r>
      <w:r w:rsidRPr="005660B4">
        <w:rPr>
          <w:rFonts w:ascii="Times New Roman" w:hAnsi="Times New Roman"/>
          <w:sz w:val="24"/>
          <w:szCs w:val="24"/>
        </w:rPr>
        <w:t>were not signi</w:t>
      </w:r>
      <w:r w:rsidR="000310AF">
        <w:rPr>
          <w:rFonts w:ascii="Times New Roman" w:hAnsi="Times New Roman"/>
          <w:sz w:val="24"/>
          <w:szCs w:val="24"/>
        </w:rPr>
        <w:t>ficant in multivariable models (</w:t>
      </w:r>
      <w:r w:rsidR="000310AF" w:rsidRPr="005660B4">
        <w:rPr>
          <w:rFonts w:ascii="Times New Roman" w:hAnsi="Times New Roman"/>
          <w:sz w:val="24"/>
          <w:szCs w:val="24"/>
        </w:rPr>
        <w:t>Lin et al., 2009</w:t>
      </w:r>
      <w:r w:rsidR="000310AF">
        <w:rPr>
          <w:rFonts w:ascii="Times New Roman" w:hAnsi="Times New Roman"/>
          <w:sz w:val="24"/>
          <w:szCs w:val="24"/>
        </w:rPr>
        <w:t>).</w:t>
      </w:r>
    </w:p>
    <w:p w14:paraId="3C62B1C6" w14:textId="17AC76E9" w:rsidR="00103702" w:rsidRDefault="00103702" w:rsidP="00103702">
      <w:pPr>
        <w:pStyle w:val="ListParagraph"/>
        <w:spacing w:after="0" w:line="480" w:lineRule="auto"/>
        <w:ind w:left="0" w:firstLine="720"/>
        <w:rPr>
          <w:rFonts w:ascii="Times New Roman" w:hAnsi="Times New Roman"/>
          <w:sz w:val="24"/>
          <w:szCs w:val="24"/>
        </w:rPr>
      </w:pPr>
    </w:p>
    <w:p w14:paraId="4E5A7706" w14:textId="77777777" w:rsidR="00103702" w:rsidRDefault="00103702" w:rsidP="00103702">
      <w:pPr>
        <w:pStyle w:val="ListParagraph"/>
        <w:spacing w:after="0" w:line="480" w:lineRule="auto"/>
        <w:ind w:left="0" w:firstLine="720"/>
        <w:rPr>
          <w:rFonts w:ascii="Times New Roman" w:hAnsi="Times New Roman"/>
          <w:sz w:val="24"/>
          <w:szCs w:val="24"/>
        </w:rPr>
      </w:pPr>
    </w:p>
    <w:p w14:paraId="63B00ABE" w14:textId="77777777" w:rsidR="00103702" w:rsidRPr="00103702" w:rsidRDefault="00103702" w:rsidP="00103702">
      <w:pPr>
        <w:pStyle w:val="ListParagraph"/>
        <w:spacing w:after="0" w:line="480" w:lineRule="auto"/>
        <w:ind w:left="0" w:firstLine="720"/>
        <w:rPr>
          <w:rFonts w:ascii="Times New Roman" w:hAnsi="Times New Roman"/>
          <w:sz w:val="24"/>
          <w:szCs w:val="24"/>
        </w:rPr>
      </w:pPr>
    </w:p>
    <w:p w14:paraId="448E5809" w14:textId="0265D8F4" w:rsidR="00B917F0" w:rsidRDefault="005A647B" w:rsidP="00B917F0">
      <w:pPr>
        <w:pStyle w:val="Heading1"/>
      </w:pPr>
      <w:bookmarkStart w:id="15" w:name="_Toc480035035"/>
      <w:r>
        <w:lastRenderedPageBreak/>
        <w:t>Discussion</w:t>
      </w:r>
      <w:bookmarkEnd w:id="15"/>
    </w:p>
    <w:p w14:paraId="1C2232E2" w14:textId="4246B265" w:rsidR="00FF141A" w:rsidRDefault="000B412F" w:rsidP="005A647B">
      <w:pPr>
        <w:pStyle w:val="ListParagraph"/>
        <w:spacing w:after="0" w:line="480" w:lineRule="auto"/>
        <w:ind w:left="0" w:firstLine="720"/>
        <w:rPr>
          <w:rFonts w:ascii="Times New Roman" w:hAnsi="Times New Roman"/>
          <w:sz w:val="24"/>
          <w:szCs w:val="24"/>
        </w:rPr>
      </w:pPr>
      <w:r w:rsidRPr="005A647B">
        <w:rPr>
          <w:rFonts w:ascii="Times New Roman" w:hAnsi="Times New Roman"/>
          <w:sz w:val="24"/>
          <w:szCs w:val="24"/>
        </w:rPr>
        <w:t xml:space="preserve">Based on the </w:t>
      </w:r>
      <w:r w:rsidR="00405722">
        <w:rPr>
          <w:rFonts w:ascii="Times New Roman" w:hAnsi="Times New Roman"/>
          <w:sz w:val="24"/>
          <w:szCs w:val="24"/>
        </w:rPr>
        <w:t>2</w:t>
      </w:r>
      <w:r w:rsidR="00DF1A75">
        <w:rPr>
          <w:rFonts w:ascii="Times New Roman" w:hAnsi="Times New Roman"/>
          <w:sz w:val="24"/>
          <w:szCs w:val="24"/>
        </w:rPr>
        <w:t>3</w:t>
      </w:r>
      <w:r w:rsidRPr="005A647B">
        <w:rPr>
          <w:rFonts w:ascii="Times New Roman" w:hAnsi="Times New Roman"/>
          <w:sz w:val="24"/>
          <w:szCs w:val="24"/>
        </w:rPr>
        <w:t xml:space="preserve"> studies of EOL treatment intensity variation in </w:t>
      </w:r>
      <w:r w:rsidR="00405722">
        <w:rPr>
          <w:rFonts w:ascii="Times New Roman" w:hAnsi="Times New Roman"/>
          <w:sz w:val="24"/>
          <w:szCs w:val="24"/>
        </w:rPr>
        <w:t xml:space="preserve">the </w:t>
      </w:r>
      <w:r w:rsidRPr="005A647B">
        <w:rPr>
          <w:rFonts w:ascii="Times New Roman" w:hAnsi="Times New Roman"/>
          <w:sz w:val="24"/>
          <w:szCs w:val="24"/>
        </w:rPr>
        <w:t>U.S. that reported potenti</w:t>
      </w:r>
      <w:r w:rsidR="00B93FE8">
        <w:rPr>
          <w:rFonts w:ascii="Times New Roman" w:hAnsi="Times New Roman"/>
          <w:sz w:val="24"/>
          <w:szCs w:val="24"/>
        </w:rPr>
        <w:t xml:space="preserve">al causes of the variation, </w:t>
      </w:r>
      <w:r w:rsidR="00603DB2">
        <w:rPr>
          <w:rFonts w:ascii="Times New Roman" w:hAnsi="Times New Roman"/>
          <w:sz w:val="24"/>
          <w:szCs w:val="24"/>
        </w:rPr>
        <w:t>t</w:t>
      </w:r>
      <w:r w:rsidR="00603DB2" w:rsidRPr="00603DB2">
        <w:rPr>
          <w:rFonts w:ascii="Times New Roman" w:hAnsi="Times New Roman"/>
          <w:sz w:val="24"/>
          <w:szCs w:val="24"/>
        </w:rPr>
        <w:t xml:space="preserve">he SEF individual level factors included age, race, </w:t>
      </w:r>
      <w:r w:rsidR="00405722">
        <w:rPr>
          <w:rFonts w:ascii="Times New Roman" w:hAnsi="Times New Roman"/>
          <w:sz w:val="24"/>
          <w:szCs w:val="24"/>
        </w:rPr>
        <w:t xml:space="preserve">ethnicity, gender, income, advance directives, and </w:t>
      </w:r>
      <w:r w:rsidR="00190F06">
        <w:rPr>
          <w:rFonts w:ascii="Times New Roman" w:hAnsi="Times New Roman"/>
          <w:sz w:val="24"/>
          <w:szCs w:val="24"/>
        </w:rPr>
        <w:t xml:space="preserve">medical providers’ </w:t>
      </w:r>
      <w:r w:rsidR="00405722">
        <w:rPr>
          <w:rFonts w:ascii="Times New Roman" w:hAnsi="Times New Roman"/>
          <w:sz w:val="24"/>
          <w:szCs w:val="24"/>
        </w:rPr>
        <w:t xml:space="preserve">written orders.  </w:t>
      </w:r>
      <w:r w:rsidR="00603DB2" w:rsidRPr="00603DB2">
        <w:rPr>
          <w:rFonts w:ascii="Times New Roman" w:hAnsi="Times New Roman"/>
          <w:sz w:val="24"/>
          <w:szCs w:val="24"/>
        </w:rPr>
        <w:t>The SEF interpersonal le</w:t>
      </w:r>
      <w:r w:rsidR="000310AF">
        <w:rPr>
          <w:rFonts w:ascii="Times New Roman" w:hAnsi="Times New Roman"/>
          <w:sz w:val="24"/>
          <w:szCs w:val="24"/>
        </w:rPr>
        <w:t>vel factors included</w:t>
      </w:r>
      <w:r w:rsidR="00405722" w:rsidRPr="00603DB2">
        <w:rPr>
          <w:rFonts w:ascii="Times New Roman" w:hAnsi="Times New Roman"/>
          <w:sz w:val="24"/>
          <w:szCs w:val="24"/>
        </w:rPr>
        <w:t xml:space="preserve"> </w:t>
      </w:r>
      <w:r w:rsidR="00405722">
        <w:rPr>
          <w:rFonts w:ascii="Times New Roman" w:hAnsi="Times New Roman"/>
          <w:sz w:val="24"/>
          <w:szCs w:val="24"/>
        </w:rPr>
        <w:t xml:space="preserve">patient-doctor familiarity.  </w:t>
      </w:r>
      <w:r w:rsidR="00201245">
        <w:rPr>
          <w:rFonts w:ascii="Times New Roman" w:hAnsi="Times New Roman"/>
          <w:sz w:val="24"/>
          <w:szCs w:val="24"/>
        </w:rPr>
        <w:t xml:space="preserve">The SEF community </w:t>
      </w:r>
      <w:r w:rsidR="00603DB2" w:rsidRPr="00603DB2">
        <w:rPr>
          <w:rFonts w:ascii="Times New Roman" w:hAnsi="Times New Roman"/>
          <w:sz w:val="24"/>
          <w:szCs w:val="24"/>
        </w:rPr>
        <w:t>level included</w:t>
      </w:r>
      <w:r w:rsidR="00F045CF">
        <w:rPr>
          <w:rFonts w:ascii="Times New Roman" w:hAnsi="Times New Roman"/>
          <w:sz w:val="24"/>
          <w:szCs w:val="24"/>
        </w:rPr>
        <w:t xml:space="preserve"> the</w:t>
      </w:r>
      <w:r w:rsidR="00603DB2" w:rsidRPr="00603DB2">
        <w:rPr>
          <w:rFonts w:ascii="Times New Roman" w:hAnsi="Times New Roman"/>
          <w:sz w:val="24"/>
          <w:szCs w:val="24"/>
        </w:rPr>
        <w:t xml:space="preserve"> number of provider connection</w:t>
      </w:r>
      <w:r w:rsidR="00BB2A1B">
        <w:rPr>
          <w:rFonts w:ascii="Times New Roman" w:hAnsi="Times New Roman"/>
          <w:sz w:val="24"/>
          <w:szCs w:val="24"/>
        </w:rPr>
        <w:t xml:space="preserve">s, </w:t>
      </w:r>
      <w:r w:rsidR="00405722">
        <w:rPr>
          <w:rFonts w:ascii="Times New Roman" w:hAnsi="Times New Roman"/>
          <w:sz w:val="24"/>
          <w:szCs w:val="24"/>
        </w:rPr>
        <w:t xml:space="preserve">primary care-centered networks, </w:t>
      </w:r>
      <w:r w:rsidR="00BB2A1B">
        <w:rPr>
          <w:rFonts w:ascii="Times New Roman" w:hAnsi="Times New Roman"/>
          <w:sz w:val="24"/>
          <w:szCs w:val="24"/>
        </w:rPr>
        <w:t>area-level competition</w:t>
      </w:r>
      <w:r w:rsidR="00F045CF">
        <w:rPr>
          <w:rFonts w:ascii="Times New Roman" w:hAnsi="Times New Roman"/>
          <w:sz w:val="24"/>
          <w:szCs w:val="24"/>
        </w:rPr>
        <w:t xml:space="preserve">, </w:t>
      </w:r>
      <w:r w:rsidR="00F045CF" w:rsidRPr="00603DB2">
        <w:rPr>
          <w:rFonts w:ascii="Times New Roman" w:hAnsi="Times New Roman"/>
          <w:sz w:val="24"/>
          <w:szCs w:val="24"/>
        </w:rPr>
        <w:t>percent black admission</w:t>
      </w:r>
      <w:r w:rsidR="00405722">
        <w:rPr>
          <w:rFonts w:ascii="Times New Roman" w:hAnsi="Times New Roman"/>
          <w:sz w:val="24"/>
          <w:szCs w:val="24"/>
        </w:rPr>
        <w:t>, and hospital care intensity level in the area</w:t>
      </w:r>
      <w:r w:rsidR="00BB2A1B">
        <w:rPr>
          <w:rFonts w:ascii="Times New Roman" w:hAnsi="Times New Roman"/>
          <w:sz w:val="24"/>
          <w:szCs w:val="24"/>
        </w:rPr>
        <w:t xml:space="preserve">.  </w:t>
      </w:r>
      <w:r w:rsidR="00603DB2" w:rsidRPr="00603DB2">
        <w:rPr>
          <w:rFonts w:ascii="Times New Roman" w:hAnsi="Times New Roman"/>
          <w:sz w:val="24"/>
          <w:szCs w:val="24"/>
        </w:rPr>
        <w:t xml:space="preserve">The SEF institutional level included </w:t>
      </w:r>
      <w:r w:rsidR="00405722">
        <w:rPr>
          <w:rFonts w:ascii="Times New Roman" w:hAnsi="Times New Roman"/>
          <w:sz w:val="24"/>
          <w:szCs w:val="24"/>
        </w:rPr>
        <w:t xml:space="preserve">providers’ EOL decision-making norms, providers’ EOL treatment styles, organizational norms around </w:t>
      </w:r>
      <w:r w:rsidR="000310AF">
        <w:rPr>
          <w:rFonts w:ascii="Times New Roman" w:hAnsi="Times New Roman"/>
          <w:sz w:val="24"/>
          <w:szCs w:val="24"/>
        </w:rPr>
        <w:t>DNRs</w:t>
      </w:r>
      <w:r w:rsidR="00405722">
        <w:rPr>
          <w:rFonts w:ascii="Times New Roman" w:hAnsi="Times New Roman"/>
          <w:sz w:val="24"/>
          <w:szCs w:val="24"/>
        </w:rPr>
        <w:t xml:space="preserve">, </w:t>
      </w:r>
      <w:r w:rsidR="00201245">
        <w:rPr>
          <w:rFonts w:ascii="Times New Roman" w:hAnsi="Times New Roman"/>
          <w:sz w:val="24"/>
          <w:szCs w:val="24"/>
        </w:rPr>
        <w:t>number of beds and providers</w:t>
      </w:r>
      <w:r w:rsidR="00F045CF">
        <w:rPr>
          <w:rFonts w:ascii="Times New Roman" w:hAnsi="Times New Roman"/>
          <w:sz w:val="24"/>
          <w:szCs w:val="24"/>
        </w:rPr>
        <w:t xml:space="preserve">, </w:t>
      </w:r>
      <w:r w:rsidR="00603DB2" w:rsidRPr="00603DB2">
        <w:rPr>
          <w:rFonts w:ascii="Times New Roman" w:hAnsi="Times New Roman"/>
          <w:sz w:val="24"/>
          <w:szCs w:val="24"/>
        </w:rPr>
        <w:t>and for-profit compared to public institution</w:t>
      </w:r>
      <w:r w:rsidR="00286846">
        <w:rPr>
          <w:rFonts w:ascii="Times New Roman" w:hAnsi="Times New Roman"/>
          <w:sz w:val="24"/>
          <w:szCs w:val="24"/>
        </w:rPr>
        <w:t>s</w:t>
      </w:r>
      <w:r w:rsidR="00603DB2" w:rsidRPr="00603DB2">
        <w:rPr>
          <w:rFonts w:ascii="Times New Roman" w:hAnsi="Times New Roman"/>
          <w:sz w:val="24"/>
          <w:szCs w:val="24"/>
        </w:rPr>
        <w:t>.</w:t>
      </w:r>
      <w:r w:rsidR="00201245">
        <w:rPr>
          <w:rFonts w:ascii="Times New Roman" w:hAnsi="Times New Roman"/>
          <w:sz w:val="24"/>
          <w:szCs w:val="24"/>
        </w:rPr>
        <w:t xml:space="preserve"> </w:t>
      </w:r>
      <w:r w:rsidR="000310AF">
        <w:rPr>
          <w:rFonts w:ascii="Times New Roman" w:hAnsi="Times New Roman"/>
          <w:sz w:val="24"/>
          <w:szCs w:val="24"/>
        </w:rPr>
        <w:t xml:space="preserve"> </w:t>
      </w:r>
      <w:r w:rsidR="00201245">
        <w:rPr>
          <w:rFonts w:ascii="Times New Roman" w:hAnsi="Times New Roman"/>
          <w:sz w:val="24"/>
          <w:szCs w:val="24"/>
        </w:rPr>
        <w:t>The SEF policy level included managed care compared to fee-for-service</w:t>
      </w:r>
      <w:r w:rsidR="00114BEB">
        <w:rPr>
          <w:rFonts w:ascii="Times New Roman" w:hAnsi="Times New Roman"/>
          <w:sz w:val="24"/>
          <w:szCs w:val="24"/>
        </w:rPr>
        <w:t xml:space="preserve"> payment</w:t>
      </w:r>
      <w:r w:rsidR="00201245">
        <w:rPr>
          <w:rFonts w:ascii="Times New Roman" w:hAnsi="Times New Roman"/>
          <w:sz w:val="24"/>
          <w:szCs w:val="24"/>
        </w:rPr>
        <w:t xml:space="preserve"> </w:t>
      </w:r>
      <w:r w:rsidR="000310AF">
        <w:rPr>
          <w:rFonts w:ascii="Times New Roman" w:hAnsi="Times New Roman"/>
          <w:sz w:val="24"/>
          <w:szCs w:val="24"/>
        </w:rPr>
        <w:t>systems</w:t>
      </w:r>
      <w:r w:rsidR="00201245">
        <w:rPr>
          <w:rFonts w:ascii="Times New Roman" w:hAnsi="Times New Roman"/>
          <w:sz w:val="24"/>
          <w:szCs w:val="24"/>
        </w:rPr>
        <w:t xml:space="preserve">. </w:t>
      </w:r>
    </w:p>
    <w:p w14:paraId="6706C76A" w14:textId="77777777" w:rsidR="00FF141A" w:rsidRPr="00FF141A" w:rsidRDefault="00FF141A" w:rsidP="00FF141A">
      <w:pPr>
        <w:pStyle w:val="Heading2"/>
        <w:jc w:val="left"/>
      </w:pPr>
      <w:bookmarkStart w:id="16" w:name="_Toc480035036"/>
      <w:r>
        <w:t>Policy and Program Goals</w:t>
      </w:r>
      <w:bookmarkEnd w:id="16"/>
    </w:p>
    <w:p w14:paraId="0A1D1A02" w14:textId="64C8BB74" w:rsidR="005D38D2" w:rsidRPr="005A647B" w:rsidRDefault="000B412F" w:rsidP="005A647B">
      <w:pPr>
        <w:pStyle w:val="ListParagraph"/>
        <w:spacing w:after="0" w:line="480" w:lineRule="auto"/>
        <w:ind w:left="0" w:firstLine="720"/>
        <w:rPr>
          <w:rFonts w:ascii="Times New Roman" w:hAnsi="Times New Roman"/>
          <w:sz w:val="24"/>
          <w:szCs w:val="24"/>
        </w:rPr>
      </w:pPr>
      <w:r w:rsidRPr="005A647B">
        <w:rPr>
          <w:rFonts w:ascii="Times New Roman" w:hAnsi="Times New Roman"/>
          <w:sz w:val="24"/>
          <w:szCs w:val="24"/>
        </w:rPr>
        <w:t xml:space="preserve">In response to these factors, </w:t>
      </w:r>
      <w:r w:rsidR="005D38D2" w:rsidRPr="005A647B">
        <w:rPr>
          <w:rFonts w:ascii="Times New Roman" w:hAnsi="Times New Roman"/>
          <w:sz w:val="24"/>
          <w:szCs w:val="24"/>
        </w:rPr>
        <w:t xml:space="preserve">policies and programs </w:t>
      </w:r>
      <w:r w:rsidR="000310AF">
        <w:rPr>
          <w:rFonts w:ascii="Times New Roman" w:hAnsi="Times New Roman"/>
          <w:sz w:val="24"/>
          <w:szCs w:val="24"/>
        </w:rPr>
        <w:t>should be</w:t>
      </w:r>
      <w:r w:rsidR="00F045CF">
        <w:rPr>
          <w:rFonts w:ascii="Times New Roman" w:hAnsi="Times New Roman"/>
          <w:sz w:val="24"/>
          <w:szCs w:val="24"/>
        </w:rPr>
        <w:t xml:space="preserve"> designed to increase </w:t>
      </w:r>
      <w:r w:rsidRPr="005A647B">
        <w:rPr>
          <w:rFonts w:ascii="Times New Roman" w:hAnsi="Times New Roman"/>
          <w:sz w:val="24"/>
          <w:szCs w:val="24"/>
        </w:rPr>
        <w:t>the effective use of advance directives and written orders and change local norms and practice st</w:t>
      </w:r>
      <w:r w:rsidR="00B93FE8">
        <w:rPr>
          <w:rFonts w:ascii="Times New Roman" w:hAnsi="Times New Roman"/>
          <w:sz w:val="24"/>
          <w:szCs w:val="24"/>
        </w:rPr>
        <w:t>yles about EOL decision-</w:t>
      </w:r>
      <w:r w:rsidRPr="005A647B">
        <w:rPr>
          <w:rFonts w:ascii="Times New Roman" w:hAnsi="Times New Roman"/>
          <w:sz w:val="24"/>
          <w:szCs w:val="24"/>
        </w:rPr>
        <w:t xml:space="preserve">making. </w:t>
      </w:r>
      <w:r w:rsidR="00201245">
        <w:rPr>
          <w:rFonts w:ascii="Times New Roman" w:hAnsi="Times New Roman"/>
          <w:sz w:val="24"/>
          <w:szCs w:val="24"/>
        </w:rPr>
        <w:t xml:space="preserve"> </w:t>
      </w:r>
      <w:r w:rsidR="00FA20BE">
        <w:rPr>
          <w:rFonts w:ascii="Times New Roman" w:hAnsi="Times New Roman"/>
          <w:sz w:val="24"/>
          <w:szCs w:val="24"/>
        </w:rPr>
        <w:t>I selected these goals, since they target the</w:t>
      </w:r>
      <w:r w:rsidR="00201245">
        <w:rPr>
          <w:rFonts w:ascii="Times New Roman" w:hAnsi="Times New Roman"/>
          <w:sz w:val="24"/>
          <w:szCs w:val="24"/>
        </w:rPr>
        <w:t xml:space="preserve"> most amendable factors </w:t>
      </w:r>
      <w:r w:rsidR="00FA20BE">
        <w:rPr>
          <w:rFonts w:ascii="Times New Roman" w:hAnsi="Times New Roman"/>
          <w:sz w:val="24"/>
          <w:szCs w:val="24"/>
        </w:rPr>
        <w:t>in</w:t>
      </w:r>
      <w:r w:rsidR="00201245">
        <w:rPr>
          <w:rFonts w:ascii="Times New Roman" w:hAnsi="Times New Roman"/>
          <w:sz w:val="24"/>
          <w:szCs w:val="24"/>
        </w:rPr>
        <w:t xml:space="preserve"> Table 3 </w:t>
      </w:r>
      <w:r w:rsidR="00114BEB">
        <w:rPr>
          <w:rFonts w:ascii="Times New Roman" w:hAnsi="Times New Roman"/>
          <w:sz w:val="24"/>
          <w:szCs w:val="24"/>
        </w:rPr>
        <w:t xml:space="preserve">that affect </w:t>
      </w:r>
      <w:r w:rsidR="00201245">
        <w:rPr>
          <w:rFonts w:ascii="Times New Roman" w:hAnsi="Times New Roman"/>
          <w:sz w:val="24"/>
          <w:szCs w:val="24"/>
        </w:rPr>
        <w:t>EOL treatment intensity.</w:t>
      </w:r>
    </w:p>
    <w:p w14:paraId="197B72CE" w14:textId="158F0D49" w:rsidR="000B412F" w:rsidRDefault="005D38D2" w:rsidP="005A647B">
      <w:pPr>
        <w:pStyle w:val="ListParagraph"/>
        <w:spacing w:after="0" w:line="480" w:lineRule="auto"/>
        <w:ind w:left="0" w:firstLine="720"/>
        <w:rPr>
          <w:rFonts w:ascii="Times New Roman" w:hAnsi="Times New Roman"/>
          <w:sz w:val="24"/>
          <w:szCs w:val="24"/>
        </w:rPr>
      </w:pPr>
      <w:r w:rsidRPr="005A647B">
        <w:rPr>
          <w:rFonts w:ascii="Times New Roman" w:hAnsi="Times New Roman"/>
          <w:sz w:val="24"/>
          <w:szCs w:val="24"/>
        </w:rPr>
        <w:lastRenderedPageBreak/>
        <w:t>In this se</w:t>
      </w:r>
      <w:r w:rsidR="00286846">
        <w:rPr>
          <w:rFonts w:ascii="Times New Roman" w:hAnsi="Times New Roman"/>
          <w:sz w:val="24"/>
          <w:szCs w:val="24"/>
        </w:rPr>
        <w:t>ction</w:t>
      </w:r>
      <w:r w:rsidRPr="005A647B">
        <w:rPr>
          <w:rFonts w:ascii="Times New Roman" w:hAnsi="Times New Roman"/>
          <w:sz w:val="24"/>
          <w:szCs w:val="24"/>
        </w:rPr>
        <w:t xml:space="preserve">, </w:t>
      </w:r>
      <w:r w:rsidR="00201245">
        <w:rPr>
          <w:rFonts w:ascii="Times New Roman" w:hAnsi="Times New Roman"/>
          <w:sz w:val="24"/>
          <w:szCs w:val="24"/>
        </w:rPr>
        <w:t>I</w:t>
      </w:r>
      <w:r w:rsidRPr="005A647B">
        <w:rPr>
          <w:rFonts w:ascii="Times New Roman" w:hAnsi="Times New Roman"/>
          <w:sz w:val="24"/>
          <w:szCs w:val="24"/>
        </w:rPr>
        <w:t xml:space="preserve"> propose programs</w:t>
      </w:r>
      <w:r w:rsidR="00BB2A1B">
        <w:rPr>
          <w:rFonts w:ascii="Times New Roman" w:hAnsi="Times New Roman"/>
          <w:sz w:val="24"/>
          <w:szCs w:val="24"/>
        </w:rPr>
        <w:t xml:space="preserve"> and policies</w:t>
      </w:r>
      <w:r w:rsidR="008700F1">
        <w:rPr>
          <w:rFonts w:ascii="Times New Roman" w:hAnsi="Times New Roman"/>
          <w:sz w:val="24"/>
          <w:szCs w:val="24"/>
        </w:rPr>
        <w:t xml:space="preserve"> to address these factors</w:t>
      </w:r>
      <w:r w:rsidR="00BB2A1B">
        <w:rPr>
          <w:rFonts w:ascii="Times New Roman" w:hAnsi="Times New Roman"/>
          <w:sz w:val="24"/>
          <w:szCs w:val="24"/>
        </w:rPr>
        <w:t xml:space="preserve">.  </w:t>
      </w:r>
      <w:r w:rsidRPr="005A647B">
        <w:rPr>
          <w:rFonts w:ascii="Times New Roman" w:hAnsi="Times New Roman"/>
          <w:sz w:val="24"/>
          <w:szCs w:val="24"/>
        </w:rPr>
        <w:t xml:space="preserve">These </w:t>
      </w:r>
      <w:r w:rsidR="009E6004" w:rsidRPr="005A647B">
        <w:rPr>
          <w:rFonts w:ascii="Times New Roman" w:hAnsi="Times New Roman"/>
          <w:sz w:val="24"/>
          <w:szCs w:val="24"/>
        </w:rPr>
        <w:t>programs should ensure the engagement of different racial groups</w:t>
      </w:r>
      <w:r w:rsidRPr="005A647B">
        <w:rPr>
          <w:rFonts w:ascii="Times New Roman" w:hAnsi="Times New Roman"/>
          <w:sz w:val="24"/>
          <w:szCs w:val="24"/>
        </w:rPr>
        <w:t xml:space="preserve"> in the design and operation of the </w:t>
      </w:r>
      <w:r w:rsidR="008700F1">
        <w:rPr>
          <w:rFonts w:ascii="Times New Roman" w:hAnsi="Times New Roman"/>
          <w:sz w:val="24"/>
          <w:szCs w:val="24"/>
        </w:rPr>
        <w:t xml:space="preserve">program, since </w:t>
      </w:r>
      <w:r w:rsidR="000B412F" w:rsidRPr="005A647B">
        <w:rPr>
          <w:rFonts w:ascii="Times New Roman" w:hAnsi="Times New Roman"/>
          <w:sz w:val="24"/>
          <w:szCs w:val="24"/>
        </w:rPr>
        <w:t>blacks are less likely to use hospice, are more likely to die in hospitals with greater EOL ICU (Barnato</w:t>
      </w:r>
      <w:r w:rsidR="00B93FE8">
        <w:rPr>
          <w:rFonts w:ascii="Times New Roman" w:hAnsi="Times New Roman"/>
          <w:sz w:val="24"/>
          <w:szCs w:val="24"/>
        </w:rPr>
        <w:t xml:space="preserve"> et al.,</w:t>
      </w:r>
      <w:r w:rsidR="000B412F" w:rsidRPr="005A647B">
        <w:rPr>
          <w:rFonts w:ascii="Times New Roman" w:hAnsi="Times New Roman"/>
          <w:sz w:val="24"/>
          <w:szCs w:val="24"/>
        </w:rPr>
        <w:t xml:space="preserve"> 2006), and are more likely to prefer life-sustaining treatments than whites (Barnato</w:t>
      </w:r>
      <w:r w:rsidR="00B93FE8">
        <w:rPr>
          <w:rFonts w:ascii="Times New Roman" w:hAnsi="Times New Roman"/>
          <w:sz w:val="24"/>
          <w:szCs w:val="24"/>
        </w:rPr>
        <w:t xml:space="preserve"> et al.,</w:t>
      </w:r>
      <w:r w:rsidR="00BB2A1B">
        <w:rPr>
          <w:rFonts w:ascii="Times New Roman" w:hAnsi="Times New Roman"/>
          <w:sz w:val="24"/>
          <w:szCs w:val="24"/>
        </w:rPr>
        <w:t xml:space="preserve"> 2009).  </w:t>
      </w:r>
      <w:r w:rsidR="00B93FE8">
        <w:rPr>
          <w:rFonts w:ascii="Times New Roman" w:hAnsi="Times New Roman"/>
          <w:sz w:val="24"/>
          <w:szCs w:val="24"/>
        </w:rPr>
        <w:t>T</w:t>
      </w:r>
      <w:r w:rsidR="009E6004" w:rsidRPr="005A647B">
        <w:rPr>
          <w:rFonts w:ascii="Times New Roman" w:hAnsi="Times New Roman"/>
          <w:sz w:val="24"/>
          <w:szCs w:val="24"/>
        </w:rPr>
        <w:t xml:space="preserve">he proposed </w:t>
      </w:r>
      <w:r w:rsidR="000B412F" w:rsidRPr="005A647B">
        <w:rPr>
          <w:rFonts w:ascii="Times New Roman" w:hAnsi="Times New Roman"/>
          <w:sz w:val="24"/>
          <w:szCs w:val="24"/>
        </w:rPr>
        <w:t xml:space="preserve">policies that target local norms of practice styles in hospitals </w:t>
      </w:r>
      <w:r w:rsidR="009E6004" w:rsidRPr="005A647B">
        <w:rPr>
          <w:rFonts w:ascii="Times New Roman" w:hAnsi="Times New Roman"/>
          <w:sz w:val="24"/>
          <w:szCs w:val="24"/>
        </w:rPr>
        <w:t xml:space="preserve">may also </w:t>
      </w:r>
      <w:r w:rsidR="000B412F" w:rsidRPr="005A647B">
        <w:rPr>
          <w:rFonts w:ascii="Times New Roman" w:hAnsi="Times New Roman"/>
          <w:sz w:val="24"/>
          <w:szCs w:val="24"/>
        </w:rPr>
        <w:t>impact t</w:t>
      </w:r>
      <w:r w:rsidR="00B93FE8">
        <w:rPr>
          <w:rFonts w:ascii="Times New Roman" w:hAnsi="Times New Roman"/>
          <w:sz w:val="24"/>
          <w:szCs w:val="24"/>
        </w:rPr>
        <w:t xml:space="preserve">his racial disparity, because the disparity is </w:t>
      </w:r>
      <w:r w:rsidR="000B412F" w:rsidRPr="005A647B">
        <w:rPr>
          <w:rFonts w:ascii="Times New Roman" w:hAnsi="Times New Roman"/>
          <w:sz w:val="24"/>
          <w:szCs w:val="24"/>
        </w:rPr>
        <w:t>primarily due to a between-hospital effect as opposed to a within-hospital effect, meaning that blacks tend to use hospitals with higher EOL intensity (Barnato et al., 2006).</w:t>
      </w:r>
      <w:r w:rsidR="00BB2A1B">
        <w:rPr>
          <w:rFonts w:ascii="Times New Roman" w:hAnsi="Times New Roman"/>
          <w:sz w:val="24"/>
          <w:szCs w:val="24"/>
        </w:rPr>
        <w:t xml:space="preserve">  </w:t>
      </w:r>
      <w:r w:rsidR="00286846">
        <w:rPr>
          <w:rFonts w:ascii="Times New Roman" w:hAnsi="Times New Roman"/>
          <w:sz w:val="24"/>
          <w:szCs w:val="24"/>
        </w:rPr>
        <w:t xml:space="preserve">Thus, impacting the norms and practice styles in a hospital could reduce disparities. </w:t>
      </w:r>
    </w:p>
    <w:p w14:paraId="5EDF4447" w14:textId="023284B2" w:rsidR="00FA20BE" w:rsidRDefault="00B93FE8" w:rsidP="00FA20BE">
      <w:pPr>
        <w:pStyle w:val="Heading2"/>
        <w:jc w:val="left"/>
      </w:pPr>
      <w:bookmarkStart w:id="17" w:name="_Toc480035037"/>
      <w:r>
        <w:t>Programs</w:t>
      </w:r>
      <w:bookmarkEnd w:id="17"/>
    </w:p>
    <w:p w14:paraId="47AB3065" w14:textId="7CFAA6A8" w:rsidR="00945109" w:rsidRDefault="00753EB5" w:rsidP="008274D6">
      <w:pPr>
        <w:jc w:val="left"/>
      </w:pPr>
      <w:r>
        <w:t xml:space="preserve">Hospitals and healthcare education programs should develop EOL training programs to </w:t>
      </w:r>
      <w:r w:rsidR="006661C4">
        <w:t>address the goals around advance directives, written orders</w:t>
      </w:r>
      <w:r w:rsidR="00945109">
        <w:t xml:space="preserve"> by medical providers</w:t>
      </w:r>
      <w:r w:rsidR="006661C4">
        <w:t xml:space="preserve">, </w:t>
      </w:r>
      <w:r w:rsidR="00207113">
        <w:t xml:space="preserve">and </w:t>
      </w:r>
      <w:r w:rsidR="006661C4">
        <w:t xml:space="preserve">EOL local norms and practice styles.  </w:t>
      </w:r>
      <w:r w:rsidR="00310835">
        <w:t xml:space="preserve">Healthcare providers are not adequately trained in palliative care </w:t>
      </w:r>
      <w:r w:rsidR="00207113">
        <w:t xml:space="preserve">or </w:t>
      </w:r>
      <w:r w:rsidR="00310835">
        <w:t xml:space="preserve">EOL conversation </w:t>
      </w:r>
      <w:r w:rsidR="00207113">
        <w:t>skills (National Academy of Sciences</w:t>
      </w:r>
      <w:r w:rsidR="00310835">
        <w:t xml:space="preserve">, </w:t>
      </w:r>
      <w:r w:rsidR="00BC19D3">
        <w:t>2015</w:t>
      </w:r>
      <w:r w:rsidR="00310835">
        <w:t>).</w:t>
      </w:r>
      <w:r w:rsidR="008972D4">
        <w:t xml:space="preserve"> </w:t>
      </w:r>
      <w:r w:rsidR="008700F1">
        <w:t xml:space="preserve"> </w:t>
      </w:r>
      <w:r>
        <w:t>This is an appropriate time to design training program for these skills</w:t>
      </w:r>
      <w:r w:rsidR="00945109">
        <w:t xml:space="preserve">, since as of January 1, 2016, physicians can bill Medicare CPT codes 99497 and 99498 for advance care planning discussions (CMS Medicare Learning Network, 2016). </w:t>
      </w:r>
    </w:p>
    <w:p w14:paraId="3F01E2BD" w14:textId="46194E09" w:rsidR="0056631C" w:rsidRDefault="008972D4" w:rsidP="00ED2C95">
      <w:pPr>
        <w:pStyle w:val="Noindent"/>
        <w:ind w:firstLine="720"/>
        <w:jc w:val="left"/>
      </w:pPr>
      <w:r>
        <w:t xml:space="preserve">At a minimum, the training programs should cover palliative care principles, </w:t>
      </w:r>
      <w:r w:rsidR="00BA4D56">
        <w:t>advance directives, Physician Orders for Life-Sustaining Treatment (POLST)</w:t>
      </w:r>
      <w:r w:rsidR="002D406B">
        <w:t xml:space="preserve">, </w:t>
      </w:r>
      <w:r w:rsidR="0056631C">
        <w:t xml:space="preserve">and </w:t>
      </w:r>
      <w:r w:rsidR="008700F1">
        <w:t>EOL conversation</w:t>
      </w:r>
      <w:r>
        <w:t xml:space="preserve"> skills</w:t>
      </w:r>
      <w:r w:rsidR="0056631C">
        <w:t>.</w:t>
      </w:r>
      <w:r w:rsidR="006C378E">
        <w:t xml:space="preserve"> </w:t>
      </w:r>
      <w:r w:rsidR="0056631C">
        <w:t xml:space="preserve"> These topics relate to the factors that explain variations in EOL treatment intensities. </w:t>
      </w:r>
      <w:r w:rsidR="006C378E">
        <w:t xml:space="preserve"> </w:t>
      </w:r>
      <w:r w:rsidR="0056631C">
        <w:t>In addition, e</w:t>
      </w:r>
      <w:r w:rsidR="00457000">
        <w:t xml:space="preserve">vidence suggests </w:t>
      </w:r>
      <w:r w:rsidR="0056631C">
        <w:t xml:space="preserve">the following: </w:t>
      </w:r>
      <w:r w:rsidR="00457000">
        <w:t>p</w:t>
      </w:r>
      <w:r w:rsidR="009904C0">
        <w:t xml:space="preserve">alliative </w:t>
      </w:r>
      <w:r w:rsidR="00457000">
        <w:t xml:space="preserve">care </w:t>
      </w:r>
      <w:r w:rsidR="00BB4AFF">
        <w:t xml:space="preserve">improves quality of life and </w:t>
      </w:r>
      <w:r w:rsidR="00457000">
        <w:t xml:space="preserve">reduces </w:t>
      </w:r>
      <w:r w:rsidR="009904C0">
        <w:lastRenderedPageBreak/>
        <w:t>healthcare costs (Smith et al., 2014)</w:t>
      </w:r>
      <w:r w:rsidR="00457000">
        <w:t>, EOL communication skills can be effectively taught to healthcare professionals (Natio</w:t>
      </w:r>
      <w:r w:rsidR="0056631C">
        <w:t>nal Academy of Sciences, 2015),</w:t>
      </w:r>
      <w:r w:rsidR="00F65A3F">
        <w:t xml:space="preserve"> advance care planning improves the alignment between </w:t>
      </w:r>
      <w:r w:rsidR="00955F7D">
        <w:t xml:space="preserve">the type of care preferred and type of care delivered </w:t>
      </w:r>
      <w:r w:rsidR="00F65A3F">
        <w:t>(Weathers et al., 2016</w:t>
      </w:r>
      <w:r w:rsidR="00955F7D">
        <w:t>; Houben et al., 2014</w:t>
      </w:r>
      <w:r w:rsidR="00F65A3F">
        <w:t>),</w:t>
      </w:r>
      <w:r w:rsidR="00DD0883">
        <w:t xml:space="preserve"> POLST </w:t>
      </w:r>
      <w:r w:rsidR="0056631C">
        <w:t>forms increase</w:t>
      </w:r>
      <w:r w:rsidR="00DD0883">
        <w:t xml:space="preserve"> the likelihood of treatment preferences being documented as orders (Hickman et al., 2010), and POLST orders restricting medical treatments are associated with fewer life-sustaining treatments (Hickman et al., 2010). </w:t>
      </w:r>
    </w:p>
    <w:p w14:paraId="61A35B68" w14:textId="2E1042C6" w:rsidR="008700F1" w:rsidRDefault="00B72A67" w:rsidP="00ED2C95">
      <w:pPr>
        <w:jc w:val="left"/>
      </w:pPr>
      <w:r>
        <w:t xml:space="preserve">These training programs should also cover best practices and standards for creating an EOL culture in organizations that honors patients’ preferences, goals, and values.  According to the National Academy of Sciences, incentives, quality standards, and system supports are needed to facilitate improved EOL conversation skills in organizations.  Knowing these best practices for promoting improved EOL conversations, would enable </w:t>
      </w:r>
      <w:r w:rsidR="00BC26B7">
        <w:t xml:space="preserve">healthcare providers </w:t>
      </w:r>
      <w:r>
        <w:t xml:space="preserve">to know what </w:t>
      </w:r>
      <w:r w:rsidR="006C378E">
        <w:t>they should</w:t>
      </w:r>
      <w:r>
        <w:t xml:space="preserve"> expect</w:t>
      </w:r>
      <w:r w:rsidR="00BC26B7">
        <w:t xml:space="preserve"> from an organization t</w:t>
      </w:r>
      <w:r w:rsidR="008700F1">
        <w:t>hat honors patient’s EOL goals.</w:t>
      </w:r>
      <w:r>
        <w:t xml:space="preserve">  With this knowledge, providers would be empowered to question why these organizational best practices are not being adhered to in their work environment. </w:t>
      </w:r>
    </w:p>
    <w:p w14:paraId="67194A19" w14:textId="6C1E0D8E" w:rsidR="00FA20BE" w:rsidRDefault="00BA4D56" w:rsidP="00ED2C95">
      <w:pPr>
        <w:pStyle w:val="Noindent"/>
        <w:ind w:firstLine="720"/>
        <w:jc w:val="left"/>
      </w:pPr>
      <w:r>
        <w:t xml:space="preserve">These training topics could be required by </w:t>
      </w:r>
      <w:r w:rsidR="00190F06">
        <w:t>graduate education oversight bodies</w:t>
      </w:r>
      <w:r w:rsidR="00207113">
        <w:t xml:space="preserve">, certifying bodies, and </w:t>
      </w:r>
      <w:r>
        <w:t>state licensing bodies for nurses, physicians, occupational therapists,</w:t>
      </w:r>
      <w:r w:rsidR="008700F1">
        <w:t xml:space="preserve"> social workers, </w:t>
      </w:r>
      <w:r w:rsidR="00190F06">
        <w:t xml:space="preserve">pharmacists, </w:t>
      </w:r>
      <w:r w:rsidR="008700F1">
        <w:t>and chaplains</w:t>
      </w:r>
      <w:r w:rsidR="00190F06">
        <w:t xml:space="preserve"> who are part of the team offering palliative care and EOL treatment</w:t>
      </w:r>
      <w:r w:rsidR="006C378E">
        <w:t xml:space="preserve"> (National Academy of Sciences, 2014)</w:t>
      </w:r>
      <w:r w:rsidR="008700F1">
        <w:t xml:space="preserve">.  </w:t>
      </w:r>
      <w:r w:rsidR="00ED2C95">
        <w:t>For health</w:t>
      </w:r>
      <w:r>
        <w:t xml:space="preserve">care providers who are already in the workforce, organizations should require and recommend educational modules in their learning management systems. </w:t>
      </w:r>
    </w:p>
    <w:p w14:paraId="1F32B8D0" w14:textId="6BDDE0D9" w:rsidR="00D34A7F" w:rsidRDefault="00BA4D56" w:rsidP="00F90F71">
      <w:pPr>
        <w:jc w:val="left"/>
      </w:pPr>
      <w:r>
        <w:t xml:space="preserve">However, training alone will likely not </w:t>
      </w:r>
      <w:r w:rsidR="00207113">
        <w:t xml:space="preserve">be sufficient to </w:t>
      </w:r>
      <w:r>
        <w:t>change local norms and practice styles around EOL decision-making</w:t>
      </w:r>
      <w:r w:rsidR="00207113">
        <w:t xml:space="preserve"> in organizations</w:t>
      </w:r>
      <w:r w:rsidR="008700F1">
        <w:t xml:space="preserve">.  </w:t>
      </w:r>
      <w:r w:rsidR="002A09FE">
        <w:t xml:space="preserve">While training can increase knowledge, additional support </w:t>
      </w:r>
      <w:r w:rsidR="00A310FC">
        <w:t xml:space="preserve">within the work setting </w:t>
      </w:r>
      <w:r w:rsidR="002A09FE">
        <w:t xml:space="preserve">is often needed to demonstrate and apply new skills in </w:t>
      </w:r>
      <w:r w:rsidR="002A09FE">
        <w:lastRenderedPageBreak/>
        <w:t>practice settings (Fixsen et al., 2005)</w:t>
      </w:r>
      <w:r w:rsidR="006C378E">
        <w:t xml:space="preserve">.  </w:t>
      </w:r>
      <w:r w:rsidR="00B72A67">
        <w:t>Implementation science suggests that</w:t>
      </w:r>
      <w:r w:rsidR="00D34A7F">
        <w:t xml:space="preserve"> certain </w:t>
      </w:r>
      <w:r w:rsidR="00A310FC">
        <w:t>components of implementation</w:t>
      </w:r>
      <w:r w:rsidR="00D34A7F">
        <w:t xml:space="preserve"> are needed to translate evidence-based concepts into practice.</w:t>
      </w:r>
      <w:r w:rsidR="00C92875">
        <w:t xml:space="preserve">  The</w:t>
      </w:r>
      <w:r w:rsidR="00A310FC">
        <w:t xml:space="preserve"> implementation framework</w:t>
      </w:r>
      <w:r w:rsidR="00D34A7F">
        <w:t xml:space="preserve"> </w:t>
      </w:r>
      <w:r w:rsidR="00C92875">
        <w:t xml:space="preserve">from Fixsen et al. </w:t>
      </w:r>
      <w:r w:rsidR="00D34A7F">
        <w:t>include</w:t>
      </w:r>
      <w:r w:rsidR="00A310FC">
        <w:t>s</w:t>
      </w:r>
      <w:r w:rsidR="00FF7441">
        <w:t>:</w:t>
      </w:r>
      <w:r w:rsidR="00D34A7F">
        <w:t xml:space="preserve"> staff selection, training</w:t>
      </w:r>
      <w:r w:rsidR="00CC446F">
        <w:t xml:space="preserve"> on the new skill</w:t>
      </w:r>
      <w:r w:rsidR="00D34A7F">
        <w:t>, coaching</w:t>
      </w:r>
      <w:r w:rsidR="00CC446F">
        <w:t xml:space="preserve"> to perform</w:t>
      </w:r>
      <w:r w:rsidR="00A310FC">
        <w:t xml:space="preserve"> and improve</w:t>
      </w:r>
      <w:r w:rsidR="00CC446F">
        <w:t xml:space="preserve"> the new skill</w:t>
      </w:r>
      <w:r w:rsidR="00C92875">
        <w:t xml:space="preserve">, </w:t>
      </w:r>
      <w:r w:rsidR="002A09FE">
        <w:t xml:space="preserve">evaluation </w:t>
      </w:r>
      <w:r w:rsidR="00FF7441">
        <w:t>to guide decision-</w:t>
      </w:r>
      <w:r w:rsidR="002E5172">
        <w:t>making and improvement</w:t>
      </w:r>
      <w:r w:rsidR="00CC446F">
        <w:t xml:space="preserve">, administrative supports to ensure leadership engagement, and systems interventions to secure appropriate resources </w:t>
      </w:r>
      <w:r w:rsidR="002A09FE">
        <w:t xml:space="preserve">(Fixsen et al., 2005).  </w:t>
      </w:r>
      <w:r w:rsidR="00CC446F">
        <w:t>This framework</w:t>
      </w:r>
      <w:r w:rsidR="00A310FC">
        <w:t xml:space="preserve"> helps to</w:t>
      </w:r>
      <w:r w:rsidR="00CC446F">
        <w:t xml:space="preserve"> </w:t>
      </w:r>
      <w:r w:rsidR="00A310FC">
        <w:t>account</w:t>
      </w:r>
      <w:r w:rsidR="00CC446F">
        <w:t xml:space="preserve"> </w:t>
      </w:r>
      <w:r w:rsidR="002A09FE">
        <w:t xml:space="preserve">for the organizational context in which the best practices is implemented in </w:t>
      </w:r>
      <w:r w:rsidR="00CC446F">
        <w:t>and influences from the</w:t>
      </w:r>
      <w:r w:rsidR="002A09FE">
        <w:t xml:space="preserve"> external environment. </w:t>
      </w:r>
    </w:p>
    <w:p w14:paraId="0A242650" w14:textId="0C54A3EE" w:rsidR="00F90F71" w:rsidRDefault="00BC26B7" w:rsidP="00F90F71">
      <w:pPr>
        <w:jc w:val="left"/>
      </w:pPr>
      <w:r>
        <w:t xml:space="preserve">As a result, </w:t>
      </w:r>
      <w:r w:rsidR="00207113">
        <w:t xml:space="preserve">healthcare </w:t>
      </w:r>
      <w:r>
        <w:t>organizations should deploy a</w:t>
      </w:r>
      <w:r w:rsidR="00190F06">
        <w:t>n</w:t>
      </w:r>
      <w:r>
        <w:t xml:space="preserve"> </w:t>
      </w:r>
      <w:r w:rsidR="008700F1">
        <w:t>organizational transformation strategy</w:t>
      </w:r>
      <w:r w:rsidR="00F90F71">
        <w:t xml:space="preserve"> to </w:t>
      </w:r>
      <w:r w:rsidR="00A310FC">
        <w:t xml:space="preserve">change the organizational structures and cultures that influence the routine use of new skills and </w:t>
      </w:r>
      <w:r w:rsidR="002E5172">
        <w:t>behaviors</w:t>
      </w:r>
      <w:r w:rsidR="00CC446F">
        <w:t xml:space="preserve">.  Based on the implementation framework, this transformation strategy could include </w:t>
      </w:r>
      <w:r w:rsidR="00B620AE">
        <w:t>leadership support, tracking systems</w:t>
      </w:r>
      <w:r w:rsidR="00F90F71">
        <w:t xml:space="preserve">, provider champions, </w:t>
      </w:r>
      <w:r w:rsidR="00B620AE">
        <w:t xml:space="preserve">and ongoing skill development.  The CEOs and department chairs </w:t>
      </w:r>
      <w:r w:rsidR="00A52545">
        <w:t>can communicate, reinforce, and demonstrate</w:t>
      </w:r>
      <w:r w:rsidR="00B620AE">
        <w:t xml:space="preserve"> the organization’s v</w:t>
      </w:r>
      <w:r w:rsidR="00A52545">
        <w:t xml:space="preserve">alues and norms around EOL care.  </w:t>
      </w:r>
      <w:r w:rsidR="00F90F71">
        <w:t xml:space="preserve">To target the organization’s training and education plans, organizations can also track which providers have been exposed to the core EOL training topics, and which still need introductory trainings. </w:t>
      </w:r>
      <w:r w:rsidR="008700F1">
        <w:t xml:space="preserve"> </w:t>
      </w:r>
    </w:p>
    <w:p w14:paraId="5D7BEC96" w14:textId="02B63FAA" w:rsidR="00633708" w:rsidRDefault="00A52545" w:rsidP="005D13F4">
      <w:pPr>
        <w:jc w:val="left"/>
      </w:pPr>
      <w:r>
        <w:t xml:space="preserve">Each discipline of providers </w:t>
      </w:r>
      <w:r w:rsidR="008700F1">
        <w:t>in organizations should</w:t>
      </w:r>
      <w:r>
        <w:t xml:space="preserve"> also designate EOL champions who are respected among their peers</w:t>
      </w:r>
      <w:r w:rsidR="00F90F71">
        <w:t xml:space="preserve"> in the organization</w:t>
      </w:r>
      <w:r w:rsidR="008700F1">
        <w:t xml:space="preserve">.  </w:t>
      </w:r>
      <w:r>
        <w:t xml:space="preserve">These champions would be responsible </w:t>
      </w:r>
      <w:r w:rsidR="00F90F71">
        <w:t xml:space="preserve">for providing ongoing </w:t>
      </w:r>
      <w:r>
        <w:t xml:space="preserve">coaching </w:t>
      </w:r>
      <w:r w:rsidR="00F90F71">
        <w:t xml:space="preserve">to </w:t>
      </w:r>
      <w:r>
        <w:t>their peers on palliative care principl</w:t>
      </w:r>
      <w:r w:rsidR="00F90F71">
        <w:t>es and EOL communication skills</w:t>
      </w:r>
      <w:r>
        <w:t xml:space="preserve"> and for talking with their peers who display EOL practice styles that fall outsi</w:t>
      </w:r>
      <w:r w:rsidR="008700F1">
        <w:t xml:space="preserve">de of the organization’s norms.  </w:t>
      </w:r>
      <w:r w:rsidR="00F90F71">
        <w:t xml:space="preserve">The coaches could model their interactions with their peers based on the </w:t>
      </w:r>
      <w:r w:rsidR="00F90F71" w:rsidRPr="00F90F71">
        <w:t>health belief</w:t>
      </w:r>
      <w:r w:rsidR="00F90F71">
        <w:t xml:space="preserve"> model, </w:t>
      </w:r>
      <w:r w:rsidR="008700F1">
        <w:t>which is used to</w:t>
      </w:r>
      <w:r w:rsidR="00380D79">
        <w:t xml:space="preserve"> change people’s behavior by exploring and strengthening </w:t>
      </w:r>
      <w:r w:rsidR="00380D79">
        <w:lastRenderedPageBreak/>
        <w:t>their perceptions o</w:t>
      </w:r>
      <w:r w:rsidR="00F90F71" w:rsidRPr="00F90F71">
        <w:t xml:space="preserve">f susceptibility, severity, benefits, barriers, and self-efficacy (Glanz &amp; Bishop, 2010).  </w:t>
      </w:r>
    </w:p>
    <w:p w14:paraId="4E4765EC" w14:textId="448F6F30" w:rsidR="00A310FC" w:rsidRDefault="00FF141A" w:rsidP="00633708">
      <w:pPr>
        <w:pStyle w:val="Heading2"/>
        <w:jc w:val="left"/>
      </w:pPr>
      <w:bookmarkStart w:id="18" w:name="_Toc480035038"/>
      <w:r w:rsidRPr="00334F18">
        <w:t>Policies</w:t>
      </w:r>
      <w:bookmarkEnd w:id="18"/>
    </w:p>
    <w:p w14:paraId="6951747A" w14:textId="77777777" w:rsidR="00BB4AFF" w:rsidRDefault="002E5172" w:rsidP="00F85A5F">
      <w:pPr>
        <w:jc w:val="left"/>
      </w:pPr>
      <w:r>
        <w:t>Implementation science suggests that the use of new evidence-based practices are influenced by sociopolitical factors, including funding</w:t>
      </w:r>
      <w:r w:rsidR="00A310FC">
        <w:t xml:space="preserve"> (Fixsen et al., 2005)</w:t>
      </w:r>
      <w:r>
        <w:t xml:space="preserve">.  As a result, it is necessary to consider health policy changes to support the uptake of the evidence-based EOL skills. </w:t>
      </w:r>
      <w:r w:rsidR="00A310FC">
        <w:t xml:space="preserve"> </w:t>
      </w:r>
    </w:p>
    <w:p w14:paraId="56E7FE9A" w14:textId="54DD99B1" w:rsidR="00C92875" w:rsidRDefault="00F85A5F" w:rsidP="00F85A5F">
      <w:pPr>
        <w:jc w:val="left"/>
      </w:pPr>
      <w:r>
        <w:t>The continued movement from a payment system that rewards volume (fee-for-service) to a system that rewards value presents opportunities to reduce variations in EOL treatment intensity that are not align</w:t>
      </w:r>
      <w:r w:rsidR="008700F1">
        <w:t>ed with patients’ preferences</w:t>
      </w:r>
      <w:r w:rsidR="00F66F3E">
        <w:t xml:space="preserve"> (National Academy</w:t>
      </w:r>
      <w:r w:rsidR="00BB4AFF">
        <w:t xml:space="preserve"> of Sciences, 2015)</w:t>
      </w:r>
      <w:r w:rsidR="008700F1">
        <w:t xml:space="preserve">.  </w:t>
      </w:r>
      <w:r w:rsidR="00050AC7">
        <w:t xml:space="preserve">The National Academy of Sciences’ </w:t>
      </w:r>
      <w:r w:rsidR="00C92875">
        <w:t xml:space="preserve">report, </w:t>
      </w:r>
      <w:r w:rsidR="00050AC7">
        <w:t>“Variation in Health Care Spending</w:t>
      </w:r>
      <w:r w:rsidR="00C92875">
        <w:t>,</w:t>
      </w:r>
      <w:r w:rsidR="00050AC7">
        <w:t xml:space="preserve">” </w:t>
      </w:r>
      <w:r w:rsidR="00C92875">
        <w:t>a</w:t>
      </w:r>
      <w:r w:rsidR="00050AC7">
        <w:t xml:space="preserve">lso recommended to test and evaluate payment reforms (National Academy of Sciences, 2013).  </w:t>
      </w:r>
    </w:p>
    <w:p w14:paraId="7A4B5B5C" w14:textId="4AD61C7C" w:rsidR="00F85A5F" w:rsidRDefault="00F85A5F" w:rsidP="00F85A5F">
      <w:pPr>
        <w:jc w:val="left"/>
      </w:pPr>
      <w:r>
        <w:t>This transition is beginning with pay-for</w:t>
      </w:r>
      <w:r w:rsidR="008700F1">
        <w:t>-performance models and shared savings.  Pay-for-performance models adjust</w:t>
      </w:r>
      <w:r>
        <w:t xml:space="preserve"> payments if certain clinical targets are met</w:t>
      </w:r>
      <w:r w:rsidR="008700F1">
        <w:t xml:space="preserve">, and shared savings </w:t>
      </w:r>
      <w:r>
        <w:t>distributes a portion of the savings back to the network of providers if certain qualit</w:t>
      </w:r>
      <w:r w:rsidR="008700F1">
        <w:t>y and cost control goals are achieved</w:t>
      </w:r>
      <w:r>
        <w:t xml:space="preserve"> for a defined population. </w:t>
      </w:r>
      <w:r w:rsidR="00C92875">
        <w:t>Shared savings has been shown to reduce costs in the Medicare system (CMS, 2014; Hoangmai et al., 2014), and although the evidence for pay-for-performance methods is mixed, its effectiveness is largely dependent on the context, design, type of incentives, the baseline performance levels, and the criteria of quality measurements (Van Herck et al., 2010).</w:t>
      </w:r>
    </w:p>
    <w:p w14:paraId="5E3A7B2B" w14:textId="3225282D" w:rsidR="00480D14" w:rsidRDefault="00C92875" w:rsidP="00F85A5F">
      <w:pPr>
        <w:jc w:val="left"/>
      </w:pPr>
      <w:r>
        <w:lastRenderedPageBreak/>
        <w:t>In response, s</w:t>
      </w:r>
      <w:r w:rsidR="00716744">
        <w:t xml:space="preserve">tate and federal policymakers and administrators should </w:t>
      </w:r>
      <w:r w:rsidR="00ED258A">
        <w:t>consider including</w:t>
      </w:r>
      <w:r w:rsidR="00716744">
        <w:t xml:space="preserve"> </w:t>
      </w:r>
      <w:r w:rsidR="00C853F7" w:rsidRPr="00603DB2">
        <w:t>EOL quality measures in pay-for-performance</w:t>
      </w:r>
      <w:r w:rsidR="00790ABE" w:rsidRPr="00603DB2">
        <w:t xml:space="preserve"> contracts, shared s</w:t>
      </w:r>
      <w:r w:rsidR="00C853F7" w:rsidRPr="00603DB2">
        <w:t xml:space="preserve">avings </w:t>
      </w:r>
      <w:r w:rsidR="00790ABE" w:rsidRPr="00603DB2">
        <w:t>c</w:t>
      </w:r>
      <w:r w:rsidR="00C853F7" w:rsidRPr="00603DB2">
        <w:t>ontrac</w:t>
      </w:r>
      <w:r w:rsidR="00716744">
        <w:t xml:space="preserve">ts, and public reporting systems (e.g., </w:t>
      </w:r>
      <w:r w:rsidR="00790ABE" w:rsidRPr="00603DB2">
        <w:t>CMS’ Hospital Compare website</w:t>
      </w:r>
      <w:r w:rsidR="00716744">
        <w:t xml:space="preserve">).  Two potential measures include </w:t>
      </w:r>
      <w:r w:rsidR="00286846">
        <w:t>“p</w:t>
      </w:r>
      <w:r w:rsidR="00C853F7" w:rsidRPr="00603DB2">
        <w:t>ercentage of patients with chart documentation of preferences for life sustaining treatments</w:t>
      </w:r>
      <w:r w:rsidR="00286846">
        <w:t xml:space="preserve">” </w:t>
      </w:r>
      <w:r w:rsidR="00716744">
        <w:t>(</w:t>
      </w:r>
      <w:r w:rsidR="00A3000B">
        <w:t>C</w:t>
      </w:r>
      <w:r w:rsidR="00716744">
        <w:t xml:space="preserve">) </w:t>
      </w:r>
      <w:r w:rsidR="00286846">
        <w:t>and “p</w:t>
      </w:r>
      <w:r w:rsidR="00C853F7" w:rsidRPr="00603DB2">
        <w:t>atients admitted to ICU who have care preferences documented</w:t>
      </w:r>
      <w:r w:rsidR="00286846">
        <w:t>”</w:t>
      </w:r>
      <w:r w:rsidR="00603DB2">
        <w:t xml:space="preserve"> </w:t>
      </w:r>
      <w:r w:rsidR="00716744">
        <w:t xml:space="preserve">(National Quality Forum no. 1626) </w:t>
      </w:r>
      <w:r w:rsidR="00603DB2">
        <w:t>(AHRQ, 201</w:t>
      </w:r>
      <w:r w:rsidR="00716744">
        <w:t>4</w:t>
      </w:r>
      <w:r w:rsidR="00C853F7" w:rsidRPr="00603DB2">
        <w:t>)</w:t>
      </w:r>
      <w:r w:rsidR="00480D14" w:rsidRPr="00603DB2">
        <w:t>.</w:t>
      </w:r>
      <w:r w:rsidR="00BF58E4">
        <w:t xml:space="preserve">  Including these measures in payment contracts will help </w:t>
      </w:r>
      <w:r w:rsidR="00F13CCE">
        <w:t xml:space="preserve">gain </w:t>
      </w:r>
      <w:r w:rsidR="00BF58E4">
        <w:t xml:space="preserve">the attention of healthcare administrators </w:t>
      </w:r>
      <w:r w:rsidR="008700F1">
        <w:t>who could in turn help</w:t>
      </w:r>
      <w:r w:rsidR="00BF58E4">
        <w:t xml:space="preserve"> providers adopt </w:t>
      </w:r>
      <w:r w:rsidR="00F13CCE">
        <w:t xml:space="preserve">the </w:t>
      </w:r>
      <w:r w:rsidR="00BF58E4">
        <w:t xml:space="preserve">skills and processes for </w:t>
      </w:r>
      <w:r w:rsidR="00F13CCE">
        <w:t xml:space="preserve">eliciting and following through with patients’ </w:t>
      </w:r>
      <w:r w:rsidR="008700F1">
        <w:t xml:space="preserve">EOL </w:t>
      </w:r>
      <w:r w:rsidR="00ED258A">
        <w:t xml:space="preserve">treatment preferences. </w:t>
      </w:r>
    </w:p>
    <w:p w14:paraId="2011BF35" w14:textId="7D575B8C" w:rsidR="008700F1" w:rsidRDefault="00C92875" w:rsidP="00F85A5F">
      <w:pPr>
        <w:jc w:val="left"/>
      </w:pPr>
      <w:r>
        <w:t>However, b</w:t>
      </w:r>
      <w:r w:rsidR="00F85A5F">
        <w:t xml:space="preserve">oth pay-for-performance and shared savings payment models are only augmenting an underlying fee-for-service system that still effects the daily behaviors of providers and organizations. </w:t>
      </w:r>
      <w:r w:rsidR="008700F1">
        <w:t xml:space="preserve"> </w:t>
      </w:r>
      <w:r w:rsidR="00F85A5F">
        <w:t>As a result, research is needed to study the effect of shared savings models on variation</w:t>
      </w:r>
      <w:r w:rsidR="008700F1">
        <w:t xml:space="preserve">s in EOL treatment intensities.  </w:t>
      </w:r>
    </w:p>
    <w:p w14:paraId="756386FE" w14:textId="1B60153B" w:rsidR="00F85A5F" w:rsidRDefault="00F85A5F" w:rsidP="00F85A5F">
      <w:pPr>
        <w:jc w:val="left"/>
      </w:pPr>
      <w:r>
        <w:t xml:space="preserve">Demonstrations can also be designed to test whether risk-adjusted capitated payments to providers and hospitals affect variations in EOL treatment intensities compared to fee-for-service arrangements. </w:t>
      </w:r>
      <w:r w:rsidR="008700F1">
        <w:t xml:space="preserve"> </w:t>
      </w:r>
      <w:r w:rsidR="00F66F3E">
        <w:t xml:space="preserve">There is some evidence to suggest that these types of managed care policies may reduce </w:t>
      </w:r>
      <w:r w:rsidR="00F66F3E" w:rsidRPr="00F66F3E">
        <w:t xml:space="preserve">potentially ineffective </w:t>
      </w:r>
      <w:r w:rsidR="00F66F3E">
        <w:t>care (Cher and Lenert, 1997)</w:t>
      </w:r>
      <w:r w:rsidR="00472442">
        <w:t>, and most studies conclude that in capitation payment models, physicians provide less services without compromising quality of care (Kongstvedt, 2013)</w:t>
      </w:r>
      <w:r w:rsidR="00F66F3E">
        <w:t xml:space="preserve">.  </w:t>
      </w:r>
      <w:r>
        <w:t>However, given the healthcare needs of older patients, capitated payment mo</w:t>
      </w:r>
      <w:r w:rsidR="000A65B0">
        <w:t xml:space="preserve">dels must be appropriately risk-adjusted </w:t>
      </w:r>
      <w:r>
        <w:t>and not limited to the end-of-life phase</w:t>
      </w:r>
      <w:r w:rsidR="00BB4AFF">
        <w:t>.</w:t>
      </w:r>
      <w:r>
        <w:t xml:space="preserve"> </w:t>
      </w:r>
    </w:p>
    <w:p w14:paraId="538921C2" w14:textId="43664FBE" w:rsidR="003F5900" w:rsidRDefault="00F13CCE" w:rsidP="00F85A5F">
      <w:pPr>
        <w:jc w:val="left"/>
      </w:pPr>
      <w:r>
        <w:t xml:space="preserve">States can also codify POLST </w:t>
      </w:r>
      <w:r w:rsidR="00945109">
        <w:t xml:space="preserve">orders </w:t>
      </w:r>
      <w:r>
        <w:t>into law</w:t>
      </w:r>
      <w:r w:rsidR="008274D6">
        <w:t xml:space="preserve"> and create committees to review and update the POLST forms in the State</w:t>
      </w:r>
      <w:r>
        <w:t xml:space="preserve">. </w:t>
      </w:r>
      <w:r w:rsidR="000A65B0">
        <w:t xml:space="preserve"> </w:t>
      </w:r>
      <w:r w:rsidR="008274D6">
        <w:t>These forms</w:t>
      </w:r>
      <w:r>
        <w:t xml:space="preserve"> are used to document patients’ preferences for life-sustaining treatments based on a conversation between </w:t>
      </w:r>
      <w:r w:rsidR="0089774A">
        <w:t>a physician and a patient with advanced illness or a serious health condition</w:t>
      </w:r>
      <w:r>
        <w:t xml:space="preserve">. </w:t>
      </w:r>
      <w:r w:rsidR="000A65B0">
        <w:t xml:space="preserve"> If state laws codify these orders, then </w:t>
      </w:r>
      <w:r>
        <w:t xml:space="preserve">providers </w:t>
      </w:r>
      <w:r>
        <w:lastRenderedPageBreak/>
        <w:t xml:space="preserve">would need to adhere to the patient’s </w:t>
      </w:r>
      <w:r w:rsidR="000A65B0">
        <w:t>EOL</w:t>
      </w:r>
      <w:r>
        <w:t xml:space="preserve"> goals an</w:t>
      </w:r>
      <w:r w:rsidR="0089774A">
        <w:t xml:space="preserve">d preferences in the POLST form </w:t>
      </w:r>
      <w:r>
        <w:t>regardless of the setting of care</w:t>
      </w:r>
      <w:r w:rsidR="00945109">
        <w:t>.</w:t>
      </w:r>
    </w:p>
    <w:p w14:paraId="04940328" w14:textId="77777777" w:rsidR="00480D14" w:rsidRPr="000A65B0" w:rsidRDefault="00480D14" w:rsidP="00480D14">
      <w:pPr>
        <w:pStyle w:val="Heading2"/>
        <w:jc w:val="left"/>
      </w:pPr>
      <w:bookmarkStart w:id="19" w:name="_Toc480035039"/>
      <w:r w:rsidRPr="000A65B0">
        <w:t>Conclusion</w:t>
      </w:r>
      <w:bookmarkEnd w:id="19"/>
    </w:p>
    <w:p w14:paraId="3088AEE7" w14:textId="470DF6E0" w:rsidR="00E221BB" w:rsidRDefault="00603DB2" w:rsidP="000A65B0">
      <w:pPr>
        <w:pStyle w:val="Noindent"/>
        <w:ind w:firstLine="720"/>
        <w:jc w:val="left"/>
      </w:pPr>
      <w:r>
        <w:t>This review categorized the factors of variation</w:t>
      </w:r>
      <w:r w:rsidR="000A65B0">
        <w:t>s</w:t>
      </w:r>
      <w:r>
        <w:t xml:space="preserve"> in EOL treatment </w:t>
      </w:r>
      <w:r w:rsidR="00F045CF">
        <w:t>intensity</w:t>
      </w:r>
      <w:r>
        <w:t xml:space="preserve"> and proposed policy and </w:t>
      </w:r>
      <w:r w:rsidR="00716744">
        <w:t xml:space="preserve">program interventions.  </w:t>
      </w:r>
      <w:r>
        <w:t xml:space="preserve">The review identified factors </w:t>
      </w:r>
      <w:r w:rsidRPr="00603DB2">
        <w:t>at the individual, interpersonal, community, institutional</w:t>
      </w:r>
      <w:r w:rsidR="00D6178B">
        <w:t>, and policy</w:t>
      </w:r>
      <w:r w:rsidRPr="00603DB2">
        <w:t xml:space="preserve"> level that</w:t>
      </w:r>
      <w:r w:rsidR="00286846">
        <w:t xml:space="preserve"> explain the variation.  </w:t>
      </w:r>
    </w:p>
    <w:p w14:paraId="3D49C38A" w14:textId="4A2B784A" w:rsidR="00603DB2" w:rsidRDefault="00603DB2" w:rsidP="000A65B0">
      <w:pPr>
        <w:pStyle w:val="Noindent"/>
        <w:ind w:firstLine="720"/>
        <w:jc w:val="left"/>
      </w:pPr>
      <w:r>
        <w:t xml:space="preserve">To respond to these factors, </w:t>
      </w:r>
      <w:r w:rsidR="000A65B0">
        <w:t>healthcare organizations and the bodies that oversee healthcare education programs should include curricula to</w:t>
      </w:r>
      <w:r w:rsidR="000A65B0" w:rsidRPr="000A65B0">
        <w:t xml:space="preserve"> increase the effective use of advanc</w:t>
      </w:r>
      <w:r w:rsidR="000A65B0">
        <w:t xml:space="preserve">e directives </w:t>
      </w:r>
      <w:r w:rsidR="00E221BB">
        <w:t>and POLST</w:t>
      </w:r>
      <w:r w:rsidR="00C92875">
        <w:t xml:space="preserve"> forms</w:t>
      </w:r>
      <w:r w:rsidR="000A65B0">
        <w:t xml:space="preserve">.  At the same time, healthcare organizations should deploy a </w:t>
      </w:r>
      <w:r w:rsidR="000A65B0" w:rsidRPr="000A65B0">
        <w:t xml:space="preserve">transformation strategy to affect the </w:t>
      </w:r>
      <w:r w:rsidR="000A65B0">
        <w:t xml:space="preserve">organizational culture and norms </w:t>
      </w:r>
      <w:r w:rsidR="00E221BB">
        <w:t xml:space="preserve">around </w:t>
      </w:r>
      <w:r w:rsidR="000A65B0">
        <w:t xml:space="preserve">EOL decision-making and treatment. </w:t>
      </w:r>
      <w:r w:rsidR="000A65B0" w:rsidRPr="000A65B0">
        <w:t xml:space="preserve"> </w:t>
      </w:r>
      <w:r w:rsidR="000A65B0">
        <w:t xml:space="preserve">This includes </w:t>
      </w:r>
      <w:r w:rsidR="000A65B0" w:rsidRPr="000A65B0">
        <w:t>leader</w:t>
      </w:r>
      <w:r w:rsidR="00FF7441">
        <w:t>ship support, tracking systems</w:t>
      </w:r>
      <w:r w:rsidR="000A65B0" w:rsidRPr="000A65B0">
        <w:t>, provider champions, and ongoing skill development.</w:t>
      </w:r>
      <w:r w:rsidR="000A65B0">
        <w:t xml:space="preserve"> </w:t>
      </w:r>
      <w:r w:rsidR="00E221BB">
        <w:t xml:space="preserve"> To support his work, policy</w:t>
      </w:r>
      <w:r w:rsidR="000A65B0">
        <w:t xml:space="preserve">makers </w:t>
      </w:r>
      <w:r w:rsidR="00716744">
        <w:t xml:space="preserve">should </w:t>
      </w:r>
      <w:r w:rsidR="000A65B0">
        <w:t>continue to transition from a payment system that rewards volume to a system that r</w:t>
      </w:r>
      <w:r w:rsidR="00E221BB">
        <w:t xml:space="preserve">ewards value.  </w:t>
      </w:r>
      <w:r>
        <w:t>This will move the healthcare system towards a system that is based</w:t>
      </w:r>
      <w:r w:rsidR="00050AC7">
        <w:t xml:space="preserve"> on</w:t>
      </w:r>
      <w:r>
        <w:t xml:space="preserve"> the goals, p</w:t>
      </w:r>
      <w:r w:rsidR="00286846">
        <w:t>references, and needs of</w:t>
      </w:r>
      <w:r>
        <w:t xml:space="preserve"> patients.</w:t>
      </w:r>
    </w:p>
    <w:p w14:paraId="51DF4CD7" w14:textId="77777777" w:rsidR="00DA5BA8" w:rsidRDefault="00DA5BA8" w:rsidP="00DA5BA8">
      <w:pPr>
        <w:pStyle w:val="Heading"/>
      </w:pPr>
      <w:bookmarkStart w:id="20" w:name="_Toc480035040"/>
      <w:r>
        <w:lastRenderedPageBreak/>
        <w:t>bibliography</w:t>
      </w:r>
      <w:bookmarkStart w:id="21" w:name="_GoBack"/>
      <w:bookmarkEnd w:id="20"/>
      <w:bookmarkEnd w:id="21"/>
    </w:p>
    <w:p w14:paraId="018AD9D7" w14:textId="77777777" w:rsidR="00284A05" w:rsidRPr="00284A05" w:rsidRDefault="00284A05" w:rsidP="00716744">
      <w:pPr>
        <w:pStyle w:val="BibliographyEntry"/>
        <w:jc w:val="left"/>
      </w:pPr>
      <w:r w:rsidRPr="00284A05">
        <w:rPr>
          <w:noProof/>
        </w:rPr>
        <w:t xml:space="preserve">Agency for Healthcare Research and Quality (AHRQ). (2014). </w:t>
      </w:r>
      <w:r w:rsidRPr="00284A05">
        <w:rPr>
          <w:i/>
          <w:iCs/>
          <w:noProof/>
        </w:rPr>
        <w:t>National Quality Measures Clearing House</w:t>
      </w:r>
      <w:r w:rsidRPr="00284A05">
        <w:rPr>
          <w:noProof/>
        </w:rPr>
        <w:t>. Retrieved from AHRQ Web Site: www.qualitymeasures.ahrq.gov</w:t>
      </w:r>
    </w:p>
    <w:p w14:paraId="46D3CD78" w14:textId="77777777" w:rsidR="00284A05" w:rsidRPr="00284A05" w:rsidRDefault="00284A05" w:rsidP="00716744">
      <w:pPr>
        <w:pStyle w:val="BibliographyEntry"/>
        <w:jc w:val="left"/>
      </w:pPr>
      <w:r w:rsidRPr="00284A05">
        <w:t xml:space="preserve">Angus, D. C., Barnato, A. E., Linde-Zwirble, W. T., Weissfeld, L. A., Watson, S., Rickert, T., &amp; Rubenfeld, G. D. (2004). Use of Intensive Care at the End of Life in the United States: An epidemiologic study. </w:t>
      </w:r>
      <w:r w:rsidRPr="00DB6B16">
        <w:rPr>
          <w:i/>
        </w:rPr>
        <w:t>Crit Care Med</w:t>
      </w:r>
      <w:r w:rsidRPr="00284A05">
        <w:t>, 32(3), 638-643.</w:t>
      </w:r>
    </w:p>
    <w:p w14:paraId="0F4D1724" w14:textId="471E730E" w:rsidR="00B109D2" w:rsidRDefault="00B109D2" w:rsidP="00716744">
      <w:pPr>
        <w:pStyle w:val="BibliographyEntry"/>
        <w:jc w:val="left"/>
      </w:pPr>
      <w:r>
        <w:t xml:space="preserve">Baker, L. C., Bundorf, M. K., Kessler, D. P. (2014). </w:t>
      </w:r>
      <w:r w:rsidRPr="00B109D2">
        <w:t>Patients' preferences explain a small but significant share of regional variation in Medicare spending.</w:t>
      </w:r>
      <w:r>
        <w:t xml:space="preserve"> </w:t>
      </w:r>
      <w:r w:rsidRPr="00B109D2">
        <w:rPr>
          <w:i/>
        </w:rPr>
        <w:t>Health Affairs</w:t>
      </w:r>
      <w:r>
        <w:t xml:space="preserve">, 33(6), </w:t>
      </w:r>
      <w:r w:rsidRPr="00B109D2">
        <w:t>957-63</w:t>
      </w:r>
      <w:r>
        <w:t>.</w:t>
      </w:r>
    </w:p>
    <w:p w14:paraId="467E4F8F" w14:textId="2A47607B" w:rsidR="00284A05" w:rsidRPr="00284A05" w:rsidRDefault="00284A05" w:rsidP="00716744">
      <w:pPr>
        <w:pStyle w:val="BibliographyEntry"/>
        <w:jc w:val="left"/>
      </w:pPr>
      <w:r w:rsidRPr="00284A05">
        <w:t xml:space="preserve">Barnato, A. E., Berhane, Z., Weissfeld, L. A., Chang, CC. H., Linde-Zwirble, W. T., &amp; Angus D. C.  (2006). Racial Variation in End-of-Life Intensive Care Use: A Race or Hospital Effect? </w:t>
      </w:r>
      <w:r w:rsidRPr="00DB6B16">
        <w:rPr>
          <w:i/>
        </w:rPr>
        <w:t>Health Services Research</w:t>
      </w:r>
      <w:r w:rsidRPr="00284A05">
        <w:t>, 41(6), 2219-2237.</w:t>
      </w:r>
    </w:p>
    <w:p w14:paraId="76BEF384" w14:textId="77777777" w:rsidR="00B553E1" w:rsidRPr="00284A05" w:rsidRDefault="00B553E1" w:rsidP="00716744">
      <w:pPr>
        <w:pStyle w:val="BibliographyEntry"/>
        <w:jc w:val="left"/>
      </w:pPr>
      <w:r w:rsidRPr="00284A05">
        <w:t>Barnato, A. E., Bost, J. E., Farrell, M. H., Lave, J. R., Arnold, R. M., Rubio, D. M., &amp; Angus, D. C. (2007</w:t>
      </w:r>
      <w:r w:rsidR="009022D7">
        <w:t>c</w:t>
      </w:r>
      <w:r w:rsidRPr="00284A05">
        <w:t xml:space="preserve">). Relationship between Staff Perceptions of Hospital Norms and Hospital-level End-of-life Treatment Intensity. </w:t>
      </w:r>
      <w:r w:rsidRPr="00DB6B16">
        <w:rPr>
          <w:i/>
        </w:rPr>
        <w:t>J Palliat Med</w:t>
      </w:r>
      <w:r w:rsidRPr="00284A05">
        <w:t>, 10(5), 1093–1100</w:t>
      </w:r>
    </w:p>
    <w:p w14:paraId="1691159A" w14:textId="77777777" w:rsidR="00284A05" w:rsidRPr="00284A05" w:rsidRDefault="00284A05" w:rsidP="00716744">
      <w:pPr>
        <w:pStyle w:val="BibliographyEntry"/>
        <w:jc w:val="left"/>
        <w:rPr>
          <w:noProof/>
        </w:rPr>
      </w:pPr>
      <w:r w:rsidRPr="00284A05">
        <w:rPr>
          <w:noProof/>
        </w:rPr>
        <w:t xml:space="preserve">Barnato, A. E., Chang, CC. H., Farrell, M. H., Lave, J. R., Roberts, M. R., &amp; Angus, D. C. (2010). Is Survival Better at Hospitals with Higher End-of-Life Treatmetn Instensity? </w:t>
      </w:r>
      <w:r w:rsidRPr="00DB6B16">
        <w:rPr>
          <w:i/>
          <w:noProof/>
        </w:rPr>
        <w:t>Med Care</w:t>
      </w:r>
      <w:r w:rsidRPr="00284A05">
        <w:rPr>
          <w:noProof/>
        </w:rPr>
        <w:t>, 48(2), 125-132.</w:t>
      </w:r>
    </w:p>
    <w:p w14:paraId="56F67828" w14:textId="77777777" w:rsidR="00284A05" w:rsidRPr="00284A05" w:rsidRDefault="00284A05" w:rsidP="00716744">
      <w:pPr>
        <w:pStyle w:val="BibliographyEntry"/>
        <w:jc w:val="left"/>
      </w:pPr>
      <w:r w:rsidRPr="00284A05">
        <w:t>Barnato, A. E., Chang, CC. H., Saynina, O., &amp; Garber, A. M. (2007</w:t>
      </w:r>
      <w:r w:rsidR="009022D7">
        <w:t>b</w:t>
      </w:r>
      <w:r w:rsidRPr="00284A05">
        <w:t xml:space="preserve">). Influence of Race on Inpatient Treatment Intensity at the End of Life. </w:t>
      </w:r>
      <w:r w:rsidRPr="00DB6B16">
        <w:rPr>
          <w:i/>
        </w:rPr>
        <w:t>J Gen Intern Med</w:t>
      </w:r>
      <w:r w:rsidRPr="00284A05">
        <w:t>, 22(3), 338-45.</w:t>
      </w:r>
    </w:p>
    <w:p w14:paraId="486C6DBF" w14:textId="77777777" w:rsidR="00284A05" w:rsidRDefault="00284A05" w:rsidP="00716744">
      <w:pPr>
        <w:pStyle w:val="BibliographyEntry"/>
        <w:jc w:val="left"/>
        <w:rPr>
          <w:noProof/>
        </w:rPr>
      </w:pPr>
      <w:r w:rsidRPr="00284A05">
        <w:rPr>
          <w:noProof/>
        </w:rPr>
        <w:t>Barnato, A. E., Herndon, M. B., Anthony, D. L., Gallagher, P. M., Skinner, J. S., Bynum, J. PW., &amp; Fisher, E. S. (2007</w:t>
      </w:r>
      <w:r w:rsidR="009022D7">
        <w:rPr>
          <w:noProof/>
        </w:rPr>
        <w:t>a</w:t>
      </w:r>
      <w:r w:rsidRPr="00284A05">
        <w:rPr>
          <w:noProof/>
        </w:rPr>
        <w:t xml:space="preserve">). Are Regional Variations in End-of-Life Care Intensity Explained by Patient Preferences?: A Study of the US Medicare Population. </w:t>
      </w:r>
      <w:r w:rsidRPr="00DB6B16">
        <w:rPr>
          <w:i/>
          <w:noProof/>
        </w:rPr>
        <w:t>Med Care</w:t>
      </w:r>
      <w:r w:rsidRPr="00284A05">
        <w:rPr>
          <w:noProof/>
        </w:rPr>
        <w:t>, 45(5), 286-393.</w:t>
      </w:r>
    </w:p>
    <w:p w14:paraId="42570CC1" w14:textId="7B715811" w:rsidR="00AA6003" w:rsidRDefault="00AA6003" w:rsidP="00AA6003">
      <w:pPr>
        <w:pStyle w:val="BibliographyEntry"/>
        <w:jc w:val="left"/>
      </w:pPr>
      <w:r>
        <w:t xml:space="preserve">Barnato, A. E., Mohan, D., Lane, R. K., Huang, Y. M., Angus, D. C., Farris, C., Arnold, R. M. (2014). Advance care planning norms may contribute to hospital variation in end-of-life ICU use: a simulation study. </w:t>
      </w:r>
      <w:r w:rsidRPr="00AA6003">
        <w:rPr>
          <w:i/>
        </w:rPr>
        <w:t>Medical Decision Making</w:t>
      </w:r>
      <w:r>
        <w:t>, 34(4), 473-84.</w:t>
      </w:r>
    </w:p>
    <w:p w14:paraId="55207925" w14:textId="77777777" w:rsidR="00633708" w:rsidRDefault="009022D7" w:rsidP="00633708">
      <w:pPr>
        <w:pStyle w:val="BibliographyEntry"/>
        <w:jc w:val="left"/>
      </w:pPr>
      <w:r>
        <w:lastRenderedPageBreak/>
        <w:t>Barnett</w:t>
      </w:r>
      <w:r w:rsidRPr="00284A05">
        <w:t xml:space="preserve">, M. L., Christakis, N. A., O’Malley, J., Onnela, JP., Keating, N. L., &amp; Landon, B. E. (2012). Physician Patient-sharing Networks and the Cost and Intensity of Care in US Hospitals. </w:t>
      </w:r>
      <w:r w:rsidRPr="00DB6B16">
        <w:rPr>
          <w:i/>
        </w:rPr>
        <w:t>Med Care</w:t>
      </w:r>
      <w:r w:rsidRPr="00284A05">
        <w:t>, 50(2), 152-160</w:t>
      </w:r>
      <w:r w:rsidR="00633708">
        <w:t>.</w:t>
      </w:r>
    </w:p>
    <w:p w14:paraId="6BC93BBF" w14:textId="59D474A7" w:rsidR="001676CB" w:rsidRDefault="001676CB" w:rsidP="00633708">
      <w:pPr>
        <w:pStyle w:val="BibliographyEntry"/>
        <w:jc w:val="left"/>
      </w:pPr>
      <w:r w:rsidRPr="001676CB">
        <w:t>Centers for Medicare &amp; Medicaid Services (CMS). (2014, September 16). Fact Sheets: Medicare ACOs continue to succeed in improving care, lowering cost growth. Retrieved from CMS Newsroom: http://www.cms.gov/Newsroom/MediaReleaseDatabase/Fact-sheets/2014-Fact-sheets-items/2014-09-16.html</w:t>
      </w:r>
    </w:p>
    <w:p w14:paraId="1DADC9D2" w14:textId="549A60F2" w:rsidR="002B6285" w:rsidRDefault="002B6285" w:rsidP="00716744">
      <w:pPr>
        <w:pStyle w:val="BibliographyEntry"/>
        <w:jc w:val="left"/>
        <w:rPr>
          <w:noProof/>
        </w:rPr>
      </w:pPr>
      <w:r>
        <w:rPr>
          <w:noProof/>
        </w:rPr>
        <w:t xml:space="preserve">CMS Medicare Learning Network. (Agusut 2016). </w:t>
      </w:r>
      <w:r w:rsidRPr="002B6285">
        <w:rPr>
          <w:i/>
          <w:noProof/>
        </w:rPr>
        <w:t>Advance Care Planning.</w:t>
      </w:r>
      <w:r>
        <w:rPr>
          <w:noProof/>
        </w:rPr>
        <w:t xml:space="preserve"> Accessed on March 20, 2017. Available at  </w:t>
      </w:r>
      <w:r w:rsidRPr="002B6285">
        <w:rPr>
          <w:noProof/>
        </w:rPr>
        <w:t>https://www.cms.gov/Outreach-and-Education/Medicare-Learning-Network-MLN/MLNProducts/Downloads/AdvanceCarePlanning.pdf</w:t>
      </w:r>
    </w:p>
    <w:p w14:paraId="413B3745" w14:textId="11E9C7F4" w:rsidR="00A746CF" w:rsidRDefault="00A746CF" w:rsidP="00716744">
      <w:pPr>
        <w:pStyle w:val="BibliographyEntry"/>
        <w:jc w:val="left"/>
        <w:rPr>
          <w:noProof/>
        </w:rPr>
      </w:pPr>
      <w:r>
        <w:rPr>
          <w:noProof/>
        </w:rPr>
        <w:t xml:space="preserve">Cher, D. J., Lenert, L. A. (1997). </w:t>
      </w:r>
      <w:r w:rsidRPr="00A746CF">
        <w:rPr>
          <w:noProof/>
        </w:rPr>
        <w:t>Method of Medicare reimbursement and the rate of potentially ineffective care of critically ill patients.</w:t>
      </w:r>
      <w:r>
        <w:rPr>
          <w:noProof/>
        </w:rPr>
        <w:t xml:space="preserve"> </w:t>
      </w:r>
      <w:r w:rsidRPr="00A746CF">
        <w:rPr>
          <w:i/>
          <w:noProof/>
        </w:rPr>
        <w:t>JAMA</w:t>
      </w:r>
      <w:r>
        <w:rPr>
          <w:noProof/>
        </w:rPr>
        <w:t xml:space="preserve">, 278(12), </w:t>
      </w:r>
      <w:r w:rsidRPr="00A746CF">
        <w:rPr>
          <w:noProof/>
        </w:rPr>
        <w:t>1001-7.</w:t>
      </w:r>
    </w:p>
    <w:p w14:paraId="602F704A" w14:textId="5F7C5E51" w:rsidR="00284A05" w:rsidRPr="00284A05" w:rsidRDefault="00284A05" w:rsidP="00716744">
      <w:pPr>
        <w:pStyle w:val="BibliographyEntry"/>
        <w:jc w:val="left"/>
        <w:rPr>
          <w:noProof/>
        </w:rPr>
      </w:pPr>
      <w:r w:rsidRPr="00284A05">
        <w:rPr>
          <w:noProof/>
        </w:rPr>
        <w:t xml:space="preserve">Fisher, E. S., Wennberg, D. E., Stukel, T. A., Gottlieb, D. J., Lucas, F. L, &amp; Pinder, E. L. (2003). The Implications of Regional Variations in Medicare Spending: Part 2: Health Outcomes and Satisfaction with Care. </w:t>
      </w:r>
      <w:r w:rsidRPr="00DB6B16">
        <w:rPr>
          <w:i/>
          <w:noProof/>
        </w:rPr>
        <w:t>Ann Intern Med</w:t>
      </w:r>
      <w:r w:rsidRPr="00284A05">
        <w:rPr>
          <w:noProof/>
        </w:rPr>
        <w:t>, 138(4), 288-298.</w:t>
      </w:r>
    </w:p>
    <w:p w14:paraId="16E8DA63" w14:textId="5A81C37D" w:rsidR="00CC446F" w:rsidRDefault="00CC446F" w:rsidP="00CC446F">
      <w:pPr>
        <w:pStyle w:val="BibliographyEntry"/>
        <w:jc w:val="left"/>
      </w:pPr>
      <w:r>
        <w:t xml:space="preserve">Fixsen, D. L., Naoom, S. F., Blase, K. A., Friedman, R. M., Wallace, F. (2005). Implementation Research: A Synthesis of the Literature. Tampa, FL: University of South Florida, Louis de la Parte Florida Mental Health Institute, The National Implementation Research Network (FMHI Publication #231). </w:t>
      </w:r>
    </w:p>
    <w:p w14:paraId="16F3AE5D" w14:textId="77777777" w:rsidR="00284A05" w:rsidRPr="00284A05" w:rsidRDefault="00284A05" w:rsidP="00716744">
      <w:pPr>
        <w:pStyle w:val="BibliographyEntry"/>
        <w:jc w:val="left"/>
      </w:pPr>
      <w:r w:rsidRPr="00284A05">
        <w:t xml:space="preserve">Folland, S., Goodman, A. C., &amp; Stano, M. (2012). </w:t>
      </w:r>
      <w:r w:rsidRPr="00284A05">
        <w:rPr>
          <w:i/>
        </w:rPr>
        <w:t xml:space="preserve">The Economics of Health and Health Care: Seventh Edition. </w:t>
      </w:r>
      <w:r w:rsidRPr="00284A05">
        <w:t xml:space="preserve">Boston: Pearson. </w:t>
      </w:r>
    </w:p>
    <w:p w14:paraId="1D74EA59" w14:textId="77777777" w:rsidR="007E51D2" w:rsidRDefault="007E51D2" w:rsidP="00716744">
      <w:pPr>
        <w:pStyle w:val="BibliographyEntry"/>
        <w:jc w:val="left"/>
        <w:rPr>
          <w:noProof/>
        </w:rPr>
      </w:pPr>
      <w:r>
        <w:rPr>
          <w:noProof/>
        </w:rPr>
        <w:t xml:space="preserve">Glanz, K., &amp; Bishop, D. B. (2010). The Role of Behavioral Science Theory in Development and Implementation of Public Health Interventions. </w:t>
      </w:r>
      <w:r w:rsidRPr="007E51D2">
        <w:rPr>
          <w:i/>
          <w:noProof/>
        </w:rPr>
        <w:t>Annu Rev Public Health</w:t>
      </w:r>
      <w:r>
        <w:rPr>
          <w:noProof/>
        </w:rPr>
        <w:t>, 31, 399-418.</w:t>
      </w:r>
    </w:p>
    <w:p w14:paraId="294F1387" w14:textId="77777777" w:rsidR="007E51D2" w:rsidRDefault="00284A05" w:rsidP="00716744">
      <w:pPr>
        <w:pStyle w:val="BibliographyEntry"/>
        <w:jc w:val="left"/>
        <w:rPr>
          <w:noProof/>
        </w:rPr>
      </w:pPr>
      <w:r w:rsidRPr="00284A05">
        <w:rPr>
          <w:noProof/>
        </w:rPr>
        <w:t xml:space="preserve">Goodman, D. C., Esty, A. R., Fischer, E. S., &amp; Chang, C.-H. (2011). </w:t>
      </w:r>
      <w:r w:rsidRPr="00284A05">
        <w:rPr>
          <w:i/>
          <w:iCs/>
          <w:noProof/>
        </w:rPr>
        <w:t>Trends and Variation in End-of-Life Care for Medicare Beneficiaries with Severe Chronic Illness.</w:t>
      </w:r>
      <w:r w:rsidRPr="00284A05">
        <w:rPr>
          <w:noProof/>
        </w:rPr>
        <w:t xml:space="preserve"> Hanover: The Dartmouth Institute for Health Policy &amp; Clinical Practice.</w:t>
      </w:r>
    </w:p>
    <w:p w14:paraId="32B16983" w14:textId="20B81FAD" w:rsidR="00AA6003" w:rsidRDefault="00AA6003" w:rsidP="00AA6003">
      <w:pPr>
        <w:pStyle w:val="BibliographyEntry"/>
        <w:jc w:val="left"/>
      </w:pPr>
      <w:r>
        <w:t xml:space="preserve">Hart J. L., Harhay, M. O., Gabler, N. B., Ratcliffe, S. J., Quill, C. M., Halpern, S. D. (2015). Variability Among US Intensive Care Units in Managing the Care of Patients Admitted With Preexisting Limits on Life-Sustaining Therapies. </w:t>
      </w:r>
      <w:r w:rsidRPr="00AD77BE">
        <w:rPr>
          <w:i/>
        </w:rPr>
        <w:t>JAMA Internal Medicine</w:t>
      </w:r>
      <w:r>
        <w:t>, 175(6), 1019-26.</w:t>
      </w:r>
    </w:p>
    <w:p w14:paraId="72D61556" w14:textId="468C204E" w:rsidR="0056631C" w:rsidRDefault="0056631C" w:rsidP="00716744">
      <w:pPr>
        <w:pStyle w:val="BibliographyEntry"/>
        <w:jc w:val="left"/>
      </w:pPr>
      <w:r>
        <w:t>Hickman, S. E.</w:t>
      </w:r>
      <w:r w:rsidRPr="0056631C">
        <w:t>, Nelson</w:t>
      </w:r>
      <w:r>
        <w:t>,</w:t>
      </w:r>
      <w:r w:rsidRPr="0056631C">
        <w:t xml:space="preserve"> C</w:t>
      </w:r>
      <w:r>
        <w:t xml:space="preserve">. </w:t>
      </w:r>
      <w:r w:rsidRPr="0056631C">
        <w:t>A</w:t>
      </w:r>
      <w:r>
        <w:t>.</w:t>
      </w:r>
      <w:r w:rsidRPr="0056631C">
        <w:t>, Perrin</w:t>
      </w:r>
      <w:r>
        <w:t>,</w:t>
      </w:r>
      <w:r w:rsidRPr="0056631C">
        <w:t xml:space="preserve"> N</w:t>
      </w:r>
      <w:r>
        <w:t xml:space="preserve">. </w:t>
      </w:r>
      <w:r w:rsidRPr="0056631C">
        <w:t>A</w:t>
      </w:r>
      <w:r>
        <w:t>.</w:t>
      </w:r>
      <w:r w:rsidRPr="0056631C">
        <w:t>, Moss</w:t>
      </w:r>
      <w:r>
        <w:t>,</w:t>
      </w:r>
      <w:r w:rsidRPr="0056631C">
        <w:t xml:space="preserve"> A</w:t>
      </w:r>
      <w:r>
        <w:t xml:space="preserve">. </w:t>
      </w:r>
      <w:r w:rsidRPr="0056631C">
        <w:t>H</w:t>
      </w:r>
      <w:r>
        <w:t>.</w:t>
      </w:r>
      <w:r w:rsidRPr="0056631C">
        <w:t>, Hammes</w:t>
      </w:r>
      <w:r>
        <w:t>,</w:t>
      </w:r>
      <w:r w:rsidRPr="0056631C">
        <w:t xml:space="preserve"> B</w:t>
      </w:r>
      <w:r>
        <w:t xml:space="preserve">. </w:t>
      </w:r>
      <w:r w:rsidRPr="0056631C">
        <w:t>J</w:t>
      </w:r>
      <w:r>
        <w:t>.</w:t>
      </w:r>
      <w:r w:rsidRPr="0056631C">
        <w:t>, Tolle</w:t>
      </w:r>
      <w:r>
        <w:t>,</w:t>
      </w:r>
      <w:r w:rsidRPr="0056631C">
        <w:t xml:space="preserve"> S</w:t>
      </w:r>
      <w:r>
        <w:t xml:space="preserve">. W. (2010). </w:t>
      </w:r>
      <w:r w:rsidRPr="0056631C">
        <w:t>A comparison of methods to communicate treatment preferences in nursing facilities: traditional practices versus the physician orders for life-sustaining treatment program.</w:t>
      </w:r>
      <w:r w:rsidRPr="00050AC7">
        <w:rPr>
          <w:i/>
        </w:rPr>
        <w:t xml:space="preserve"> J Am Geriatr Soc</w:t>
      </w:r>
      <w:r>
        <w:t xml:space="preserve">, 58, 7, </w:t>
      </w:r>
      <w:r w:rsidRPr="0056631C">
        <w:t>1241-8</w:t>
      </w:r>
      <w:r w:rsidR="00633708">
        <w:t>.</w:t>
      </w:r>
    </w:p>
    <w:p w14:paraId="3D09FB69" w14:textId="61C926D0" w:rsidR="001676CB" w:rsidRDefault="001676CB" w:rsidP="00716744">
      <w:pPr>
        <w:pStyle w:val="BibliographyEntry"/>
        <w:jc w:val="left"/>
      </w:pPr>
      <w:r w:rsidRPr="001676CB">
        <w:t>Hoangmai , P. H., Cohen, M., &amp; Conway, P. H. (2014). The Pioneer Accountable Care Organization Model. JAMA, 312(16), 1635-1636.</w:t>
      </w:r>
    </w:p>
    <w:p w14:paraId="59ACE88D" w14:textId="77777777" w:rsidR="00EF3C10" w:rsidRPr="00284A05" w:rsidRDefault="00EF3C10" w:rsidP="00716744">
      <w:pPr>
        <w:pStyle w:val="BibliographyEntry"/>
        <w:jc w:val="left"/>
      </w:pPr>
      <w:r w:rsidRPr="00284A05">
        <w:lastRenderedPageBreak/>
        <w:t xml:space="preserve">Hogan, D., Lunney, J., Gabel, J., &amp; Lynn, J. (2001). Medicare Beneficiaries’ Costs of Care in the Last Year of Life. </w:t>
      </w:r>
      <w:r w:rsidRPr="00DB6B16">
        <w:rPr>
          <w:i/>
        </w:rPr>
        <w:t>Health Affairs</w:t>
      </w:r>
      <w:r w:rsidRPr="00284A05">
        <w:t>, 20(4), 188-195.</w:t>
      </w:r>
    </w:p>
    <w:p w14:paraId="2200F992" w14:textId="28382EA0" w:rsidR="00955F7D" w:rsidRDefault="00955F7D" w:rsidP="00716744">
      <w:pPr>
        <w:pStyle w:val="BibliographyEntry"/>
        <w:jc w:val="left"/>
      </w:pPr>
      <w:r>
        <w:t>Houben, C. H., Spruit, M. A., Groenen, M. T., Wouters, E. F., Janssen, D. J</w:t>
      </w:r>
      <w:r w:rsidRPr="00955F7D">
        <w:t>.</w:t>
      </w:r>
      <w:r>
        <w:t xml:space="preserve"> (2014). </w:t>
      </w:r>
      <w:r w:rsidRPr="00955F7D">
        <w:t>Efficacy of advance care planning: a systematic review and meta-analysis.</w:t>
      </w:r>
      <w:r>
        <w:t xml:space="preserve"> </w:t>
      </w:r>
      <w:r w:rsidRPr="00050AC7">
        <w:rPr>
          <w:i/>
        </w:rPr>
        <w:t>J Am Med Dir Assoc</w:t>
      </w:r>
      <w:r>
        <w:t xml:space="preserve">, 15, </w:t>
      </w:r>
      <w:r w:rsidRPr="00955F7D">
        <w:t xml:space="preserve">477-89. </w:t>
      </w:r>
    </w:p>
    <w:p w14:paraId="29437388" w14:textId="77777777" w:rsidR="00CD45BC" w:rsidRPr="00284A05" w:rsidRDefault="00CD45BC" w:rsidP="00716744">
      <w:pPr>
        <w:pStyle w:val="BibliographyEntry"/>
        <w:jc w:val="left"/>
      </w:pPr>
      <w:r w:rsidRPr="00284A05">
        <w:t xml:space="preserve">Kaplan R. M. (2011). Variation between End-of-Life Health Care Costs in Los Angeles and San Diego: Why Are They So Different? </w:t>
      </w:r>
      <w:r w:rsidRPr="00DB6B16">
        <w:rPr>
          <w:i/>
        </w:rPr>
        <w:t>J Pall Med</w:t>
      </w:r>
      <w:r w:rsidRPr="00284A05">
        <w:t>, 14(2), 215-220.</w:t>
      </w:r>
    </w:p>
    <w:p w14:paraId="0595D6F1" w14:textId="1A09B9FE" w:rsidR="00200875" w:rsidRDefault="00200875" w:rsidP="00200875">
      <w:pPr>
        <w:pStyle w:val="BibliographyEntry"/>
        <w:jc w:val="left"/>
      </w:pPr>
      <w:r>
        <w:t xml:space="preserve">Kelley, A. S., Ettner, S. L., Morrison, R.S., Du, Q., Wenger, N.S., Sarkisian, C.A. (2011). </w:t>
      </w:r>
      <w:r w:rsidRPr="00200875">
        <w:t>Determinants of medical expenditures in the last 6 months of life.</w:t>
      </w:r>
      <w:r>
        <w:t xml:space="preserve"> </w:t>
      </w:r>
      <w:r w:rsidRPr="00200875">
        <w:t>A</w:t>
      </w:r>
      <w:r w:rsidRPr="00200875">
        <w:rPr>
          <w:i/>
        </w:rPr>
        <w:t>nn Intern Med</w:t>
      </w:r>
      <w:r>
        <w:t xml:space="preserve">, 154(4), </w:t>
      </w:r>
      <w:r w:rsidRPr="00200875">
        <w:t>235-42</w:t>
      </w:r>
      <w:r>
        <w:t>.</w:t>
      </w:r>
    </w:p>
    <w:p w14:paraId="36D2A84A" w14:textId="1E41EAD6" w:rsidR="00A3000B" w:rsidRDefault="00A3000B" w:rsidP="00A3000B">
      <w:pPr>
        <w:pStyle w:val="BibliographyEntry"/>
        <w:jc w:val="left"/>
      </w:pPr>
      <w:r w:rsidRPr="00A3000B">
        <w:t>Kongstvedt, P. R. (2013). Essentials of Managed Health Care (Sixth Edition): Chapter 5: Provider Payment. Burlington, MA: Jones and Bartlett Learning, LLC.</w:t>
      </w:r>
    </w:p>
    <w:p w14:paraId="139ADB10" w14:textId="77777777" w:rsidR="00A3000B" w:rsidRDefault="00A3000B" w:rsidP="00A3000B">
      <w:pPr>
        <w:pStyle w:val="BibliographyEntry"/>
        <w:jc w:val="left"/>
      </w:pPr>
      <w:r>
        <w:t xml:space="preserve">Krumholz, H. M. (2013). Post-Hospital Syndrome—An Acquired, Transient Condition of Generalized Risk. </w:t>
      </w:r>
      <w:r w:rsidRPr="00817139">
        <w:rPr>
          <w:i/>
        </w:rPr>
        <w:t>NEJM</w:t>
      </w:r>
      <w:r>
        <w:t>, 368, 100-102.</w:t>
      </w:r>
    </w:p>
    <w:p w14:paraId="48178B94" w14:textId="62C39E1E" w:rsidR="00200875" w:rsidRDefault="00200875" w:rsidP="00200875">
      <w:pPr>
        <w:pStyle w:val="BibliographyEntry"/>
        <w:jc w:val="left"/>
      </w:pPr>
      <w:r w:rsidRPr="00284A05">
        <w:t xml:space="preserve">Kwok, A. C., Semel, M. E., Lipsitz, S. R., Bader, A. M., Barnato, A. E., Gawande, A. A., &amp; Jha, A. K. (2011). The Intensity and Variation of Surgical Care at the End of Life: A Retrospective Cohort Study. </w:t>
      </w:r>
      <w:r w:rsidRPr="00DB6B16">
        <w:rPr>
          <w:i/>
        </w:rPr>
        <w:t>Lancet</w:t>
      </w:r>
      <w:r w:rsidRPr="00284A05">
        <w:t>, 3</w:t>
      </w:r>
      <w:r>
        <w:t>78, 1408-13.</w:t>
      </w:r>
    </w:p>
    <w:p w14:paraId="68BD6F43" w14:textId="77777777" w:rsidR="006920DD" w:rsidRDefault="00284A05" w:rsidP="006920DD">
      <w:pPr>
        <w:pStyle w:val="BibliographyEntry"/>
        <w:jc w:val="left"/>
      </w:pPr>
      <w:r w:rsidRPr="00284A05">
        <w:t xml:space="preserve">Lin, C. Y., Farrell, M. H., Lave, J. R., Angus, D. C., &amp; Barnato, A. E. (2009). Organizational Determinants of Hospital End-of-Life Treatment Intensity. </w:t>
      </w:r>
      <w:r w:rsidRPr="00DB6B16">
        <w:rPr>
          <w:i/>
        </w:rPr>
        <w:t>Med Care</w:t>
      </w:r>
      <w:r w:rsidRPr="00284A05">
        <w:t>, 47(5), 524-530.</w:t>
      </w:r>
    </w:p>
    <w:p w14:paraId="56965C9D" w14:textId="4662530D" w:rsidR="005D0331" w:rsidRDefault="005D0331" w:rsidP="006920DD">
      <w:pPr>
        <w:pStyle w:val="BibliographyEntry"/>
        <w:jc w:val="left"/>
      </w:pPr>
      <w:r>
        <w:t xml:space="preserve">Mark, N. M., Rayner, S. G., Lee, N. J., Curtis J. R. (2015). </w:t>
      </w:r>
      <w:r w:rsidRPr="005D0331">
        <w:t>Global variability in withholding and withdrawal of life-sustaining treatment in the intensive care unit: a systematic review.</w:t>
      </w:r>
      <w:r w:rsidR="006920DD">
        <w:t xml:space="preserve"> </w:t>
      </w:r>
      <w:r w:rsidR="006920DD" w:rsidRPr="006920DD">
        <w:rPr>
          <w:i/>
        </w:rPr>
        <w:t>Intensive Care Med</w:t>
      </w:r>
      <w:r w:rsidR="006920DD">
        <w:t xml:space="preserve">, 41(9), </w:t>
      </w:r>
      <w:r w:rsidR="006920DD" w:rsidRPr="006920DD">
        <w:t>1572-85</w:t>
      </w:r>
      <w:r w:rsidR="006920DD">
        <w:t>.</w:t>
      </w:r>
    </w:p>
    <w:p w14:paraId="005710CD" w14:textId="6524A08C" w:rsidR="00AA6003" w:rsidRDefault="00AA6003" w:rsidP="00AA6003">
      <w:pPr>
        <w:pStyle w:val="BibliographyEntry"/>
        <w:jc w:val="left"/>
      </w:pPr>
      <w:r>
        <w:t xml:space="preserve">Miesfeldt, S., Murray, K., Lucas, L., Chang, C. H., Goodman, D., Morden, N. E. (2012). Association of age, gender, and race with intensity of end-of-life care for Medicare beneficiaries with cancer. </w:t>
      </w:r>
      <w:r w:rsidRPr="00AA6003">
        <w:rPr>
          <w:i/>
        </w:rPr>
        <w:t>Journal of Palliative Medicine</w:t>
      </w:r>
      <w:r>
        <w:t xml:space="preserve">, 15(5), 548-54. </w:t>
      </w:r>
    </w:p>
    <w:p w14:paraId="0231106E" w14:textId="78BF748B" w:rsidR="00200875" w:rsidRDefault="00200875" w:rsidP="00AA6003">
      <w:pPr>
        <w:pStyle w:val="BibliographyEntry"/>
        <w:jc w:val="left"/>
      </w:pPr>
      <w:r>
        <w:t>National Academy of Sciences. (</w:t>
      </w:r>
      <w:r w:rsidR="00BC19D3">
        <w:t>2015</w:t>
      </w:r>
      <w:r>
        <w:t xml:space="preserve">). </w:t>
      </w:r>
      <w:r w:rsidRPr="00207113">
        <w:rPr>
          <w:i/>
        </w:rPr>
        <w:t>Dying in America: Improving Quality and Honoring Individual Preferences Near the End of Life</w:t>
      </w:r>
      <w:r>
        <w:t xml:space="preserve">. Washington, DC: The National Academies Press. </w:t>
      </w:r>
    </w:p>
    <w:p w14:paraId="4D145B5E" w14:textId="4BB14A48" w:rsidR="00050AC7" w:rsidRDefault="00050AC7" w:rsidP="00AA6003">
      <w:pPr>
        <w:pStyle w:val="BibliographyEntry"/>
        <w:jc w:val="left"/>
      </w:pPr>
      <w:r>
        <w:t>National Academy of Sciences. (2013). Variation in Health Care Spending: Target Decision Making, Not Geography. Washington, DC: The National Academies Press.</w:t>
      </w:r>
    </w:p>
    <w:p w14:paraId="27FC064A" w14:textId="6EC26534" w:rsidR="00AA6003" w:rsidRDefault="00AA6003" w:rsidP="00AA6003">
      <w:pPr>
        <w:pStyle w:val="BibliographyEntry"/>
        <w:jc w:val="left"/>
      </w:pPr>
      <w:r w:rsidRPr="00194AC7">
        <w:t>Nicholas</w:t>
      </w:r>
      <w:r>
        <w:t>, L. H.,</w:t>
      </w:r>
      <w:r w:rsidRPr="00194AC7">
        <w:t xml:space="preserve"> Langa, </w:t>
      </w:r>
      <w:r>
        <w:t>K. M., I</w:t>
      </w:r>
      <w:r w:rsidRPr="00194AC7">
        <w:t xml:space="preserve">washyna, </w:t>
      </w:r>
      <w:r>
        <w:t xml:space="preserve">T. J., Weir, D. R. (2011). </w:t>
      </w:r>
      <w:r w:rsidRPr="00194AC7">
        <w:t>Regional Variation in the Association Between Advance Directives and End-of-Life Medicare Expenditures</w:t>
      </w:r>
      <w:r>
        <w:t xml:space="preserve">. </w:t>
      </w:r>
      <w:r w:rsidRPr="00AD77BE">
        <w:rPr>
          <w:i/>
        </w:rPr>
        <w:t>JAMA</w:t>
      </w:r>
      <w:r>
        <w:t xml:space="preserve">, 306(13), 1447-1453. </w:t>
      </w:r>
    </w:p>
    <w:p w14:paraId="396083D2" w14:textId="77777777" w:rsidR="00633708" w:rsidRDefault="008A0AD4" w:rsidP="00633708">
      <w:pPr>
        <w:pStyle w:val="BibliographyEntry"/>
        <w:jc w:val="left"/>
      </w:pPr>
      <w:r w:rsidRPr="00284A05">
        <w:t xml:space="preserve">Pritchard, R. S., Fisher E. S., Teno, J. M., Sharp, S. M., Reding, D. J., Knaus, W. A., Wennberg, J. E., &amp; Lynn J. (1998). Influence of Patient Preferences and Local Health System </w:t>
      </w:r>
      <w:r w:rsidRPr="00284A05">
        <w:lastRenderedPageBreak/>
        <w:t xml:space="preserve">Characteristics on the Place of Death: SUPPORT Investigators, Study to Understand Prognoses and Preferences for Risks and Outcomes of Treatment. </w:t>
      </w:r>
      <w:r w:rsidRPr="00DB6B16">
        <w:rPr>
          <w:i/>
        </w:rPr>
        <w:t>J Am Geriatr Soc</w:t>
      </w:r>
      <w:r w:rsidRPr="00284A05">
        <w:t>, 46(10), 1242-50.</w:t>
      </w:r>
    </w:p>
    <w:p w14:paraId="29203BD3" w14:textId="77777777" w:rsidR="00633708" w:rsidRDefault="00457000" w:rsidP="00633708">
      <w:pPr>
        <w:pStyle w:val="BibliographyEntry"/>
        <w:jc w:val="left"/>
      </w:pPr>
      <w:r>
        <w:t xml:space="preserve">Smith, S., A. Brick, S., O’Hara, &amp; C. Normand. (2014). Evidence on the cost and cost-effectiveness of palliative care: a literature review. </w:t>
      </w:r>
      <w:r w:rsidRPr="00050AC7">
        <w:rPr>
          <w:i/>
        </w:rPr>
        <w:t>Palliative Medicine</w:t>
      </w:r>
      <w:r>
        <w:t>, 28, 130-150.</w:t>
      </w:r>
    </w:p>
    <w:p w14:paraId="15852AFC" w14:textId="77777777" w:rsidR="00633708" w:rsidRDefault="00AA6003" w:rsidP="00633708">
      <w:pPr>
        <w:pStyle w:val="BibliographyEntry"/>
        <w:jc w:val="left"/>
      </w:pPr>
      <w:r>
        <w:t xml:space="preserve">Smith, A. K., Earle, C. C., McCarthy, E. P. (2009). Racial and ethnic differences in end-of-life care in fee-for-service Medicare beneficiaries with advanced cancer. </w:t>
      </w:r>
      <w:r w:rsidRPr="00AA6003">
        <w:rPr>
          <w:i/>
        </w:rPr>
        <w:t>Journal of the American Geriatrics Society</w:t>
      </w:r>
      <w:r>
        <w:t>, 57(1), 153-8.</w:t>
      </w:r>
    </w:p>
    <w:p w14:paraId="1601D8EC" w14:textId="77777777" w:rsidR="00633708" w:rsidRDefault="00284A05" w:rsidP="00633708">
      <w:pPr>
        <w:pStyle w:val="BibliographyEntry"/>
        <w:jc w:val="left"/>
      </w:pPr>
      <w:r w:rsidRPr="00284A05">
        <w:t xml:space="preserve">Teno, J. M., Mitchell, S. L., Gozalo, P. L., Dosa, D., Hsu, A., Intrator, O., &amp; Mor, V. (2010). Hospital </w:t>
      </w:r>
      <w:r w:rsidR="006E72ED" w:rsidRPr="00284A05">
        <w:t>Characteristics</w:t>
      </w:r>
      <w:r w:rsidRPr="00284A05">
        <w:t xml:space="preserve"> Associated with Feeding Tube Placement in Nursing Home Residents with Advanced Cognitive Impairment. </w:t>
      </w:r>
      <w:r w:rsidRPr="00DB6B16">
        <w:rPr>
          <w:i/>
        </w:rPr>
        <w:t>JAMA</w:t>
      </w:r>
      <w:r w:rsidRPr="00284A05">
        <w:t>, 30</w:t>
      </w:r>
      <w:r w:rsidR="00633708">
        <w:t>3(6), 544-550.</w:t>
      </w:r>
    </w:p>
    <w:p w14:paraId="6A0DE1F8" w14:textId="77777777" w:rsidR="00633708" w:rsidRDefault="00284A05" w:rsidP="00633708">
      <w:pPr>
        <w:pStyle w:val="BibliographyEntry"/>
        <w:jc w:val="left"/>
      </w:pPr>
      <w:r w:rsidRPr="00284A05">
        <w:t xml:space="preserve">Teno, J. M., Mor, V., Ward, N., Roy, J., Clarridge, B., Wennberg, J. E., &amp; Fisher, E. S. (2005). Bereaved Family Member Perceptions of Quality of End-of-Life Care in U.S. Regions with High and Low Usage of Intensive Care Unit Care. </w:t>
      </w:r>
      <w:r w:rsidRPr="00DB6B16">
        <w:rPr>
          <w:i/>
        </w:rPr>
        <w:t>J Am Geriatr Soc</w:t>
      </w:r>
      <w:r w:rsidR="00633708">
        <w:t>, 53, 1905-1911.</w:t>
      </w:r>
    </w:p>
    <w:p w14:paraId="6DD1E345" w14:textId="77777777" w:rsidR="00633708" w:rsidRDefault="00AA6003" w:rsidP="00633708">
      <w:pPr>
        <w:pStyle w:val="BibliographyEntry"/>
        <w:jc w:val="left"/>
      </w:pPr>
      <w:r>
        <w:t xml:space="preserve">Tschirhart, E. C., Du, Q., Kelley, A. S. (2014). Factors influencing the use of intensive procedures at the end of life. </w:t>
      </w:r>
      <w:r w:rsidRPr="00AA6003">
        <w:rPr>
          <w:i/>
        </w:rPr>
        <w:t>Journal of the American Geriatrics Society</w:t>
      </w:r>
      <w:r w:rsidR="00200875">
        <w:t>, 62(11), 2088-94.</w:t>
      </w:r>
    </w:p>
    <w:p w14:paraId="4884C64B" w14:textId="77777777" w:rsidR="00633708" w:rsidRDefault="000D325B" w:rsidP="00633708">
      <w:pPr>
        <w:pStyle w:val="BibliographyEntry"/>
        <w:jc w:val="left"/>
      </w:pPr>
      <w:r w:rsidRPr="00073044">
        <w:t xml:space="preserve">Van Herck, P., De Smedt, D., Annemans, L., Remmen, R., Rosenthal, M., &amp; Sermeus, W. (2010).   Systematic review: Effects, design choices, and context of pay-for-performance in health care. </w:t>
      </w:r>
      <w:r w:rsidRPr="00073044">
        <w:rPr>
          <w:i/>
        </w:rPr>
        <w:t>BMC Health Services Research,</w:t>
      </w:r>
      <w:r w:rsidRPr="00073044">
        <w:t xml:space="preserve"> </w:t>
      </w:r>
      <w:r w:rsidRPr="00073044">
        <w:rPr>
          <w:i/>
        </w:rPr>
        <w:t>10</w:t>
      </w:r>
      <w:r w:rsidRPr="00073044">
        <w:t>:247.</w:t>
      </w:r>
    </w:p>
    <w:p w14:paraId="75E11A1D" w14:textId="77777777" w:rsidR="00633708" w:rsidRDefault="00F65A3F" w:rsidP="00633708">
      <w:pPr>
        <w:pStyle w:val="BibliographyEntry"/>
        <w:jc w:val="left"/>
      </w:pPr>
      <w:r>
        <w:t>Weathers, E., O'Caoimh R., Cornally, N., Fitzgerald, C., Kearns, T., Coffey, A., Daly, E., O'Sullivan, R., McGlade, C., Molloy, D. W</w:t>
      </w:r>
      <w:r w:rsidRPr="00F65A3F">
        <w:t>.</w:t>
      </w:r>
      <w:r>
        <w:t xml:space="preserve"> (2016). </w:t>
      </w:r>
      <w:r w:rsidRPr="00F65A3F">
        <w:t>Advance care planning: A systematic review of randomised controlled trials conducted with older adults.</w:t>
      </w:r>
      <w:r>
        <w:t xml:space="preserve"> </w:t>
      </w:r>
      <w:r w:rsidRPr="00050AC7">
        <w:rPr>
          <w:i/>
        </w:rPr>
        <w:t>Maturitas</w:t>
      </w:r>
      <w:r>
        <w:t>, 91, 101-9</w:t>
      </w:r>
      <w:r w:rsidR="00633708">
        <w:t>.</w:t>
      </w:r>
    </w:p>
    <w:p w14:paraId="783F0C1A" w14:textId="77777777" w:rsidR="00633708" w:rsidRDefault="00AA6003" w:rsidP="00633708">
      <w:pPr>
        <w:pStyle w:val="BibliographyEntry"/>
        <w:jc w:val="left"/>
      </w:pPr>
      <w:r>
        <w:t xml:space="preserve">Wennberg, J. E., Fisher, E. S., Stukel, T. A., Skinner, J. S., Sharp, S. M., Bronner, K. K. (2004). </w:t>
      </w:r>
      <w:r w:rsidRPr="00AD77BE">
        <w:t>Use of hospitals, physician visits, and hospice care during last six months of life among cohorts loyal to highly respected hospitals in the United States.</w:t>
      </w:r>
      <w:r>
        <w:t xml:space="preserve"> </w:t>
      </w:r>
      <w:r w:rsidRPr="00AA6003">
        <w:rPr>
          <w:i/>
        </w:rPr>
        <w:t>BMJ</w:t>
      </w:r>
      <w:r w:rsidR="00633708">
        <w:t>, 328(7440), 607.</w:t>
      </w:r>
    </w:p>
    <w:p w14:paraId="4924BEFA" w14:textId="25C03270" w:rsidR="00AA6003" w:rsidRDefault="008A0AD4" w:rsidP="00633708">
      <w:pPr>
        <w:pStyle w:val="BibliographyEntry"/>
        <w:jc w:val="left"/>
      </w:pPr>
      <w:r w:rsidRPr="00284A05">
        <w:t xml:space="preserve">Zheng, N. T., Mukamel, D. B., Caprio, T., Cai S., &amp; Temkin-Greener, H. (2011). Racial Disparities in In-hospital Death and Hospice Use </w:t>
      </w:r>
      <w:r w:rsidR="00284A05" w:rsidRPr="00284A05">
        <w:t>among</w:t>
      </w:r>
      <w:r w:rsidRPr="00284A05">
        <w:t xml:space="preserve"> Nursing Home Residents at the End of Life. </w:t>
      </w:r>
      <w:r w:rsidRPr="00DB6B16">
        <w:rPr>
          <w:i/>
        </w:rPr>
        <w:t>Med Care</w:t>
      </w:r>
      <w:r w:rsidRPr="00284A05">
        <w:t>, 49(11), 992-998.</w:t>
      </w:r>
    </w:p>
    <w:sectPr w:rsidR="00AA6003" w:rsidSect="006B1124">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BDD8" w14:textId="77777777" w:rsidR="002C7D4F" w:rsidRDefault="002C7D4F">
      <w:r>
        <w:separator/>
      </w:r>
    </w:p>
  </w:endnote>
  <w:endnote w:type="continuationSeparator" w:id="0">
    <w:p w14:paraId="27183917" w14:textId="77777777" w:rsidR="002C7D4F" w:rsidRDefault="002C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92610610.B">
    <w:altName w:val="Cambria"/>
    <w:panose1 w:val="00000000000000000000"/>
    <w:charset w:val="00"/>
    <w:family w:val="roman"/>
    <w:notTrueType/>
    <w:pitch w:val="default"/>
    <w:sig w:usb0="00000003" w:usb1="00000000" w:usb2="00000000" w:usb3="00000000" w:csb0="00000001" w:csb1="00000000"/>
  </w:font>
  <w:font w:name="ScalaLancetPro">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96F2" w14:textId="08CA6E07" w:rsidR="000779E7" w:rsidRDefault="000779E7" w:rsidP="006B1124">
    <w:pPr>
      <w:tabs>
        <w:tab w:val="center" w:pos="4680"/>
      </w:tabs>
      <w:ind w:firstLine="0"/>
    </w:pPr>
    <w:r>
      <w:tab/>
    </w:r>
    <w:r>
      <w:fldChar w:fldCharType="begin"/>
    </w:r>
    <w:r>
      <w:instrText xml:space="preserve"> PAGE </w:instrText>
    </w:r>
    <w:r>
      <w:fldChar w:fldCharType="separate"/>
    </w:r>
    <w:r w:rsidR="005D13F4">
      <w:rPr>
        <w:noProof/>
      </w:rPr>
      <w:t>viii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B3A3" w14:textId="08D9A834" w:rsidR="000779E7" w:rsidRDefault="000779E7" w:rsidP="006B1124">
    <w:pPr>
      <w:tabs>
        <w:tab w:val="center" w:pos="4680"/>
      </w:tabs>
      <w:ind w:firstLine="0"/>
    </w:pPr>
    <w:r>
      <w:tab/>
    </w:r>
    <w:r>
      <w:fldChar w:fldCharType="begin"/>
    </w:r>
    <w:r>
      <w:instrText xml:space="preserve"> PAGE </w:instrText>
    </w:r>
    <w:r>
      <w:fldChar w:fldCharType="separate"/>
    </w:r>
    <w:r w:rsidR="005D13F4">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C655" w14:textId="77777777" w:rsidR="002C7D4F" w:rsidRDefault="002C7D4F">
      <w:r>
        <w:separator/>
      </w:r>
    </w:p>
  </w:footnote>
  <w:footnote w:type="continuationSeparator" w:id="0">
    <w:p w14:paraId="770A0ED4" w14:textId="77777777" w:rsidR="002C7D4F" w:rsidRDefault="002C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093"/>
    <w:multiLevelType w:val="hybridMultilevel"/>
    <w:tmpl w:val="60BC6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315625"/>
    <w:multiLevelType w:val="multilevel"/>
    <w:tmpl w:val="3C72564E"/>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4D5E84"/>
    <w:multiLevelType w:val="hybridMultilevel"/>
    <w:tmpl w:val="6B4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4" w15:restartNumberingAfterBreak="0">
    <w:nsid w:val="48D678DA"/>
    <w:multiLevelType w:val="hybridMultilevel"/>
    <w:tmpl w:val="38CE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22CD2"/>
    <w:multiLevelType w:val="hybridMultilevel"/>
    <w:tmpl w:val="741E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15F6E"/>
    <w:multiLevelType w:val="hybridMultilevel"/>
    <w:tmpl w:val="B6CC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86DA5"/>
    <w:multiLevelType w:val="hybridMultilevel"/>
    <w:tmpl w:val="4A6ED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BB0C2E"/>
    <w:multiLevelType w:val="hybridMultilevel"/>
    <w:tmpl w:val="A7F0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4"/>
  </w:num>
  <w:num w:numId="6">
    <w:abstractNumId w:val="6"/>
  </w:num>
  <w:num w:numId="7">
    <w:abstractNumId w:val="0"/>
  </w:num>
  <w:num w:numId="8">
    <w:abstractNumId w:val="7"/>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41"/>
    <w:rsid w:val="00007AAD"/>
    <w:rsid w:val="000103A2"/>
    <w:rsid w:val="00016B53"/>
    <w:rsid w:val="00030D3B"/>
    <w:rsid w:val="00030F89"/>
    <w:rsid w:val="000310AF"/>
    <w:rsid w:val="00035D1E"/>
    <w:rsid w:val="00037028"/>
    <w:rsid w:val="00037CEE"/>
    <w:rsid w:val="000425EA"/>
    <w:rsid w:val="0005078E"/>
    <w:rsid w:val="00050AC7"/>
    <w:rsid w:val="00057057"/>
    <w:rsid w:val="00067020"/>
    <w:rsid w:val="00072586"/>
    <w:rsid w:val="00073D57"/>
    <w:rsid w:val="000779E7"/>
    <w:rsid w:val="00082AF4"/>
    <w:rsid w:val="00086F24"/>
    <w:rsid w:val="00090C27"/>
    <w:rsid w:val="000A0F8C"/>
    <w:rsid w:val="000A47FB"/>
    <w:rsid w:val="000A65B0"/>
    <w:rsid w:val="000B412F"/>
    <w:rsid w:val="000B7D7A"/>
    <w:rsid w:val="000C5F48"/>
    <w:rsid w:val="000D295D"/>
    <w:rsid w:val="000D325B"/>
    <w:rsid w:val="000D3C8D"/>
    <w:rsid w:val="000D5271"/>
    <w:rsid w:val="000E20F6"/>
    <w:rsid w:val="000E716B"/>
    <w:rsid w:val="00100AC5"/>
    <w:rsid w:val="00103702"/>
    <w:rsid w:val="001105C7"/>
    <w:rsid w:val="00114BEB"/>
    <w:rsid w:val="00116913"/>
    <w:rsid w:val="001174A6"/>
    <w:rsid w:val="001234F3"/>
    <w:rsid w:val="00127213"/>
    <w:rsid w:val="001315E3"/>
    <w:rsid w:val="001332F6"/>
    <w:rsid w:val="00150EF7"/>
    <w:rsid w:val="00152449"/>
    <w:rsid w:val="00157788"/>
    <w:rsid w:val="00163F2E"/>
    <w:rsid w:val="001676CB"/>
    <w:rsid w:val="001706A1"/>
    <w:rsid w:val="00176344"/>
    <w:rsid w:val="00177440"/>
    <w:rsid w:val="00186ED5"/>
    <w:rsid w:val="0018781C"/>
    <w:rsid w:val="00190F06"/>
    <w:rsid w:val="00194AC7"/>
    <w:rsid w:val="00196EF2"/>
    <w:rsid w:val="001A48AE"/>
    <w:rsid w:val="001A5B12"/>
    <w:rsid w:val="001A60FC"/>
    <w:rsid w:val="001C7CDC"/>
    <w:rsid w:val="001D0A9C"/>
    <w:rsid w:val="001D0AA1"/>
    <w:rsid w:val="001D1D84"/>
    <w:rsid w:val="001E0F32"/>
    <w:rsid w:val="001F5FF3"/>
    <w:rsid w:val="00200875"/>
    <w:rsid w:val="00200B2E"/>
    <w:rsid w:val="00201245"/>
    <w:rsid w:val="0020177D"/>
    <w:rsid w:val="00207113"/>
    <w:rsid w:val="002102E6"/>
    <w:rsid w:val="002139B8"/>
    <w:rsid w:val="002302D2"/>
    <w:rsid w:val="00251B82"/>
    <w:rsid w:val="0026118E"/>
    <w:rsid w:val="00262899"/>
    <w:rsid w:val="002706BA"/>
    <w:rsid w:val="002710BF"/>
    <w:rsid w:val="00276E7E"/>
    <w:rsid w:val="00284A05"/>
    <w:rsid w:val="00284A51"/>
    <w:rsid w:val="00286846"/>
    <w:rsid w:val="0028782F"/>
    <w:rsid w:val="002A09FE"/>
    <w:rsid w:val="002A10C7"/>
    <w:rsid w:val="002A5528"/>
    <w:rsid w:val="002A7EC6"/>
    <w:rsid w:val="002B144C"/>
    <w:rsid w:val="002B4E53"/>
    <w:rsid w:val="002B6285"/>
    <w:rsid w:val="002B7825"/>
    <w:rsid w:val="002C763A"/>
    <w:rsid w:val="002C7D4F"/>
    <w:rsid w:val="002D01B1"/>
    <w:rsid w:val="002D11E0"/>
    <w:rsid w:val="002D2928"/>
    <w:rsid w:val="002D406B"/>
    <w:rsid w:val="002D546F"/>
    <w:rsid w:val="002D7D3C"/>
    <w:rsid w:val="002E5172"/>
    <w:rsid w:val="002F5FF9"/>
    <w:rsid w:val="00302F66"/>
    <w:rsid w:val="00310835"/>
    <w:rsid w:val="00317279"/>
    <w:rsid w:val="00322019"/>
    <w:rsid w:val="00324868"/>
    <w:rsid w:val="003251A4"/>
    <w:rsid w:val="00326430"/>
    <w:rsid w:val="00330C15"/>
    <w:rsid w:val="00330C45"/>
    <w:rsid w:val="00331507"/>
    <w:rsid w:val="00334F18"/>
    <w:rsid w:val="00337CC7"/>
    <w:rsid w:val="00340ED8"/>
    <w:rsid w:val="003427E1"/>
    <w:rsid w:val="00343307"/>
    <w:rsid w:val="003613C1"/>
    <w:rsid w:val="0036269F"/>
    <w:rsid w:val="003628A6"/>
    <w:rsid w:val="00367476"/>
    <w:rsid w:val="003705DF"/>
    <w:rsid w:val="00372311"/>
    <w:rsid w:val="00380D79"/>
    <w:rsid w:val="003863E2"/>
    <w:rsid w:val="00395084"/>
    <w:rsid w:val="003959D4"/>
    <w:rsid w:val="003972E5"/>
    <w:rsid w:val="003B70B9"/>
    <w:rsid w:val="003E052A"/>
    <w:rsid w:val="003F5900"/>
    <w:rsid w:val="003F7084"/>
    <w:rsid w:val="00405722"/>
    <w:rsid w:val="00406F94"/>
    <w:rsid w:val="004175AC"/>
    <w:rsid w:val="00426000"/>
    <w:rsid w:val="00433884"/>
    <w:rsid w:val="004431AB"/>
    <w:rsid w:val="00445072"/>
    <w:rsid w:val="00451452"/>
    <w:rsid w:val="00452D67"/>
    <w:rsid w:val="00457000"/>
    <w:rsid w:val="004628A1"/>
    <w:rsid w:val="004671DD"/>
    <w:rsid w:val="00472442"/>
    <w:rsid w:val="00480D14"/>
    <w:rsid w:val="004829F0"/>
    <w:rsid w:val="00485221"/>
    <w:rsid w:val="00487799"/>
    <w:rsid w:val="00487D54"/>
    <w:rsid w:val="00495E3F"/>
    <w:rsid w:val="004A0281"/>
    <w:rsid w:val="004A2924"/>
    <w:rsid w:val="004B7B28"/>
    <w:rsid w:val="004D7AA4"/>
    <w:rsid w:val="004E0D3B"/>
    <w:rsid w:val="004E2071"/>
    <w:rsid w:val="004E2847"/>
    <w:rsid w:val="004E3B59"/>
    <w:rsid w:val="004F3D71"/>
    <w:rsid w:val="005037B7"/>
    <w:rsid w:val="00512CC5"/>
    <w:rsid w:val="0051308B"/>
    <w:rsid w:val="00526166"/>
    <w:rsid w:val="0053210F"/>
    <w:rsid w:val="005324EA"/>
    <w:rsid w:val="00536110"/>
    <w:rsid w:val="00536CDC"/>
    <w:rsid w:val="005418D5"/>
    <w:rsid w:val="00546FF7"/>
    <w:rsid w:val="005660B4"/>
    <w:rsid w:val="0056631C"/>
    <w:rsid w:val="00566FB7"/>
    <w:rsid w:val="00575728"/>
    <w:rsid w:val="005777E8"/>
    <w:rsid w:val="005839B3"/>
    <w:rsid w:val="00587B73"/>
    <w:rsid w:val="005938C7"/>
    <w:rsid w:val="00596371"/>
    <w:rsid w:val="005A5D20"/>
    <w:rsid w:val="005A647B"/>
    <w:rsid w:val="005C788A"/>
    <w:rsid w:val="005D0331"/>
    <w:rsid w:val="005D13F4"/>
    <w:rsid w:val="005D38D2"/>
    <w:rsid w:val="005D62A0"/>
    <w:rsid w:val="005E43AB"/>
    <w:rsid w:val="005F1BB6"/>
    <w:rsid w:val="005F295B"/>
    <w:rsid w:val="005F3372"/>
    <w:rsid w:val="006022B1"/>
    <w:rsid w:val="00603DB2"/>
    <w:rsid w:val="0062156A"/>
    <w:rsid w:val="00633708"/>
    <w:rsid w:val="00635696"/>
    <w:rsid w:val="00636C11"/>
    <w:rsid w:val="006425BF"/>
    <w:rsid w:val="00644B48"/>
    <w:rsid w:val="006521DE"/>
    <w:rsid w:val="00656EE6"/>
    <w:rsid w:val="006661C4"/>
    <w:rsid w:val="006746F2"/>
    <w:rsid w:val="00675B27"/>
    <w:rsid w:val="00680684"/>
    <w:rsid w:val="0068267F"/>
    <w:rsid w:val="00685134"/>
    <w:rsid w:val="006853D4"/>
    <w:rsid w:val="006920DD"/>
    <w:rsid w:val="00692140"/>
    <w:rsid w:val="00693C3E"/>
    <w:rsid w:val="006A24A4"/>
    <w:rsid w:val="006A5780"/>
    <w:rsid w:val="006B1124"/>
    <w:rsid w:val="006B550D"/>
    <w:rsid w:val="006B5889"/>
    <w:rsid w:val="006C378E"/>
    <w:rsid w:val="006C4B8C"/>
    <w:rsid w:val="006C6EC4"/>
    <w:rsid w:val="006D4D61"/>
    <w:rsid w:val="006E0166"/>
    <w:rsid w:val="006E72ED"/>
    <w:rsid w:val="006F0C11"/>
    <w:rsid w:val="006F6B3A"/>
    <w:rsid w:val="00705550"/>
    <w:rsid w:val="007158D9"/>
    <w:rsid w:val="00716237"/>
    <w:rsid w:val="00716744"/>
    <w:rsid w:val="00724EF1"/>
    <w:rsid w:val="0072538D"/>
    <w:rsid w:val="00726194"/>
    <w:rsid w:val="00737D37"/>
    <w:rsid w:val="00747FD1"/>
    <w:rsid w:val="0075149F"/>
    <w:rsid w:val="00753EB5"/>
    <w:rsid w:val="007556A7"/>
    <w:rsid w:val="00762AB9"/>
    <w:rsid w:val="0076409A"/>
    <w:rsid w:val="00764703"/>
    <w:rsid w:val="00766CE2"/>
    <w:rsid w:val="00775294"/>
    <w:rsid w:val="00780974"/>
    <w:rsid w:val="00790ABE"/>
    <w:rsid w:val="007957E2"/>
    <w:rsid w:val="007A1580"/>
    <w:rsid w:val="007A1FDD"/>
    <w:rsid w:val="007B3848"/>
    <w:rsid w:val="007B54B4"/>
    <w:rsid w:val="007C0F94"/>
    <w:rsid w:val="007D2D52"/>
    <w:rsid w:val="007D2F96"/>
    <w:rsid w:val="007D3DD4"/>
    <w:rsid w:val="007E51D2"/>
    <w:rsid w:val="007F42FB"/>
    <w:rsid w:val="007F763B"/>
    <w:rsid w:val="00816DFA"/>
    <w:rsid w:val="00817139"/>
    <w:rsid w:val="008274D6"/>
    <w:rsid w:val="00834193"/>
    <w:rsid w:val="00837797"/>
    <w:rsid w:val="008417C9"/>
    <w:rsid w:val="0084402E"/>
    <w:rsid w:val="008536E6"/>
    <w:rsid w:val="0086241D"/>
    <w:rsid w:val="00863D37"/>
    <w:rsid w:val="008650E7"/>
    <w:rsid w:val="008700F1"/>
    <w:rsid w:val="00884E1F"/>
    <w:rsid w:val="00885BD0"/>
    <w:rsid w:val="008866DA"/>
    <w:rsid w:val="00891516"/>
    <w:rsid w:val="00895490"/>
    <w:rsid w:val="008972D4"/>
    <w:rsid w:val="0089774A"/>
    <w:rsid w:val="008A0AD4"/>
    <w:rsid w:val="008A10A0"/>
    <w:rsid w:val="008A110F"/>
    <w:rsid w:val="008A4541"/>
    <w:rsid w:val="008A4D0F"/>
    <w:rsid w:val="008B0DB3"/>
    <w:rsid w:val="008B23CA"/>
    <w:rsid w:val="008C46DE"/>
    <w:rsid w:val="008C7560"/>
    <w:rsid w:val="008E47CE"/>
    <w:rsid w:val="008F0264"/>
    <w:rsid w:val="008F1D5C"/>
    <w:rsid w:val="008F36E7"/>
    <w:rsid w:val="00901CC9"/>
    <w:rsid w:val="009022D7"/>
    <w:rsid w:val="00912CB4"/>
    <w:rsid w:val="00923007"/>
    <w:rsid w:val="00924D8D"/>
    <w:rsid w:val="00925119"/>
    <w:rsid w:val="00927F5D"/>
    <w:rsid w:val="0093087A"/>
    <w:rsid w:val="00930D95"/>
    <w:rsid w:val="00933C22"/>
    <w:rsid w:val="00934D22"/>
    <w:rsid w:val="009357BC"/>
    <w:rsid w:val="00936D40"/>
    <w:rsid w:val="00940649"/>
    <w:rsid w:val="00945109"/>
    <w:rsid w:val="00955F7D"/>
    <w:rsid w:val="0096547F"/>
    <w:rsid w:val="00972492"/>
    <w:rsid w:val="009904C0"/>
    <w:rsid w:val="0099095C"/>
    <w:rsid w:val="0099539E"/>
    <w:rsid w:val="00995D64"/>
    <w:rsid w:val="009C6A9E"/>
    <w:rsid w:val="009E6004"/>
    <w:rsid w:val="009F06CE"/>
    <w:rsid w:val="00A07608"/>
    <w:rsid w:val="00A169B4"/>
    <w:rsid w:val="00A208D2"/>
    <w:rsid w:val="00A22805"/>
    <w:rsid w:val="00A3000B"/>
    <w:rsid w:val="00A310FC"/>
    <w:rsid w:val="00A3281F"/>
    <w:rsid w:val="00A32DE5"/>
    <w:rsid w:val="00A35269"/>
    <w:rsid w:val="00A43070"/>
    <w:rsid w:val="00A4495A"/>
    <w:rsid w:val="00A45F73"/>
    <w:rsid w:val="00A516A8"/>
    <w:rsid w:val="00A52545"/>
    <w:rsid w:val="00A55B40"/>
    <w:rsid w:val="00A55BA2"/>
    <w:rsid w:val="00A561D3"/>
    <w:rsid w:val="00A62CDE"/>
    <w:rsid w:val="00A733D5"/>
    <w:rsid w:val="00A746CF"/>
    <w:rsid w:val="00A74DAF"/>
    <w:rsid w:val="00A75D88"/>
    <w:rsid w:val="00A81EC3"/>
    <w:rsid w:val="00A910E2"/>
    <w:rsid w:val="00A922FD"/>
    <w:rsid w:val="00AA1D14"/>
    <w:rsid w:val="00AA2C6A"/>
    <w:rsid w:val="00AA3E52"/>
    <w:rsid w:val="00AA6003"/>
    <w:rsid w:val="00AA7C78"/>
    <w:rsid w:val="00AB08F3"/>
    <w:rsid w:val="00AB103D"/>
    <w:rsid w:val="00AB2A9C"/>
    <w:rsid w:val="00AB6D34"/>
    <w:rsid w:val="00AC4CF3"/>
    <w:rsid w:val="00AD4CEE"/>
    <w:rsid w:val="00AD7183"/>
    <w:rsid w:val="00AD77BE"/>
    <w:rsid w:val="00AE3D2D"/>
    <w:rsid w:val="00AE6DB3"/>
    <w:rsid w:val="00AF0AFB"/>
    <w:rsid w:val="00AF340B"/>
    <w:rsid w:val="00AF492D"/>
    <w:rsid w:val="00B03ADD"/>
    <w:rsid w:val="00B05C57"/>
    <w:rsid w:val="00B109D2"/>
    <w:rsid w:val="00B113F4"/>
    <w:rsid w:val="00B21FF0"/>
    <w:rsid w:val="00B26D7F"/>
    <w:rsid w:val="00B33801"/>
    <w:rsid w:val="00B34307"/>
    <w:rsid w:val="00B349C2"/>
    <w:rsid w:val="00B41345"/>
    <w:rsid w:val="00B424B6"/>
    <w:rsid w:val="00B42812"/>
    <w:rsid w:val="00B54AD9"/>
    <w:rsid w:val="00B54B37"/>
    <w:rsid w:val="00B553E1"/>
    <w:rsid w:val="00B56F3C"/>
    <w:rsid w:val="00B57E9B"/>
    <w:rsid w:val="00B614F2"/>
    <w:rsid w:val="00B620AE"/>
    <w:rsid w:val="00B72A67"/>
    <w:rsid w:val="00B87879"/>
    <w:rsid w:val="00B917F0"/>
    <w:rsid w:val="00B93FE8"/>
    <w:rsid w:val="00B972E3"/>
    <w:rsid w:val="00BA1852"/>
    <w:rsid w:val="00BA1D16"/>
    <w:rsid w:val="00BA4D56"/>
    <w:rsid w:val="00BA6539"/>
    <w:rsid w:val="00BB2A1B"/>
    <w:rsid w:val="00BB4AFF"/>
    <w:rsid w:val="00BC19D3"/>
    <w:rsid w:val="00BC26B7"/>
    <w:rsid w:val="00BD624F"/>
    <w:rsid w:val="00BF2B29"/>
    <w:rsid w:val="00BF58E4"/>
    <w:rsid w:val="00C15A2D"/>
    <w:rsid w:val="00C17C66"/>
    <w:rsid w:val="00C23E9B"/>
    <w:rsid w:val="00C40D61"/>
    <w:rsid w:val="00C43125"/>
    <w:rsid w:val="00C43878"/>
    <w:rsid w:val="00C46664"/>
    <w:rsid w:val="00C5597F"/>
    <w:rsid w:val="00C7312D"/>
    <w:rsid w:val="00C743EC"/>
    <w:rsid w:val="00C755FD"/>
    <w:rsid w:val="00C771A0"/>
    <w:rsid w:val="00C853F7"/>
    <w:rsid w:val="00C905E9"/>
    <w:rsid w:val="00C91BEA"/>
    <w:rsid w:val="00C9228E"/>
    <w:rsid w:val="00C92875"/>
    <w:rsid w:val="00C9601F"/>
    <w:rsid w:val="00CB03F9"/>
    <w:rsid w:val="00CC15F5"/>
    <w:rsid w:val="00CC446F"/>
    <w:rsid w:val="00CC452E"/>
    <w:rsid w:val="00CC5549"/>
    <w:rsid w:val="00CD1CAF"/>
    <w:rsid w:val="00CD24A9"/>
    <w:rsid w:val="00CD45BC"/>
    <w:rsid w:val="00CE1C2B"/>
    <w:rsid w:val="00CE2FA5"/>
    <w:rsid w:val="00CF1B32"/>
    <w:rsid w:val="00CF3150"/>
    <w:rsid w:val="00D14202"/>
    <w:rsid w:val="00D14C77"/>
    <w:rsid w:val="00D1693B"/>
    <w:rsid w:val="00D16F32"/>
    <w:rsid w:val="00D26C35"/>
    <w:rsid w:val="00D27991"/>
    <w:rsid w:val="00D34A7F"/>
    <w:rsid w:val="00D35688"/>
    <w:rsid w:val="00D434BA"/>
    <w:rsid w:val="00D447D9"/>
    <w:rsid w:val="00D44A01"/>
    <w:rsid w:val="00D530BC"/>
    <w:rsid w:val="00D6178B"/>
    <w:rsid w:val="00D6278D"/>
    <w:rsid w:val="00D63994"/>
    <w:rsid w:val="00D63A57"/>
    <w:rsid w:val="00D66889"/>
    <w:rsid w:val="00D72D0D"/>
    <w:rsid w:val="00D8096D"/>
    <w:rsid w:val="00D82C21"/>
    <w:rsid w:val="00D849E2"/>
    <w:rsid w:val="00DA4366"/>
    <w:rsid w:val="00DA4EE2"/>
    <w:rsid w:val="00DA5BA8"/>
    <w:rsid w:val="00DB6B16"/>
    <w:rsid w:val="00DB7B62"/>
    <w:rsid w:val="00DD0883"/>
    <w:rsid w:val="00DD4A57"/>
    <w:rsid w:val="00DE0EBB"/>
    <w:rsid w:val="00DE6353"/>
    <w:rsid w:val="00DF1A75"/>
    <w:rsid w:val="00DF3A82"/>
    <w:rsid w:val="00DF67C7"/>
    <w:rsid w:val="00E0392D"/>
    <w:rsid w:val="00E03FAF"/>
    <w:rsid w:val="00E07236"/>
    <w:rsid w:val="00E151B5"/>
    <w:rsid w:val="00E175F7"/>
    <w:rsid w:val="00E221BB"/>
    <w:rsid w:val="00E2511F"/>
    <w:rsid w:val="00E27B47"/>
    <w:rsid w:val="00E31916"/>
    <w:rsid w:val="00E35361"/>
    <w:rsid w:val="00E36565"/>
    <w:rsid w:val="00E4475B"/>
    <w:rsid w:val="00E456F4"/>
    <w:rsid w:val="00E4580E"/>
    <w:rsid w:val="00E67806"/>
    <w:rsid w:val="00E70D3B"/>
    <w:rsid w:val="00E77CFE"/>
    <w:rsid w:val="00E816DC"/>
    <w:rsid w:val="00E9644F"/>
    <w:rsid w:val="00EA10F6"/>
    <w:rsid w:val="00EA689E"/>
    <w:rsid w:val="00EA6D1D"/>
    <w:rsid w:val="00EA74EC"/>
    <w:rsid w:val="00EB7F4B"/>
    <w:rsid w:val="00EC1707"/>
    <w:rsid w:val="00EC3D7C"/>
    <w:rsid w:val="00EC4799"/>
    <w:rsid w:val="00ED2144"/>
    <w:rsid w:val="00ED258A"/>
    <w:rsid w:val="00ED2C95"/>
    <w:rsid w:val="00ED42E6"/>
    <w:rsid w:val="00ED4930"/>
    <w:rsid w:val="00ED6FF1"/>
    <w:rsid w:val="00EE3F78"/>
    <w:rsid w:val="00EF03A4"/>
    <w:rsid w:val="00EF3C10"/>
    <w:rsid w:val="00EF62A9"/>
    <w:rsid w:val="00F02CD6"/>
    <w:rsid w:val="00F0330D"/>
    <w:rsid w:val="00F045CF"/>
    <w:rsid w:val="00F13CCE"/>
    <w:rsid w:val="00F238FA"/>
    <w:rsid w:val="00F24808"/>
    <w:rsid w:val="00F34251"/>
    <w:rsid w:val="00F36444"/>
    <w:rsid w:val="00F46A24"/>
    <w:rsid w:val="00F475F3"/>
    <w:rsid w:val="00F47C77"/>
    <w:rsid w:val="00F56B64"/>
    <w:rsid w:val="00F60005"/>
    <w:rsid w:val="00F65A3F"/>
    <w:rsid w:val="00F66F3E"/>
    <w:rsid w:val="00F701D0"/>
    <w:rsid w:val="00F85A5F"/>
    <w:rsid w:val="00F90F71"/>
    <w:rsid w:val="00F91BDB"/>
    <w:rsid w:val="00F93CAE"/>
    <w:rsid w:val="00F952F0"/>
    <w:rsid w:val="00F97FB6"/>
    <w:rsid w:val="00FA20BE"/>
    <w:rsid w:val="00FB59D2"/>
    <w:rsid w:val="00FD19FB"/>
    <w:rsid w:val="00FE20B7"/>
    <w:rsid w:val="00FF141A"/>
    <w:rsid w:val="00FF4822"/>
    <w:rsid w:val="00FF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1561AF"/>
  <w15:docId w15:val="{58E5FE3D-4A7D-46FF-A29B-EFD488DF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2"/>
      </w:numPr>
      <w:spacing w:before="1440" w:after="960"/>
      <w:jc w:val="center"/>
      <w:outlineLvl w:val="0"/>
    </w:pPr>
    <w:rPr>
      <w:rFonts w:cs="Arial"/>
      <w:b/>
      <w:bCs/>
      <w:caps/>
    </w:rPr>
  </w:style>
  <w:style w:type="paragraph" w:styleId="Heading2">
    <w:name w:val="heading 2"/>
    <w:basedOn w:val="Heading1"/>
    <w:next w:val="Noindent"/>
    <w:qFormat/>
    <w:rsid w:val="008A110F"/>
    <w:pPr>
      <w:pageBreakBefore w:val="0"/>
      <w:numPr>
        <w:ilvl w:val="1"/>
      </w:numPr>
      <w:spacing w:before="960" w:after="480"/>
      <w:contextualSpacing/>
      <w:outlineLvl w:val="1"/>
    </w:pPr>
    <w:rPr>
      <w:bCs w:val="0"/>
      <w:iCs/>
    </w:rPr>
  </w:style>
  <w:style w:type="paragraph" w:styleId="Heading3">
    <w:name w:val="heading 3"/>
    <w:basedOn w:val="Heading2"/>
    <w:next w:val="Noindent"/>
    <w:qFormat/>
    <w:rsid w:val="008A110F"/>
    <w:pPr>
      <w:numPr>
        <w:ilvl w:val="2"/>
      </w:numPr>
      <w:spacing w:before="480"/>
      <w:jc w:val="left"/>
      <w:outlineLvl w:val="2"/>
    </w:pPr>
    <w:rPr>
      <w:bCs/>
      <w:caps w:val="0"/>
    </w:rPr>
  </w:style>
  <w:style w:type="paragraph" w:styleId="Heading4">
    <w:name w:val="heading 4"/>
    <w:basedOn w:val="Heading3"/>
    <w:next w:val="Normal"/>
    <w:qFormat/>
    <w:rsid w:val="00276E7E"/>
    <w:pPr>
      <w:numPr>
        <w:ilvl w:val="3"/>
      </w:numPr>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A5BA8"/>
    <w:pPr>
      <w:ind w:firstLine="0"/>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1"/>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1"/>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semiHidden/>
    <w:rsid w:val="00DA5BA8"/>
    <w:pPr>
      <w:ind w:left="1008" w:firstLine="0"/>
    </w:pPr>
    <w:rPr>
      <w:b/>
    </w:rPr>
  </w:style>
  <w:style w:type="paragraph" w:styleId="Footer">
    <w:name w:val="footer"/>
    <w:basedOn w:val="Normal"/>
    <w:semiHidden/>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semiHidden/>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uiPriority w:val="3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B424B6"/>
  </w:style>
  <w:style w:type="paragraph" w:styleId="ListParagraph">
    <w:name w:val="List Paragraph"/>
    <w:basedOn w:val="Normal"/>
    <w:uiPriority w:val="34"/>
    <w:qFormat/>
    <w:rsid w:val="005F3372"/>
    <w:pPr>
      <w:spacing w:after="160" w:line="259" w:lineRule="auto"/>
      <w:ind w:left="720" w:firstLine="0"/>
      <w:contextualSpacing/>
      <w:jc w:val="left"/>
    </w:pPr>
    <w:rPr>
      <w:rFonts w:ascii="Calibri" w:eastAsia="Calibri" w:hAnsi="Calibri"/>
      <w:sz w:val="22"/>
      <w:szCs w:val="22"/>
    </w:rPr>
  </w:style>
  <w:style w:type="paragraph" w:styleId="Bibliography">
    <w:name w:val="Bibliography"/>
    <w:basedOn w:val="Normal"/>
    <w:next w:val="Normal"/>
    <w:uiPriority w:val="37"/>
    <w:unhideWhenUsed/>
    <w:rsid w:val="00EF3C10"/>
    <w:pPr>
      <w:spacing w:after="160" w:line="259" w:lineRule="auto"/>
      <w:ind w:firstLine="0"/>
      <w:jc w:val="left"/>
    </w:pPr>
    <w:rPr>
      <w:rFonts w:asciiTheme="minorHAnsi" w:eastAsiaTheme="minorHAnsi" w:hAnsiTheme="minorHAnsi" w:cstheme="minorBidi"/>
      <w:sz w:val="22"/>
      <w:szCs w:val="22"/>
    </w:rPr>
  </w:style>
  <w:style w:type="paragraph" w:styleId="BalloonText">
    <w:name w:val="Balloon Text"/>
    <w:basedOn w:val="Normal"/>
    <w:link w:val="BalloonTextChar"/>
    <w:rsid w:val="00E151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151B5"/>
    <w:rPr>
      <w:rFonts w:ascii="Segoe UI" w:hAnsi="Segoe UI" w:cs="Segoe UI"/>
      <w:sz w:val="18"/>
      <w:szCs w:val="18"/>
    </w:rPr>
  </w:style>
  <w:style w:type="character" w:styleId="CommentReference">
    <w:name w:val="annotation reference"/>
    <w:basedOn w:val="DefaultParagraphFont"/>
    <w:rsid w:val="006E72ED"/>
    <w:rPr>
      <w:sz w:val="16"/>
      <w:szCs w:val="16"/>
    </w:rPr>
  </w:style>
  <w:style w:type="paragraph" w:styleId="CommentText">
    <w:name w:val="annotation text"/>
    <w:basedOn w:val="Normal"/>
    <w:link w:val="CommentTextChar"/>
    <w:rsid w:val="006E72ED"/>
    <w:pPr>
      <w:spacing w:line="240" w:lineRule="auto"/>
    </w:pPr>
    <w:rPr>
      <w:sz w:val="20"/>
      <w:szCs w:val="20"/>
    </w:rPr>
  </w:style>
  <w:style w:type="character" w:customStyle="1" w:styleId="CommentTextChar">
    <w:name w:val="Comment Text Char"/>
    <w:basedOn w:val="DefaultParagraphFont"/>
    <w:link w:val="CommentText"/>
    <w:rsid w:val="006E72ED"/>
  </w:style>
  <w:style w:type="paragraph" w:styleId="CommentSubject">
    <w:name w:val="annotation subject"/>
    <w:basedOn w:val="CommentText"/>
    <w:next w:val="CommentText"/>
    <w:link w:val="CommentSubjectChar"/>
    <w:rsid w:val="006E72ED"/>
    <w:rPr>
      <w:b/>
      <w:bCs/>
    </w:rPr>
  </w:style>
  <w:style w:type="character" w:customStyle="1" w:styleId="CommentSubjectChar">
    <w:name w:val="Comment Subject Char"/>
    <w:basedOn w:val="CommentTextChar"/>
    <w:link w:val="CommentSubject"/>
    <w:rsid w:val="006E72ED"/>
    <w:rPr>
      <w:b/>
      <w:bCs/>
    </w:rPr>
  </w:style>
  <w:style w:type="character" w:styleId="FollowedHyperlink">
    <w:name w:val="FollowedHyperlink"/>
    <w:basedOn w:val="DefaultParagraphFont"/>
    <w:semiHidden/>
    <w:unhideWhenUsed/>
    <w:rsid w:val="00FB59D2"/>
    <w:rPr>
      <w:color w:val="954F72" w:themeColor="followedHyperlink"/>
      <w:u w:val="single"/>
    </w:rPr>
  </w:style>
  <w:style w:type="character" w:customStyle="1" w:styleId="Mention1">
    <w:name w:val="Mention1"/>
    <w:basedOn w:val="DefaultParagraphFont"/>
    <w:uiPriority w:val="99"/>
    <w:semiHidden/>
    <w:unhideWhenUsed/>
    <w:rsid w:val="003F59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ETDword</Template>
  <TotalTime>463</TotalTime>
  <Pages>36</Pages>
  <Words>8411</Words>
  <Characters>47947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56246</CharactersWithSpaces>
  <SharedDoc>false</SharedDoc>
  <HLinks>
    <vt:vector size="90" baseType="variant">
      <vt:variant>
        <vt:i4>1441850</vt:i4>
      </vt:variant>
      <vt:variant>
        <vt:i4>92</vt:i4>
      </vt:variant>
      <vt:variant>
        <vt:i4>0</vt:i4>
      </vt:variant>
      <vt:variant>
        <vt:i4>5</vt:i4>
      </vt:variant>
      <vt:variant>
        <vt:lpwstr/>
      </vt:variant>
      <vt:variant>
        <vt:lpwstr>_Toc114179880</vt:lpwstr>
      </vt:variant>
      <vt:variant>
        <vt:i4>1441850</vt:i4>
      </vt:variant>
      <vt:variant>
        <vt:i4>83</vt:i4>
      </vt:variant>
      <vt:variant>
        <vt:i4>0</vt:i4>
      </vt:variant>
      <vt:variant>
        <vt:i4>5</vt:i4>
      </vt:variant>
      <vt:variant>
        <vt:lpwstr/>
      </vt:variant>
      <vt:variant>
        <vt:lpwstr>_Toc114179887</vt:lpwstr>
      </vt:variant>
      <vt:variant>
        <vt:i4>1966139</vt:i4>
      </vt:variant>
      <vt:variant>
        <vt:i4>74</vt:i4>
      </vt:variant>
      <vt:variant>
        <vt:i4>0</vt:i4>
      </vt:variant>
      <vt:variant>
        <vt:i4>5</vt:i4>
      </vt:variant>
      <vt:variant>
        <vt:lpwstr/>
      </vt:variant>
      <vt:variant>
        <vt:lpwstr>_Toc114179905</vt:lpwstr>
      </vt:variant>
      <vt:variant>
        <vt:i4>1966139</vt:i4>
      </vt:variant>
      <vt:variant>
        <vt:i4>68</vt:i4>
      </vt:variant>
      <vt:variant>
        <vt:i4>0</vt:i4>
      </vt:variant>
      <vt:variant>
        <vt:i4>5</vt:i4>
      </vt:variant>
      <vt:variant>
        <vt:lpwstr/>
      </vt:variant>
      <vt:variant>
        <vt:lpwstr>_Toc114179904</vt:lpwstr>
      </vt:variant>
      <vt:variant>
        <vt:i4>1966139</vt:i4>
      </vt:variant>
      <vt:variant>
        <vt:i4>62</vt:i4>
      </vt:variant>
      <vt:variant>
        <vt:i4>0</vt:i4>
      </vt:variant>
      <vt:variant>
        <vt:i4>5</vt:i4>
      </vt:variant>
      <vt:variant>
        <vt:lpwstr/>
      </vt:variant>
      <vt:variant>
        <vt:lpwstr>_Toc114179903</vt:lpwstr>
      </vt:variant>
      <vt:variant>
        <vt:i4>1966139</vt:i4>
      </vt:variant>
      <vt:variant>
        <vt:i4>56</vt:i4>
      </vt:variant>
      <vt:variant>
        <vt:i4>0</vt:i4>
      </vt:variant>
      <vt:variant>
        <vt:i4>5</vt:i4>
      </vt:variant>
      <vt:variant>
        <vt:lpwstr/>
      </vt:variant>
      <vt:variant>
        <vt:lpwstr>_Toc114179902</vt:lpwstr>
      </vt:variant>
      <vt:variant>
        <vt:i4>1966139</vt:i4>
      </vt:variant>
      <vt:variant>
        <vt:i4>50</vt:i4>
      </vt:variant>
      <vt:variant>
        <vt:i4>0</vt:i4>
      </vt:variant>
      <vt:variant>
        <vt:i4>5</vt:i4>
      </vt:variant>
      <vt:variant>
        <vt:lpwstr/>
      </vt:variant>
      <vt:variant>
        <vt:lpwstr>_Toc114179901</vt:lpwstr>
      </vt:variant>
      <vt:variant>
        <vt:i4>1966139</vt:i4>
      </vt:variant>
      <vt:variant>
        <vt:i4>44</vt:i4>
      </vt:variant>
      <vt:variant>
        <vt:i4>0</vt:i4>
      </vt:variant>
      <vt:variant>
        <vt:i4>5</vt:i4>
      </vt:variant>
      <vt:variant>
        <vt:lpwstr/>
      </vt:variant>
      <vt:variant>
        <vt:lpwstr>_Toc114179900</vt:lpwstr>
      </vt:variant>
      <vt:variant>
        <vt:i4>1507386</vt:i4>
      </vt:variant>
      <vt:variant>
        <vt:i4>38</vt:i4>
      </vt:variant>
      <vt:variant>
        <vt:i4>0</vt:i4>
      </vt:variant>
      <vt:variant>
        <vt:i4>5</vt:i4>
      </vt:variant>
      <vt:variant>
        <vt:lpwstr/>
      </vt:variant>
      <vt:variant>
        <vt:lpwstr>_Toc114179899</vt:lpwstr>
      </vt:variant>
      <vt:variant>
        <vt:i4>1507386</vt:i4>
      </vt:variant>
      <vt:variant>
        <vt:i4>32</vt:i4>
      </vt:variant>
      <vt:variant>
        <vt:i4>0</vt:i4>
      </vt:variant>
      <vt:variant>
        <vt:i4>5</vt:i4>
      </vt:variant>
      <vt:variant>
        <vt:lpwstr/>
      </vt:variant>
      <vt:variant>
        <vt:lpwstr>_Toc114179898</vt:lpwstr>
      </vt:variant>
      <vt:variant>
        <vt:i4>1507386</vt:i4>
      </vt:variant>
      <vt:variant>
        <vt:i4>26</vt:i4>
      </vt:variant>
      <vt:variant>
        <vt:i4>0</vt:i4>
      </vt:variant>
      <vt:variant>
        <vt:i4>5</vt:i4>
      </vt:variant>
      <vt:variant>
        <vt:lpwstr/>
      </vt:variant>
      <vt:variant>
        <vt:lpwstr>_Toc114179897</vt:lpwstr>
      </vt:variant>
      <vt:variant>
        <vt:i4>1507386</vt:i4>
      </vt:variant>
      <vt:variant>
        <vt:i4>20</vt:i4>
      </vt:variant>
      <vt:variant>
        <vt:i4>0</vt:i4>
      </vt:variant>
      <vt:variant>
        <vt:i4>5</vt:i4>
      </vt:variant>
      <vt:variant>
        <vt:lpwstr/>
      </vt:variant>
      <vt:variant>
        <vt:lpwstr>_Toc114179896</vt:lpwstr>
      </vt:variant>
      <vt:variant>
        <vt:i4>1507386</vt:i4>
      </vt:variant>
      <vt:variant>
        <vt:i4>14</vt:i4>
      </vt:variant>
      <vt:variant>
        <vt:i4>0</vt:i4>
      </vt:variant>
      <vt:variant>
        <vt:i4>5</vt:i4>
      </vt:variant>
      <vt:variant>
        <vt:lpwstr/>
      </vt:variant>
      <vt:variant>
        <vt:lpwstr>_Toc114179895</vt:lpwstr>
      </vt:variant>
      <vt:variant>
        <vt:i4>1507386</vt:i4>
      </vt:variant>
      <vt:variant>
        <vt:i4>8</vt:i4>
      </vt:variant>
      <vt:variant>
        <vt:i4>0</vt:i4>
      </vt:variant>
      <vt:variant>
        <vt:i4>5</vt:i4>
      </vt:variant>
      <vt:variant>
        <vt:lpwstr/>
      </vt:variant>
      <vt:variant>
        <vt:lpwstr>_Toc114179894</vt:lpwstr>
      </vt:variant>
      <vt:variant>
        <vt:i4>1507386</vt:i4>
      </vt:variant>
      <vt:variant>
        <vt:i4>2</vt:i4>
      </vt:variant>
      <vt:variant>
        <vt:i4>0</vt:i4>
      </vt:variant>
      <vt:variant>
        <vt:i4>5</vt:i4>
      </vt:variant>
      <vt:variant>
        <vt:lpwstr/>
      </vt:variant>
      <vt:variant>
        <vt:lpwstr>_Toc114179893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rlh52</dc:creator>
  <cp:lastModifiedBy>Ferguson, Robert</cp:lastModifiedBy>
  <cp:revision>14</cp:revision>
  <cp:lastPrinted>2015-02-09T12:23:00Z</cp:lastPrinted>
  <dcterms:created xsi:type="dcterms:W3CDTF">2017-03-29T18:11:00Z</dcterms:created>
  <dcterms:modified xsi:type="dcterms:W3CDTF">2017-04-22T13:33:00Z</dcterms:modified>
</cp:coreProperties>
</file>