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47661" w14:textId="571DF201" w:rsidR="004E3B59" w:rsidRPr="00A96976" w:rsidRDefault="00711F33" w:rsidP="00BF2B29">
      <w:pPr>
        <w:ind w:firstLine="0"/>
      </w:pPr>
      <w:r>
        <w:rPr>
          <w:noProof/>
        </w:rPr>
        <w:pict w14:anchorId="32147D76">
          <v:shapetype id="_x0000_t202" coordsize="21600,21600" o:spt="202" path="m,l,21600r21600,l21600,xe">
            <v:stroke joinstyle="miter"/>
            <v:path gradientshapeok="t" o:connecttype="rect"/>
          </v:shapetype>
          <v:shape id="Text Box 14" o:spid="_x0000_s1029" type="#_x0000_t202" style="position:absolute;left:0;text-align:left;margin-left:1in;margin-top:90pt;width:468pt;height:6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YPegIAAAE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" stroked="f">
            <v:textbox inset="0,0,0,0">
              <w:txbxContent>
                <w:p w14:paraId="586E20AA" w14:textId="5E80E24F" w:rsidR="00CB28D9" w:rsidRDefault="005D75B3" w:rsidP="007009BB">
                  <w:pPr>
                    <w:spacing w:line="240" w:lineRule="auto"/>
                    <w:ind w:firstLine="0"/>
                    <w:jc w:val="center"/>
                    <w:rPr>
                      <w:b/>
                    </w:rPr>
                  </w:pPr>
                  <w:r>
                    <w:rPr>
                      <w:b/>
                    </w:rPr>
                    <w:t>IMPROVING QUALITY OF INTRAVENOUS (IV) PRODUCTS THROUGH THE USE OF TECHNOLOGY-ASSISTED WORKFLOW SYSTEMS (TAWF)</w:t>
                  </w:r>
                </w:p>
                <w:p w14:paraId="13E7F818" w14:textId="77777777" w:rsidR="00CB28D9" w:rsidRDefault="00CB28D9" w:rsidP="00536110">
                  <w:pPr>
                    <w:spacing w:line="240" w:lineRule="auto"/>
                    <w:ind w:firstLine="0"/>
                    <w:jc w:val="center"/>
                    <w:rPr>
                      <w:b/>
                    </w:rPr>
                  </w:pPr>
                </w:p>
                <w:p w14:paraId="45257E7F" w14:textId="77777777" w:rsidR="00CB28D9" w:rsidRDefault="00CB28D9" w:rsidP="00536110">
                  <w:pPr>
                    <w:spacing w:line="240" w:lineRule="auto"/>
                    <w:ind w:firstLine="0"/>
                    <w:jc w:val="center"/>
                    <w:rPr>
                      <w:b/>
                    </w:rPr>
                  </w:pPr>
                </w:p>
                <w:p w14:paraId="4A729671" w14:textId="77777777" w:rsidR="00CB28D9" w:rsidRDefault="00CB28D9" w:rsidP="00536110">
                  <w:pPr>
                    <w:spacing w:line="240" w:lineRule="auto"/>
                    <w:ind w:firstLine="0"/>
                    <w:jc w:val="center"/>
                    <w:rPr>
                      <w:b/>
                    </w:rPr>
                  </w:pPr>
                </w:p>
                <w:p w14:paraId="290251C2" w14:textId="77777777" w:rsidR="00CB28D9" w:rsidRDefault="00CB28D9" w:rsidP="00536110">
                  <w:pPr>
                    <w:spacing w:line="240" w:lineRule="auto"/>
                    <w:ind w:firstLine="0"/>
                    <w:jc w:val="center"/>
                    <w:rPr>
                      <w:b/>
                    </w:rPr>
                  </w:pPr>
                </w:p>
                <w:p w14:paraId="590737BF" w14:textId="77777777" w:rsidR="00CB28D9" w:rsidRDefault="00CB28D9" w:rsidP="00536110">
                  <w:pPr>
                    <w:spacing w:line="240" w:lineRule="auto"/>
                    <w:ind w:firstLine="0"/>
                    <w:jc w:val="center"/>
                    <w:rPr>
                      <w:b/>
                    </w:rPr>
                  </w:pPr>
                </w:p>
                <w:p w14:paraId="04F2840A" w14:textId="77777777" w:rsidR="00CB28D9" w:rsidRDefault="00CB28D9" w:rsidP="00536110">
                  <w:pPr>
                    <w:spacing w:line="240" w:lineRule="auto"/>
                    <w:ind w:firstLine="0"/>
                    <w:jc w:val="center"/>
                    <w:rPr>
                      <w:b/>
                    </w:rPr>
                  </w:pPr>
                </w:p>
                <w:p w14:paraId="66C02B74" w14:textId="77777777" w:rsidR="00CB28D9" w:rsidRDefault="00CB28D9" w:rsidP="00536110">
                  <w:pPr>
                    <w:spacing w:line="240" w:lineRule="auto"/>
                    <w:ind w:firstLine="0"/>
                    <w:jc w:val="center"/>
                    <w:rPr>
                      <w:b/>
                    </w:rPr>
                  </w:pPr>
                </w:p>
                <w:p w14:paraId="754FE757" w14:textId="77777777" w:rsidR="00CB28D9" w:rsidRDefault="00CB28D9" w:rsidP="00536110">
                  <w:pPr>
                    <w:spacing w:line="240" w:lineRule="auto"/>
                    <w:ind w:firstLine="0"/>
                    <w:jc w:val="center"/>
                    <w:rPr>
                      <w:b/>
                    </w:rPr>
                  </w:pPr>
                </w:p>
                <w:p w14:paraId="156AEB85" w14:textId="77777777" w:rsidR="00CB28D9" w:rsidRDefault="00CB28D9" w:rsidP="00536110">
                  <w:pPr>
                    <w:spacing w:line="240" w:lineRule="auto"/>
                    <w:ind w:firstLine="0"/>
                    <w:jc w:val="center"/>
                    <w:rPr>
                      <w:b/>
                    </w:rPr>
                  </w:pPr>
                </w:p>
                <w:p w14:paraId="41DA0AFC" w14:textId="77777777" w:rsidR="00CB28D9" w:rsidRDefault="00CB28D9" w:rsidP="00B57E9B">
                  <w:pPr>
                    <w:ind w:firstLine="0"/>
                    <w:jc w:val="center"/>
                  </w:pPr>
                  <w:r>
                    <w:t>by</w:t>
                  </w:r>
                </w:p>
                <w:p w14:paraId="64E42BD4" w14:textId="77777777" w:rsidR="00CB28D9" w:rsidRDefault="00CB28D9" w:rsidP="00B57E9B">
                  <w:pPr>
                    <w:ind w:firstLine="0"/>
                    <w:jc w:val="center"/>
                  </w:pPr>
                  <w:r>
                    <w:t>Nilofar Jafari</w:t>
                  </w:r>
                </w:p>
                <w:p w14:paraId="20724C65" w14:textId="77777777" w:rsidR="00CB28D9" w:rsidRDefault="00CB28D9" w:rsidP="00580BA7">
                  <w:pPr>
                    <w:ind w:firstLine="0"/>
                    <w:jc w:val="center"/>
                  </w:pPr>
                  <w:r>
                    <w:t>PharmD, Virginia Commonwealth University School of Pharmacy, 2015</w:t>
                  </w:r>
                </w:p>
                <w:p w14:paraId="5BE97324" w14:textId="77777777" w:rsidR="00CB28D9" w:rsidRDefault="00CB28D9" w:rsidP="00536110">
                  <w:pPr>
                    <w:spacing w:line="240" w:lineRule="auto"/>
                    <w:ind w:firstLine="0"/>
                    <w:jc w:val="center"/>
                    <w:rPr>
                      <w:b/>
                    </w:rPr>
                  </w:pPr>
                </w:p>
                <w:p w14:paraId="25F30B9D" w14:textId="77777777" w:rsidR="00CB28D9" w:rsidRDefault="00CB28D9" w:rsidP="00536110">
                  <w:pPr>
                    <w:spacing w:line="240" w:lineRule="auto"/>
                    <w:ind w:firstLine="0"/>
                    <w:jc w:val="center"/>
                    <w:rPr>
                      <w:b/>
                    </w:rPr>
                  </w:pPr>
                </w:p>
                <w:p w14:paraId="78115036" w14:textId="77777777" w:rsidR="00CB28D9" w:rsidRDefault="00CB28D9" w:rsidP="00536110">
                  <w:pPr>
                    <w:spacing w:line="240" w:lineRule="auto"/>
                    <w:ind w:firstLine="0"/>
                    <w:jc w:val="center"/>
                    <w:rPr>
                      <w:b/>
                    </w:rPr>
                  </w:pPr>
                </w:p>
                <w:p w14:paraId="4B3F2113" w14:textId="77777777" w:rsidR="00CB28D9" w:rsidRDefault="00CB28D9" w:rsidP="00536110">
                  <w:pPr>
                    <w:spacing w:line="240" w:lineRule="auto"/>
                    <w:ind w:firstLine="0"/>
                    <w:jc w:val="center"/>
                    <w:rPr>
                      <w:b/>
                    </w:rPr>
                  </w:pPr>
                </w:p>
                <w:p w14:paraId="4FE4C0AD" w14:textId="77777777" w:rsidR="00CB28D9" w:rsidRDefault="00CB28D9" w:rsidP="00536110">
                  <w:pPr>
                    <w:spacing w:line="240" w:lineRule="auto"/>
                    <w:ind w:firstLine="0"/>
                    <w:jc w:val="center"/>
                    <w:rPr>
                      <w:b/>
                    </w:rPr>
                  </w:pPr>
                </w:p>
                <w:p w14:paraId="15C08078" w14:textId="77777777" w:rsidR="00CB28D9" w:rsidRDefault="00CB28D9" w:rsidP="00536110">
                  <w:pPr>
                    <w:spacing w:line="240" w:lineRule="auto"/>
                    <w:ind w:firstLine="0"/>
                    <w:jc w:val="center"/>
                    <w:rPr>
                      <w:b/>
                    </w:rPr>
                  </w:pPr>
                </w:p>
                <w:p w14:paraId="150D4A59" w14:textId="77777777" w:rsidR="00CB28D9" w:rsidRDefault="00CB28D9" w:rsidP="00536110">
                  <w:pPr>
                    <w:spacing w:line="240" w:lineRule="auto"/>
                    <w:ind w:firstLine="0"/>
                    <w:jc w:val="center"/>
                    <w:rPr>
                      <w:b/>
                    </w:rPr>
                  </w:pPr>
                </w:p>
                <w:p w14:paraId="39E9E823" w14:textId="77777777" w:rsidR="00CB28D9" w:rsidRDefault="00CB28D9" w:rsidP="00B57E9B">
                  <w:pPr>
                    <w:ind w:firstLine="0"/>
                    <w:jc w:val="center"/>
                  </w:pPr>
                  <w:r>
                    <w:t>Submitted to the Graduate Faculty of</w:t>
                  </w:r>
                </w:p>
                <w:p w14:paraId="5D7B5C35" w14:textId="4ED54650" w:rsidR="00CB28D9" w:rsidRDefault="00CB28D9" w:rsidP="00B57E9B">
                  <w:pPr>
                    <w:ind w:firstLine="0"/>
                    <w:jc w:val="center"/>
                  </w:pPr>
                  <w:r>
                    <w:t>Multidisciplinary Master of Public Health</w:t>
                  </w:r>
                </w:p>
                <w:p w14:paraId="608D40C2" w14:textId="77777777" w:rsidR="00CB28D9" w:rsidRDefault="00CB28D9" w:rsidP="00B57E9B">
                  <w:pPr>
                    <w:ind w:firstLine="0"/>
                    <w:jc w:val="center"/>
                  </w:pPr>
                  <w:r>
                    <w:t xml:space="preserve">Graduate School of Public Health in partial fulfillment </w:t>
                  </w:r>
                </w:p>
                <w:p w14:paraId="25FA34B6" w14:textId="77777777" w:rsidR="00CB28D9" w:rsidRDefault="00CB28D9" w:rsidP="00B57E9B">
                  <w:pPr>
                    <w:ind w:firstLine="0"/>
                    <w:jc w:val="center"/>
                  </w:pPr>
                  <w:r>
                    <w:t>of the requirements for the degree of</w:t>
                  </w:r>
                </w:p>
                <w:p w14:paraId="0AC4E29E" w14:textId="77777777" w:rsidR="00CB28D9" w:rsidRDefault="00CB28D9" w:rsidP="00CE4C74">
                  <w:pPr>
                    <w:ind w:firstLine="0"/>
                    <w:jc w:val="center"/>
                  </w:pPr>
                  <w:r>
                    <w:t>Master of Public Health</w:t>
                  </w:r>
                </w:p>
                <w:p w14:paraId="3E36793A" w14:textId="77777777" w:rsidR="00CB28D9" w:rsidRDefault="00CB28D9" w:rsidP="00536110">
                  <w:pPr>
                    <w:spacing w:line="240" w:lineRule="auto"/>
                    <w:ind w:firstLine="0"/>
                    <w:jc w:val="center"/>
                  </w:pPr>
                </w:p>
                <w:p w14:paraId="4AD577E4" w14:textId="77777777" w:rsidR="00CB28D9" w:rsidRDefault="00CB28D9" w:rsidP="00B57E9B">
                  <w:pPr>
                    <w:spacing w:line="240" w:lineRule="auto"/>
                    <w:ind w:firstLine="0"/>
                    <w:jc w:val="center"/>
                  </w:pPr>
                </w:p>
                <w:p w14:paraId="7A654D27" w14:textId="77777777" w:rsidR="00CB28D9" w:rsidRDefault="00CB28D9" w:rsidP="00B57E9B">
                  <w:pPr>
                    <w:spacing w:line="240" w:lineRule="auto"/>
                    <w:ind w:firstLine="0"/>
                    <w:jc w:val="center"/>
                  </w:pPr>
                </w:p>
                <w:p w14:paraId="1B4DBD84" w14:textId="77777777" w:rsidR="00CB28D9" w:rsidRDefault="00CB28D9" w:rsidP="00B57E9B">
                  <w:pPr>
                    <w:spacing w:line="240" w:lineRule="auto"/>
                    <w:ind w:firstLine="0"/>
                    <w:jc w:val="center"/>
                  </w:pPr>
                </w:p>
                <w:p w14:paraId="106C3D9C" w14:textId="77777777" w:rsidR="00CB28D9" w:rsidRDefault="00CB28D9" w:rsidP="00B57E9B">
                  <w:pPr>
                    <w:spacing w:line="240" w:lineRule="auto"/>
                    <w:ind w:firstLine="0"/>
                    <w:jc w:val="center"/>
                  </w:pPr>
                </w:p>
                <w:p w14:paraId="2384362E" w14:textId="77777777" w:rsidR="00CB28D9" w:rsidRDefault="00CB28D9" w:rsidP="00B57E9B">
                  <w:pPr>
                    <w:spacing w:line="240" w:lineRule="auto"/>
                    <w:ind w:firstLine="0"/>
                    <w:jc w:val="center"/>
                  </w:pPr>
                </w:p>
                <w:p w14:paraId="221F5882" w14:textId="77777777" w:rsidR="00CB28D9" w:rsidRDefault="00CB28D9" w:rsidP="00B57E9B">
                  <w:pPr>
                    <w:spacing w:line="240" w:lineRule="auto"/>
                    <w:ind w:firstLine="0"/>
                    <w:jc w:val="center"/>
                  </w:pPr>
                </w:p>
                <w:p w14:paraId="279325E1" w14:textId="77777777" w:rsidR="00CB28D9" w:rsidRDefault="00CB28D9" w:rsidP="00B57E9B">
                  <w:pPr>
                    <w:spacing w:line="240" w:lineRule="auto"/>
                    <w:ind w:firstLine="0"/>
                    <w:jc w:val="center"/>
                  </w:pPr>
                </w:p>
                <w:p w14:paraId="5320FA7C" w14:textId="77777777" w:rsidR="00CB28D9" w:rsidRDefault="00CB28D9" w:rsidP="00B57E9B">
                  <w:pPr>
                    <w:spacing w:line="240" w:lineRule="auto"/>
                    <w:ind w:firstLine="0"/>
                    <w:jc w:val="center"/>
                  </w:pPr>
                </w:p>
                <w:p w14:paraId="33364768" w14:textId="77777777" w:rsidR="00CB28D9" w:rsidRDefault="00CB28D9" w:rsidP="00B57E9B">
                  <w:pPr>
                    <w:spacing w:line="240" w:lineRule="auto"/>
                    <w:ind w:firstLine="0"/>
                    <w:jc w:val="center"/>
                  </w:pPr>
                </w:p>
                <w:p w14:paraId="445E2AE3" w14:textId="77777777" w:rsidR="00CB28D9" w:rsidRPr="00AB08F3" w:rsidRDefault="00CB28D9" w:rsidP="00337CC7">
                  <w:pPr>
                    <w:ind w:firstLine="0"/>
                    <w:jc w:val="center"/>
                  </w:pPr>
                  <w:r w:rsidRPr="00AB08F3">
                    <w:t>University of Pittsburg</w:t>
                  </w:r>
                  <w:r>
                    <w:t>h</w:t>
                  </w:r>
                </w:p>
                <w:p w14:paraId="6BA01297" w14:textId="77777777" w:rsidR="00CB28D9" w:rsidRPr="00AB08F3" w:rsidRDefault="00CB28D9" w:rsidP="00B57E9B">
                  <w:pPr>
                    <w:ind w:firstLine="0"/>
                    <w:jc w:val="center"/>
                    <w:rPr>
                      <w:noProof/>
                    </w:rPr>
                  </w:pPr>
                  <w:r>
                    <w:t>2016</w:t>
                  </w:r>
                </w:p>
                <w:p w14:paraId="76F619AC" w14:textId="77777777" w:rsidR="00CB28D9" w:rsidRPr="004E3B59" w:rsidRDefault="00CB28D9" w:rsidP="006B1124">
                  <w:pPr>
                    <w:ind w:firstLine="0"/>
                    <w:jc w:val="center"/>
                    <w:rPr>
                      <w:b/>
                    </w:rPr>
                  </w:pPr>
                </w:p>
              </w:txbxContent>
            </v:textbox>
            <w10:wrap type="square" anchorx="page" anchory="page"/>
          </v:shape>
        </w:pict>
      </w:r>
    </w:p>
    <w:p w14:paraId="063E443A" w14:textId="188B4D38" w:rsidR="0028782F" w:rsidRPr="00A96976" w:rsidRDefault="00711F33" w:rsidP="00F131FA">
      <w:pPr>
        <w:pStyle w:val="Noindent"/>
        <w:spacing w:line="240" w:lineRule="auto"/>
        <w:jc w:val="center"/>
        <w:rPr>
          <w:b/>
        </w:rPr>
      </w:pPr>
      <w:r>
        <w:rPr>
          <w:noProof/>
        </w:rPr>
        <w:lastRenderedPageBreak/>
        <w:pict w14:anchorId="0590A15E">
          <v:shape id="Text Box 26" o:spid="_x0000_s1028" type="#_x0000_t202" style="position:absolute;left:0;text-align:left;margin-left:0;margin-top:24pt;width:468pt;height:570.2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Oy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" stroked="f">
            <v:textbox>
              <w:txbxContent>
                <w:p w14:paraId="764A57F6" w14:textId="77777777" w:rsidR="00CB28D9" w:rsidRDefault="00CB28D9" w:rsidP="006B1124">
                  <w:pPr>
                    <w:ind w:firstLine="0"/>
                    <w:jc w:val="center"/>
                  </w:pPr>
                  <w:r>
                    <w:t>UNIVERSITY OF PITTSBURGH</w:t>
                  </w:r>
                </w:p>
                <w:p w14:paraId="1D1D659D" w14:textId="77777777" w:rsidR="00CB28D9" w:rsidRDefault="00CB28D9" w:rsidP="00536110">
                  <w:pPr>
                    <w:spacing w:line="240" w:lineRule="auto"/>
                    <w:ind w:firstLine="0"/>
                    <w:jc w:val="center"/>
                  </w:pPr>
                  <w:r>
                    <w:t>GRADUATE SCHOOL OF PUBLIC HEALTH</w:t>
                  </w:r>
                </w:p>
                <w:p w14:paraId="0BD00B95" w14:textId="77777777" w:rsidR="00CB28D9" w:rsidRDefault="00CB28D9" w:rsidP="00536110">
                  <w:pPr>
                    <w:spacing w:line="240" w:lineRule="auto"/>
                    <w:ind w:firstLine="0"/>
                    <w:jc w:val="center"/>
                  </w:pPr>
                </w:p>
                <w:p w14:paraId="47591AE9" w14:textId="77777777" w:rsidR="00CB28D9" w:rsidRDefault="00CB28D9" w:rsidP="00536110">
                  <w:pPr>
                    <w:spacing w:line="240" w:lineRule="auto"/>
                    <w:ind w:firstLine="0"/>
                    <w:jc w:val="center"/>
                  </w:pPr>
                </w:p>
                <w:p w14:paraId="406A36EF" w14:textId="77777777" w:rsidR="00CB28D9" w:rsidRDefault="00CB28D9" w:rsidP="00536110">
                  <w:pPr>
                    <w:spacing w:line="240" w:lineRule="auto"/>
                    <w:ind w:firstLine="0"/>
                    <w:jc w:val="center"/>
                  </w:pPr>
                </w:p>
                <w:p w14:paraId="45CA43F1" w14:textId="77777777" w:rsidR="00CB28D9" w:rsidRDefault="00CB28D9" w:rsidP="00536110">
                  <w:pPr>
                    <w:spacing w:line="240" w:lineRule="auto"/>
                    <w:ind w:firstLine="0"/>
                    <w:jc w:val="center"/>
                  </w:pPr>
                </w:p>
                <w:p w14:paraId="7B9D5B93" w14:textId="77777777" w:rsidR="00CB28D9" w:rsidRDefault="00CB28D9" w:rsidP="00536110">
                  <w:pPr>
                    <w:spacing w:line="240" w:lineRule="auto"/>
                    <w:ind w:firstLine="0"/>
                    <w:jc w:val="center"/>
                  </w:pPr>
                </w:p>
                <w:p w14:paraId="5ECF0D3D" w14:textId="77777777" w:rsidR="00CB28D9" w:rsidRDefault="00CB28D9" w:rsidP="00536110">
                  <w:pPr>
                    <w:spacing w:line="240" w:lineRule="auto"/>
                    <w:ind w:firstLine="0"/>
                    <w:jc w:val="center"/>
                  </w:pPr>
                </w:p>
                <w:p w14:paraId="483BBA4C" w14:textId="77777777" w:rsidR="00CB28D9" w:rsidRDefault="00CB28D9" w:rsidP="006A5780">
                  <w:pPr>
                    <w:ind w:firstLine="0"/>
                    <w:jc w:val="center"/>
                  </w:pPr>
                  <w:r>
                    <w:t>This essay is submitted</w:t>
                  </w:r>
                </w:p>
                <w:p w14:paraId="3666C6FB" w14:textId="77777777" w:rsidR="00CB28D9" w:rsidRDefault="00CB28D9" w:rsidP="006B1124">
                  <w:pPr>
                    <w:ind w:firstLine="0"/>
                    <w:jc w:val="center"/>
                  </w:pPr>
                  <w:r>
                    <w:t>by</w:t>
                  </w:r>
                </w:p>
                <w:p w14:paraId="1FEC6F11" w14:textId="77777777" w:rsidR="00CB28D9" w:rsidRDefault="00CB28D9" w:rsidP="006A5780">
                  <w:pPr>
                    <w:spacing w:line="240" w:lineRule="auto"/>
                    <w:ind w:firstLine="0"/>
                    <w:jc w:val="center"/>
                  </w:pPr>
                  <w:r>
                    <w:t>Nilofar Jafari</w:t>
                  </w:r>
                </w:p>
                <w:p w14:paraId="4C6D9785" w14:textId="77777777" w:rsidR="00CB28D9" w:rsidRDefault="00CB28D9" w:rsidP="006A5780">
                  <w:pPr>
                    <w:spacing w:line="240" w:lineRule="auto"/>
                    <w:ind w:firstLine="0"/>
                    <w:jc w:val="center"/>
                  </w:pPr>
                </w:p>
                <w:p w14:paraId="235AB9F0" w14:textId="77777777" w:rsidR="00CB28D9" w:rsidRDefault="00CB28D9" w:rsidP="006A5780">
                  <w:pPr>
                    <w:spacing w:line="240" w:lineRule="auto"/>
                    <w:ind w:firstLine="0"/>
                    <w:jc w:val="center"/>
                  </w:pPr>
                  <w:r>
                    <w:t>on</w:t>
                  </w:r>
                </w:p>
                <w:p w14:paraId="6A9BDFE3" w14:textId="77777777" w:rsidR="00CB28D9" w:rsidRDefault="00CB28D9" w:rsidP="006A5780">
                  <w:pPr>
                    <w:spacing w:line="240" w:lineRule="auto"/>
                    <w:ind w:firstLine="0"/>
                    <w:jc w:val="center"/>
                  </w:pPr>
                </w:p>
                <w:p w14:paraId="78E8EE0A" w14:textId="71B32250" w:rsidR="00CB28D9" w:rsidRDefault="00554B77" w:rsidP="006A5780">
                  <w:pPr>
                    <w:spacing w:line="240" w:lineRule="auto"/>
                    <w:ind w:firstLine="0"/>
                    <w:jc w:val="center"/>
                  </w:pPr>
                  <w:r>
                    <w:t>December 14</w:t>
                  </w:r>
                  <w:r w:rsidR="00CB28D9">
                    <w:t>, 2016</w:t>
                  </w:r>
                </w:p>
                <w:p w14:paraId="1B00E906" w14:textId="77777777" w:rsidR="00CB28D9" w:rsidRPr="00435D33" w:rsidRDefault="00CB28D9" w:rsidP="006A5780">
                  <w:pPr>
                    <w:ind w:firstLine="0"/>
                    <w:jc w:val="center"/>
                  </w:pPr>
                </w:p>
                <w:p w14:paraId="0CF85A88" w14:textId="77777777" w:rsidR="00CB28D9" w:rsidRDefault="00CB28D9" w:rsidP="006A5780">
                  <w:pPr>
                    <w:ind w:firstLine="0"/>
                    <w:jc w:val="center"/>
                  </w:pPr>
                  <w:r>
                    <w:t>and approved by</w:t>
                  </w:r>
                </w:p>
                <w:p w14:paraId="2EB5D498" w14:textId="77777777" w:rsidR="00CB28D9" w:rsidRDefault="00CB28D9" w:rsidP="006A5780">
                  <w:pPr>
                    <w:ind w:firstLine="0"/>
                    <w:jc w:val="center"/>
                  </w:pPr>
                </w:p>
                <w:p w14:paraId="10A9A61C" w14:textId="77777777" w:rsidR="00CB28D9" w:rsidRPr="00D26432" w:rsidRDefault="00CB28D9" w:rsidP="00030D3B">
                  <w:pPr>
                    <w:spacing w:line="240" w:lineRule="auto"/>
                    <w:ind w:firstLine="0"/>
                    <w:rPr>
                      <w:b/>
                    </w:rPr>
                  </w:pPr>
                  <w:r w:rsidRPr="00D26432">
                    <w:rPr>
                      <w:b/>
                    </w:rPr>
                    <w:t>Essay Advisor:</w:t>
                  </w:r>
                </w:p>
                <w:p w14:paraId="5756404F" w14:textId="77777777" w:rsidR="00CB28D9" w:rsidRDefault="00CB28D9" w:rsidP="00030D3B">
                  <w:pPr>
                    <w:spacing w:line="240" w:lineRule="auto"/>
                    <w:ind w:firstLine="0"/>
                  </w:pPr>
                  <w:r>
                    <w:t>David Finegold, MD</w:t>
                  </w:r>
                  <w:r>
                    <w:tab/>
                  </w:r>
                  <w:r>
                    <w:tab/>
                  </w:r>
                  <w:r>
                    <w:tab/>
                  </w:r>
                  <w:r>
                    <w:tab/>
                    <w:t>______________________________________</w:t>
                  </w:r>
                </w:p>
                <w:p w14:paraId="22EE031F" w14:textId="77777777" w:rsidR="00CB28D9" w:rsidRDefault="00CB28D9" w:rsidP="00030D3B">
                  <w:pPr>
                    <w:spacing w:line="240" w:lineRule="auto"/>
                    <w:ind w:firstLine="0"/>
                  </w:pPr>
                  <w:r>
                    <w:t>Director</w:t>
                  </w:r>
                </w:p>
                <w:p w14:paraId="1FFA8FBC" w14:textId="77777777" w:rsidR="00CB28D9" w:rsidRDefault="00CB28D9" w:rsidP="00030D3B">
                  <w:pPr>
                    <w:spacing w:line="240" w:lineRule="auto"/>
                    <w:ind w:firstLine="0"/>
                  </w:pPr>
                  <w:r>
                    <w:t>Multidisciplinary Master of Public Health</w:t>
                  </w:r>
                </w:p>
                <w:p w14:paraId="6A68E01C" w14:textId="77777777" w:rsidR="00CB28D9" w:rsidRDefault="00CB28D9" w:rsidP="00030D3B">
                  <w:pPr>
                    <w:spacing w:line="240" w:lineRule="auto"/>
                    <w:ind w:firstLine="0"/>
                  </w:pPr>
                  <w:r>
                    <w:t>Professor, Human Genetics</w:t>
                  </w:r>
                </w:p>
                <w:p w14:paraId="546A7095" w14:textId="77777777" w:rsidR="00CB28D9" w:rsidRDefault="00CB28D9" w:rsidP="00030D3B">
                  <w:pPr>
                    <w:spacing w:line="240" w:lineRule="auto"/>
                    <w:ind w:firstLine="0"/>
                  </w:pPr>
                  <w:r>
                    <w:t>Graduate School of Public Health</w:t>
                  </w:r>
                </w:p>
                <w:p w14:paraId="126DD8E0" w14:textId="77777777" w:rsidR="00CB28D9" w:rsidRDefault="00CB28D9" w:rsidP="00030D3B">
                  <w:pPr>
                    <w:spacing w:line="240" w:lineRule="auto"/>
                    <w:ind w:firstLine="0"/>
                  </w:pPr>
                  <w:r>
                    <w:t>University of Pittsburgh</w:t>
                  </w:r>
                </w:p>
                <w:p w14:paraId="1B25CD90" w14:textId="77777777" w:rsidR="00CB28D9" w:rsidRDefault="00CB28D9" w:rsidP="00030D3B">
                  <w:pPr>
                    <w:spacing w:line="240" w:lineRule="auto"/>
                    <w:ind w:firstLine="0"/>
                  </w:pPr>
                </w:p>
                <w:p w14:paraId="144BCC08" w14:textId="77777777" w:rsidR="00CB28D9" w:rsidRDefault="00CB28D9" w:rsidP="00030D3B">
                  <w:pPr>
                    <w:spacing w:line="240" w:lineRule="auto"/>
                    <w:ind w:firstLine="0"/>
                  </w:pPr>
                </w:p>
                <w:p w14:paraId="3ADF03A8" w14:textId="77777777" w:rsidR="00CB28D9" w:rsidRPr="00D26432" w:rsidRDefault="00CB28D9" w:rsidP="00030D3B">
                  <w:pPr>
                    <w:spacing w:line="240" w:lineRule="auto"/>
                    <w:ind w:firstLine="0"/>
                    <w:rPr>
                      <w:b/>
                    </w:rPr>
                  </w:pPr>
                  <w:r w:rsidRPr="00D26432">
                    <w:rPr>
                      <w:b/>
                    </w:rPr>
                    <w:t>Essay Reader:</w:t>
                  </w:r>
                </w:p>
                <w:p w14:paraId="189C1914" w14:textId="77777777" w:rsidR="00CB28D9" w:rsidRDefault="00CB28D9" w:rsidP="00030D3B">
                  <w:pPr>
                    <w:spacing w:line="240" w:lineRule="auto"/>
                    <w:ind w:firstLine="0"/>
                  </w:pPr>
                  <w:r>
                    <w:t>Nicholas G. Castle, MHA, PhD</w:t>
                  </w:r>
                  <w:r>
                    <w:tab/>
                  </w:r>
                  <w:r>
                    <w:tab/>
                    <w:t>______________________________________</w:t>
                  </w:r>
                </w:p>
                <w:p w14:paraId="377ACDF6" w14:textId="77777777" w:rsidR="00CB28D9" w:rsidRDefault="00CB28D9" w:rsidP="00030D3B">
                  <w:pPr>
                    <w:spacing w:line="240" w:lineRule="auto"/>
                    <w:ind w:firstLine="0"/>
                  </w:pPr>
                  <w:r>
                    <w:t>Department of Health Policy and Management</w:t>
                  </w:r>
                </w:p>
                <w:p w14:paraId="7D3C2AF5" w14:textId="77777777" w:rsidR="00CB28D9" w:rsidRDefault="00CB28D9" w:rsidP="00030D3B">
                  <w:pPr>
                    <w:spacing w:line="240" w:lineRule="auto"/>
                    <w:ind w:firstLine="0"/>
                  </w:pPr>
                  <w:r>
                    <w:t>Graduate School of Public Health</w:t>
                  </w:r>
                </w:p>
                <w:p w14:paraId="0848FBFB" w14:textId="77777777" w:rsidR="00CB28D9" w:rsidRDefault="00CB28D9" w:rsidP="00030D3B">
                  <w:pPr>
                    <w:spacing w:line="240" w:lineRule="auto"/>
                    <w:ind w:firstLine="0"/>
                  </w:pPr>
                  <w:r>
                    <w:t>University of Pittsburgh</w:t>
                  </w:r>
                </w:p>
                <w:p w14:paraId="72F79323" w14:textId="77777777" w:rsidR="00CB28D9" w:rsidRDefault="00CB28D9" w:rsidP="00030D3B">
                  <w:pPr>
                    <w:spacing w:line="240" w:lineRule="auto"/>
                    <w:ind w:firstLine="0"/>
                  </w:pPr>
                </w:p>
                <w:p w14:paraId="1ED4A672" w14:textId="148A2085" w:rsidR="00CB28D9" w:rsidRDefault="00CB28D9" w:rsidP="006B1124">
                  <w:pPr>
                    <w:ind w:firstLine="0"/>
                    <w:jc w:val="center"/>
                  </w:pPr>
                </w:p>
                <w:p w14:paraId="120E3EA6" w14:textId="72216088" w:rsidR="005B57EC" w:rsidRDefault="005B57EC" w:rsidP="006B1124">
                  <w:pPr>
                    <w:ind w:firstLine="0"/>
                    <w:jc w:val="center"/>
                  </w:pPr>
                </w:p>
                <w:p w14:paraId="05812E5B" w14:textId="6E0C5AB6" w:rsidR="005B57EC" w:rsidRDefault="005B57EC" w:rsidP="006B1124">
                  <w:pPr>
                    <w:ind w:firstLine="0"/>
                    <w:jc w:val="center"/>
                  </w:pPr>
                </w:p>
                <w:p w14:paraId="6B00DF97" w14:textId="446BAC71" w:rsidR="005B57EC" w:rsidRDefault="005B57EC" w:rsidP="006B1124">
                  <w:pPr>
                    <w:ind w:firstLine="0"/>
                    <w:jc w:val="center"/>
                  </w:pPr>
                </w:p>
                <w:p w14:paraId="71C340EA" w14:textId="6EB8AFBA" w:rsidR="005B57EC" w:rsidRDefault="005B57EC" w:rsidP="006B1124">
                  <w:pPr>
                    <w:ind w:firstLine="0"/>
                    <w:jc w:val="center"/>
                  </w:pPr>
                </w:p>
                <w:p w14:paraId="3E3A70D3" w14:textId="51DCF0BD" w:rsidR="005B57EC" w:rsidRDefault="005B57EC" w:rsidP="006B1124">
                  <w:pPr>
                    <w:ind w:firstLine="0"/>
                    <w:jc w:val="center"/>
                  </w:pPr>
                </w:p>
                <w:p w14:paraId="240C5C20" w14:textId="77777777" w:rsidR="005B57EC" w:rsidRPr="00936D40" w:rsidRDefault="005B57EC" w:rsidP="006B1124">
                  <w:pPr>
                    <w:ind w:firstLine="0"/>
                    <w:jc w:val="center"/>
                  </w:pPr>
                </w:p>
              </w:txbxContent>
            </v:textbox>
            <w10:wrap type="square" anchorx="page" anchory="margin"/>
          </v:shape>
        </w:pict>
      </w:r>
      <w:r w:rsidR="00834193" w:rsidRPr="00A96976">
        <w:br w:type="page"/>
      </w:r>
      <w:r>
        <w:rPr>
          <w:noProof/>
        </w:rPr>
        <w:lastRenderedPageBreak/>
        <w:pict w14:anchorId="6022DEA6">
          <v:shape id="Text Box 30" o:spid="_x0000_s1027" type="#_x0000_t202" style="position:absolute;left:0;text-align:left;margin-left:67.8pt;margin-top:4in;width:468pt;height:278.2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QT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" stroked="f">
            <v:textbox>
              <w:txbxContent>
                <w:p w14:paraId="6E90F65C" w14:textId="77777777" w:rsidR="00CB28D9" w:rsidRDefault="00CB28D9" w:rsidP="006B1124">
                  <w:pPr>
                    <w:ind w:firstLine="0"/>
                    <w:jc w:val="center"/>
                  </w:pPr>
                  <w:r>
                    <w:t>Copyright © by Nilofar Jafari</w:t>
                  </w:r>
                </w:p>
                <w:p w14:paraId="4A481664" w14:textId="77777777" w:rsidR="00CB28D9" w:rsidRDefault="00CB28D9" w:rsidP="006B1124">
                  <w:pPr>
                    <w:ind w:firstLine="0"/>
                    <w:jc w:val="center"/>
                  </w:pPr>
                  <w:r>
                    <w:t>2016</w:t>
                  </w:r>
                </w:p>
              </w:txbxContent>
            </v:textbox>
            <w10:wrap type="square" anchorx="page" anchory="page"/>
          </v:shape>
        </w:pict>
      </w:r>
      <w:r w:rsidR="002D01B1" w:rsidRPr="00A96976">
        <w:br w:type="page"/>
      </w:r>
      <w:r w:rsidR="007F763B" w:rsidRPr="00A96976">
        <w:rPr>
          <w:b/>
        </w:rPr>
        <w:lastRenderedPageBreak/>
        <w:t>ABSTRACT</w:t>
      </w:r>
    </w:p>
    <w:p w14:paraId="1DCC2882" w14:textId="77777777" w:rsidR="007F763B" w:rsidRPr="00A96976" w:rsidRDefault="007F763B" w:rsidP="007F763B">
      <w:pPr>
        <w:pStyle w:val="Noindent"/>
        <w:spacing w:line="240" w:lineRule="auto"/>
      </w:pPr>
    </w:p>
    <w:p w14:paraId="0355CABF" w14:textId="3208B4D8" w:rsidR="006345C8" w:rsidRDefault="00711F33" w:rsidP="00F56410">
      <w:r>
        <w:rPr>
          <w:noProof/>
        </w:rPr>
        <w:pict w14:anchorId="65BA2ACC">
          <v:shape id="Text Box 33" o:spid="_x0000_s1026" type="#_x0000_t202" style="position:absolute;left:0;text-align:left;margin-left:0;margin-top:-17.5pt;width:468pt;height:160.75pt;z-index:251659264;visibility:visible;mso-wrap-style:non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" filled="f" stroked="f">
            <v:textbox>
              <w:txbxContent>
                <w:p w14:paraId="0ADC8685" w14:textId="77777777" w:rsidR="00CB28D9" w:rsidRDefault="00CB28D9" w:rsidP="00F131FA">
                  <w:pPr>
                    <w:ind w:firstLine="0"/>
                    <w:jc w:val="right"/>
                  </w:pPr>
                  <w:r>
                    <w:t>David Finegold, MD</w:t>
                  </w:r>
                </w:p>
                <w:p w14:paraId="49215CFB" w14:textId="77777777" w:rsidR="00CB28D9" w:rsidRPr="005F1BB6" w:rsidRDefault="00CB28D9" w:rsidP="005F1BB6">
                  <w:pPr>
                    <w:ind w:firstLine="0"/>
                    <w:jc w:val="right"/>
                  </w:pPr>
                </w:p>
                <w:p w14:paraId="624EC763" w14:textId="55D9CC0B" w:rsidR="00CB28D9" w:rsidRDefault="005B57EC" w:rsidP="0088724A">
                  <w:pPr>
                    <w:spacing w:line="240" w:lineRule="auto"/>
                    <w:ind w:firstLine="0"/>
                    <w:jc w:val="center"/>
                    <w:rPr>
                      <w:b/>
                    </w:rPr>
                  </w:pPr>
                  <w:r>
                    <w:rPr>
                      <w:b/>
                    </w:rPr>
                    <w:t>IMPROVING QUALITY OF INTRAVENOUS (IV) PRODUCTS THROUGH THE USE OF TECHNOLOGY-ASSISTED WORKFLOW SYSTEMS (TAWF)</w:t>
                  </w:r>
                </w:p>
                <w:p w14:paraId="28C2DF05" w14:textId="77777777" w:rsidR="00CB28D9" w:rsidRDefault="00CB28D9" w:rsidP="00861BD0">
                  <w:pPr>
                    <w:spacing w:line="240" w:lineRule="auto"/>
                    <w:ind w:firstLine="0"/>
                    <w:jc w:val="center"/>
                    <w:rPr>
                      <w:b/>
                    </w:rPr>
                  </w:pPr>
                </w:p>
                <w:p w14:paraId="56F28640" w14:textId="29459F79" w:rsidR="00CB28D9" w:rsidRDefault="00CB28D9" w:rsidP="006B1124">
                  <w:pPr>
                    <w:ind w:firstLine="0"/>
                    <w:jc w:val="center"/>
                  </w:pPr>
                  <w:r>
                    <w:t>Nilofar</w:t>
                  </w:r>
                  <w:r w:rsidR="005764A4">
                    <w:t xml:space="preserve"> Jafari</w:t>
                  </w:r>
                  <w:r>
                    <w:t>, MPH</w:t>
                  </w:r>
                </w:p>
                <w:p w14:paraId="3115315F" w14:textId="77777777" w:rsidR="00CB28D9" w:rsidRDefault="00CB28D9" w:rsidP="006B1124">
                  <w:pPr>
                    <w:ind w:firstLine="0"/>
                    <w:jc w:val="center"/>
                  </w:pPr>
                  <w:r>
                    <w:t>University of Pittsburgh, 2016</w:t>
                  </w:r>
                  <w:r>
                    <w:br w:type="page"/>
                  </w:r>
                </w:p>
              </w:txbxContent>
            </v:textbox>
            <w10:wrap type="square" anchory="margin"/>
          </v:shape>
        </w:pict>
      </w:r>
      <w:r w:rsidR="00396E27">
        <w:rPr>
          <w:shd w:val="clear" w:color="auto" w:fill="FFFFFF"/>
        </w:rPr>
        <w:t xml:space="preserve">The intravenous (IV) room is a high risk area where sterile compounding errors can occur. </w:t>
      </w:r>
      <w:r w:rsidR="006345C8" w:rsidRPr="005B1E1C">
        <w:rPr>
          <w:shd w:val="clear" w:color="auto" w:fill="FFFFFF"/>
        </w:rPr>
        <w:t xml:space="preserve">Technology-assisted workflow (TAWF) systems were developed </w:t>
      </w:r>
      <w:r w:rsidR="00396E27">
        <w:rPr>
          <w:shd w:val="clear" w:color="auto" w:fill="FFFFFF"/>
        </w:rPr>
        <w:t xml:space="preserve">for use in the IV </w:t>
      </w:r>
      <w:r w:rsidR="006345C8" w:rsidRPr="005B1E1C">
        <w:rPr>
          <w:shd w:val="clear" w:color="auto" w:fill="FFFFFF"/>
        </w:rPr>
        <w:t xml:space="preserve">room to improve patient safety. </w:t>
      </w:r>
      <w:r w:rsidR="006345C8">
        <w:rPr>
          <w:shd w:val="clear" w:color="auto" w:fill="FFFFFF"/>
        </w:rPr>
        <w:t xml:space="preserve">Through the use of </w:t>
      </w:r>
      <w:r w:rsidR="006345C8">
        <w:t>b</w:t>
      </w:r>
      <w:r w:rsidR="006345C8" w:rsidRPr="005B1E1C">
        <w:t>arcode scanning technology</w:t>
      </w:r>
      <w:r w:rsidR="006345C8">
        <w:t>, TAWF</w:t>
      </w:r>
      <w:r w:rsidR="006345C8" w:rsidRPr="005B1E1C">
        <w:t xml:space="preserve"> </w:t>
      </w:r>
      <w:r w:rsidR="006345C8">
        <w:t>systems intercept errors</w:t>
      </w:r>
      <w:r w:rsidR="006345C8" w:rsidRPr="005B1E1C">
        <w:t xml:space="preserve"> before the pharmacist </w:t>
      </w:r>
      <w:r w:rsidR="006345C8">
        <w:t>verifies the final drug product</w:t>
      </w:r>
      <w:r w:rsidR="006345C8" w:rsidRPr="005B1E1C">
        <w:rPr>
          <w:shd w:val="clear" w:color="auto" w:fill="FFFFFF"/>
        </w:rPr>
        <w:t>.</w:t>
      </w:r>
      <w:r w:rsidR="006345C8" w:rsidRPr="005B1E1C">
        <w:rPr>
          <w:rFonts w:eastAsia="Calibri"/>
        </w:rPr>
        <w:t xml:space="preserve"> </w:t>
      </w:r>
      <w:r w:rsidR="006345C8">
        <w:rPr>
          <w:rFonts w:eastAsia="Calibri"/>
        </w:rPr>
        <w:t>The technology also prioritizes</w:t>
      </w:r>
      <w:r w:rsidR="006345C8" w:rsidRPr="005B1E1C">
        <w:rPr>
          <w:rFonts w:eastAsia="Calibri"/>
        </w:rPr>
        <w:t xml:space="preserve"> </w:t>
      </w:r>
      <w:r w:rsidR="006345C8">
        <w:rPr>
          <w:rFonts w:eastAsia="Calibri"/>
        </w:rPr>
        <w:t xml:space="preserve">the production of doses based on administration due time allowing for increased </w:t>
      </w:r>
      <w:r w:rsidR="006345C8" w:rsidRPr="005B1E1C">
        <w:rPr>
          <w:rFonts w:eastAsia="Calibri"/>
        </w:rPr>
        <w:t xml:space="preserve">efficiency and reduction in waste volume. </w:t>
      </w:r>
      <w:r w:rsidR="006345C8" w:rsidRPr="005B1E1C">
        <w:t>This project was desig</w:t>
      </w:r>
      <w:r w:rsidR="00A90D18">
        <w:t xml:space="preserve">ned to evaluate the errors, </w:t>
      </w:r>
      <w:r w:rsidR="006345C8" w:rsidRPr="005B1E1C">
        <w:t>waste</w:t>
      </w:r>
      <w:r w:rsidR="00A90D18">
        <w:t xml:space="preserve">, and </w:t>
      </w:r>
      <w:r w:rsidR="00EE09FF">
        <w:t xml:space="preserve">workflow </w:t>
      </w:r>
      <w:r w:rsidR="00A90D18">
        <w:t>efficiency</w:t>
      </w:r>
      <w:r w:rsidR="006345C8" w:rsidRPr="005B1E1C">
        <w:t xml:space="preserve"> at a tertiary care hospital </w:t>
      </w:r>
      <w:r w:rsidR="00A90D18">
        <w:t xml:space="preserve">pre-implementation of a </w:t>
      </w:r>
      <w:r w:rsidR="006345C8">
        <w:t>TAWF</w:t>
      </w:r>
      <w:r w:rsidR="006345C8" w:rsidRPr="005B1E1C">
        <w:t xml:space="preserve"> system</w:t>
      </w:r>
      <w:r w:rsidR="00A90D18">
        <w:t xml:space="preserve"> and post-implementation of a TAWF</w:t>
      </w:r>
      <w:r w:rsidR="006345C8" w:rsidRPr="005B1E1C">
        <w:t>.</w:t>
      </w:r>
      <w:r w:rsidR="009659A8">
        <w:t xml:space="preserve"> </w:t>
      </w:r>
    </w:p>
    <w:p w14:paraId="2452D150" w14:textId="3A31774E" w:rsidR="00EE09FF" w:rsidRPr="00F47180" w:rsidRDefault="00EE09FF" w:rsidP="00EE09FF">
      <w:pPr>
        <w:rPr>
          <w:i/>
        </w:rPr>
      </w:pPr>
      <w:r w:rsidRPr="00F47180">
        <w:t xml:space="preserve">In order to measure </w:t>
      </w:r>
      <w:r w:rsidRPr="00EE09FF">
        <w:t>the TAWF system’s</w:t>
      </w:r>
      <w:r w:rsidRPr="00F47180">
        <w:t xml:space="preserve"> effect in preventing and reducing medication errors, medication occurrences from 2009, 2010, and 2011 were analyzed. </w:t>
      </w:r>
      <w:r>
        <w:t xml:space="preserve">To measure </w:t>
      </w:r>
      <w:r w:rsidRPr="00F47180">
        <w:t>IV product waste, d</w:t>
      </w:r>
      <w:r w:rsidR="002C7B51">
        <w:t xml:space="preserve">ata from four </w:t>
      </w:r>
      <w:r w:rsidRPr="00F47180">
        <w:t xml:space="preserve">quarterly two week audits that were conducted before the implementation of </w:t>
      </w:r>
      <w:r>
        <w:t>the TAWF</w:t>
      </w:r>
      <w:r w:rsidR="002C7B51">
        <w:t xml:space="preserve"> and four </w:t>
      </w:r>
      <w:r w:rsidRPr="00F47180">
        <w:t xml:space="preserve">quarterly two week audits that were conducted post implementation were analyzed.  The staffing model was analyzed prior to the implementation of </w:t>
      </w:r>
      <w:r>
        <w:t>the TAWF</w:t>
      </w:r>
      <w:r w:rsidRPr="00F47180">
        <w:t xml:space="preserve"> </w:t>
      </w:r>
      <w:r>
        <w:t xml:space="preserve">and after the implementation </w:t>
      </w:r>
      <w:r w:rsidRPr="00EE09FF">
        <w:t>to</w:t>
      </w:r>
      <w:r w:rsidRPr="00F47180">
        <w:rPr>
          <w:i/>
        </w:rPr>
        <w:t xml:space="preserve"> </w:t>
      </w:r>
      <w:r w:rsidRPr="00EE09FF">
        <w:t>determine workflow efficiency.</w:t>
      </w:r>
      <w:r w:rsidRPr="00F47180">
        <w:rPr>
          <w:i/>
        </w:rPr>
        <w:t xml:space="preserve"> </w:t>
      </w:r>
    </w:p>
    <w:p w14:paraId="0A824AD5" w14:textId="6A53FBD8" w:rsidR="00EE09FF" w:rsidRDefault="002C7B51" w:rsidP="00EE09FF">
      <w:r>
        <w:t xml:space="preserve">There was a </w:t>
      </w:r>
      <w:r w:rsidRPr="00A96976">
        <w:t>93% decrease in errors associated with IV production</w:t>
      </w:r>
      <w:r>
        <w:t xml:space="preserve"> post-implementation of the TAWF. </w:t>
      </w:r>
      <w:r w:rsidR="00EE09FF" w:rsidRPr="00A96976">
        <w:t xml:space="preserve">Comparing the pre and post </w:t>
      </w:r>
      <w:r w:rsidR="00EE09FF">
        <w:t>TAWF</w:t>
      </w:r>
      <w:r w:rsidR="00EE09FF" w:rsidRPr="00A96976">
        <w:t xml:space="preserve"> implementation data, there was a decrease of 10,836 IVs wasted per year equating to a decrease of 0.31 </w:t>
      </w:r>
      <w:r w:rsidR="00794700">
        <w:t>full-time equivalents (</w:t>
      </w:r>
      <w:r w:rsidR="00EE09FF" w:rsidRPr="00A96976">
        <w:t>FTEs</w:t>
      </w:r>
      <w:r w:rsidR="00794700">
        <w:t>)</w:t>
      </w:r>
      <w:r w:rsidR="00EE09FF" w:rsidRPr="00A96976">
        <w:t>.</w:t>
      </w:r>
      <w:r w:rsidR="00EE09FF">
        <w:t xml:space="preserve"> </w:t>
      </w:r>
      <w:r>
        <w:t xml:space="preserve">Due to </w:t>
      </w:r>
      <w:r>
        <w:lastRenderedPageBreak/>
        <w:t xml:space="preserve">the increased efficiency of automation and the decreased FTEs needed to staff the IV room, only </w:t>
      </w:r>
      <w:r w:rsidR="000C1AE3">
        <w:t>one full-</w:t>
      </w:r>
      <w:r w:rsidR="00EE09FF" w:rsidRPr="00A96976">
        <w:t>time pharmacist</w:t>
      </w:r>
      <w:r w:rsidR="00EE09FF">
        <w:t xml:space="preserve"> </w:t>
      </w:r>
      <w:r>
        <w:t xml:space="preserve">and </w:t>
      </w:r>
      <w:r w:rsidR="00794700">
        <w:t xml:space="preserve">two </w:t>
      </w:r>
      <w:r w:rsidR="000C1AE3">
        <w:t>full-</w:t>
      </w:r>
      <w:r w:rsidR="00EE09FF">
        <w:t>time technicians</w:t>
      </w:r>
      <w:r w:rsidR="00EE09FF" w:rsidRPr="00A96976">
        <w:t xml:space="preserve"> on both the day and evening shifts </w:t>
      </w:r>
      <w:r w:rsidR="00794700">
        <w:t>were</w:t>
      </w:r>
      <w:r>
        <w:t xml:space="preserve"> needed </w:t>
      </w:r>
      <w:r w:rsidR="00EE09FF" w:rsidRPr="00A96976">
        <w:t>as opposed to two</w:t>
      </w:r>
      <w:r w:rsidR="00EE09FF">
        <w:t xml:space="preserve"> and three, respectively</w:t>
      </w:r>
      <w:r w:rsidR="00EE09FF" w:rsidRPr="00A96976">
        <w:t>.</w:t>
      </w:r>
    </w:p>
    <w:p w14:paraId="0D27DE98" w14:textId="3E5E240D" w:rsidR="00E22E51" w:rsidRPr="00A96976" w:rsidRDefault="001E0CAD" w:rsidP="00F56410">
      <w:pPr>
        <w:ind w:firstLine="0"/>
      </w:pPr>
      <w:r w:rsidRPr="00A96976">
        <w:rPr>
          <w:b/>
        </w:rPr>
        <w:t>Conclusion</w:t>
      </w:r>
      <w:r w:rsidR="004C78AD" w:rsidRPr="00A96976">
        <w:rPr>
          <w:b/>
        </w:rPr>
        <w:t>/Public Health Significance</w:t>
      </w:r>
      <w:r w:rsidRPr="00A96976">
        <w:t xml:space="preserve">: </w:t>
      </w:r>
      <w:r w:rsidR="009E27D5" w:rsidRPr="00A96976">
        <w:t xml:space="preserve">Sterile compounding is a significant component of pharmacy practice that is in need of improvement. There are a </w:t>
      </w:r>
      <w:r w:rsidR="0088724A" w:rsidRPr="00A96976">
        <w:t>variety</w:t>
      </w:r>
      <w:r w:rsidR="009E27D5" w:rsidRPr="00A96976">
        <w:t xml:space="preserve"> of factors that have led to fatal errors including lack of standardization</w:t>
      </w:r>
      <w:r w:rsidR="00350231" w:rsidRPr="00A96976">
        <w:t xml:space="preserve"> of practice, inadequate</w:t>
      </w:r>
      <w:r w:rsidR="00B0647D" w:rsidRPr="00A96976">
        <w:t xml:space="preserve"> IV</w:t>
      </w:r>
      <w:r w:rsidR="009E27D5" w:rsidRPr="00A96976">
        <w:t xml:space="preserve"> room training, an</w:t>
      </w:r>
      <w:r w:rsidR="004A4AA7" w:rsidRPr="00A96976">
        <w:t>d</w:t>
      </w:r>
      <w:r w:rsidR="00B0647D" w:rsidRPr="00A96976">
        <w:t xml:space="preserve"> </w:t>
      </w:r>
      <w:r w:rsidR="008B3078">
        <w:t xml:space="preserve">a </w:t>
      </w:r>
      <w:r w:rsidR="00B0647D" w:rsidRPr="00A96976">
        <w:t>lax safety culture</w:t>
      </w:r>
      <w:r w:rsidR="009E27D5" w:rsidRPr="00A96976">
        <w:t xml:space="preserve">. </w:t>
      </w:r>
      <w:r w:rsidR="00350231" w:rsidRPr="00A96976">
        <w:t>To counteract the errors that can occur during sterile compounding, TAWF can be utilized and have shown to have a benefit in safety, waste reduction, and efficiency</w:t>
      </w:r>
      <w:r w:rsidR="004C78AD" w:rsidRPr="00A96976">
        <w:t>.</w:t>
      </w:r>
    </w:p>
    <w:p w14:paraId="4D9329AF" w14:textId="77777777" w:rsidR="00AA2C6A" w:rsidRPr="00A96976" w:rsidRDefault="00E22E51" w:rsidP="00F131FA">
      <w:pPr>
        <w:spacing w:after="200"/>
      </w:pPr>
      <w:r w:rsidRPr="00A96976">
        <w:t> </w:t>
      </w:r>
    </w:p>
    <w:p w14:paraId="21B30ED2" w14:textId="77777777" w:rsidR="008A110F" w:rsidRPr="00A96976" w:rsidRDefault="008A110F" w:rsidP="00534508">
      <w:pPr>
        <w:pStyle w:val="Preliminary"/>
        <w:ind w:firstLine="720"/>
        <w:rPr>
          <w:rFonts w:cs="Times New Roman"/>
        </w:rPr>
      </w:pPr>
      <w:bookmarkStart w:id="0" w:name="_Toc106717784"/>
      <w:r w:rsidRPr="00A96976">
        <w:rPr>
          <w:rFonts w:cs="Times New Roman"/>
        </w:rPr>
        <w:lastRenderedPageBreak/>
        <w:t>TABLE OF CONTENTS</w:t>
      </w:r>
      <w:bookmarkEnd w:id="0"/>
    </w:p>
    <w:p w14:paraId="479BD1E3" w14:textId="5E5E8071" w:rsidR="00711F33" w:rsidRDefault="00367476">
      <w:pPr>
        <w:pStyle w:val="TOC1"/>
        <w:rPr>
          <w:rFonts w:asciiTheme="minorHAnsi" w:eastAsiaTheme="minorEastAsia" w:hAnsiTheme="minorHAnsi" w:cstheme="minorBidi"/>
          <w:b w:val="0"/>
          <w:caps w:val="0"/>
          <w:noProof/>
          <w:sz w:val="22"/>
          <w:szCs w:val="22"/>
        </w:rPr>
      </w:pPr>
      <w:r w:rsidRPr="00A96976">
        <w:fldChar w:fldCharType="begin"/>
      </w:r>
      <w:r w:rsidRPr="00A96976">
        <w:instrText xml:space="preserve"> TOC \o "2-4" \h \z \t "Heading 1,1,Appendix,1,Heading,1" </w:instrText>
      </w:r>
      <w:r w:rsidRPr="00A96976">
        <w:fldChar w:fldCharType="separate"/>
      </w:r>
      <w:hyperlink w:anchor="_Toc469394626" w:history="1">
        <w:r w:rsidR="00711F33" w:rsidRPr="00D94FFA">
          <w:rPr>
            <w:rStyle w:val="Hyperlink"/>
            <w:noProof/>
          </w:rPr>
          <w:t>1.0</w:t>
        </w:r>
        <w:r w:rsidR="00711F33">
          <w:rPr>
            <w:rFonts w:asciiTheme="minorHAnsi" w:eastAsiaTheme="minorEastAsia" w:hAnsiTheme="minorHAnsi" w:cstheme="minorBidi"/>
            <w:b w:val="0"/>
            <w:caps w:val="0"/>
            <w:noProof/>
            <w:sz w:val="22"/>
            <w:szCs w:val="22"/>
          </w:rPr>
          <w:tab/>
        </w:r>
        <w:r w:rsidR="00711F33" w:rsidRPr="00D94FFA">
          <w:rPr>
            <w:rStyle w:val="Hyperlink"/>
            <w:noProof/>
          </w:rPr>
          <w:t>Introduction</w:t>
        </w:r>
        <w:r w:rsidR="00711F33">
          <w:rPr>
            <w:noProof/>
            <w:webHidden/>
          </w:rPr>
          <w:tab/>
        </w:r>
        <w:r w:rsidR="00711F33">
          <w:rPr>
            <w:noProof/>
            <w:webHidden/>
          </w:rPr>
          <w:fldChar w:fldCharType="begin"/>
        </w:r>
        <w:r w:rsidR="00711F33">
          <w:rPr>
            <w:noProof/>
            <w:webHidden/>
          </w:rPr>
          <w:instrText xml:space="preserve"> PAGEREF _Toc469394626 \h </w:instrText>
        </w:r>
        <w:r w:rsidR="00711F33">
          <w:rPr>
            <w:noProof/>
            <w:webHidden/>
          </w:rPr>
        </w:r>
        <w:r w:rsidR="00711F33">
          <w:rPr>
            <w:noProof/>
            <w:webHidden/>
          </w:rPr>
          <w:fldChar w:fldCharType="separate"/>
        </w:r>
        <w:r w:rsidR="00711F33">
          <w:rPr>
            <w:noProof/>
            <w:webHidden/>
          </w:rPr>
          <w:t>1</w:t>
        </w:r>
        <w:r w:rsidR="00711F33">
          <w:rPr>
            <w:noProof/>
            <w:webHidden/>
          </w:rPr>
          <w:fldChar w:fldCharType="end"/>
        </w:r>
      </w:hyperlink>
    </w:p>
    <w:p w14:paraId="3FCFC263" w14:textId="055812F3" w:rsidR="00711F33" w:rsidRDefault="00711F33">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69394627" w:history="1">
        <w:r w:rsidRPr="00D94FFA">
          <w:rPr>
            <w:rStyle w:val="Hyperlink"/>
            <w:noProof/>
          </w:rPr>
          <w:t>1.1</w:t>
        </w:r>
        <w:r>
          <w:rPr>
            <w:rFonts w:asciiTheme="minorHAnsi" w:eastAsiaTheme="minorEastAsia" w:hAnsiTheme="minorHAnsi" w:cstheme="minorBidi"/>
            <w:b w:val="0"/>
            <w:caps w:val="0"/>
            <w:noProof/>
            <w:sz w:val="22"/>
            <w:szCs w:val="22"/>
          </w:rPr>
          <w:tab/>
        </w:r>
        <w:r w:rsidRPr="00D94FFA">
          <w:rPr>
            <w:rStyle w:val="Hyperlink"/>
            <w:noProof/>
          </w:rPr>
          <w:t>Sterile compounding errors</w:t>
        </w:r>
        <w:r>
          <w:rPr>
            <w:noProof/>
            <w:webHidden/>
          </w:rPr>
          <w:tab/>
        </w:r>
        <w:r>
          <w:rPr>
            <w:noProof/>
            <w:webHidden/>
          </w:rPr>
          <w:fldChar w:fldCharType="begin"/>
        </w:r>
        <w:r>
          <w:rPr>
            <w:noProof/>
            <w:webHidden/>
          </w:rPr>
          <w:instrText xml:space="preserve"> PAGEREF _Toc469394627 \h </w:instrText>
        </w:r>
        <w:r>
          <w:rPr>
            <w:noProof/>
            <w:webHidden/>
          </w:rPr>
        </w:r>
        <w:r>
          <w:rPr>
            <w:noProof/>
            <w:webHidden/>
          </w:rPr>
          <w:fldChar w:fldCharType="separate"/>
        </w:r>
        <w:r>
          <w:rPr>
            <w:noProof/>
            <w:webHidden/>
          </w:rPr>
          <w:t>2</w:t>
        </w:r>
        <w:r>
          <w:rPr>
            <w:noProof/>
            <w:webHidden/>
          </w:rPr>
          <w:fldChar w:fldCharType="end"/>
        </w:r>
      </w:hyperlink>
    </w:p>
    <w:p w14:paraId="20613066" w14:textId="3CF71F7F" w:rsidR="00711F33" w:rsidRDefault="00711F33">
      <w:pPr>
        <w:pStyle w:val="TOC3"/>
        <w:tabs>
          <w:tab w:val="left" w:pos="1760"/>
          <w:tab w:val="right" w:leader="dot" w:pos="9350"/>
        </w:tabs>
        <w:rPr>
          <w:rFonts w:asciiTheme="minorHAnsi" w:eastAsiaTheme="minorEastAsia" w:hAnsiTheme="minorHAnsi" w:cstheme="minorBidi"/>
          <w:b w:val="0"/>
          <w:noProof/>
          <w:sz w:val="22"/>
          <w:szCs w:val="22"/>
        </w:rPr>
      </w:pPr>
      <w:hyperlink w:anchor="_Toc469394628" w:history="1">
        <w:r w:rsidRPr="00D94FFA">
          <w:rPr>
            <w:rStyle w:val="Hyperlink"/>
            <w:noProof/>
          </w:rPr>
          <w:t>1.1.1</w:t>
        </w:r>
        <w:r>
          <w:rPr>
            <w:rFonts w:asciiTheme="minorHAnsi" w:eastAsiaTheme="minorEastAsia" w:hAnsiTheme="minorHAnsi" w:cstheme="minorBidi"/>
            <w:b w:val="0"/>
            <w:noProof/>
            <w:sz w:val="22"/>
            <w:szCs w:val="22"/>
          </w:rPr>
          <w:tab/>
        </w:r>
        <w:r w:rsidRPr="00D94FFA">
          <w:rPr>
            <w:rStyle w:val="Hyperlink"/>
            <w:noProof/>
          </w:rPr>
          <w:t>Why is the IV Room Overlooked?</w:t>
        </w:r>
        <w:r>
          <w:rPr>
            <w:noProof/>
            <w:webHidden/>
          </w:rPr>
          <w:tab/>
        </w:r>
        <w:r>
          <w:rPr>
            <w:noProof/>
            <w:webHidden/>
          </w:rPr>
          <w:fldChar w:fldCharType="begin"/>
        </w:r>
        <w:r>
          <w:rPr>
            <w:noProof/>
            <w:webHidden/>
          </w:rPr>
          <w:instrText xml:space="preserve"> PAGEREF _Toc469394628 \h </w:instrText>
        </w:r>
        <w:r>
          <w:rPr>
            <w:noProof/>
            <w:webHidden/>
          </w:rPr>
        </w:r>
        <w:r>
          <w:rPr>
            <w:noProof/>
            <w:webHidden/>
          </w:rPr>
          <w:fldChar w:fldCharType="separate"/>
        </w:r>
        <w:r>
          <w:rPr>
            <w:noProof/>
            <w:webHidden/>
          </w:rPr>
          <w:t>4</w:t>
        </w:r>
        <w:r>
          <w:rPr>
            <w:noProof/>
            <w:webHidden/>
          </w:rPr>
          <w:fldChar w:fldCharType="end"/>
        </w:r>
      </w:hyperlink>
    </w:p>
    <w:p w14:paraId="4B8A8A20" w14:textId="6CC42FFB" w:rsidR="00711F33" w:rsidRDefault="00711F33">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69394629" w:history="1">
        <w:r w:rsidRPr="00D94FFA">
          <w:rPr>
            <w:rStyle w:val="Hyperlink"/>
            <w:noProof/>
          </w:rPr>
          <w:t>1.2</w:t>
        </w:r>
        <w:r>
          <w:rPr>
            <w:rFonts w:asciiTheme="minorHAnsi" w:eastAsiaTheme="minorEastAsia" w:hAnsiTheme="minorHAnsi" w:cstheme="minorBidi"/>
            <w:b w:val="0"/>
            <w:caps w:val="0"/>
            <w:noProof/>
            <w:sz w:val="22"/>
            <w:szCs w:val="22"/>
          </w:rPr>
          <w:tab/>
        </w:r>
        <w:r w:rsidRPr="00D94FFA">
          <w:rPr>
            <w:rStyle w:val="Hyperlink"/>
            <w:noProof/>
          </w:rPr>
          <w:t>the role of technology-assisted workflow systems</w:t>
        </w:r>
        <w:r>
          <w:rPr>
            <w:noProof/>
            <w:webHidden/>
          </w:rPr>
          <w:tab/>
        </w:r>
        <w:r>
          <w:rPr>
            <w:noProof/>
            <w:webHidden/>
          </w:rPr>
          <w:fldChar w:fldCharType="begin"/>
        </w:r>
        <w:r>
          <w:rPr>
            <w:noProof/>
            <w:webHidden/>
          </w:rPr>
          <w:instrText xml:space="preserve"> PAGEREF _Toc469394629 \h </w:instrText>
        </w:r>
        <w:r>
          <w:rPr>
            <w:noProof/>
            <w:webHidden/>
          </w:rPr>
        </w:r>
        <w:r>
          <w:rPr>
            <w:noProof/>
            <w:webHidden/>
          </w:rPr>
          <w:fldChar w:fldCharType="separate"/>
        </w:r>
        <w:r>
          <w:rPr>
            <w:noProof/>
            <w:webHidden/>
          </w:rPr>
          <w:t>6</w:t>
        </w:r>
        <w:r>
          <w:rPr>
            <w:noProof/>
            <w:webHidden/>
          </w:rPr>
          <w:fldChar w:fldCharType="end"/>
        </w:r>
      </w:hyperlink>
    </w:p>
    <w:p w14:paraId="1CE1DBFF" w14:textId="176BA1AB" w:rsidR="00711F33" w:rsidRDefault="00711F33">
      <w:pPr>
        <w:pStyle w:val="TOC1"/>
        <w:rPr>
          <w:rFonts w:asciiTheme="minorHAnsi" w:eastAsiaTheme="minorEastAsia" w:hAnsiTheme="minorHAnsi" w:cstheme="minorBidi"/>
          <w:b w:val="0"/>
          <w:caps w:val="0"/>
          <w:noProof/>
          <w:sz w:val="22"/>
          <w:szCs w:val="22"/>
        </w:rPr>
      </w:pPr>
      <w:hyperlink w:anchor="_Toc469394630" w:history="1">
        <w:r w:rsidRPr="00D94FFA">
          <w:rPr>
            <w:rStyle w:val="Hyperlink"/>
            <w:noProof/>
          </w:rPr>
          <w:t>2.0</w:t>
        </w:r>
        <w:r>
          <w:rPr>
            <w:rFonts w:asciiTheme="minorHAnsi" w:eastAsiaTheme="minorEastAsia" w:hAnsiTheme="minorHAnsi" w:cstheme="minorBidi"/>
            <w:b w:val="0"/>
            <w:caps w:val="0"/>
            <w:noProof/>
            <w:sz w:val="22"/>
            <w:szCs w:val="22"/>
          </w:rPr>
          <w:tab/>
        </w:r>
        <w:r w:rsidRPr="00D94FFA">
          <w:rPr>
            <w:rStyle w:val="Hyperlink"/>
            <w:noProof/>
          </w:rPr>
          <w:t>evaluation of errors, waste, and efficiency with a technology-assisted workflow system at a tertiary care hospital</w:t>
        </w:r>
        <w:r>
          <w:rPr>
            <w:noProof/>
            <w:webHidden/>
          </w:rPr>
          <w:tab/>
        </w:r>
        <w:r>
          <w:rPr>
            <w:noProof/>
            <w:webHidden/>
          </w:rPr>
          <w:fldChar w:fldCharType="begin"/>
        </w:r>
        <w:r>
          <w:rPr>
            <w:noProof/>
            <w:webHidden/>
          </w:rPr>
          <w:instrText xml:space="preserve"> PAGEREF _Toc469394630 \h </w:instrText>
        </w:r>
        <w:r>
          <w:rPr>
            <w:noProof/>
            <w:webHidden/>
          </w:rPr>
        </w:r>
        <w:r>
          <w:rPr>
            <w:noProof/>
            <w:webHidden/>
          </w:rPr>
          <w:fldChar w:fldCharType="separate"/>
        </w:r>
        <w:r>
          <w:rPr>
            <w:noProof/>
            <w:webHidden/>
          </w:rPr>
          <w:t>9</w:t>
        </w:r>
        <w:r>
          <w:rPr>
            <w:noProof/>
            <w:webHidden/>
          </w:rPr>
          <w:fldChar w:fldCharType="end"/>
        </w:r>
      </w:hyperlink>
    </w:p>
    <w:p w14:paraId="1FC18E78" w14:textId="0AB3B4B5" w:rsidR="00711F33" w:rsidRDefault="00711F33">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69394631" w:history="1">
        <w:r w:rsidRPr="00D94FFA">
          <w:rPr>
            <w:rStyle w:val="Hyperlink"/>
            <w:noProof/>
          </w:rPr>
          <w:t>2.1</w:t>
        </w:r>
        <w:r>
          <w:rPr>
            <w:rFonts w:asciiTheme="minorHAnsi" w:eastAsiaTheme="minorEastAsia" w:hAnsiTheme="minorHAnsi" w:cstheme="minorBidi"/>
            <w:b w:val="0"/>
            <w:caps w:val="0"/>
            <w:noProof/>
            <w:sz w:val="22"/>
            <w:szCs w:val="22"/>
          </w:rPr>
          <w:tab/>
        </w:r>
        <w:r w:rsidRPr="00D94FFA">
          <w:rPr>
            <w:rStyle w:val="Hyperlink"/>
            <w:noProof/>
          </w:rPr>
          <w:t>methods</w:t>
        </w:r>
        <w:r>
          <w:rPr>
            <w:noProof/>
            <w:webHidden/>
          </w:rPr>
          <w:tab/>
        </w:r>
        <w:r>
          <w:rPr>
            <w:noProof/>
            <w:webHidden/>
          </w:rPr>
          <w:fldChar w:fldCharType="begin"/>
        </w:r>
        <w:r>
          <w:rPr>
            <w:noProof/>
            <w:webHidden/>
          </w:rPr>
          <w:instrText xml:space="preserve"> PAGEREF _Toc469394631 \h </w:instrText>
        </w:r>
        <w:r>
          <w:rPr>
            <w:noProof/>
            <w:webHidden/>
          </w:rPr>
        </w:r>
        <w:r>
          <w:rPr>
            <w:noProof/>
            <w:webHidden/>
          </w:rPr>
          <w:fldChar w:fldCharType="separate"/>
        </w:r>
        <w:r>
          <w:rPr>
            <w:noProof/>
            <w:webHidden/>
          </w:rPr>
          <w:t>9</w:t>
        </w:r>
        <w:r>
          <w:rPr>
            <w:noProof/>
            <w:webHidden/>
          </w:rPr>
          <w:fldChar w:fldCharType="end"/>
        </w:r>
      </w:hyperlink>
    </w:p>
    <w:p w14:paraId="5F835A59" w14:textId="2C063FC7" w:rsidR="00711F33" w:rsidRDefault="00711F33">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69394632" w:history="1">
        <w:r w:rsidRPr="00D94FFA">
          <w:rPr>
            <w:rStyle w:val="Hyperlink"/>
            <w:noProof/>
          </w:rPr>
          <w:t>2.2</w:t>
        </w:r>
        <w:r>
          <w:rPr>
            <w:rFonts w:asciiTheme="minorHAnsi" w:eastAsiaTheme="minorEastAsia" w:hAnsiTheme="minorHAnsi" w:cstheme="minorBidi"/>
            <w:b w:val="0"/>
            <w:caps w:val="0"/>
            <w:noProof/>
            <w:sz w:val="22"/>
            <w:szCs w:val="22"/>
          </w:rPr>
          <w:tab/>
        </w:r>
        <w:r w:rsidRPr="00D94FFA">
          <w:rPr>
            <w:rStyle w:val="Hyperlink"/>
            <w:noProof/>
          </w:rPr>
          <w:t>results</w:t>
        </w:r>
        <w:r>
          <w:rPr>
            <w:noProof/>
            <w:webHidden/>
          </w:rPr>
          <w:tab/>
        </w:r>
        <w:r>
          <w:rPr>
            <w:noProof/>
            <w:webHidden/>
          </w:rPr>
          <w:fldChar w:fldCharType="begin"/>
        </w:r>
        <w:r>
          <w:rPr>
            <w:noProof/>
            <w:webHidden/>
          </w:rPr>
          <w:instrText xml:space="preserve"> PAGEREF _Toc469394632 \h </w:instrText>
        </w:r>
        <w:r>
          <w:rPr>
            <w:noProof/>
            <w:webHidden/>
          </w:rPr>
        </w:r>
        <w:r>
          <w:rPr>
            <w:noProof/>
            <w:webHidden/>
          </w:rPr>
          <w:fldChar w:fldCharType="separate"/>
        </w:r>
        <w:r>
          <w:rPr>
            <w:noProof/>
            <w:webHidden/>
          </w:rPr>
          <w:t>11</w:t>
        </w:r>
        <w:r>
          <w:rPr>
            <w:noProof/>
            <w:webHidden/>
          </w:rPr>
          <w:fldChar w:fldCharType="end"/>
        </w:r>
      </w:hyperlink>
    </w:p>
    <w:p w14:paraId="4D2DF07B" w14:textId="48C5EFAB" w:rsidR="00711F33" w:rsidRDefault="00711F33">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69394633" w:history="1">
        <w:r w:rsidRPr="00D94FFA">
          <w:rPr>
            <w:rStyle w:val="Hyperlink"/>
            <w:noProof/>
          </w:rPr>
          <w:t>2.3</w:t>
        </w:r>
        <w:r>
          <w:rPr>
            <w:rFonts w:asciiTheme="minorHAnsi" w:eastAsiaTheme="minorEastAsia" w:hAnsiTheme="minorHAnsi" w:cstheme="minorBidi"/>
            <w:b w:val="0"/>
            <w:caps w:val="0"/>
            <w:noProof/>
            <w:sz w:val="22"/>
            <w:szCs w:val="22"/>
          </w:rPr>
          <w:tab/>
        </w:r>
        <w:r w:rsidRPr="00D94FFA">
          <w:rPr>
            <w:rStyle w:val="Hyperlink"/>
            <w:noProof/>
          </w:rPr>
          <w:t>DISCUSSION</w:t>
        </w:r>
        <w:r>
          <w:rPr>
            <w:noProof/>
            <w:webHidden/>
          </w:rPr>
          <w:tab/>
        </w:r>
        <w:r>
          <w:rPr>
            <w:noProof/>
            <w:webHidden/>
          </w:rPr>
          <w:fldChar w:fldCharType="begin"/>
        </w:r>
        <w:r>
          <w:rPr>
            <w:noProof/>
            <w:webHidden/>
          </w:rPr>
          <w:instrText xml:space="preserve"> PAGEREF _Toc469394633 \h </w:instrText>
        </w:r>
        <w:r>
          <w:rPr>
            <w:noProof/>
            <w:webHidden/>
          </w:rPr>
        </w:r>
        <w:r>
          <w:rPr>
            <w:noProof/>
            <w:webHidden/>
          </w:rPr>
          <w:fldChar w:fldCharType="separate"/>
        </w:r>
        <w:r>
          <w:rPr>
            <w:noProof/>
            <w:webHidden/>
          </w:rPr>
          <w:t>14</w:t>
        </w:r>
        <w:r>
          <w:rPr>
            <w:noProof/>
            <w:webHidden/>
          </w:rPr>
          <w:fldChar w:fldCharType="end"/>
        </w:r>
      </w:hyperlink>
    </w:p>
    <w:p w14:paraId="766F8AF4" w14:textId="78E929A7" w:rsidR="00711F33" w:rsidRDefault="00711F33">
      <w:pPr>
        <w:pStyle w:val="TOC1"/>
        <w:rPr>
          <w:rFonts w:asciiTheme="minorHAnsi" w:eastAsiaTheme="minorEastAsia" w:hAnsiTheme="minorHAnsi" w:cstheme="minorBidi"/>
          <w:b w:val="0"/>
          <w:caps w:val="0"/>
          <w:noProof/>
          <w:sz w:val="22"/>
          <w:szCs w:val="22"/>
        </w:rPr>
      </w:pPr>
      <w:hyperlink w:anchor="_Toc469394634" w:history="1">
        <w:r w:rsidRPr="00D94FFA">
          <w:rPr>
            <w:rStyle w:val="Hyperlink"/>
            <w:noProof/>
          </w:rPr>
          <w:t>3.0</w:t>
        </w:r>
        <w:r>
          <w:rPr>
            <w:rFonts w:asciiTheme="minorHAnsi" w:eastAsiaTheme="minorEastAsia" w:hAnsiTheme="minorHAnsi" w:cstheme="minorBidi"/>
            <w:b w:val="0"/>
            <w:caps w:val="0"/>
            <w:noProof/>
            <w:sz w:val="22"/>
            <w:szCs w:val="22"/>
          </w:rPr>
          <w:tab/>
        </w:r>
        <w:r w:rsidRPr="00D94FFA">
          <w:rPr>
            <w:rStyle w:val="Hyperlink"/>
            <w:noProof/>
          </w:rPr>
          <w:t>Conclusion</w:t>
        </w:r>
        <w:r>
          <w:rPr>
            <w:noProof/>
            <w:webHidden/>
          </w:rPr>
          <w:tab/>
        </w:r>
        <w:r>
          <w:rPr>
            <w:noProof/>
            <w:webHidden/>
          </w:rPr>
          <w:fldChar w:fldCharType="begin"/>
        </w:r>
        <w:r>
          <w:rPr>
            <w:noProof/>
            <w:webHidden/>
          </w:rPr>
          <w:instrText xml:space="preserve"> PAGEREF _Toc469394634 \h </w:instrText>
        </w:r>
        <w:r>
          <w:rPr>
            <w:noProof/>
            <w:webHidden/>
          </w:rPr>
        </w:r>
        <w:r>
          <w:rPr>
            <w:noProof/>
            <w:webHidden/>
          </w:rPr>
          <w:fldChar w:fldCharType="separate"/>
        </w:r>
        <w:r>
          <w:rPr>
            <w:noProof/>
            <w:webHidden/>
          </w:rPr>
          <w:t>17</w:t>
        </w:r>
        <w:r>
          <w:rPr>
            <w:noProof/>
            <w:webHidden/>
          </w:rPr>
          <w:fldChar w:fldCharType="end"/>
        </w:r>
      </w:hyperlink>
    </w:p>
    <w:p w14:paraId="30329E8A" w14:textId="615B8014" w:rsidR="00711F33" w:rsidRDefault="00711F33">
      <w:pPr>
        <w:pStyle w:val="TOC1"/>
        <w:rPr>
          <w:rFonts w:asciiTheme="minorHAnsi" w:eastAsiaTheme="minorEastAsia" w:hAnsiTheme="minorHAnsi" w:cstheme="minorBidi"/>
          <w:b w:val="0"/>
          <w:caps w:val="0"/>
          <w:noProof/>
          <w:sz w:val="22"/>
          <w:szCs w:val="22"/>
        </w:rPr>
      </w:pPr>
      <w:hyperlink w:anchor="_Toc469394635" w:history="1">
        <w:r w:rsidRPr="00D94FFA">
          <w:rPr>
            <w:rStyle w:val="Hyperlink"/>
            <w:noProof/>
          </w:rPr>
          <w:t>bibliography</w:t>
        </w:r>
        <w:r>
          <w:rPr>
            <w:noProof/>
            <w:webHidden/>
          </w:rPr>
          <w:tab/>
        </w:r>
        <w:r>
          <w:rPr>
            <w:noProof/>
            <w:webHidden/>
          </w:rPr>
          <w:fldChar w:fldCharType="begin"/>
        </w:r>
        <w:r>
          <w:rPr>
            <w:noProof/>
            <w:webHidden/>
          </w:rPr>
          <w:instrText xml:space="preserve"> PAGEREF _Toc469394635 \h </w:instrText>
        </w:r>
        <w:r>
          <w:rPr>
            <w:noProof/>
            <w:webHidden/>
          </w:rPr>
        </w:r>
        <w:r>
          <w:rPr>
            <w:noProof/>
            <w:webHidden/>
          </w:rPr>
          <w:fldChar w:fldCharType="separate"/>
        </w:r>
        <w:r>
          <w:rPr>
            <w:noProof/>
            <w:webHidden/>
          </w:rPr>
          <w:t>18</w:t>
        </w:r>
        <w:r>
          <w:rPr>
            <w:noProof/>
            <w:webHidden/>
          </w:rPr>
          <w:fldChar w:fldCharType="end"/>
        </w:r>
      </w:hyperlink>
    </w:p>
    <w:p w14:paraId="782C3C96" w14:textId="17DE5627" w:rsidR="00467F44" w:rsidRDefault="00367476" w:rsidP="00467F44">
      <w:pPr>
        <w:pStyle w:val="Preliminary"/>
        <w:rPr>
          <w:rFonts w:cs="Times New Roman"/>
        </w:rPr>
      </w:pPr>
      <w:r w:rsidRPr="00A96976">
        <w:rPr>
          <w:rFonts w:cs="Times New Roman"/>
        </w:rPr>
        <w:lastRenderedPageBreak/>
        <w:fldChar w:fldCharType="end"/>
      </w:r>
      <w:r w:rsidR="008669B2" w:rsidRPr="00A96976">
        <w:rPr>
          <w:rFonts w:cs="Times New Roman"/>
        </w:rPr>
        <w:t>List of figures</w:t>
      </w:r>
    </w:p>
    <w:bookmarkStart w:id="1" w:name="_GoBack"/>
    <w:bookmarkEnd w:id="1"/>
    <w:p w14:paraId="4D431473" w14:textId="55AF0795" w:rsidR="00711F33" w:rsidRDefault="008669B2">
      <w:pPr>
        <w:pStyle w:val="TableofFigures"/>
        <w:tabs>
          <w:tab w:val="right" w:leader="dot" w:pos="9350"/>
        </w:tabs>
        <w:rPr>
          <w:rFonts w:asciiTheme="minorHAnsi" w:eastAsiaTheme="minorEastAsia" w:hAnsiTheme="minorHAnsi" w:cstheme="minorBidi"/>
          <w:noProof/>
          <w:sz w:val="22"/>
          <w:szCs w:val="22"/>
        </w:rPr>
      </w:pPr>
      <w:r w:rsidRPr="00A96976">
        <w:fldChar w:fldCharType="begin"/>
      </w:r>
      <w:r w:rsidRPr="00A96976">
        <w:instrText xml:space="preserve"> TOC \h \z \c "Figure" </w:instrText>
      </w:r>
      <w:r w:rsidRPr="00A96976">
        <w:fldChar w:fldCharType="separate"/>
      </w:r>
      <w:hyperlink w:anchor="_Toc469394642" w:history="1">
        <w:r w:rsidR="00711F33" w:rsidRPr="00040F45">
          <w:rPr>
            <w:rStyle w:val="Hyperlink"/>
            <w:noProof/>
          </w:rPr>
          <w:t>Figure 1. Results for Types of Errors</w:t>
        </w:r>
        <w:r w:rsidR="00711F33">
          <w:rPr>
            <w:noProof/>
            <w:webHidden/>
          </w:rPr>
          <w:tab/>
        </w:r>
        <w:r w:rsidR="00711F33">
          <w:rPr>
            <w:noProof/>
            <w:webHidden/>
          </w:rPr>
          <w:fldChar w:fldCharType="begin"/>
        </w:r>
        <w:r w:rsidR="00711F33">
          <w:rPr>
            <w:noProof/>
            <w:webHidden/>
          </w:rPr>
          <w:instrText xml:space="preserve"> PAGEREF _Toc469394642 \h </w:instrText>
        </w:r>
        <w:r w:rsidR="00711F33">
          <w:rPr>
            <w:noProof/>
            <w:webHidden/>
          </w:rPr>
        </w:r>
        <w:r w:rsidR="00711F33">
          <w:rPr>
            <w:noProof/>
            <w:webHidden/>
          </w:rPr>
          <w:fldChar w:fldCharType="separate"/>
        </w:r>
        <w:r w:rsidR="00711F33">
          <w:rPr>
            <w:noProof/>
            <w:webHidden/>
          </w:rPr>
          <w:t>12</w:t>
        </w:r>
        <w:r w:rsidR="00711F33">
          <w:rPr>
            <w:noProof/>
            <w:webHidden/>
          </w:rPr>
          <w:fldChar w:fldCharType="end"/>
        </w:r>
      </w:hyperlink>
    </w:p>
    <w:p w14:paraId="21745D5D" w14:textId="4203D11E" w:rsidR="00711F33" w:rsidRDefault="00711F33">
      <w:pPr>
        <w:pStyle w:val="TableofFigures"/>
        <w:tabs>
          <w:tab w:val="right" w:leader="dot" w:pos="9350"/>
        </w:tabs>
        <w:rPr>
          <w:rFonts w:asciiTheme="minorHAnsi" w:eastAsiaTheme="minorEastAsia" w:hAnsiTheme="minorHAnsi" w:cstheme="minorBidi"/>
          <w:noProof/>
          <w:sz w:val="22"/>
          <w:szCs w:val="22"/>
        </w:rPr>
      </w:pPr>
      <w:hyperlink w:anchor="_Toc469394643" w:history="1">
        <w:r w:rsidRPr="00040F45">
          <w:rPr>
            <w:rStyle w:val="Hyperlink"/>
            <w:noProof/>
          </w:rPr>
          <w:t>Figure 2. Pre and Post Workflow Management System</w:t>
        </w:r>
        <w:r>
          <w:rPr>
            <w:noProof/>
            <w:webHidden/>
          </w:rPr>
          <w:tab/>
        </w:r>
        <w:r>
          <w:rPr>
            <w:noProof/>
            <w:webHidden/>
          </w:rPr>
          <w:fldChar w:fldCharType="begin"/>
        </w:r>
        <w:r>
          <w:rPr>
            <w:noProof/>
            <w:webHidden/>
          </w:rPr>
          <w:instrText xml:space="preserve"> PAGEREF _Toc469394643 \h </w:instrText>
        </w:r>
        <w:r>
          <w:rPr>
            <w:noProof/>
            <w:webHidden/>
          </w:rPr>
        </w:r>
        <w:r>
          <w:rPr>
            <w:noProof/>
            <w:webHidden/>
          </w:rPr>
          <w:fldChar w:fldCharType="separate"/>
        </w:r>
        <w:r>
          <w:rPr>
            <w:noProof/>
            <w:webHidden/>
          </w:rPr>
          <w:t>13</w:t>
        </w:r>
        <w:r>
          <w:rPr>
            <w:noProof/>
            <w:webHidden/>
          </w:rPr>
          <w:fldChar w:fldCharType="end"/>
        </w:r>
      </w:hyperlink>
    </w:p>
    <w:p w14:paraId="082E8D9C" w14:textId="0239BE90" w:rsidR="00711F33" w:rsidRDefault="00711F33">
      <w:pPr>
        <w:pStyle w:val="TableofFigures"/>
        <w:tabs>
          <w:tab w:val="right" w:leader="dot" w:pos="9350"/>
        </w:tabs>
        <w:rPr>
          <w:rFonts w:asciiTheme="minorHAnsi" w:eastAsiaTheme="minorEastAsia" w:hAnsiTheme="minorHAnsi" w:cstheme="minorBidi"/>
          <w:noProof/>
          <w:sz w:val="22"/>
          <w:szCs w:val="22"/>
        </w:rPr>
      </w:pPr>
      <w:hyperlink w:anchor="_Toc469394644" w:history="1">
        <w:r w:rsidRPr="00040F45">
          <w:rPr>
            <w:rStyle w:val="Hyperlink"/>
            <w:noProof/>
          </w:rPr>
          <w:t>Figure 3. Results for Top Five Most Costly Wasted Drug Categories</w:t>
        </w:r>
        <w:r>
          <w:rPr>
            <w:noProof/>
            <w:webHidden/>
          </w:rPr>
          <w:tab/>
        </w:r>
        <w:r>
          <w:rPr>
            <w:noProof/>
            <w:webHidden/>
          </w:rPr>
          <w:fldChar w:fldCharType="begin"/>
        </w:r>
        <w:r>
          <w:rPr>
            <w:noProof/>
            <w:webHidden/>
          </w:rPr>
          <w:instrText xml:space="preserve"> PAGEREF _Toc469394644 \h </w:instrText>
        </w:r>
        <w:r>
          <w:rPr>
            <w:noProof/>
            <w:webHidden/>
          </w:rPr>
        </w:r>
        <w:r>
          <w:rPr>
            <w:noProof/>
            <w:webHidden/>
          </w:rPr>
          <w:fldChar w:fldCharType="separate"/>
        </w:r>
        <w:r>
          <w:rPr>
            <w:noProof/>
            <w:webHidden/>
          </w:rPr>
          <w:t>13</w:t>
        </w:r>
        <w:r>
          <w:rPr>
            <w:noProof/>
            <w:webHidden/>
          </w:rPr>
          <w:fldChar w:fldCharType="end"/>
        </w:r>
      </w:hyperlink>
    </w:p>
    <w:p w14:paraId="0EE56D1E" w14:textId="4CA767B9" w:rsidR="008669B2" w:rsidRPr="00A96976" w:rsidRDefault="008669B2" w:rsidP="008669B2">
      <w:pPr>
        <w:pStyle w:val="Preliminary"/>
        <w:rPr>
          <w:rFonts w:cs="Times New Roman"/>
        </w:rPr>
      </w:pPr>
      <w:r w:rsidRPr="00A96976">
        <w:rPr>
          <w:rFonts w:cs="Times New Roman"/>
        </w:rPr>
        <w:lastRenderedPageBreak/>
        <w:fldChar w:fldCharType="end"/>
      </w:r>
      <w:r w:rsidRPr="00A96976">
        <w:rPr>
          <w:rFonts w:cs="Times New Roman"/>
        </w:rPr>
        <w:t xml:space="preserve"> preface</w:t>
      </w:r>
    </w:p>
    <w:p w14:paraId="1297C169" w14:textId="77777777" w:rsidR="008669B2" w:rsidRPr="00A96976" w:rsidRDefault="008669B2" w:rsidP="008669B2">
      <w:pPr>
        <w:pStyle w:val="Noindent"/>
        <w:rPr>
          <w:b/>
        </w:rPr>
      </w:pPr>
      <w:r w:rsidRPr="00A96976">
        <w:rPr>
          <w:b/>
        </w:rPr>
        <w:t xml:space="preserve">Acknowledgements: </w:t>
      </w:r>
    </w:p>
    <w:p w14:paraId="62E3A4BF" w14:textId="030DC4E9" w:rsidR="008669B2" w:rsidRPr="00A96976" w:rsidRDefault="00E41CB3" w:rsidP="008669B2">
      <w:pPr>
        <w:numPr>
          <w:ilvl w:val="0"/>
          <w:numId w:val="45"/>
        </w:numPr>
      </w:pPr>
      <w:r w:rsidRPr="00A96976">
        <w:t>Laura Mark</w:t>
      </w:r>
      <w:r w:rsidR="00EE09FF">
        <w:t>, PharmD,</w:t>
      </w:r>
      <w:r w:rsidR="00DC0E8B">
        <w:t xml:space="preserve"> MS, </w:t>
      </w:r>
      <w:r w:rsidR="00EE09FF">
        <w:t>FASHP</w:t>
      </w:r>
      <w:r w:rsidR="00E649FA" w:rsidRPr="00A96976">
        <w:t>– Director of Pharmacy, Allegheny General Hospital</w:t>
      </w:r>
    </w:p>
    <w:p w14:paraId="523417CA" w14:textId="7F22E551" w:rsidR="00E41CB3" w:rsidRPr="00A96976" w:rsidRDefault="00F02D8A" w:rsidP="00E41CB3">
      <w:pPr>
        <w:numPr>
          <w:ilvl w:val="0"/>
          <w:numId w:val="45"/>
        </w:numPr>
      </w:pPr>
      <w:r w:rsidRPr="00A96976">
        <w:t>Linda Wieloch</w:t>
      </w:r>
      <w:r w:rsidR="00E649FA" w:rsidRPr="00A96976">
        <w:t>, PharmD</w:t>
      </w:r>
      <w:r w:rsidR="00E41CB3" w:rsidRPr="00A96976">
        <w:t xml:space="preserve">– </w:t>
      </w:r>
      <w:r w:rsidRPr="00A96976">
        <w:t>Operat</w:t>
      </w:r>
      <w:r w:rsidR="008B6932" w:rsidRPr="00A96976">
        <w:t>ions Manager, Allegheny General Hospital</w:t>
      </w:r>
    </w:p>
    <w:p w14:paraId="7135A359" w14:textId="48C63850" w:rsidR="008B6932" w:rsidRPr="00A96976" w:rsidRDefault="009659A8" w:rsidP="00E41CB3">
      <w:pPr>
        <w:numPr>
          <w:ilvl w:val="0"/>
          <w:numId w:val="45"/>
        </w:numPr>
      </w:pPr>
      <w:r>
        <w:t>Janet Misko, RPh</w:t>
      </w:r>
      <w:r w:rsidR="00EE09FF" w:rsidRPr="00A96976">
        <w:t xml:space="preserve">– </w:t>
      </w:r>
      <w:r w:rsidR="008B6932" w:rsidRPr="00A96976">
        <w:t xml:space="preserve">Pharmacy </w:t>
      </w:r>
      <w:r w:rsidR="00F56410" w:rsidRPr="00A96976">
        <w:t xml:space="preserve">Practice </w:t>
      </w:r>
      <w:r w:rsidR="008B6932" w:rsidRPr="00A96976">
        <w:t>Supervisor, Allegheny General Hospital</w:t>
      </w:r>
    </w:p>
    <w:p w14:paraId="33818982" w14:textId="6D15A9E4" w:rsidR="008669B2" w:rsidRPr="00A96976" w:rsidRDefault="00E41CB3" w:rsidP="008669B2">
      <w:pPr>
        <w:numPr>
          <w:ilvl w:val="0"/>
          <w:numId w:val="45"/>
        </w:numPr>
      </w:pPr>
      <w:r w:rsidRPr="00A96976">
        <w:t>Paula Horn</w:t>
      </w:r>
      <w:r w:rsidR="00794700">
        <w:t xml:space="preserve">, PharmD, BCACP– </w:t>
      </w:r>
      <w:r w:rsidR="00A41C8D" w:rsidRPr="00A96976">
        <w:t>Pharmacy Practice and Residency Supervisor, Allegheny General Hospital</w:t>
      </w:r>
      <w:r w:rsidR="008669B2" w:rsidRPr="00A96976">
        <w:t xml:space="preserve">  </w:t>
      </w:r>
    </w:p>
    <w:p w14:paraId="0B851400" w14:textId="77777777" w:rsidR="00AA2C6A" w:rsidRPr="00A96976" w:rsidRDefault="00AA2C6A" w:rsidP="00AA2C6A"/>
    <w:p w14:paraId="08FC1015" w14:textId="77777777" w:rsidR="00AA2C6A" w:rsidRPr="00A96976" w:rsidRDefault="00AA2C6A" w:rsidP="00AA2C6A">
      <w:pPr>
        <w:ind w:firstLine="0"/>
        <w:sectPr w:rsidR="00AA2C6A" w:rsidRPr="00A96976" w:rsidSect="005B57EC">
          <w:footerReference w:type="default" r:id="rId8"/>
          <w:pgSz w:w="12240" w:h="15840"/>
          <w:pgMar w:top="1440" w:right="1440" w:bottom="1440" w:left="1440" w:header="720" w:footer="720" w:gutter="0"/>
          <w:pgNumType w:fmt="lowerRoman"/>
          <w:cols w:space="720"/>
          <w:titlePg/>
          <w:docGrid w:linePitch="360"/>
        </w:sectPr>
      </w:pPr>
    </w:p>
    <w:p w14:paraId="4901A582" w14:textId="77777777" w:rsidR="006B1124" w:rsidRPr="00A96976" w:rsidRDefault="006B1124" w:rsidP="006B1124">
      <w:pPr>
        <w:pStyle w:val="Heading1"/>
        <w:rPr>
          <w:rFonts w:cs="Times New Roman"/>
        </w:rPr>
      </w:pPr>
      <w:bookmarkStart w:id="2" w:name="_Toc106513527"/>
      <w:bookmarkStart w:id="3" w:name="_Toc106717785"/>
      <w:bookmarkStart w:id="4" w:name="_Toc469394626"/>
      <w:r w:rsidRPr="00A96976">
        <w:rPr>
          <w:rFonts w:cs="Times New Roman"/>
        </w:rPr>
        <w:lastRenderedPageBreak/>
        <w:t>Introduction</w:t>
      </w:r>
      <w:bookmarkEnd w:id="2"/>
      <w:bookmarkEnd w:id="3"/>
      <w:bookmarkEnd w:id="4"/>
    </w:p>
    <w:p w14:paraId="5F3748B0" w14:textId="76D38EA0" w:rsidR="00B6345D" w:rsidRPr="00A96976" w:rsidRDefault="009659A8" w:rsidP="00736CAA">
      <w:pPr>
        <w:pStyle w:val="NormalWeb"/>
        <w:shd w:val="clear" w:color="auto" w:fill="FFFFFF"/>
        <w:spacing w:before="0" w:beforeAutospacing="0" w:after="0" w:afterAutospacing="0" w:line="480" w:lineRule="auto"/>
        <w:ind w:firstLine="720"/>
      </w:pPr>
      <w:r>
        <w:t>P</w:t>
      </w:r>
      <w:r w:rsidR="00FA0280" w:rsidRPr="00A96976">
        <w:t>harmacy technologies</w:t>
      </w:r>
      <w:r>
        <w:t xml:space="preserve"> in the hospital</w:t>
      </w:r>
      <w:r w:rsidR="00FA0280" w:rsidRPr="00A96976">
        <w:t xml:space="preserve"> are changing how medications are dispensed, prepared</w:t>
      </w:r>
      <w:r>
        <w:t>,</w:t>
      </w:r>
      <w:r w:rsidR="00FA0280" w:rsidRPr="00A96976">
        <w:t xml:space="preserve"> and administered. These technologies impact patient safety, institutional cost savings, and pharmacy workflow.</w:t>
      </w:r>
      <w:r w:rsidR="00FA0280" w:rsidRPr="00A96976">
        <w:rPr>
          <w:vertAlign w:val="superscript"/>
        </w:rPr>
        <w:t xml:space="preserve">1 </w:t>
      </w:r>
      <w:r w:rsidR="003722AF" w:rsidRPr="00A96976">
        <w:t xml:space="preserve">The </w:t>
      </w:r>
      <w:r w:rsidR="009A4E5B" w:rsidRPr="00A96976">
        <w:t xml:space="preserve">intravenous (IV) </w:t>
      </w:r>
      <w:r w:rsidR="00FA0280" w:rsidRPr="00A96976">
        <w:t>room is an area where technology and automation implementation is needed due to the high risk errors that can occur while preparing sterile products.</w:t>
      </w:r>
      <w:r w:rsidR="00FA0280" w:rsidRPr="00A96976">
        <w:rPr>
          <w:vertAlign w:val="superscript"/>
        </w:rPr>
        <w:t>2,3</w:t>
      </w:r>
      <w:r w:rsidR="00FA0280" w:rsidRPr="00A96976">
        <w:t xml:space="preserve"> </w:t>
      </w:r>
      <w:r w:rsidR="00DA270B" w:rsidRPr="00A96976">
        <w:t>S</w:t>
      </w:r>
      <w:r w:rsidR="00175607" w:rsidRPr="00A96976">
        <w:t xml:space="preserve">terile product compounding is </w:t>
      </w:r>
      <w:r w:rsidR="00DA270B" w:rsidRPr="00A96976">
        <w:t>susceptible</w:t>
      </w:r>
      <w:r w:rsidR="00175607" w:rsidRPr="00A96976">
        <w:t xml:space="preserve"> to the same general error-prone pro</w:t>
      </w:r>
      <w:r w:rsidR="00DA270B" w:rsidRPr="00A96976">
        <w:t>cesses as all other medications. However,</w:t>
      </w:r>
      <w:r w:rsidR="00175607" w:rsidRPr="00A96976">
        <w:t xml:space="preserve"> these products are associated with additional risk factors that </w:t>
      </w:r>
      <w:r w:rsidR="00DA270B" w:rsidRPr="00A96976">
        <w:t>make them more subject to error.</w:t>
      </w:r>
      <w:r w:rsidR="004702BA" w:rsidRPr="00A96976">
        <w:rPr>
          <w:vertAlign w:val="superscript"/>
        </w:rPr>
        <w:t>4</w:t>
      </w:r>
      <w:r w:rsidR="00742969" w:rsidRPr="00A96976">
        <w:t xml:space="preserve"> </w:t>
      </w:r>
      <w:r w:rsidR="00DA270B" w:rsidRPr="00A96976">
        <w:t>For example,</w:t>
      </w:r>
      <w:r w:rsidR="00175607" w:rsidRPr="00A96976">
        <w:t xml:space="preserve"> IV products can be particularly</w:t>
      </w:r>
      <w:r w:rsidR="00961B13" w:rsidRPr="00A96976">
        <w:t xml:space="preserve"> harmful due to </w:t>
      </w:r>
      <w:r w:rsidR="00175607" w:rsidRPr="00A96976">
        <w:t xml:space="preserve">its direct access to the blood stream and fast onset of action.  The Institute for Safe Medication Practices (ISMP) </w:t>
      </w:r>
      <w:r w:rsidR="00F94F92" w:rsidRPr="00A96976">
        <w:t xml:space="preserve">identifies and refers to medications as “high-alert” if they have a great </w:t>
      </w:r>
      <w:r w:rsidR="00175607" w:rsidRPr="00A96976">
        <w:t>risk of causing significant patient harm when they a</w:t>
      </w:r>
      <w:r w:rsidR="00F94F92" w:rsidRPr="00A96976">
        <w:t>re used in error</w:t>
      </w:r>
      <w:r w:rsidR="00175607" w:rsidRPr="00A96976">
        <w:t>.</w:t>
      </w:r>
      <w:r w:rsidR="004702BA" w:rsidRPr="00A96976">
        <w:rPr>
          <w:vertAlign w:val="superscript"/>
        </w:rPr>
        <w:t>5</w:t>
      </w:r>
      <w:r w:rsidR="00175607" w:rsidRPr="00A96976">
        <w:rPr>
          <w:rStyle w:val="apple-converted-space"/>
        </w:rPr>
        <w:t> </w:t>
      </w:r>
      <w:r w:rsidR="005558C6" w:rsidRPr="00A96976">
        <w:t>Most high alert medications</w:t>
      </w:r>
      <w:r w:rsidR="00175607" w:rsidRPr="00A96976">
        <w:t xml:space="preserve"> are sterile compounded products.</w:t>
      </w:r>
      <w:r w:rsidR="004702BA" w:rsidRPr="00A96976">
        <w:rPr>
          <w:vertAlign w:val="superscript"/>
        </w:rPr>
        <w:t>4</w:t>
      </w:r>
      <w:r w:rsidR="00175607" w:rsidRPr="00A96976">
        <w:t xml:space="preserve">  </w:t>
      </w:r>
      <w:r w:rsidR="00FA0280" w:rsidRPr="00A96976">
        <w:t>There are an array of reasons for why sterile compounding mistakes happen such as dose miscalculations, reconstitution errors, selection of the wrong medication or diluent, poor training, and fatigue.</w:t>
      </w:r>
      <w:r w:rsidR="004702BA" w:rsidRPr="00A96976">
        <w:rPr>
          <w:vertAlign w:val="superscript"/>
        </w:rPr>
        <w:t>6</w:t>
      </w:r>
      <w:r w:rsidR="00FA0280" w:rsidRPr="00A96976">
        <w:t xml:space="preserve"> Because of the manual p</w:t>
      </w:r>
      <w:r w:rsidR="009A4E5B" w:rsidRPr="00A96976">
        <w:t>rocess of preparing an IV</w:t>
      </w:r>
      <w:r w:rsidR="00FA0280" w:rsidRPr="00A96976">
        <w:t>, it may be difficult for pharmacists to know what ingredients and products were used</w:t>
      </w:r>
      <w:r w:rsidR="00112431">
        <w:t xml:space="preserve"> by a technician</w:t>
      </w:r>
      <w:r w:rsidR="00FA0280" w:rsidRPr="00A96976">
        <w:t xml:space="preserve"> d</w:t>
      </w:r>
      <w:r w:rsidR="00112431">
        <w:t>uring the production stage</w:t>
      </w:r>
      <w:r w:rsidR="00FA0280" w:rsidRPr="00A96976">
        <w:t>.</w:t>
      </w:r>
      <w:r w:rsidR="004702BA" w:rsidRPr="00A96976">
        <w:rPr>
          <w:vertAlign w:val="superscript"/>
        </w:rPr>
        <w:t>7</w:t>
      </w:r>
      <w:r w:rsidR="00FA0280" w:rsidRPr="00A96976">
        <w:t xml:space="preserve">  </w:t>
      </w:r>
      <w:r w:rsidR="009A4E5B" w:rsidRPr="00A96976">
        <w:t>Due to the complexity of the IV</w:t>
      </w:r>
      <w:r w:rsidR="008140B3" w:rsidRPr="00A96976">
        <w:t xml:space="preserve"> </w:t>
      </w:r>
      <w:r w:rsidR="00FA0280" w:rsidRPr="00A96976">
        <w:t>process and the high-risk errors that could result during the preparation process, it is important for hospitals to evaluate the use of automa</w:t>
      </w:r>
      <w:r w:rsidR="008561A6" w:rsidRPr="00A96976">
        <w:t>tion</w:t>
      </w:r>
      <w:r w:rsidR="0052728E" w:rsidRPr="00A96976">
        <w:t xml:space="preserve">, such as technology-assisted workflow (TAWF) systems </w:t>
      </w:r>
      <w:r w:rsidR="008561A6" w:rsidRPr="00A96976">
        <w:t xml:space="preserve"> to improve patient safety.</w:t>
      </w:r>
      <w:r w:rsidR="00112431">
        <w:t xml:space="preserve"> In this essay I will explain the public health concern of sterile </w:t>
      </w:r>
      <w:r w:rsidR="00112431">
        <w:lastRenderedPageBreak/>
        <w:t xml:space="preserve">compounding errors and how TAWF systems have the ability to counteract these errors, thereby, improving patient safety, reducing waste, and enhancing workflow efficiency.  </w:t>
      </w:r>
    </w:p>
    <w:p w14:paraId="16449766" w14:textId="77777777" w:rsidR="00B917F0" w:rsidRPr="00A96976" w:rsidRDefault="00ED32F2" w:rsidP="00242E6A">
      <w:pPr>
        <w:pStyle w:val="Heading2"/>
        <w:rPr>
          <w:rFonts w:cs="Times New Roman"/>
        </w:rPr>
      </w:pPr>
      <w:bookmarkStart w:id="5" w:name="_Toc469394627"/>
      <w:r w:rsidRPr="00A96976">
        <w:rPr>
          <w:rFonts w:cs="Times New Roman"/>
        </w:rPr>
        <w:t>Sterile compounding errors</w:t>
      </w:r>
      <w:bookmarkEnd w:id="5"/>
    </w:p>
    <w:p w14:paraId="6070D907" w14:textId="43C855AD" w:rsidR="00B6345D" w:rsidRPr="00A96976" w:rsidRDefault="008140B3" w:rsidP="00DB33C4">
      <w:pPr>
        <w:pStyle w:val="NormalWeb"/>
        <w:shd w:val="clear" w:color="auto" w:fill="FFFFFF"/>
        <w:spacing w:before="0" w:beforeAutospacing="0" w:after="0" w:afterAutospacing="0" w:line="480" w:lineRule="auto"/>
        <w:ind w:firstLine="720"/>
        <w:rPr>
          <w:shd w:val="clear" w:color="auto" w:fill="FFFFFF"/>
        </w:rPr>
      </w:pPr>
      <w:r w:rsidRPr="00A96976">
        <w:rPr>
          <w:shd w:val="clear" w:color="auto" w:fill="FFFFFF"/>
        </w:rPr>
        <w:t xml:space="preserve">Unsafe and even fatal sterile compounding errors have occurred when preparing </w:t>
      </w:r>
      <w:r w:rsidR="00D5786C" w:rsidRPr="00A96976">
        <w:rPr>
          <w:shd w:val="clear" w:color="auto" w:fill="FFFFFF"/>
        </w:rPr>
        <w:t>intravenous (I</w:t>
      </w:r>
      <w:r w:rsidRPr="00A96976">
        <w:rPr>
          <w:shd w:val="clear" w:color="auto" w:fill="FFFFFF"/>
        </w:rPr>
        <w:t>V) products in the pharmacy</w:t>
      </w:r>
      <w:r w:rsidR="00D5786C" w:rsidRPr="00A96976">
        <w:rPr>
          <w:shd w:val="clear" w:color="auto" w:fill="FFFFFF"/>
        </w:rPr>
        <w:t>.</w:t>
      </w:r>
      <w:r w:rsidR="004702BA" w:rsidRPr="00A96976">
        <w:rPr>
          <w:shd w:val="clear" w:color="auto" w:fill="FFFFFF"/>
          <w:vertAlign w:val="superscript"/>
        </w:rPr>
        <w:t>8</w:t>
      </w:r>
      <w:r w:rsidR="00D5786C" w:rsidRPr="00A96976">
        <w:rPr>
          <w:rStyle w:val="apple-converted-space"/>
          <w:shd w:val="clear" w:color="auto" w:fill="FFFFFF"/>
        </w:rPr>
        <w:t> </w:t>
      </w:r>
      <w:r w:rsidR="006319B8" w:rsidRPr="00A96976">
        <w:rPr>
          <w:shd w:val="clear" w:color="auto" w:fill="FFFFFF"/>
        </w:rPr>
        <w:t>The FDA found</w:t>
      </w:r>
      <w:r w:rsidR="005558C6" w:rsidRPr="00A96976">
        <w:rPr>
          <w:shd w:val="clear" w:color="auto" w:fill="FFFFFF"/>
        </w:rPr>
        <w:t xml:space="preserve"> that</w:t>
      </w:r>
      <w:r w:rsidR="006319B8" w:rsidRPr="00A96976">
        <w:rPr>
          <w:shd w:val="clear" w:color="auto" w:fill="FFFFFF"/>
        </w:rPr>
        <w:t xml:space="preserve"> 90% of the 150 compounding centers inspected had safety and sanitary problems.</w:t>
      </w:r>
      <w:r w:rsidR="004702BA" w:rsidRPr="00A96976">
        <w:rPr>
          <w:shd w:val="clear" w:color="auto" w:fill="FFFFFF"/>
          <w:vertAlign w:val="superscript"/>
        </w:rPr>
        <w:t>9</w:t>
      </w:r>
      <w:r w:rsidR="006319B8" w:rsidRPr="00A96976">
        <w:rPr>
          <w:shd w:val="clear" w:color="auto" w:fill="FFFFFF"/>
        </w:rPr>
        <w:t xml:space="preserve"> </w:t>
      </w:r>
      <w:r w:rsidR="00B6345D" w:rsidRPr="00A96976">
        <w:t>B</w:t>
      </w:r>
      <w:r w:rsidRPr="00A96976">
        <w:t>etween 1990 and 2005</w:t>
      </w:r>
      <w:r w:rsidR="00B6345D" w:rsidRPr="00A96976">
        <w:t>, there have been at least 12 incidents of contaminated pharmacy-prepared sterile compounds reported nationally</w:t>
      </w:r>
      <w:r w:rsidR="00A16AD0">
        <w:t>,</w:t>
      </w:r>
      <w:r w:rsidRPr="00A96976">
        <w:t xml:space="preserve"> involving over 19,000 patients and resulting in at least 15 deaths.</w:t>
      </w:r>
      <w:r w:rsidR="001F6730" w:rsidRPr="00A96976">
        <w:rPr>
          <w:vertAlign w:val="superscript"/>
        </w:rPr>
        <w:t>10</w:t>
      </w:r>
      <w:r w:rsidRPr="00A96976">
        <w:t xml:space="preserve"> </w:t>
      </w:r>
      <w:r w:rsidR="00B61ED9" w:rsidRPr="00A96976">
        <w:t>I</w:t>
      </w:r>
      <w:r w:rsidRPr="00A96976">
        <w:rPr>
          <w:shd w:val="clear" w:color="auto" w:fill="FFFFFF"/>
        </w:rPr>
        <w:t>n</w:t>
      </w:r>
      <w:r w:rsidR="00D5786C" w:rsidRPr="00A96976">
        <w:rPr>
          <w:shd w:val="clear" w:color="auto" w:fill="FFFFFF"/>
        </w:rPr>
        <w:t xml:space="preserve"> 2012</w:t>
      </w:r>
      <w:r w:rsidRPr="00A96976">
        <w:rPr>
          <w:shd w:val="clear" w:color="auto" w:fill="FFFFFF"/>
        </w:rPr>
        <w:t>, 64 people died due a meningitis outbreak from contaminated epidural solutions prepared by the New England Compounding Center (NECC).</w:t>
      </w:r>
      <w:r w:rsidR="001F6730" w:rsidRPr="00A96976">
        <w:rPr>
          <w:shd w:val="clear" w:color="auto" w:fill="FFFFFF"/>
          <w:vertAlign w:val="superscript"/>
        </w:rPr>
        <w:t>11</w:t>
      </w:r>
      <w:r w:rsidRPr="00A96976">
        <w:rPr>
          <w:shd w:val="clear" w:color="auto" w:fill="FFFFFF"/>
        </w:rPr>
        <w:t xml:space="preserve"> </w:t>
      </w:r>
      <w:r w:rsidR="005558C6" w:rsidRPr="00A96976">
        <w:rPr>
          <w:shd w:val="clear" w:color="auto" w:fill="FFFFFF"/>
        </w:rPr>
        <w:t>In 2014</w:t>
      </w:r>
      <w:r w:rsidR="00B61ED9" w:rsidRPr="00A96976">
        <w:rPr>
          <w:shd w:val="clear" w:color="auto" w:fill="FFFFFF"/>
        </w:rPr>
        <w:t>,</w:t>
      </w:r>
      <w:r w:rsidR="005558C6" w:rsidRPr="00A96976">
        <w:rPr>
          <w:shd w:val="clear" w:color="auto" w:fill="FFFFFF"/>
        </w:rPr>
        <w:t xml:space="preserve"> c</w:t>
      </w:r>
      <w:r w:rsidR="00162523" w:rsidRPr="00A96976">
        <w:rPr>
          <w:shd w:val="clear" w:color="auto" w:fill="FFFFFF"/>
        </w:rPr>
        <w:t>ontaminated products at S</w:t>
      </w:r>
      <w:r w:rsidR="00B6345D" w:rsidRPr="00A96976">
        <w:rPr>
          <w:shd w:val="clear" w:color="auto" w:fill="FFFFFF"/>
        </w:rPr>
        <w:t>pecia</w:t>
      </w:r>
      <w:r w:rsidR="00162523" w:rsidRPr="00A96976">
        <w:rPr>
          <w:shd w:val="clear" w:color="auto" w:fill="FFFFFF"/>
        </w:rPr>
        <w:t xml:space="preserve">lty Compounding in Texas </w:t>
      </w:r>
      <w:r w:rsidR="00B6345D" w:rsidRPr="00A96976">
        <w:rPr>
          <w:shd w:val="clear" w:color="auto" w:fill="FFFFFF"/>
        </w:rPr>
        <w:t>resulted in two de</w:t>
      </w:r>
      <w:r w:rsidR="005558C6" w:rsidRPr="00A96976">
        <w:rPr>
          <w:shd w:val="clear" w:color="auto" w:fill="FFFFFF"/>
        </w:rPr>
        <w:t>aths and several patients becoming sick</w:t>
      </w:r>
      <w:r w:rsidR="00B6345D" w:rsidRPr="00A96976">
        <w:rPr>
          <w:shd w:val="clear" w:color="auto" w:fill="FFFFFF"/>
        </w:rPr>
        <w:t xml:space="preserve">. </w:t>
      </w:r>
      <w:r w:rsidR="00492459" w:rsidRPr="00A96976">
        <w:rPr>
          <w:shd w:val="clear" w:color="auto" w:fill="FFFFFF"/>
        </w:rPr>
        <w:t xml:space="preserve">This occurred even after the </w:t>
      </w:r>
      <w:r w:rsidR="00B6345D" w:rsidRPr="00A96976">
        <w:rPr>
          <w:shd w:val="clear" w:color="auto" w:fill="FFFFFF"/>
        </w:rPr>
        <w:t>FDA had inspected</w:t>
      </w:r>
      <w:r w:rsidR="00AC6F52">
        <w:rPr>
          <w:shd w:val="clear" w:color="auto" w:fill="FFFFFF"/>
        </w:rPr>
        <w:t xml:space="preserve"> the facility </w:t>
      </w:r>
      <w:r w:rsidR="00AC6F52" w:rsidRPr="00A96976">
        <w:rPr>
          <w:shd w:val="clear" w:color="auto" w:fill="FFFFFF"/>
        </w:rPr>
        <w:t>and had identified many significant quality problems</w:t>
      </w:r>
      <w:r w:rsidR="00AC6F52">
        <w:rPr>
          <w:shd w:val="clear" w:color="auto" w:fill="FFFFFF"/>
        </w:rPr>
        <w:t xml:space="preserve"> five months prior</w:t>
      </w:r>
      <w:r w:rsidR="004A25C8">
        <w:rPr>
          <w:shd w:val="clear" w:color="auto" w:fill="FFFFFF"/>
        </w:rPr>
        <w:t xml:space="preserve"> to the event</w:t>
      </w:r>
      <w:r w:rsidR="006319B8" w:rsidRPr="00A96976">
        <w:rPr>
          <w:shd w:val="clear" w:color="auto" w:fill="FFFFFF"/>
        </w:rPr>
        <w:t>.</w:t>
      </w:r>
      <w:r w:rsidR="001F6730" w:rsidRPr="00A96976">
        <w:rPr>
          <w:shd w:val="clear" w:color="auto" w:fill="FFFFFF"/>
          <w:vertAlign w:val="superscript"/>
        </w:rPr>
        <w:t>9</w:t>
      </w:r>
      <w:r w:rsidR="00AC6F52">
        <w:rPr>
          <w:shd w:val="clear" w:color="auto" w:fill="FFFFFF"/>
          <w:vertAlign w:val="superscript"/>
        </w:rPr>
        <w:t xml:space="preserve">, </w:t>
      </w:r>
      <w:r w:rsidR="00766C5F" w:rsidRPr="00A96976">
        <w:rPr>
          <w:shd w:val="clear" w:color="auto" w:fill="FFFFFF"/>
          <w:vertAlign w:val="superscript"/>
        </w:rPr>
        <w:t>12</w:t>
      </w:r>
      <w:r w:rsidR="006319B8" w:rsidRPr="00A96976">
        <w:rPr>
          <w:shd w:val="clear" w:color="auto" w:fill="FFFFFF"/>
        </w:rPr>
        <w:t xml:space="preserve"> </w:t>
      </w:r>
    </w:p>
    <w:p w14:paraId="6442CB7D" w14:textId="2380ACCE" w:rsidR="00175607" w:rsidRPr="00A96976" w:rsidRDefault="00B6345D" w:rsidP="00736CAA">
      <w:pPr>
        <w:pStyle w:val="NormalWeb"/>
        <w:shd w:val="clear" w:color="auto" w:fill="FFFFFF"/>
        <w:spacing w:before="0" w:beforeAutospacing="0" w:after="0" w:afterAutospacing="0" w:line="480" w:lineRule="auto"/>
        <w:ind w:firstLine="720"/>
        <w:rPr>
          <w:shd w:val="clear" w:color="auto" w:fill="FFFFFF"/>
        </w:rPr>
      </w:pPr>
      <w:r w:rsidRPr="00A96976">
        <w:t xml:space="preserve">Serious compounding errors </w:t>
      </w:r>
      <w:r w:rsidR="00090ED4" w:rsidRPr="00A96976">
        <w:t xml:space="preserve">besides infectious contamination </w:t>
      </w:r>
      <w:r w:rsidRPr="00A96976">
        <w:t>have als</w:t>
      </w:r>
      <w:r w:rsidR="00453901" w:rsidRPr="00A96976">
        <w:t xml:space="preserve">o been reported. In 2009, </w:t>
      </w:r>
      <w:r w:rsidRPr="00A96976">
        <w:t xml:space="preserve">a patient event involving a compounding error </w:t>
      </w:r>
      <w:r w:rsidR="00453901" w:rsidRPr="00A96976">
        <w:t xml:space="preserve">occurred in 30% of surveyed hospitals </w:t>
      </w:r>
      <w:r w:rsidR="00AC6F52">
        <w:t>within the past</w:t>
      </w:r>
      <w:r w:rsidRPr="00A96976">
        <w:t xml:space="preserve"> 5 years.</w:t>
      </w:r>
      <w:r w:rsidR="001F6730" w:rsidRPr="00A96976">
        <w:rPr>
          <w:vertAlign w:val="superscript"/>
        </w:rPr>
        <w:t>3</w:t>
      </w:r>
      <w:r w:rsidRPr="00A96976">
        <w:rPr>
          <w:rStyle w:val="apple-converted-space"/>
        </w:rPr>
        <w:t> </w:t>
      </w:r>
      <w:r w:rsidRPr="00A96976">
        <w:t xml:space="preserve"> </w:t>
      </w:r>
      <w:r w:rsidR="00453901" w:rsidRPr="00A96976">
        <w:t xml:space="preserve">From 2005 to 2011, </w:t>
      </w:r>
      <w:r w:rsidR="00A16AD0">
        <w:t xml:space="preserve">it was found that </w:t>
      </w:r>
      <w:r w:rsidR="00453901" w:rsidRPr="00A96976">
        <w:t>s</w:t>
      </w:r>
      <w:r w:rsidRPr="00A96976">
        <w:t>erio</w:t>
      </w:r>
      <w:r w:rsidR="00453901" w:rsidRPr="00A96976">
        <w:t xml:space="preserve">us sterile compounding errors </w:t>
      </w:r>
      <w:r w:rsidR="00A16AD0">
        <w:t>could</w:t>
      </w:r>
      <w:r w:rsidR="00F94476" w:rsidRPr="00A96976">
        <w:t xml:space="preserve"> be attributed</w:t>
      </w:r>
      <w:r w:rsidR="00453901" w:rsidRPr="00A96976">
        <w:t xml:space="preserve"> to the wrong concentration or </w:t>
      </w:r>
      <w:r w:rsidRPr="00A96976">
        <w:t xml:space="preserve">strength of </w:t>
      </w:r>
      <w:r w:rsidR="00453901" w:rsidRPr="00A96976">
        <w:t>the product dispensed</w:t>
      </w:r>
      <w:r w:rsidRPr="00A96976">
        <w:t>,</w:t>
      </w:r>
      <w:hyperlink r:id="rId9" w:anchor="r13" w:history="1">
        <w:r w:rsidRPr="00A16AD0">
          <w:rPr>
            <w:rStyle w:val="Hyperlink"/>
            <w:color w:val="auto"/>
            <w:u w:val="none"/>
            <w:vertAlign w:val="superscript"/>
          </w:rPr>
          <w:t>13</w:t>
        </w:r>
      </w:hyperlink>
      <w:r w:rsidRPr="00A16AD0">
        <w:rPr>
          <w:vertAlign w:val="superscript"/>
        </w:rPr>
        <w:t>-</w:t>
      </w:r>
      <w:hyperlink r:id="rId10" w:anchor="r17" w:history="1">
        <w:r w:rsidRPr="00A16AD0">
          <w:rPr>
            <w:rStyle w:val="Hyperlink"/>
            <w:color w:val="auto"/>
            <w:u w:val="none"/>
            <w:vertAlign w:val="superscript"/>
          </w:rPr>
          <w:t>17</w:t>
        </w:r>
      </w:hyperlink>
      <w:r w:rsidRPr="00A96976">
        <w:rPr>
          <w:rStyle w:val="apple-converted-space"/>
        </w:rPr>
        <w:t> </w:t>
      </w:r>
      <w:r w:rsidRPr="00A96976">
        <w:t>wrong product or diluent used in compounding,</w:t>
      </w:r>
      <w:hyperlink r:id="rId11" w:anchor="r18" w:history="1">
        <w:r w:rsidRPr="00A16AD0">
          <w:rPr>
            <w:rStyle w:val="Hyperlink"/>
            <w:color w:val="auto"/>
            <w:u w:val="none"/>
            <w:vertAlign w:val="superscript"/>
          </w:rPr>
          <w:t>18</w:t>
        </w:r>
      </w:hyperlink>
      <w:r w:rsidRPr="00A16AD0">
        <w:rPr>
          <w:vertAlign w:val="superscript"/>
        </w:rPr>
        <w:t>,</w:t>
      </w:r>
      <w:hyperlink r:id="rId12" w:anchor="r19" w:history="1">
        <w:r w:rsidRPr="00A16AD0">
          <w:rPr>
            <w:rStyle w:val="Hyperlink"/>
            <w:color w:val="auto"/>
            <w:u w:val="none"/>
            <w:vertAlign w:val="superscript"/>
          </w:rPr>
          <w:t>19</w:t>
        </w:r>
      </w:hyperlink>
      <w:r w:rsidRPr="00A96976">
        <w:rPr>
          <w:rStyle w:val="apple-converted-space"/>
        </w:rPr>
        <w:t> </w:t>
      </w:r>
      <w:r w:rsidRPr="00A96976">
        <w:t>or product mislabeling by the pharmacy.</w:t>
      </w:r>
      <w:r w:rsidRPr="00A96976">
        <w:rPr>
          <w:vertAlign w:val="superscript"/>
        </w:rPr>
        <w:t>20</w:t>
      </w:r>
      <w:r w:rsidRPr="00A96976">
        <w:rPr>
          <w:shd w:val="clear" w:color="auto" w:fill="FFFFFF"/>
        </w:rPr>
        <w:t xml:space="preserve"> </w:t>
      </w:r>
      <w:r w:rsidR="00453901" w:rsidRPr="00A96976">
        <w:rPr>
          <w:shd w:val="clear" w:color="auto" w:fill="FFFFFF"/>
        </w:rPr>
        <w:t>For example, a</w:t>
      </w:r>
      <w:r w:rsidRPr="00A96976">
        <w:rPr>
          <w:shd w:val="clear" w:color="auto" w:fill="FFFFFF"/>
        </w:rPr>
        <w:t xml:space="preserve">n accidental chemotherapy compounding error </w:t>
      </w:r>
      <w:r w:rsidR="002A34E6" w:rsidRPr="00A96976">
        <w:rPr>
          <w:shd w:val="clear" w:color="auto" w:fill="FFFFFF"/>
        </w:rPr>
        <w:t>due to the wrong concentration of sodium</w:t>
      </w:r>
      <w:r w:rsidR="00B61ED9" w:rsidRPr="00A96976">
        <w:rPr>
          <w:shd w:val="clear" w:color="auto" w:fill="FFFFFF"/>
        </w:rPr>
        <w:t xml:space="preserve"> chloride</w:t>
      </w:r>
      <w:r w:rsidR="002A34E6" w:rsidRPr="00A96976">
        <w:rPr>
          <w:shd w:val="clear" w:color="auto" w:fill="FFFFFF"/>
        </w:rPr>
        <w:t xml:space="preserve"> </w:t>
      </w:r>
      <w:r w:rsidR="001A34F2">
        <w:rPr>
          <w:shd w:val="clear" w:color="auto" w:fill="FFFFFF"/>
        </w:rPr>
        <w:t xml:space="preserve">claimed the life of 2 year </w:t>
      </w:r>
      <w:r w:rsidRPr="00A96976">
        <w:rPr>
          <w:shd w:val="clear" w:color="auto" w:fill="FFFFFF"/>
        </w:rPr>
        <w:t xml:space="preserve">old Emily Jerry in 2006. More </w:t>
      </w:r>
      <w:r w:rsidR="001A34F2">
        <w:rPr>
          <w:shd w:val="clear" w:color="auto" w:fill="FFFFFF"/>
        </w:rPr>
        <w:t xml:space="preserve">recently in December </w:t>
      </w:r>
      <w:r w:rsidR="001A34F2">
        <w:rPr>
          <w:shd w:val="clear" w:color="auto" w:fill="FFFFFF"/>
        </w:rPr>
        <w:lastRenderedPageBreak/>
        <w:t xml:space="preserve">2014, a 65 </w:t>
      </w:r>
      <w:r w:rsidRPr="00A96976">
        <w:rPr>
          <w:shd w:val="clear" w:color="auto" w:fill="FFFFFF"/>
        </w:rPr>
        <w:t>year old woman died due to a compounding error in which a rocuronium infusion was prepared and dispensed instead of a fosphen</w:t>
      </w:r>
      <w:r w:rsidR="00175607" w:rsidRPr="00A96976">
        <w:rPr>
          <w:shd w:val="clear" w:color="auto" w:fill="FFFFFF"/>
        </w:rPr>
        <w:t>ytoin infusion.</w:t>
      </w:r>
      <w:r w:rsidR="00111DD5" w:rsidRPr="00A96976">
        <w:rPr>
          <w:shd w:val="clear" w:color="auto" w:fill="FFFFFF"/>
          <w:vertAlign w:val="superscript"/>
        </w:rPr>
        <w:t>11</w:t>
      </w:r>
    </w:p>
    <w:p w14:paraId="71857477" w14:textId="20C67C4D" w:rsidR="00175607" w:rsidRPr="00A96976" w:rsidRDefault="002C2F2E" w:rsidP="00B61ED9">
      <w:pPr>
        <w:pStyle w:val="NormalWeb"/>
        <w:shd w:val="clear" w:color="auto" w:fill="FFFFFF"/>
        <w:spacing w:before="0" w:beforeAutospacing="0" w:after="0" w:afterAutospacing="0" w:line="480" w:lineRule="auto"/>
        <w:ind w:firstLine="720"/>
        <w:sectPr w:rsidR="00175607" w:rsidRPr="00A96976" w:rsidSect="005B57EC">
          <w:footerReference w:type="default" r:id="rId13"/>
          <w:pgSz w:w="12240" w:h="15840"/>
          <w:pgMar w:top="1440" w:right="1440" w:bottom="1440" w:left="1440" w:header="720" w:footer="720" w:gutter="0"/>
          <w:pgNumType w:start="1"/>
          <w:cols w:space="720"/>
          <w:docGrid w:linePitch="360"/>
        </w:sectPr>
      </w:pPr>
      <w:r w:rsidRPr="00A96976">
        <w:t xml:space="preserve">In an effort to decrease sterile compounding errors, the </w:t>
      </w:r>
      <w:r w:rsidR="00CA078F">
        <w:t xml:space="preserve">United States Pharmacopeial Convention, a not-for-profit scientific organization focused on providing the public with quality standards regarding drugs, excipients, and supplements, released the </w:t>
      </w:r>
      <w:r w:rsidRPr="00A96976">
        <w:rPr>
          <w:rStyle w:val="Emphasis"/>
        </w:rPr>
        <w:t>United States Pharmacopoeia</w:t>
      </w:r>
      <w:r w:rsidRPr="00A96976">
        <w:rPr>
          <w:rStyle w:val="apple-converted-space"/>
        </w:rPr>
        <w:t> </w:t>
      </w:r>
      <w:r w:rsidRPr="00A96976">
        <w:t>(USP) chapter &lt;797&gt;</w:t>
      </w:r>
      <w:r w:rsidR="00CA078F">
        <w:rPr>
          <w:vertAlign w:val="superscript"/>
        </w:rPr>
        <w:t xml:space="preserve"> </w:t>
      </w:r>
      <w:r w:rsidRPr="00A96976">
        <w:t>in 2004.</w:t>
      </w:r>
      <w:r w:rsidR="001A34F2">
        <w:rPr>
          <w:vertAlign w:val="superscript"/>
        </w:rPr>
        <w:t>21</w:t>
      </w:r>
      <w:r w:rsidRPr="00A96976">
        <w:t xml:space="preserve"> </w:t>
      </w:r>
      <w:r w:rsidR="00B2293C">
        <w:t>This chapter is on “Pharmaceutical Compounding-Sterile Preparations”, and i</w:t>
      </w:r>
      <w:r w:rsidR="009C7219" w:rsidRPr="00A96976">
        <w:t xml:space="preserve">t </w:t>
      </w:r>
      <w:r w:rsidR="00175607" w:rsidRPr="00A96976">
        <w:t>was intended to become the standard of</w:t>
      </w:r>
      <w:r w:rsidR="009C7219" w:rsidRPr="00A96976">
        <w:t xml:space="preserve"> practice, reduce </w:t>
      </w:r>
      <w:r w:rsidR="00175607" w:rsidRPr="00A96976">
        <w:t>the risk of infectious contamination of pharmacy-pr</w:t>
      </w:r>
      <w:r w:rsidR="009C7219" w:rsidRPr="00A96976">
        <w:t xml:space="preserve">epared sterile products, and </w:t>
      </w:r>
      <w:r w:rsidR="00175607" w:rsidRPr="00A96976">
        <w:t>be enforced by federal and/or</w:t>
      </w:r>
      <w:r w:rsidR="009C7219" w:rsidRPr="00A96976">
        <w:t xml:space="preserve"> state laws and regulations. However, a recent survey revealed</w:t>
      </w:r>
      <w:r w:rsidR="00175607" w:rsidRPr="00A96976">
        <w:t xml:space="preserve"> that only 18 states directly requir</w:t>
      </w:r>
      <w:r w:rsidR="00111DD5" w:rsidRPr="00A96976">
        <w:t>e compliance with this standard</w:t>
      </w:r>
      <w:r w:rsidR="001A34F2">
        <w:t>.</w:t>
      </w:r>
      <w:r w:rsidR="00111DD5" w:rsidRPr="00A96976">
        <w:rPr>
          <w:vertAlign w:val="superscript"/>
        </w:rPr>
        <w:t>22</w:t>
      </w:r>
      <w:r w:rsidR="00B61ED9" w:rsidRPr="00A96976">
        <w:rPr>
          <w:rStyle w:val="apple-converted-space"/>
        </w:rPr>
        <w:t xml:space="preserve"> Additionally, it was found that</w:t>
      </w:r>
      <w:r w:rsidR="001A34F2">
        <w:rPr>
          <w:rStyle w:val="apple-converted-space"/>
        </w:rPr>
        <w:t xml:space="preserve"> only</w:t>
      </w:r>
      <w:r w:rsidR="00B61ED9" w:rsidRPr="00A96976">
        <w:rPr>
          <w:rStyle w:val="apple-converted-space"/>
        </w:rPr>
        <w:t xml:space="preserve"> </w:t>
      </w:r>
      <w:r w:rsidR="00175607" w:rsidRPr="00A96976">
        <w:t xml:space="preserve">65.2% of hospitals </w:t>
      </w:r>
      <w:r w:rsidR="00B61ED9" w:rsidRPr="00A96976">
        <w:t xml:space="preserve">follow </w:t>
      </w:r>
      <w:r w:rsidR="00175607" w:rsidRPr="00A96976">
        <w:t>USP &lt;797&gt; requirements for clean rooms,</w:t>
      </w:r>
      <w:r w:rsidR="00BE2810" w:rsidRPr="00A96976">
        <w:rPr>
          <w:vertAlign w:val="superscript"/>
        </w:rPr>
        <w:t>23</w:t>
      </w:r>
      <w:r w:rsidR="00175607" w:rsidRPr="00A96976">
        <w:rPr>
          <w:rStyle w:val="apple-converted-space"/>
        </w:rPr>
        <w:t> </w:t>
      </w:r>
      <w:r w:rsidR="00175607" w:rsidRPr="00A96976">
        <w:t xml:space="preserve">and less than 17% of hospitals </w:t>
      </w:r>
      <w:r w:rsidR="00B61ED9" w:rsidRPr="00A96976">
        <w:t>adhere to</w:t>
      </w:r>
      <w:r w:rsidR="00175607" w:rsidRPr="00A96976">
        <w:t xml:space="preserve"> all USP &lt;797&gt; requirements.</w:t>
      </w:r>
      <w:r w:rsidR="00BE2810" w:rsidRPr="00A96976">
        <w:rPr>
          <w:vertAlign w:val="superscript"/>
        </w:rPr>
        <w:t>24</w:t>
      </w:r>
      <w:r w:rsidR="00175607" w:rsidRPr="00A96976">
        <w:rPr>
          <w:rStyle w:val="apple-converted-space"/>
        </w:rPr>
        <w:t> </w:t>
      </w:r>
    </w:p>
    <w:p w14:paraId="3CBCD01C" w14:textId="77777777" w:rsidR="00B917F0" w:rsidRPr="00A96976" w:rsidRDefault="00ED32F2" w:rsidP="00B917F0">
      <w:pPr>
        <w:pStyle w:val="Heading3"/>
        <w:rPr>
          <w:rFonts w:cs="Times New Roman"/>
        </w:rPr>
      </w:pPr>
      <w:bookmarkStart w:id="6" w:name="_Toc469394628"/>
      <w:r w:rsidRPr="00A96976">
        <w:rPr>
          <w:rFonts w:cs="Times New Roman"/>
        </w:rPr>
        <w:lastRenderedPageBreak/>
        <w:t>Why is the IV Room Overlooked?</w:t>
      </w:r>
      <w:bookmarkEnd w:id="6"/>
      <w:r w:rsidR="00E177D7" w:rsidRPr="00A96976">
        <w:rPr>
          <w:rFonts w:cs="Times New Roman"/>
        </w:rPr>
        <w:t xml:space="preserve"> </w:t>
      </w:r>
    </w:p>
    <w:p w14:paraId="3288980A" w14:textId="070858C8" w:rsidR="00EE4146" w:rsidRPr="00A96976" w:rsidRDefault="001D2B18" w:rsidP="00736CAA">
      <w:pPr>
        <w:pStyle w:val="NormalWeb"/>
        <w:shd w:val="clear" w:color="auto" w:fill="FFFFFF"/>
        <w:spacing w:before="0" w:beforeAutospacing="0" w:after="0" w:afterAutospacing="0" w:line="480" w:lineRule="auto"/>
        <w:ind w:firstLine="720"/>
      </w:pPr>
      <w:r w:rsidRPr="00A96976">
        <w:t>Despite</w:t>
      </w:r>
      <w:r w:rsidR="001314B9" w:rsidRPr="00A96976">
        <w:t xml:space="preserve"> the</w:t>
      </w:r>
      <w:r w:rsidRPr="00A96976">
        <w:t xml:space="preserve"> IV room being a high risk area, there has been</w:t>
      </w:r>
      <w:r w:rsidR="00EE4146" w:rsidRPr="00A96976">
        <w:t xml:space="preserve"> slow adoption of technology and ot</w:t>
      </w:r>
      <w:r w:rsidRPr="00A96976">
        <w:t xml:space="preserve">her error-reduction strategies. In other </w:t>
      </w:r>
      <w:r w:rsidR="00F94476" w:rsidRPr="00A96976">
        <w:t>areas of the hospital, there have</w:t>
      </w:r>
      <w:r w:rsidRPr="00A96976">
        <w:t xml:space="preserve"> been great advancements in the adoption of medication-related technologies. For example, 98% of hospitals use automated dispensing cabinets in some capacity, bar coded medication administration is up to 94%, and computerized prescriber order entry is up to 88%.</w:t>
      </w:r>
      <w:r w:rsidR="00361E02" w:rsidRPr="00A96976">
        <w:t xml:space="preserve"> However, in the IV room, barcode verification during sterile compounding is used in 20% of hospitals, robotic compounding devices are used in 2.8% of hospitals for sterile preparation and 0.3% for chemotherapy preparations, and a mere 6.5% u</w:t>
      </w:r>
      <w:r w:rsidR="00A8305B">
        <w:t>se sterile workflow technology.</w:t>
      </w:r>
      <w:r w:rsidR="00361E02" w:rsidRPr="00A96976">
        <w:rPr>
          <w:vertAlign w:val="superscript"/>
        </w:rPr>
        <w:t>25</w:t>
      </w:r>
      <w:r w:rsidRPr="00A96976">
        <w:t xml:space="preserve"> </w:t>
      </w:r>
      <w:r w:rsidR="004D4D8E" w:rsidRPr="00A96976">
        <w:t>The following</w:t>
      </w:r>
      <w:r w:rsidR="001314B9" w:rsidRPr="00A96976">
        <w:t xml:space="preserve"> are five possible systems and behavioral causes that result in the IV room being overlooked in terms of saf</w:t>
      </w:r>
      <w:r w:rsidR="00C849B8" w:rsidRPr="00A96976">
        <w:t xml:space="preserve">ety: </w:t>
      </w:r>
      <w:r w:rsidR="00EE4146" w:rsidRPr="00A96976">
        <w:t xml:space="preserve">1) </w:t>
      </w:r>
      <w:r w:rsidR="00C849B8" w:rsidRPr="00A96976">
        <w:t>diminishing</w:t>
      </w:r>
      <w:r w:rsidR="00EE4146" w:rsidRPr="00A96976">
        <w:t xml:space="preserve"> </w:t>
      </w:r>
      <w:r w:rsidR="00494C35" w:rsidRPr="00A96976">
        <w:t xml:space="preserve">perceived </w:t>
      </w:r>
      <w:r w:rsidR="00EE4146" w:rsidRPr="00A96976">
        <w:t xml:space="preserve">importance </w:t>
      </w:r>
      <w:r w:rsidR="00C849B8" w:rsidRPr="00A96976">
        <w:t xml:space="preserve">of sterile compounding technique, 2) variability </w:t>
      </w:r>
      <w:r w:rsidR="00EE4146" w:rsidRPr="00A96976">
        <w:t xml:space="preserve">around best </w:t>
      </w:r>
      <w:r w:rsidR="00C849B8" w:rsidRPr="00A96976">
        <w:t xml:space="preserve">sterile compounding </w:t>
      </w:r>
      <w:r w:rsidR="00EE4146" w:rsidRPr="00A96976">
        <w:t xml:space="preserve">practices, 3) </w:t>
      </w:r>
      <w:r w:rsidR="00C849B8" w:rsidRPr="00A96976">
        <w:t>lack of standardized training</w:t>
      </w:r>
      <w:r w:rsidR="00EE4146" w:rsidRPr="00A96976">
        <w:t xml:space="preserve">, 4) </w:t>
      </w:r>
      <w:r w:rsidR="00C7425F" w:rsidRPr="00A96976">
        <w:t>acceptance and tolerance</w:t>
      </w:r>
      <w:r w:rsidR="004E32B2" w:rsidRPr="00A96976">
        <w:t xml:space="preserve"> of</w:t>
      </w:r>
      <w:r w:rsidR="00EE4146" w:rsidRPr="00A96976">
        <w:t xml:space="preserve"> </w:t>
      </w:r>
      <w:r w:rsidR="004E32B2" w:rsidRPr="00A96976">
        <w:t>practice deviations</w:t>
      </w:r>
      <w:r w:rsidR="00EE4146" w:rsidRPr="00A96976">
        <w:t xml:space="preserve">, and 5) a </w:t>
      </w:r>
      <w:r w:rsidR="004E32B2" w:rsidRPr="00A96976">
        <w:t>disinclination to learn from mistakes</w:t>
      </w:r>
      <w:r w:rsidR="00C849B8" w:rsidRPr="00A96976">
        <w:t>.</w:t>
      </w:r>
      <w:r w:rsidR="00475494" w:rsidRPr="00A96976">
        <w:rPr>
          <w:vertAlign w:val="superscript"/>
        </w:rPr>
        <w:t>11</w:t>
      </w:r>
      <w:r w:rsidR="00C849B8" w:rsidRPr="00A96976">
        <w:t xml:space="preserve"> </w:t>
      </w:r>
    </w:p>
    <w:p w14:paraId="3D3D979E" w14:textId="77777777" w:rsidR="006F57F8" w:rsidRPr="00304B27" w:rsidRDefault="006F57F8" w:rsidP="00736CAA">
      <w:pPr>
        <w:pStyle w:val="NormalWeb"/>
        <w:shd w:val="clear" w:color="auto" w:fill="FFFFFF"/>
        <w:spacing w:before="0" w:beforeAutospacing="0" w:after="0" w:afterAutospacing="0" w:line="480" w:lineRule="auto"/>
        <w:rPr>
          <w:b/>
          <w:i/>
        </w:rPr>
      </w:pPr>
      <w:r w:rsidRPr="00304B27">
        <w:rPr>
          <w:b/>
          <w:i/>
        </w:rPr>
        <w:t>Diminishing</w:t>
      </w:r>
      <w:r w:rsidR="00494C35" w:rsidRPr="00304B27">
        <w:rPr>
          <w:b/>
          <w:i/>
        </w:rPr>
        <w:t xml:space="preserve"> Perceived</w:t>
      </w:r>
      <w:r w:rsidRPr="00304B27">
        <w:rPr>
          <w:b/>
          <w:i/>
        </w:rPr>
        <w:t xml:space="preserve"> Importance of Sterile Compounding Technique </w:t>
      </w:r>
    </w:p>
    <w:p w14:paraId="7EEE5605" w14:textId="1D817AD0" w:rsidR="00EE4146" w:rsidRDefault="00494C35" w:rsidP="00494C35">
      <w:pPr>
        <w:pStyle w:val="NormalWeb"/>
        <w:shd w:val="clear" w:color="auto" w:fill="FFFFFF"/>
        <w:spacing w:before="0" w:beforeAutospacing="0" w:after="0" w:afterAutospacing="0" w:line="480" w:lineRule="auto"/>
        <w:ind w:firstLine="720"/>
        <w:rPr>
          <w:vertAlign w:val="superscript"/>
        </w:rPr>
      </w:pPr>
      <w:r w:rsidRPr="00A96976">
        <w:t>The practice of pharmacy has transformed greatly during the last few decades. There is a greater focus on clinical pharmacy and roles in antibiotic stewardship, anticoagulation management, and disease state management. Practices such as sterile compounding and dispensing, although a core part of the profession, do not receive a</w:t>
      </w:r>
      <w:r w:rsidR="0006741A" w:rsidRPr="00A96976">
        <w:t>s much attention</w:t>
      </w:r>
      <w:r w:rsidRPr="00A96976">
        <w:t xml:space="preserve">.  As pharmacists have been transitioning to a more clinically augmented role, many tasks that were once performed by pharmacists are now performed by technicians. However, these tasks are performed </w:t>
      </w:r>
      <w:r w:rsidR="00EE4146" w:rsidRPr="00A96976">
        <w:t>with minimal oversight</w:t>
      </w:r>
      <w:r w:rsidRPr="00A96976">
        <w:t xml:space="preserve"> by a pharmacist.</w:t>
      </w:r>
      <w:r w:rsidR="00475494" w:rsidRPr="00A96976">
        <w:rPr>
          <w:vertAlign w:val="superscript"/>
        </w:rPr>
        <w:t>11</w:t>
      </w:r>
    </w:p>
    <w:p w14:paraId="0B5136BD" w14:textId="77777777" w:rsidR="00304B27" w:rsidRPr="00A96976" w:rsidRDefault="00304B27" w:rsidP="00494C35">
      <w:pPr>
        <w:pStyle w:val="NormalWeb"/>
        <w:shd w:val="clear" w:color="auto" w:fill="FFFFFF"/>
        <w:spacing w:before="0" w:beforeAutospacing="0" w:after="0" w:afterAutospacing="0" w:line="480" w:lineRule="auto"/>
        <w:ind w:firstLine="720"/>
        <w:rPr>
          <w:vertAlign w:val="superscript"/>
        </w:rPr>
      </w:pPr>
    </w:p>
    <w:p w14:paraId="186704EA" w14:textId="77777777" w:rsidR="00494C35" w:rsidRPr="00A96976" w:rsidRDefault="00494C35" w:rsidP="00736CAA">
      <w:pPr>
        <w:pStyle w:val="NormalWeb"/>
        <w:shd w:val="clear" w:color="auto" w:fill="FFFFFF"/>
        <w:spacing w:before="0" w:beforeAutospacing="0" w:after="0" w:afterAutospacing="0" w:line="480" w:lineRule="auto"/>
        <w:rPr>
          <w:i/>
        </w:rPr>
      </w:pPr>
      <w:r w:rsidRPr="00304B27">
        <w:rPr>
          <w:b/>
          <w:i/>
        </w:rPr>
        <w:lastRenderedPageBreak/>
        <w:t>Variability around Best Sterile Compounding Practice</w:t>
      </w:r>
      <w:r w:rsidRPr="00A96976">
        <w:rPr>
          <w:i/>
        </w:rPr>
        <w:t xml:space="preserve">s </w:t>
      </w:r>
    </w:p>
    <w:p w14:paraId="43344BAA" w14:textId="77068095" w:rsidR="00EE4146" w:rsidRPr="00A96976" w:rsidRDefault="00232DF2" w:rsidP="001A3B1F">
      <w:r>
        <w:t xml:space="preserve">The </w:t>
      </w:r>
      <w:r w:rsidRPr="00A96976">
        <w:t xml:space="preserve">Institute for Safe Medication Practices </w:t>
      </w:r>
      <w:r>
        <w:t>(</w:t>
      </w:r>
      <w:r w:rsidR="00E12BF9" w:rsidRPr="00A96976">
        <w:rPr>
          <w:shd w:val="clear" w:color="auto" w:fill="FFFFFF"/>
        </w:rPr>
        <w:t>ISMP</w:t>
      </w:r>
      <w:r>
        <w:rPr>
          <w:shd w:val="clear" w:color="auto" w:fill="FFFFFF"/>
        </w:rPr>
        <w:t>)</w:t>
      </w:r>
      <w:r w:rsidR="00E12BF9" w:rsidRPr="00A96976">
        <w:rPr>
          <w:shd w:val="clear" w:color="auto" w:fill="FFFFFF"/>
        </w:rPr>
        <w:t xml:space="preserve"> on-site risk assessments and medication error reports submitted to the ISMP national medication error reporting program (ISMP-MERP) demonstrate that pharmacies vary </w:t>
      </w:r>
      <w:r w:rsidR="00440BD5" w:rsidRPr="00A96976">
        <w:rPr>
          <w:shd w:val="clear" w:color="auto" w:fill="FFFFFF"/>
        </w:rPr>
        <w:t>greatly</w:t>
      </w:r>
      <w:r w:rsidR="00E12BF9" w:rsidRPr="00A96976">
        <w:rPr>
          <w:shd w:val="clear" w:color="auto" w:fill="FFFFFF"/>
        </w:rPr>
        <w:t xml:space="preserve"> with respect to</w:t>
      </w:r>
      <w:r w:rsidR="00440BD5" w:rsidRPr="00A96976">
        <w:rPr>
          <w:shd w:val="clear" w:color="auto" w:fill="FFFFFF"/>
        </w:rPr>
        <w:t xml:space="preserve"> how they conduct</w:t>
      </w:r>
      <w:r w:rsidR="00E12BF9" w:rsidRPr="00A96976">
        <w:rPr>
          <w:shd w:val="clear" w:color="auto" w:fill="FFFFFF"/>
        </w:rPr>
        <w:t xml:space="preserve"> </w:t>
      </w:r>
      <w:r w:rsidR="00440BD5" w:rsidRPr="00A96976">
        <w:rPr>
          <w:shd w:val="clear" w:color="auto" w:fill="FFFFFF"/>
        </w:rPr>
        <w:t xml:space="preserve">sterile compounding practices. </w:t>
      </w:r>
      <w:r w:rsidR="00E12BF9" w:rsidRPr="00A96976">
        <w:rPr>
          <w:shd w:val="clear" w:color="auto" w:fill="FFFFFF"/>
        </w:rPr>
        <w:t xml:space="preserve"> This may</w:t>
      </w:r>
      <w:r w:rsidR="00742FDB" w:rsidRPr="00A96976">
        <w:rPr>
          <w:shd w:val="clear" w:color="auto" w:fill="FFFFFF"/>
        </w:rPr>
        <w:t xml:space="preserve"> be partly </w:t>
      </w:r>
      <w:r w:rsidR="00DE29B1" w:rsidRPr="00A96976">
        <w:rPr>
          <w:shd w:val="clear" w:color="auto" w:fill="FFFFFF"/>
        </w:rPr>
        <w:t xml:space="preserve">due to </w:t>
      </w:r>
      <w:r w:rsidR="00742FDB" w:rsidRPr="00A96976">
        <w:rPr>
          <w:shd w:val="clear" w:color="auto" w:fill="FFFFFF"/>
        </w:rPr>
        <w:t>the lack</w:t>
      </w:r>
      <w:r w:rsidR="00E12BF9" w:rsidRPr="00A96976">
        <w:rPr>
          <w:shd w:val="clear" w:color="auto" w:fill="FFFFFF"/>
        </w:rPr>
        <w:t xml:space="preserve"> of specific practice guidelines related to product preparation checks.</w:t>
      </w:r>
      <w:hyperlink r:id="rId14" w:anchor="r26" w:history="1">
        <w:r w:rsidR="00E12BF9" w:rsidRPr="00A8305B">
          <w:rPr>
            <w:rStyle w:val="Hyperlink"/>
            <w:color w:val="auto"/>
            <w:u w:val="none"/>
            <w:shd w:val="clear" w:color="auto" w:fill="FFFFFF"/>
            <w:vertAlign w:val="superscript"/>
          </w:rPr>
          <w:t>26</w:t>
        </w:r>
      </w:hyperlink>
      <w:r w:rsidR="00E12BF9" w:rsidRPr="00A96976">
        <w:rPr>
          <w:shd w:val="clear" w:color="auto" w:fill="FFFFFF"/>
          <w:vertAlign w:val="superscript"/>
        </w:rPr>
        <w:t xml:space="preserve"> </w:t>
      </w:r>
      <w:r w:rsidR="00E12BF9" w:rsidRPr="00A96976">
        <w:t>While the USP</w:t>
      </w:r>
      <w:r w:rsidR="00742FDB" w:rsidRPr="00A96976">
        <w:t xml:space="preserve">&lt;797&gt; provides </w:t>
      </w:r>
      <w:r w:rsidR="00EE4146" w:rsidRPr="00A96976">
        <w:t xml:space="preserve">guidance on the sterility and quality components of the process, </w:t>
      </w:r>
      <w:r w:rsidR="00742FDB" w:rsidRPr="00A96976">
        <w:t xml:space="preserve">there is a discrepancy between the standards and what is practiced in pharmacies. </w:t>
      </w:r>
      <w:r w:rsidR="00402F63" w:rsidRPr="00A96976">
        <w:t xml:space="preserve">In general, there have been </w:t>
      </w:r>
      <w:r w:rsidR="0006741A" w:rsidRPr="00A96976">
        <w:t>limited</w:t>
      </w:r>
      <w:r w:rsidR="00402F63" w:rsidRPr="00A96976">
        <w:t xml:space="preserve"> resources on sterile preparation safety. I</w:t>
      </w:r>
      <w:r w:rsidR="00EE4146" w:rsidRPr="00A96976">
        <w:t>n 2013</w:t>
      </w:r>
      <w:r w:rsidR="00402F63" w:rsidRPr="00A96976">
        <w:t>,</w:t>
      </w:r>
      <w:r w:rsidR="00EE4146" w:rsidRPr="00A96976">
        <w:t xml:space="preserve"> ISMP published a set of guidelines for safe pr</w:t>
      </w:r>
      <w:r w:rsidR="001A3B1F" w:rsidRPr="00A96976">
        <w:t xml:space="preserve">eparation of sterile compounds to </w:t>
      </w:r>
      <w:r w:rsidR="00EE4146" w:rsidRPr="00A96976">
        <w:t>offer pharmacists and technicians a credible, peer reviewed resource on IV sterile compounding safety. While the guidelines provide consensus statements for many</w:t>
      </w:r>
      <w:r w:rsidR="00A8305B">
        <w:t xml:space="preserve"> sterile compounding</w:t>
      </w:r>
      <w:r w:rsidR="00EE4146" w:rsidRPr="00A96976">
        <w:t xml:space="preserve"> process steps, </w:t>
      </w:r>
      <w:r w:rsidR="001A3B1F" w:rsidRPr="00A96976">
        <w:t>there are</w:t>
      </w:r>
      <w:r w:rsidR="00EE4146" w:rsidRPr="00A96976">
        <w:t xml:space="preserve"> specific tasks, including the required components of an effective steri</w:t>
      </w:r>
      <w:r w:rsidR="00A8305B">
        <w:t xml:space="preserve">le compounding checking </w:t>
      </w:r>
      <w:r w:rsidR="00F308D5">
        <w:t>process,</w:t>
      </w:r>
      <w:r w:rsidR="00F308D5" w:rsidRPr="00A96976">
        <w:t xml:space="preserve"> which</w:t>
      </w:r>
      <w:r w:rsidR="001A3B1F" w:rsidRPr="00A96976">
        <w:t xml:space="preserve"> do not have details</w:t>
      </w:r>
      <w:r w:rsidR="00F94476" w:rsidRPr="00A96976">
        <w:t xml:space="preserve"> outlined</w:t>
      </w:r>
      <w:r w:rsidR="001A3B1F" w:rsidRPr="00A96976">
        <w:t xml:space="preserve">. </w:t>
      </w:r>
      <w:r w:rsidR="00DE29B1" w:rsidRPr="00A96976">
        <w:t>Due to the lack of</w:t>
      </w:r>
      <w:r w:rsidR="00EE4146" w:rsidRPr="00A96976">
        <w:t xml:space="preserve"> standardization of b</w:t>
      </w:r>
      <w:r w:rsidR="0006741A" w:rsidRPr="00A96976">
        <w:t xml:space="preserve">est practices, there is wide variability in </w:t>
      </w:r>
      <w:r w:rsidR="00A8305B">
        <w:t xml:space="preserve">completing </w:t>
      </w:r>
      <w:r w:rsidR="00DE29B1" w:rsidRPr="00A96976">
        <w:t>sterile compounding tasks</w:t>
      </w:r>
      <w:r w:rsidR="00EE4146" w:rsidRPr="00A96976">
        <w:t>.</w:t>
      </w:r>
      <w:r w:rsidR="00475494" w:rsidRPr="00A96976">
        <w:rPr>
          <w:vertAlign w:val="superscript"/>
        </w:rPr>
        <w:t>11</w:t>
      </w:r>
      <w:r w:rsidR="00EE4146" w:rsidRPr="00A96976">
        <w:t xml:space="preserve"> </w:t>
      </w:r>
      <w:r w:rsidR="00F308D5">
        <w:t xml:space="preserve"> </w:t>
      </w:r>
    </w:p>
    <w:p w14:paraId="48479D9C" w14:textId="77777777" w:rsidR="00977EB9" w:rsidRPr="00304B27" w:rsidRDefault="00977EB9" w:rsidP="00736CAA">
      <w:pPr>
        <w:pStyle w:val="NormalWeb"/>
        <w:shd w:val="clear" w:color="auto" w:fill="FFFFFF"/>
        <w:spacing w:before="0" w:beforeAutospacing="0" w:after="0" w:afterAutospacing="0" w:line="480" w:lineRule="auto"/>
        <w:rPr>
          <w:b/>
          <w:i/>
        </w:rPr>
      </w:pPr>
      <w:r w:rsidRPr="00304B27">
        <w:rPr>
          <w:b/>
          <w:i/>
        </w:rPr>
        <w:t xml:space="preserve">Lack of Standardized Training </w:t>
      </w:r>
    </w:p>
    <w:p w14:paraId="7E76563D" w14:textId="714690B4" w:rsidR="00EE4146" w:rsidRPr="00A96976" w:rsidRDefault="000254B0" w:rsidP="00D97A1D">
      <w:pPr>
        <w:pStyle w:val="NormalWeb"/>
        <w:shd w:val="clear" w:color="auto" w:fill="FFFFFF"/>
        <w:spacing w:before="0" w:beforeAutospacing="0" w:after="0" w:afterAutospacing="0" w:line="480" w:lineRule="auto"/>
        <w:ind w:firstLine="720"/>
      </w:pPr>
      <w:r w:rsidRPr="00A96976">
        <w:t>Some s</w:t>
      </w:r>
      <w:r w:rsidR="00EE4146" w:rsidRPr="00A96976">
        <w:t xml:space="preserve">chools of pharmacy typically do not </w:t>
      </w:r>
      <w:r w:rsidRPr="00A96976">
        <w:t>focus on</w:t>
      </w:r>
      <w:r w:rsidR="00EE4146" w:rsidRPr="00A96976">
        <w:t xml:space="preserve"> teach</w:t>
      </w:r>
      <w:r w:rsidRPr="00A96976">
        <w:t>ing</w:t>
      </w:r>
      <w:r w:rsidR="00EE4146" w:rsidRPr="00A96976">
        <w:t xml:space="preserve"> students </w:t>
      </w:r>
      <w:r w:rsidRPr="00A96976">
        <w:t xml:space="preserve">robust principles of </w:t>
      </w:r>
      <w:r w:rsidR="00EE4146" w:rsidRPr="00A96976">
        <w:t>sterile compounding</w:t>
      </w:r>
      <w:r w:rsidR="00C849B8" w:rsidRPr="00A96976">
        <w:t>.</w:t>
      </w:r>
      <w:r w:rsidRPr="00A96976">
        <w:t xml:space="preserve"> </w:t>
      </w:r>
      <w:r w:rsidR="0029002C" w:rsidRPr="00A96976">
        <w:t>Despite the lack of standardized training, n</w:t>
      </w:r>
      <w:r w:rsidR="00EE4146" w:rsidRPr="00A96976">
        <w:t>ew graduates are often immediately responsible for verifying compounded sterile preparations</w:t>
      </w:r>
      <w:r w:rsidR="003C3BD9" w:rsidRPr="00A96976">
        <w:t xml:space="preserve"> and overseeing processes that they may or may not have performed themselves</w:t>
      </w:r>
      <w:r w:rsidR="00EE4146" w:rsidRPr="00A96976">
        <w:t xml:space="preserve">. </w:t>
      </w:r>
      <w:r w:rsidRPr="00A96976">
        <w:t>Many times</w:t>
      </w:r>
      <w:r w:rsidR="00EE4146" w:rsidRPr="00A96976">
        <w:t xml:space="preserve"> sterile compo</w:t>
      </w:r>
      <w:r w:rsidRPr="00A96976">
        <w:t xml:space="preserve">unding procedures are </w:t>
      </w:r>
      <w:r w:rsidR="00EE4146" w:rsidRPr="00A96976">
        <w:t xml:space="preserve">handed down from one pharmacist </w:t>
      </w:r>
      <w:r w:rsidRPr="00A96976">
        <w:t>to another</w:t>
      </w:r>
      <w:r w:rsidR="0029002C" w:rsidRPr="00A96976">
        <w:t>, which leads to variability in training.</w:t>
      </w:r>
      <w:r w:rsidR="00B9740E">
        <w:t xml:space="preserve"> Variability in training may lead to staff </w:t>
      </w:r>
      <w:r w:rsidR="00EE4146" w:rsidRPr="00A96976">
        <w:t>not understand</w:t>
      </w:r>
      <w:r w:rsidR="00B9740E">
        <w:t>ing</w:t>
      </w:r>
      <w:r w:rsidR="00EE4146" w:rsidRPr="00A96976">
        <w:t xml:space="preserve"> the rationale for certain steps </w:t>
      </w:r>
      <w:r w:rsidR="00EE4146" w:rsidRPr="00A96976">
        <w:lastRenderedPageBreak/>
        <w:t>that help ensure sterility</w:t>
      </w:r>
      <w:r w:rsidR="006B10E1" w:rsidRPr="00A96976">
        <w:t xml:space="preserve"> and safety. Without a standardized training approach</w:t>
      </w:r>
      <w:r w:rsidR="00EE4146" w:rsidRPr="00A96976">
        <w:t>, practice change and long-term compliance</w:t>
      </w:r>
      <w:r w:rsidR="006B10E1" w:rsidRPr="00A96976">
        <w:t xml:space="preserve"> with sterility and safety measures</w:t>
      </w:r>
      <w:r w:rsidR="00F94476" w:rsidRPr="00A96976">
        <w:t xml:space="preserve"> are</w:t>
      </w:r>
      <w:r w:rsidR="00EE4146" w:rsidRPr="00A96976">
        <w:t xml:space="preserve"> unlikely.</w:t>
      </w:r>
      <w:r w:rsidR="006B4AD7" w:rsidRPr="00A96976">
        <w:rPr>
          <w:vertAlign w:val="superscript"/>
        </w:rPr>
        <w:t>11</w:t>
      </w:r>
      <w:r w:rsidR="00EE4146" w:rsidRPr="00A96976">
        <w:t xml:space="preserve"> </w:t>
      </w:r>
      <w:r w:rsidR="00F94476" w:rsidRPr="00A96976">
        <w:t xml:space="preserve"> </w:t>
      </w:r>
    </w:p>
    <w:p w14:paraId="1CD769EF" w14:textId="77777777" w:rsidR="00C7425F" w:rsidRPr="00304B27" w:rsidRDefault="00C7425F" w:rsidP="00736CAA">
      <w:pPr>
        <w:pStyle w:val="NormalWeb"/>
        <w:shd w:val="clear" w:color="auto" w:fill="FFFFFF"/>
        <w:spacing w:before="0" w:beforeAutospacing="0" w:after="0" w:afterAutospacing="0" w:line="480" w:lineRule="auto"/>
        <w:rPr>
          <w:b/>
          <w:i/>
        </w:rPr>
      </w:pPr>
      <w:r w:rsidRPr="00304B27">
        <w:rPr>
          <w:b/>
          <w:i/>
        </w:rPr>
        <w:t xml:space="preserve">Acceptance and Tolerance of Practice Deviations </w:t>
      </w:r>
    </w:p>
    <w:p w14:paraId="0F07AE66" w14:textId="5113F96F" w:rsidR="00EE4146" w:rsidRPr="00A96976" w:rsidRDefault="006B10E1" w:rsidP="008D4065">
      <w:pPr>
        <w:pStyle w:val="NormalWeb"/>
        <w:shd w:val="clear" w:color="auto" w:fill="FFFFFF"/>
        <w:spacing w:before="0" w:beforeAutospacing="0" w:after="0" w:afterAutospacing="0" w:line="480" w:lineRule="auto"/>
        <w:ind w:firstLine="720"/>
      </w:pPr>
      <w:r w:rsidRPr="00A96976">
        <w:t>In the hospital p</w:t>
      </w:r>
      <w:r w:rsidR="00B9740E">
        <w:t xml:space="preserve">harmacy environment, there is </w:t>
      </w:r>
      <w:r w:rsidRPr="00A96976">
        <w:t xml:space="preserve">pressure to get the </w:t>
      </w:r>
      <w:r w:rsidR="00EE4146" w:rsidRPr="00A96976">
        <w:t xml:space="preserve">compounded sterile preparation </w:t>
      </w:r>
      <w:r w:rsidRPr="00A96976">
        <w:t>to th</w:t>
      </w:r>
      <w:r w:rsidR="00B9740E">
        <w:t>e patient in a timely manner</w:t>
      </w:r>
      <w:r w:rsidRPr="00A96976">
        <w:t>. This p</w:t>
      </w:r>
      <w:r w:rsidR="00EE4146" w:rsidRPr="00A96976">
        <w:t>ressure</w:t>
      </w:r>
      <w:r w:rsidRPr="00A96976">
        <w:t xml:space="preserve"> can lead</w:t>
      </w:r>
      <w:r w:rsidR="00EE4146" w:rsidRPr="00A96976">
        <w:t xml:space="preserve"> to </w:t>
      </w:r>
      <w:r w:rsidRPr="00A96976">
        <w:t xml:space="preserve">preparation </w:t>
      </w:r>
      <w:r w:rsidR="00EE4146" w:rsidRPr="00A96976">
        <w:t xml:space="preserve">shortcuts that </w:t>
      </w:r>
      <w:r w:rsidR="0029002C" w:rsidRPr="00A96976">
        <w:t xml:space="preserve">can eventually develop into </w:t>
      </w:r>
      <w:r w:rsidR="00EE4146" w:rsidRPr="00A96976">
        <w:t xml:space="preserve">unsafe practice habits. </w:t>
      </w:r>
      <w:r w:rsidRPr="00A96976">
        <w:t xml:space="preserve">Overtime, deviations from a </w:t>
      </w:r>
      <w:r w:rsidR="00EE4146" w:rsidRPr="00A96976">
        <w:t>safe</w:t>
      </w:r>
      <w:r w:rsidR="00B9740E">
        <w:t>,</w:t>
      </w:r>
      <w:r w:rsidR="00EE4146" w:rsidRPr="00A96976">
        <w:t xml:space="preserve"> sterile compounding preparation process </w:t>
      </w:r>
      <w:r w:rsidR="00F36A22" w:rsidRPr="00A96976">
        <w:t>could</w:t>
      </w:r>
      <w:r w:rsidRPr="00A96976">
        <w:t xml:space="preserve"> be accepted by staff</w:t>
      </w:r>
      <w:r w:rsidR="008D4065" w:rsidRPr="00A96976">
        <w:t>.</w:t>
      </w:r>
      <w:r w:rsidR="00EE4146" w:rsidRPr="00A96976">
        <w:t xml:space="preserve"> </w:t>
      </w:r>
      <w:r w:rsidR="00F36A22" w:rsidRPr="00A96976">
        <w:t>Since there is limited knowledge regarding best practices in sterile product preparation, the workplace culture can become tolerant of the practice deviations, which can lead to adverse patient outcomes.</w:t>
      </w:r>
      <w:r w:rsidR="006B4AD7" w:rsidRPr="00A96976">
        <w:rPr>
          <w:vertAlign w:val="superscript"/>
        </w:rPr>
        <w:t>11</w:t>
      </w:r>
      <w:r w:rsidR="00F36A22" w:rsidRPr="00A96976">
        <w:t xml:space="preserve"> </w:t>
      </w:r>
    </w:p>
    <w:p w14:paraId="34BA37DA" w14:textId="77777777" w:rsidR="00C7425F" w:rsidRPr="00304B27" w:rsidRDefault="00C7425F" w:rsidP="00C7425F">
      <w:pPr>
        <w:pStyle w:val="NormalWeb"/>
        <w:shd w:val="clear" w:color="auto" w:fill="FFFFFF"/>
        <w:spacing w:before="0" w:beforeAutospacing="0" w:after="0" w:afterAutospacing="0" w:line="480" w:lineRule="auto"/>
        <w:rPr>
          <w:b/>
          <w:i/>
        </w:rPr>
      </w:pPr>
      <w:r w:rsidRPr="00304B27">
        <w:rPr>
          <w:b/>
          <w:i/>
        </w:rPr>
        <w:t>Disinclination to Learn from Mistakes</w:t>
      </w:r>
    </w:p>
    <w:p w14:paraId="66FD73E5" w14:textId="3EF9EC3D" w:rsidR="00EE4146" w:rsidRPr="00A96976" w:rsidRDefault="005A69DC" w:rsidP="00C7425F">
      <w:pPr>
        <w:pStyle w:val="NormalWeb"/>
        <w:shd w:val="clear" w:color="auto" w:fill="FFFFFF"/>
        <w:spacing w:before="0" w:beforeAutospacing="0" w:after="0" w:afterAutospacing="0" w:line="480" w:lineRule="auto"/>
        <w:ind w:firstLine="720"/>
        <w:rPr>
          <w:vertAlign w:val="superscript"/>
        </w:rPr>
      </w:pPr>
      <w:r w:rsidRPr="00A96976">
        <w:t>E</w:t>
      </w:r>
      <w:r w:rsidR="00EE4146" w:rsidRPr="00A96976">
        <w:t>ven</w:t>
      </w:r>
      <w:r w:rsidRPr="00A96976">
        <w:t xml:space="preserve"> after</w:t>
      </w:r>
      <w:r w:rsidR="00EE4146" w:rsidRPr="00A96976">
        <w:t xml:space="preserve"> the high-profile sterile compounding events in the past decade</w:t>
      </w:r>
      <w:r w:rsidRPr="00A96976">
        <w:t>, healthcare practitioners are often disinclined to learn from the mistakes of others.</w:t>
      </w:r>
      <w:r w:rsidR="00EE4146" w:rsidRPr="00A96976">
        <w:t xml:space="preserve"> </w:t>
      </w:r>
      <w:r w:rsidR="00567E92" w:rsidRPr="00A96976">
        <w:t xml:space="preserve">Often times, if a serious adverse event has not happened as result of unsafe practices, there is little motivation to change that behavior or practice. </w:t>
      </w:r>
      <w:r w:rsidRPr="00A96976">
        <w:t xml:space="preserve">In pharmacies, there should be a culture to have </w:t>
      </w:r>
      <w:r w:rsidR="00EE4146" w:rsidRPr="00A96976">
        <w:t>pharmacist</w:t>
      </w:r>
      <w:r w:rsidRPr="00A96976">
        <w:t>s and techni</w:t>
      </w:r>
      <w:r w:rsidR="00950DB7" w:rsidRPr="00A96976">
        <w:t xml:space="preserve">cians </w:t>
      </w:r>
      <w:r w:rsidRPr="00A96976">
        <w:t>objectively</w:t>
      </w:r>
      <w:r w:rsidR="00EE4146" w:rsidRPr="00A96976">
        <w:t xml:space="preserve"> </w:t>
      </w:r>
      <w:r w:rsidR="00F94476" w:rsidRPr="00A96976">
        <w:t>assess</w:t>
      </w:r>
      <w:r w:rsidR="00EE4146" w:rsidRPr="00A96976">
        <w:t xml:space="preserve"> their own sterile compounding processes to see i</w:t>
      </w:r>
      <w:r w:rsidR="00F94476" w:rsidRPr="00A96976">
        <w:t>f there are gaps in terms of safety and sterility</w:t>
      </w:r>
      <w:r w:rsidR="00EE4146" w:rsidRPr="00A96976">
        <w:t>. As a profession, pharmacy practitioners must first acknowledge that the way they have been compounding sterile preparations</w:t>
      </w:r>
      <w:r w:rsidR="00567E92" w:rsidRPr="00A96976">
        <w:t xml:space="preserve"> can be improved </w:t>
      </w:r>
      <w:r w:rsidR="00EE4146" w:rsidRPr="00A96976">
        <w:t>before they can learn from the mist</w:t>
      </w:r>
      <w:r w:rsidR="00567E92" w:rsidRPr="00A96976">
        <w:t>akes of others and</w:t>
      </w:r>
      <w:r w:rsidR="00EE4146" w:rsidRPr="00A96976">
        <w:t xml:space="preserve"> identify vulnerabilities in </w:t>
      </w:r>
      <w:r w:rsidR="00567E92" w:rsidRPr="00A96976">
        <w:t>their own processes</w:t>
      </w:r>
      <w:r w:rsidR="00EE4146" w:rsidRPr="00A96976">
        <w:t>.</w:t>
      </w:r>
      <w:r w:rsidR="006B4AD7" w:rsidRPr="00A96976">
        <w:rPr>
          <w:vertAlign w:val="superscript"/>
        </w:rPr>
        <w:t>11</w:t>
      </w:r>
    </w:p>
    <w:p w14:paraId="458CB6A7" w14:textId="77777777" w:rsidR="00ED32F2" w:rsidRPr="00A96976" w:rsidRDefault="00ED32F2" w:rsidP="00ED32F2">
      <w:pPr>
        <w:pStyle w:val="Heading2"/>
        <w:rPr>
          <w:rFonts w:cs="Times New Roman"/>
        </w:rPr>
      </w:pPr>
      <w:bookmarkStart w:id="7" w:name="_Toc469394629"/>
      <w:r w:rsidRPr="00A96976">
        <w:rPr>
          <w:rFonts w:cs="Times New Roman"/>
        </w:rPr>
        <w:t>the role of technology-assisted workflow systems</w:t>
      </w:r>
      <w:bookmarkEnd w:id="7"/>
    </w:p>
    <w:p w14:paraId="424802EE" w14:textId="55C26AD2" w:rsidR="00FB093E" w:rsidRPr="00A96976" w:rsidRDefault="00F308D5" w:rsidP="00FB093E">
      <w:pPr>
        <w:rPr>
          <w:rFonts w:eastAsia="Calibri"/>
        </w:rPr>
      </w:pPr>
      <w:r>
        <w:rPr>
          <w:shd w:val="clear" w:color="auto" w:fill="FFFFFF"/>
        </w:rPr>
        <w:t>T</w:t>
      </w:r>
      <w:r w:rsidR="00FB093E" w:rsidRPr="00A96976">
        <w:rPr>
          <w:shd w:val="clear" w:color="auto" w:fill="FFFFFF"/>
        </w:rPr>
        <w:t>echnology-assisted workflow (TAWF) sy</w:t>
      </w:r>
      <w:r>
        <w:rPr>
          <w:shd w:val="clear" w:color="auto" w:fill="FFFFFF"/>
        </w:rPr>
        <w:t xml:space="preserve">stems </w:t>
      </w:r>
      <w:r w:rsidR="00187069" w:rsidRPr="00A96976">
        <w:rPr>
          <w:shd w:val="clear" w:color="auto" w:fill="FFFFFF"/>
        </w:rPr>
        <w:t>have been developed for the IV</w:t>
      </w:r>
      <w:r w:rsidR="00FB093E" w:rsidRPr="00A96976">
        <w:rPr>
          <w:shd w:val="clear" w:color="auto" w:fill="FFFFFF"/>
        </w:rPr>
        <w:t xml:space="preserve"> room to improve patient safety by reducing compounding errors through bar</w:t>
      </w:r>
      <w:r w:rsidR="00187069" w:rsidRPr="00A96976">
        <w:rPr>
          <w:shd w:val="clear" w:color="auto" w:fill="FFFFFF"/>
        </w:rPr>
        <w:t xml:space="preserve">code scanning and </w:t>
      </w:r>
      <w:r w:rsidR="00187069" w:rsidRPr="00A96976">
        <w:rPr>
          <w:shd w:val="clear" w:color="auto" w:fill="FFFFFF"/>
        </w:rPr>
        <w:lastRenderedPageBreak/>
        <w:t>verification.</w:t>
      </w:r>
      <w:r w:rsidR="006B4AD7" w:rsidRPr="00A96976">
        <w:rPr>
          <w:shd w:val="clear" w:color="auto" w:fill="FFFFFF"/>
          <w:vertAlign w:val="superscript"/>
        </w:rPr>
        <w:t>4,27</w:t>
      </w:r>
      <w:r w:rsidR="00FB093E" w:rsidRPr="00A96976">
        <w:rPr>
          <w:shd w:val="clear" w:color="auto" w:fill="FFFFFF"/>
        </w:rPr>
        <w:t xml:space="preserve"> </w:t>
      </w:r>
      <w:r w:rsidR="00FB093E" w:rsidRPr="00A96976">
        <w:t xml:space="preserve">Through utilization of bar code scanning technology, technology-assisted workflow systems </w:t>
      </w:r>
      <w:r w:rsidR="00FB093E" w:rsidRPr="00A96976">
        <w:rPr>
          <w:rFonts w:eastAsia="Calibri"/>
        </w:rPr>
        <w:t>allow for technicians to scan the medication and diluent needed to ensure they are correct. By introducing c</w:t>
      </w:r>
      <w:r w:rsidR="00187069" w:rsidRPr="00A96976">
        <w:rPr>
          <w:rFonts w:eastAsia="Calibri"/>
        </w:rPr>
        <w:t>heckpoints at each stage of IV</w:t>
      </w:r>
      <w:r w:rsidR="00FB093E" w:rsidRPr="00A96976">
        <w:rPr>
          <w:rFonts w:eastAsia="Calibri"/>
        </w:rPr>
        <w:t xml:space="preserve"> preparation, they are able to </w:t>
      </w:r>
      <w:r w:rsidR="00FB093E" w:rsidRPr="00A96976">
        <w:t>reduce the opportunities for medication preparation errors and improve overall efficiency by managing workflow for non-sterile and sterile dose preparation. IV room automation technologies can also be used to analyze volume of waste and time of IV preparation. The reports that can be generated are useful for quality improvement purposes.</w:t>
      </w:r>
      <w:r w:rsidR="006B4AD7" w:rsidRPr="00A96976">
        <w:rPr>
          <w:vertAlign w:val="superscript"/>
        </w:rPr>
        <w:t>7</w:t>
      </w:r>
      <w:r w:rsidR="00FB093E" w:rsidRPr="00A96976">
        <w:rPr>
          <w:vertAlign w:val="superscript"/>
        </w:rPr>
        <w:t xml:space="preserve"> </w:t>
      </w:r>
      <w:r w:rsidR="00891E2D">
        <w:t>ISMP</w:t>
      </w:r>
      <w:r w:rsidR="00187069" w:rsidRPr="00A96976">
        <w:t xml:space="preserve"> supports the use of IV</w:t>
      </w:r>
      <w:r w:rsidR="00FB093E" w:rsidRPr="00A96976">
        <w:t xml:space="preserve"> tech</w:t>
      </w:r>
      <w:r w:rsidR="00596DE9" w:rsidRPr="00A96976">
        <w:t>nology stating, “Given that IV</w:t>
      </w:r>
      <w:r w:rsidR="00FB093E" w:rsidRPr="00A96976">
        <w:t xml:space="preserve"> production errors can result in ser</w:t>
      </w:r>
      <w:r w:rsidR="00596DE9" w:rsidRPr="00A96976">
        <w:t>ious medication errors, new IV</w:t>
      </w:r>
      <w:r w:rsidR="00FB093E" w:rsidRPr="00A96976">
        <w:t xml:space="preserve"> robotic preparation systems and commercially available workflow management systems are highly welcomed technologies.”</w:t>
      </w:r>
      <w:r w:rsidR="006B4AD7" w:rsidRPr="00A96976">
        <w:rPr>
          <w:vertAlign w:val="superscript"/>
        </w:rPr>
        <w:t>27</w:t>
      </w:r>
      <w:r w:rsidR="00FB093E" w:rsidRPr="00A96976">
        <w:rPr>
          <w:vertAlign w:val="superscript"/>
        </w:rPr>
        <w:t xml:space="preserve"> </w:t>
      </w:r>
      <w:r w:rsidR="00FB093E" w:rsidRPr="00A96976">
        <w:t>The American Society of Health-System Pharmacists (ASHP) is also in favor of barcode scanning technology for the preparation of sterile products.</w:t>
      </w:r>
      <w:r w:rsidR="006B4AD7" w:rsidRPr="00A96976">
        <w:rPr>
          <w:vertAlign w:val="superscript"/>
        </w:rPr>
        <w:t>28</w:t>
      </w:r>
    </w:p>
    <w:p w14:paraId="5FA52B44" w14:textId="4D62BCB9" w:rsidR="00FB093E" w:rsidRPr="00A96976" w:rsidRDefault="00FB093E" w:rsidP="00187069">
      <w:pPr>
        <w:rPr>
          <w:shd w:val="clear" w:color="auto" w:fill="FFFFFF"/>
        </w:rPr>
      </w:pPr>
      <w:r w:rsidRPr="00A96976">
        <w:t>Despite the benefit and best pra</w:t>
      </w:r>
      <w:r w:rsidR="00187069" w:rsidRPr="00A96976">
        <w:t>ctice of using this technology</w:t>
      </w:r>
      <w:r w:rsidR="00187069" w:rsidRPr="00A96976">
        <w:rPr>
          <w:shd w:val="clear" w:color="auto" w:fill="FFFFFF"/>
        </w:rPr>
        <w:t>, the use of automation and technology in sterile compounding is not typical of hospital</w:t>
      </w:r>
      <w:r w:rsidR="00596DE9" w:rsidRPr="00A96976">
        <w:rPr>
          <w:shd w:val="clear" w:color="auto" w:fill="FFFFFF"/>
        </w:rPr>
        <w:t xml:space="preserve"> pharmacies</w:t>
      </w:r>
      <w:r w:rsidR="00187069" w:rsidRPr="00A96976">
        <w:rPr>
          <w:shd w:val="clear" w:color="auto" w:fill="FFFFFF"/>
        </w:rPr>
        <w:t>.</w:t>
      </w:r>
      <w:r w:rsidR="006B4AD7" w:rsidRPr="00A96976">
        <w:rPr>
          <w:shd w:val="clear" w:color="auto" w:fill="FFFFFF"/>
          <w:vertAlign w:val="superscript"/>
        </w:rPr>
        <w:t>4</w:t>
      </w:r>
      <w:r w:rsidR="00187069" w:rsidRPr="00A96976">
        <w:rPr>
          <w:shd w:val="clear" w:color="auto" w:fill="FFFFFF"/>
        </w:rPr>
        <w:t xml:space="preserve"> </w:t>
      </w:r>
      <w:r w:rsidRPr="00A96976">
        <w:rPr>
          <w:rFonts w:eastAsia="Calibri"/>
        </w:rPr>
        <w:t>Many hospitals may not have implemented the automation due to cost; however, the technology can provide a return on investm</w:t>
      </w:r>
      <w:r w:rsidR="00187069" w:rsidRPr="00A96976">
        <w:rPr>
          <w:rFonts w:eastAsia="Calibri"/>
        </w:rPr>
        <w:t>ent by reducing the cost of IV</w:t>
      </w:r>
      <w:r w:rsidRPr="00A96976">
        <w:rPr>
          <w:rFonts w:eastAsia="Calibri"/>
        </w:rPr>
        <w:t xml:space="preserve"> errors that occur and the health care costs associated with these errors. In addition, labor cos</w:t>
      </w:r>
      <w:r w:rsidR="00187069" w:rsidRPr="00A96976">
        <w:rPr>
          <w:rFonts w:eastAsia="Calibri"/>
        </w:rPr>
        <w:t>ts and waste are reduced as IV</w:t>
      </w:r>
      <w:r w:rsidRPr="00A96976">
        <w:rPr>
          <w:rFonts w:eastAsia="Calibri"/>
        </w:rPr>
        <w:t xml:space="preserve"> preparation becomes more efficient with automation.</w:t>
      </w:r>
      <w:r w:rsidR="006B4AD7" w:rsidRPr="00A96976">
        <w:rPr>
          <w:rFonts w:eastAsia="Calibri"/>
          <w:vertAlign w:val="superscript"/>
        </w:rPr>
        <w:t>7</w:t>
      </w:r>
    </w:p>
    <w:p w14:paraId="5E79C27E" w14:textId="259C47F9" w:rsidR="00FB093E" w:rsidRPr="00A96976" w:rsidRDefault="00FB093E" w:rsidP="00605D65">
      <w:r w:rsidRPr="00A96976">
        <w:t>There are studies that have shown the benefit of</w:t>
      </w:r>
      <w:r w:rsidR="00BD3C95">
        <w:t xml:space="preserve"> utilizing</w:t>
      </w:r>
      <w:r w:rsidRPr="00A96976">
        <w:t xml:space="preserve"> technology-assisted workflow systems. </w:t>
      </w:r>
      <w:r w:rsidR="00187069" w:rsidRPr="00A96976">
        <w:rPr>
          <w:shd w:val="clear" w:color="auto" w:fill="FFFFFF"/>
        </w:rPr>
        <w:t>In</w:t>
      </w:r>
      <w:r w:rsidR="00596DE9" w:rsidRPr="00A96976">
        <w:rPr>
          <w:shd w:val="clear" w:color="auto" w:fill="FFFFFF"/>
        </w:rPr>
        <w:t xml:space="preserve"> 2010, one hospital was able to reduce the num</w:t>
      </w:r>
      <w:r w:rsidR="0078766E" w:rsidRPr="00A96976">
        <w:rPr>
          <w:shd w:val="clear" w:color="auto" w:fill="FFFFFF"/>
        </w:rPr>
        <w:t xml:space="preserve">ber of sterile medications </w:t>
      </w:r>
      <w:r w:rsidR="00596DE9" w:rsidRPr="00A96976">
        <w:rPr>
          <w:shd w:val="clear" w:color="auto" w:fill="FFFFFF"/>
        </w:rPr>
        <w:t>prepared manually</w:t>
      </w:r>
      <w:r w:rsidR="0078766E" w:rsidRPr="00A96976">
        <w:rPr>
          <w:shd w:val="clear" w:color="auto" w:fill="FFFFFF"/>
        </w:rPr>
        <w:t xml:space="preserve"> </w:t>
      </w:r>
      <w:r w:rsidR="00596DE9" w:rsidRPr="00A96976">
        <w:rPr>
          <w:shd w:val="clear" w:color="auto" w:fill="FFFFFF"/>
        </w:rPr>
        <w:t>to 4.3% by implementing sterile processing automation. This significantly improved the accuracy of medication preparation</w:t>
      </w:r>
      <w:r w:rsidR="00187069" w:rsidRPr="00A96976">
        <w:rPr>
          <w:shd w:val="clear" w:color="auto" w:fill="FFFFFF"/>
        </w:rPr>
        <w:t>.</w:t>
      </w:r>
      <w:r w:rsidR="006B4AD7" w:rsidRPr="00A96976">
        <w:rPr>
          <w:shd w:val="clear" w:color="auto" w:fill="FFFFFF"/>
          <w:vertAlign w:val="superscript"/>
        </w:rPr>
        <w:t>29</w:t>
      </w:r>
      <w:r w:rsidR="00187069" w:rsidRPr="00A96976">
        <w:rPr>
          <w:rStyle w:val="apple-converted-space"/>
          <w:shd w:val="clear" w:color="auto" w:fill="FFFFFF"/>
        </w:rPr>
        <w:t> </w:t>
      </w:r>
      <w:r w:rsidRPr="00A96976">
        <w:t>According to the project by Speth et al, afte</w:t>
      </w:r>
      <w:r w:rsidR="00F94476" w:rsidRPr="00A96976">
        <w:t>r the implementation of a TAWF</w:t>
      </w:r>
      <w:r w:rsidRPr="00A96976">
        <w:t xml:space="preserve"> at a hospital pharmacy, 75% of the err</w:t>
      </w:r>
      <w:r w:rsidR="00BD3C95">
        <w:t xml:space="preserve">ors were intercepted due to </w:t>
      </w:r>
      <w:r w:rsidRPr="00A96976">
        <w:t>barcode scan</w:t>
      </w:r>
      <w:r w:rsidR="00BD3C95">
        <w:t>ning</w:t>
      </w:r>
      <w:r w:rsidRPr="00A96976">
        <w:t xml:space="preserve">, and the remainder of the errors were caught during the pharmacist verification </w:t>
      </w:r>
      <w:r w:rsidRPr="00A96976">
        <w:lastRenderedPageBreak/>
        <w:t xml:space="preserve">process. The implementation of the </w:t>
      </w:r>
      <w:r w:rsidR="00F94476" w:rsidRPr="00A96976">
        <w:t>TAWF</w:t>
      </w:r>
      <w:r w:rsidRPr="00A96976">
        <w:t xml:space="preserve"> also improved efficiency by decreasing medication turnaround times and also decreased the amount of waste.</w:t>
      </w:r>
      <w:r w:rsidR="006B4AD7" w:rsidRPr="00A96976">
        <w:rPr>
          <w:vertAlign w:val="superscript"/>
        </w:rPr>
        <w:t>30</w:t>
      </w:r>
      <w:r w:rsidRPr="00A96976">
        <w:t xml:space="preserve"> Deng et al found that the automated workflow management system intercepted 72.27% of the identified errors, which were mainly errors involving incorrect drug or diluent. The remaining 27.73% were intercepted by a pharmacist.</w:t>
      </w:r>
      <w:r w:rsidR="006B4AD7" w:rsidRPr="00A96976">
        <w:rPr>
          <w:vertAlign w:val="superscript"/>
        </w:rPr>
        <w:t>31</w:t>
      </w:r>
      <w:r w:rsidRPr="00A96976">
        <w:t xml:space="preserve"> </w:t>
      </w:r>
      <w:r w:rsidR="00EE4689">
        <w:t>Moniz et al</w:t>
      </w:r>
      <w:r w:rsidR="00A23666">
        <w:t xml:space="preserve"> det</w:t>
      </w:r>
      <w:r w:rsidR="00EE4689">
        <w:t>ected preparation or documentation</w:t>
      </w:r>
      <w:r w:rsidR="00A23666">
        <w:t xml:space="preserve"> errors affecting 2,900 dose</w:t>
      </w:r>
      <w:r w:rsidR="00EE4689">
        <w:t>s of the 425,683 doses reviewed. It was found that 23% of those errors would not have been detectable before the IV workflow management system, concluding</w:t>
      </w:r>
      <w:r w:rsidRPr="00A96976">
        <w:t xml:space="preserve"> t</w:t>
      </w:r>
      <w:r w:rsidR="00CA2A0B" w:rsidRPr="00A96976">
        <w:t>hat the implementation of an IV</w:t>
      </w:r>
      <w:r w:rsidRPr="00A96976">
        <w:t xml:space="preserve"> workflow management system led to a reduction of errors in the sterile product compounding process.</w:t>
      </w:r>
      <w:r w:rsidR="006B4AD7" w:rsidRPr="00A96976">
        <w:rPr>
          <w:vertAlign w:val="superscript"/>
        </w:rPr>
        <w:t>32</w:t>
      </w:r>
      <w:r w:rsidR="00F05058" w:rsidRPr="00A96976">
        <w:t xml:space="preserve"> </w:t>
      </w:r>
      <w:r w:rsidR="00BE6A4E" w:rsidRPr="00A96976">
        <w:rPr>
          <w:rStyle w:val="apple-converted-space"/>
          <w:shd w:val="clear" w:color="auto" w:fill="FFFFFF"/>
        </w:rPr>
        <w:t xml:space="preserve">Reece et al implemented </w:t>
      </w:r>
      <w:r w:rsidR="00F05058" w:rsidRPr="00A96976">
        <w:rPr>
          <w:rStyle w:val="apple-converted-space"/>
          <w:shd w:val="clear" w:color="auto" w:fill="FFFFFF"/>
        </w:rPr>
        <w:t>and evaluated a gravimetric IV</w:t>
      </w:r>
      <w:r w:rsidR="00BE6A4E" w:rsidRPr="00A96976">
        <w:rPr>
          <w:rStyle w:val="apple-converted-space"/>
          <w:shd w:val="clear" w:color="auto" w:fill="FFFFFF"/>
        </w:rPr>
        <w:t xml:space="preserve"> workflow software system in an ambulatory care pharmacy. </w:t>
      </w:r>
      <w:r w:rsidR="00BE6A4E" w:rsidRPr="00A96976">
        <w:rPr>
          <w:shd w:val="clear" w:color="auto" w:fill="FFFFFF"/>
        </w:rPr>
        <w:t>Over the study period, 15,843 doses were prepare</w:t>
      </w:r>
      <w:r w:rsidR="00F05058" w:rsidRPr="00A96976">
        <w:rPr>
          <w:shd w:val="clear" w:color="auto" w:fill="FFFFFF"/>
        </w:rPr>
        <w:t>d utilizing the new technology. A</w:t>
      </w:r>
      <w:r w:rsidR="00BE6A4E" w:rsidRPr="00A96976">
        <w:rPr>
          <w:shd w:val="clear" w:color="auto" w:fill="FFFFFF"/>
        </w:rPr>
        <w:t xml:space="preserve"> total of 1,126</w:t>
      </w:r>
      <w:r w:rsidR="00BE6A4E" w:rsidRPr="00A96976">
        <w:rPr>
          <w:rStyle w:val="apple-converted-space"/>
          <w:shd w:val="clear" w:color="auto" w:fill="FFFFFF"/>
        </w:rPr>
        <w:t> </w:t>
      </w:r>
      <w:r w:rsidR="00BE6A4E" w:rsidRPr="00A96976">
        <w:rPr>
          <w:rStyle w:val="highlight"/>
          <w:shd w:val="clear" w:color="auto" w:fill="FFFFFF"/>
        </w:rPr>
        <w:t>errors</w:t>
      </w:r>
      <w:r w:rsidR="00BE6A4E" w:rsidRPr="00A96976">
        <w:rPr>
          <w:rStyle w:val="apple-converted-space"/>
          <w:shd w:val="clear" w:color="auto" w:fill="FFFFFF"/>
        </w:rPr>
        <w:t> </w:t>
      </w:r>
      <w:r w:rsidR="00BE6A4E" w:rsidRPr="00A96976">
        <w:rPr>
          <w:shd w:val="clear" w:color="auto" w:fill="FFFFFF"/>
        </w:rPr>
        <w:t xml:space="preserve">(7%) </w:t>
      </w:r>
      <w:r w:rsidR="00F05058" w:rsidRPr="00A96976">
        <w:rPr>
          <w:shd w:val="clear" w:color="auto" w:fill="FFFFFF"/>
        </w:rPr>
        <w:t xml:space="preserve">were </w:t>
      </w:r>
      <w:r w:rsidR="00BE6A4E" w:rsidRPr="00A96976">
        <w:rPr>
          <w:shd w:val="clear" w:color="auto" w:fill="FFFFFF"/>
        </w:rPr>
        <w:t>detected by the workflow software during dose preparation</w:t>
      </w:r>
      <w:r w:rsidR="00F05058" w:rsidRPr="00A96976">
        <w:rPr>
          <w:shd w:val="clear" w:color="auto" w:fill="FFFFFF"/>
        </w:rPr>
        <w:t xml:space="preserve">. These errors were caught before the production of the dose, reducing waste. </w:t>
      </w:r>
      <w:r w:rsidR="00E857B1" w:rsidRPr="00A96976">
        <w:rPr>
          <w:shd w:val="clear" w:color="auto" w:fill="FFFFFF"/>
        </w:rPr>
        <w:t xml:space="preserve">The system also improved efficiency by decreasing technician production time </w:t>
      </w:r>
      <w:r w:rsidR="00BE6A4E" w:rsidRPr="00A96976">
        <w:rPr>
          <w:shd w:val="clear" w:color="auto" w:fill="FFFFFF"/>
        </w:rPr>
        <w:t>and pha</w:t>
      </w:r>
      <w:r w:rsidR="00E857B1" w:rsidRPr="00A96976">
        <w:rPr>
          <w:shd w:val="clear" w:color="auto" w:fill="FFFFFF"/>
        </w:rPr>
        <w:t xml:space="preserve">rmacist checking time </w:t>
      </w:r>
      <w:r w:rsidR="00BE6A4E" w:rsidRPr="00A96976">
        <w:rPr>
          <w:shd w:val="clear" w:color="auto" w:fill="FFFFFF"/>
        </w:rPr>
        <w:t xml:space="preserve">by </w:t>
      </w:r>
      <w:r w:rsidR="00E857B1" w:rsidRPr="00A96976">
        <w:rPr>
          <w:shd w:val="clear" w:color="auto" w:fill="FFFFFF"/>
        </w:rPr>
        <w:t>more than 30%.</w:t>
      </w:r>
      <w:r w:rsidR="00252495" w:rsidRPr="00A96976">
        <w:rPr>
          <w:shd w:val="clear" w:color="auto" w:fill="FFFFFF"/>
          <w:vertAlign w:val="superscript"/>
        </w:rPr>
        <w:t>33</w:t>
      </w:r>
      <w:r w:rsidR="00E857B1" w:rsidRPr="00A96976">
        <w:rPr>
          <w:shd w:val="clear" w:color="auto" w:fill="FFFFFF"/>
        </w:rPr>
        <w:t xml:space="preserve"> </w:t>
      </w:r>
    </w:p>
    <w:p w14:paraId="7CD30799" w14:textId="1DADF92E" w:rsidR="00B917F0" w:rsidRPr="00A96976" w:rsidRDefault="000E31C6" w:rsidP="00624588">
      <w:pPr>
        <w:pStyle w:val="Heading1"/>
        <w:rPr>
          <w:rFonts w:cs="Times New Roman"/>
        </w:rPr>
      </w:pPr>
      <w:bookmarkStart w:id="8" w:name="_Toc469394630"/>
      <w:r w:rsidRPr="00A96976">
        <w:rPr>
          <w:rFonts w:cs="Times New Roman"/>
        </w:rPr>
        <w:lastRenderedPageBreak/>
        <w:t>e</w:t>
      </w:r>
      <w:r w:rsidR="00EA39DA">
        <w:rPr>
          <w:rFonts w:cs="Times New Roman"/>
        </w:rPr>
        <w:t xml:space="preserve">valuation of errors, </w:t>
      </w:r>
      <w:r w:rsidR="004C0B6D" w:rsidRPr="00A96976">
        <w:rPr>
          <w:rFonts w:cs="Times New Roman"/>
        </w:rPr>
        <w:t>waste</w:t>
      </w:r>
      <w:r w:rsidR="00EA39DA">
        <w:rPr>
          <w:rFonts w:cs="Times New Roman"/>
        </w:rPr>
        <w:t>, and efficiency</w:t>
      </w:r>
      <w:r w:rsidR="004C0B6D" w:rsidRPr="00A96976">
        <w:rPr>
          <w:rFonts w:cs="Times New Roman"/>
        </w:rPr>
        <w:t xml:space="preserve"> with a technology-assisted workflow system at a tertiary care hospital</w:t>
      </w:r>
      <w:bookmarkEnd w:id="8"/>
    </w:p>
    <w:p w14:paraId="43AE465A" w14:textId="0F4C4918" w:rsidR="00661C71" w:rsidRDefault="00661C71" w:rsidP="0026436C">
      <w:pPr>
        <w:pStyle w:val="NoSpacing"/>
        <w:spacing w:line="480" w:lineRule="auto"/>
        <w:ind w:firstLine="720"/>
        <w:rPr>
          <w:rFonts w:ascii="Times New Roman" w:hAnsi="Times New Roman"/>
          <w:sz w:val="24"/>
          <w:szCs w:val="24"/>
        </w:rPr>
      </w:pPr>
      <w:r w:rsidRPr="006E6BBF">
        <w:rPr>
          <w:rFonts w:ascii="Times New Roman" w:hAnsi="Times New Roman"/>
          <w:sz w:val="24"/>
          <w:szCs w:val="24"/>
        </w:rPr>
        <w:t>Although the benefits of</w:t>
      </w:r>
      <w:r w:rsidR="009D5930">
        <w:rPr>
          <w:rFonts w:ascii="Times New Roman" w:hAnsi="Times New Roman"/>
          <w:sz w:val="24"/>
          <w:szCs w:val="24"/>
        </w:rPr>
        <w:t xml:space="preserve"> utilizing</w:t>
      </w:r>
      <w:r w:rsidRPr="006E6BBF">
        <w:rPr>
          <w:rFonts w:ascii="Times New Roman" w:hAnsi="Times New Roman"/>
          <w:sz w:val="24"/>
          <w:szCs w:val="24"/>
        </w:rPr>
        <w:t xml:space="preserve"> TAWF</w:t>
      </w:r>
      <w:r w:rsidR="00CB28D9">
        <w:rPr>
          <w:rFonts w:ascii="Times New Roman" w:hAnsi="Times New Roman"/>
          <w:sz w:val="24"/>
          <w:szCs w:val="24"/>
        </w:rPr>
        <w:t xml:space="preserve"> systems</w:t>
      </w:r>
      <w:r w:rsidRPr="006E6BBF">
        <w:rPr>
          <w:rFonts w:ascii="Times New Roman" w:hAnsi="Times New Roman"/>
          <w:sz w:val="24"/>
          <w:szCs w:val="24"/>
        </w:rPr>
        <w:t xml:space="preserve"> are apparent, it is important that institutions</w:t>
      </w:r>
      <w:r w:rsidR="006E6BBF" w:rsidRPr="006E6BBF">
        <w:rPr>
          <w:rFonts w:ascii="Times New Roman" w:hAnsi="Times New Roman"/>
          <w:sz w:val="24"/>
          <w:szCs w:val="24"/>
        </w:rPr>
        <w:t xml:space="preserve"> evaluate their error rates,</w:t>
      </w:r>
      <w:r w:rsidR="00CB28D9">
        <w:rPr>
          <w:rFonts w:ascii="Times New Roman" w:hAnsi="Times New Roman"/>
          <w:sz w:val="24"/>
          <w:szCs w:val="24"/>
        </w:rPr>
        <w:t xml:space="preserve"> </w:t>
      </w:r>
      <w:r w:rsidR="00CB28D9" w:rsidRPr="006E6BBF">
        <w:rPr>
          <w:rFonts w:ascii="Times New Roman" w:hAnsi="Times New Roman"/>
          <w:sz w:val="24"/>
          <w:szCs w:val="24"/>
        </w:rPr>
        <w:t>waste volume</w:t>
      </w:r>
      <w:r w:rsidR="00CB28D9">
        <w:rPr>
          <w:rFonts w:ascii="Times New Roman" w:hAnsi="Times New Roman"/>
          <w:sz w:val="24"/>
          <w:szCs w:val="24"/>
        </w:rPr>
        <w:t>,</w:t>
      </w:r>
      <w:r w:rsidR="006E6BBF" w:rsidRPr="006E6BBF">
        <w:rPr>
          <w:rFonts w:ascii="Times New Roman" w:hAnsi="Times New Roman"/>
          <w:sz w:val="24"/>
          <w:szCs w:val="24"/>
        </w:rPr>
        <w:t xml:space="preserve"> and workflow efficiency</w:t>
      </w:r>
      <w:r w:rsidR="0026436C">
        <w:rPr>
          <w:rFonts w:ascii="Times New Roman" w:hAnsi="Times New Roman"/>
          <w:sz w:val="24"/>
          <w:szCs w:val="24"/>
        </w:rPr>
        <w:t xml:space="preserve"> to impro</w:t>
      </w:r>
      <w:r w:rsidR="009D5930">
        <w:rPr>
          <w:rFonts w:ascii="Times New Roman" w:hAnsi="Times New Roman"/>
          <w:sz w:val="24"/>
          <w:szCs w:val="24"/>
        </w:rPr>
        <w:t xml:space="preserve">ve patient safety and to </w:t>
      </w:r>
      <w:r w:rsidR="0026436C">
        <w:rPr>
          <w:rFonts w:ascii="Times New Roman" w:hAnsi="Times New Roman"/>
          <w:sz w:val="24"/>
          <w:szCs w:val="24"/>
        </w:rPr>
        <w:t>reduce cost</w:t>
      </w:r>
      <w:r w:rsidRPr="006E6BBF">
        <w:rPr>
          <w:rFonts w:ascii="Times New Roman" w:hAnsi="Times New Roman"/>
          <w:sz w:val="24"/>
          <w:szCs w:val="24"/>
        </w:rPr>
        <w:t xml:space="preserve">. </w:t>
      </w:r>
      <w:r w:rsidR="007816C3">
        <w:rPr>
          <w:rFonts w:ascii="Times New Roman" w:hAnsi="Times New Roman"/>
          <w:sz w:val="24"/>
          <w:szCs w:val="24"/>
        </w:rPr>
        <w:t>Prior to 2010</w:t>
      </w:r>
      <w:r w:rsidR="004020AC" w:rsidRPr="006E6BBF">
        <w:rPr>
          <w:rFonts w:ascii="Times New Roman" w:hAnsi="Times New Roman"/>
          <w:sz w:val="24"/>
          <w:szCs w:val="24"/>
        </w:rPr>
        <w:t xml:space="preserve">, </w:t>
      </w:r>
      <w:r w:rsidR="006E6BBF">
        <w:rPr>
          <w:rFonts w:ascii="Times New Roman" w:hAnsi="Times New Roman"/>
          <w:sz w:val="24"/>
          <w:szCs w:val="24"/>
        </w:rPr>
        <w:t>Allegheny General Hospital, a 631 licensed bed hospital, w</w:t>
      </w:r>
      <w:r w:rsidR="008D4065" w:rsidRPr="006E6BBF">
        <w:rPr>
          <w:rFonts w:ascii="Times New Roman" w:hAnsi="Times New Roman"/>
          <w:sz w:val="24"/>
          <w:szCs w:val="24"/>
        </w:rPr>
        <w:t xml:space="preserve">as not utilizing a </w:t>
      </w:r>
      <w:r w:rsidR="00E0662F" w:rsidRPr="006E6BBF">
        <w:rPr>
          <w:rFonts w:ascii="Times New Roman" w:hAnsi="Times New Roman"/>
          <w:sz w:val="24"/>
          <w:szCs w:val="24"/>
        </w:rPr>
        <w:t>TAWF</w:t>
      </w:r>
      <w:r w:rsidR="00CB28D9">
        <w:rPr>
          <w:rFonts w:ascii="Times New Roman" w:hAnsi="Times New Roman"/>
          <w:sz w:val="24"/>
          <w:szCs w:val="24"/>
        </w:rPr>
        <w:t xml:space="preserve"> system</w:t>
      </w:r>
      <w:r w:rsidR="004020AC" w:rsidRPr="006E6BBF">
        <w:rPr>
          <w:rFonts w:ascii="Times New Roman" w:hAnsi="Times New Roman"/>
          <w:sz w:val="24"/>
          <w:szCs w:val="24"/>
        </w:rPr>
        <w:t>. In order to impro</w:t>
      </w:r>
      <w:r w:rsidR="00605D65" w:rsidRPr="006E6BBF">
        <w:rPr>
          <w:rFonts w:ascii="Times New Roman" w:hAnsi="Times New Roman"/>
          <w:sz w:val="24"/>
          <w:szCs w:val="24"/>
        </w:rPr>
        <w:t xml:space="preserve">ve </w:t>
      </w:r>
      <w:r w:rsidR="009D5930">
        <w:rPr>
          <w:rFonts w:ascii="Times New Roman" w:hAnsi="Times New Roman"/>
          <w:sz w:val="24"/>
          <w:szCs w:val="24"/>
        </w:rPr>
        <w:t xml:space="preserve">the </w:t>
      </w:r>
      <w:r w:rsidR="00AC6C85">
        <w:rPr>
          <w:rFonts w:ascii="Times New Roman" w:hAnsi="Times New Roman"/>
          <w:sz w:val="24"/>
          <w:szCs w:val="24"/>
        </w:rPr>
        <w:t>quality</w:t>
      </w:r>
      <w:r w:rsidR="009D5930">
        <w:rPr>
          <w:rFonts w:ascii="Times New Roman" w:hAnsi="Times New Roman"/>
          <w:sz w:val="24"/>
          <w:szCs w:val="24"/>
        </w:rPr>
        <w:t xml:space="preserve"> of intravenous products compounded, the IV room</w:t>
      </w:r>
      <w:r w:rsidR="00605D65" w:rsidRPr="006E6BBF">
        <w:rPr>
          <w:rFonts w:ascii="Times New Roman" w:hAnsi="Times New Roman"/>
          <w:sz w:val="24"/>
          <w:szCs w:val="24"/>
        </w:rPr>
        <w:t xml:space="preserve"> </w:t>
      </w:r>
      <w:r w:rsidR="004020AC" w:rsidRPr="006E6BBF">
        <w:rPr>
          <w:rFonts w:ascii="Times New Roman" w:hAnsi="Times New Roman"/>
          <w:sz w:val="24"/>
          <w:szCs w:val="24"/>
        </w:rPr>
        <w:t xml:space="preserve">started utilizing a robust </w:t>
      </w:r>
      <w:r w:rsidR="00E0662F" w:rsidRPr="006E6BBF">
        <w:rPr>
          <w:rFonts w:ascii="Times New Roman" w:hAnsi="Times New Roman"/>
          <w:sz w:val="24"/>
          <w:szCs w:val="24"/>
        </w:rPr>
        <w:t>TAWF</w:t>
      </w:r>
      <w:r w:rsidR="004020AC" w:rsidRPr="006E6BBF">
        <w:rPr>
          <w:rFonts w:ascii="Times New Roman" w:hAnsi="Times New Roman"/>
          <w:sz w:val="24"/>
          <w:szCs w:val="24"/>
        </w:rPr>
        <w:t xml:space="preserve"> system called </w:t>
      </w:r>
      <w:r w:rsidR="004020AC" w:rsidRPr="006E6BBF">
        <w:rPr>
          <w:rFonts w:ascii="Times New Roman" w:hAnsi="Times New Roman"/>
          <w:i/>
          <w:sz w:val="24"/>
          <w:szCs w:val="24"/>
        </w:rPr>
        <w:t>DoseEdge</w:t>
      </w:r>
      <w:r w:rsidR="004E32B2" w:rsidRPr="006E6BBF">
        <w:rPr>
          <w:rFonts w:ascii="Times New Roman" w:hAnsi="Times New Roman"/>
          <w:i/>
          <w:sz w:val="24"/>
          <w:szCs w:val="24"/>
        </w:rPr>
        <w:t>.</w:t>
      </w:r>
      <w:r w:rsidR="004020AC" w:rsidRPr="006E6BBF">
        <w:rPr>
          <w:rFonts w:ascii="Times New Roman" w:hAnsi="Times New Roman"/>
          <w:sz w:val="24"/>
          <w:szCs w:val="24"/>
        </w:rPr>
        <w:t xml:space="preserve"> </w:t>
      </w:r>
      <w:r w:rsidR="004020AC" w:rsidRPr="006E6BBF">
        <w:rPr>
          <w:rFonts w:ascii="Times New Roman" w:hAnsi="Times New Roman"/>
          <w:i/>
          <w:sz w:val="24"/>
          <w:szCs w:val="24"/>
        </w:rPr>
        <w:t>DoseEdge</w:t>
      </w:r>
      <w:r w:rsidR="004020AC" w:rsidRPr="006E6BBF">
        <w:rPr>
          <w:rFonts w:ascii="Times New Roman" w:hAnsi="Times New Roman"/>
          <w:sz w:val="24"/>
          <w:szCs w:val="24"/>
        </w:rPr>
        <w:t xml:space="preserve"> has features such as photo capability and certain workflow efficiencies.</w:t>
      </w:r>
      <w:r w:rsidR="00E47FD7" w:rsidRPr="006E6BBF">
        <w:rPr>
          <w:rFonts w:ascii="Times New Roman" w:hAnsi="Times New Roman"/>
          <w:sz w:val="24"/>
          <w:szCs w:val="24"/>
        </w:rPr>
        <w:t xml:space="preserve"> </w:t>
      </w:r>
      <w:r w:rsidRPr="00A96976">
        <w:rPr>
          <w:rFonts w:ascii="Times New Roman" w:hAnsi="Times New Roman"/>
          <w:sz w:val="24"/>
          <w:szCs w:val="24"/>
        </w:rPr>
        <w:t xml:space="preserve">The purpose </w:t>
      </w:r>
      <w:r w:rsidR="0021281B">
        <w:rPr>
          <w:rFonts w:ascii="Times New Roman" w:hAnsi="Times New Roman"/>
          <w:sz w:val="24"/>
          <w:szCs w:val="24"/>
        </w:rPr>
        <w:t>of this project was to determine</w:t>
      </w:r>
      <w:r w:rsidRPr="00A96976">
        <w:rPr>
          <w:rFonts w:ascii="Times New Roman" w:hAnsi="Times New Roman"/>
          <w:sz w:val="24"/>
          <w:szCs w:val="24"/>
        </w:rPr>
        <w:t xml:space="preserve"> the</w:t>
      </w:r>
      <w:r w:rsidR="0026436C">
        <w:rPr>
          <w:rFonts w:ascii="Times New Roman" w:hAnsi="Times New Roman"/>
          <w:sz w:val="24"/>
          <w:szCs w:val="24"/>
        </w:rPr>
        <w:t xml:space="preserve"> </w:t>
      </w:r>
      <w:r w:rsidRPr="00A96976">
        <w:rPr>
          <w:rFonts w:ascii="Times New Roman" w:hAnsi="Times New Roman"/>
          <w:sz w:val="24"/>
          <w:szCs w:val="24"/>
        </w:rPr>
        <w:t>error rate</w:t>
      </w:r>
      <w:r w:rsidR="009D5930">
        <w:rPr>
          <w:rFonts w:ascii="Times New Roman" w:hAnsi="Times New Roman"/>
          <w:sz w:val="24"/>
          <w:szCs w:val="24"/>
        </w:rPr>
        <w:t>,</w:t>
      </w:r>
      <w:r w:rsidR="007816C3">
        <w:rPr>
          <w:rFonts w:ascii="Times New Roman" w:hAnsi="Times New Roman"/>
          <w:sz w:val="24"/>
          <w:szCs w:val="24"/>
        </w:rPr>
        <w:t xml:space="preserve"> waste volume,</w:t>
      </w:r>
      <w:r w:rsidR="009D5930">
        <w:rPr>
          <w:rFonts w:ascii="Times New Roman" w:hAnsi="Times New Roman"/>
          <w:sz w:val="24"/>
          <w:szCs w:val="24"/>
        </w:rPr>
        <w:t xml:space="preserve"> and workflow efficiencies</w:t>
      </w:r>
      <w:r w:rsidR="0026436C">
        <w:rPr>
          <w:rFonts w:ascii="Times New Roman" w:hAnsi="Times New Roman"/>
          <w:sz w:val="24"/>
          <w:szCs w:val="24"/>
        </w:rPr>
        <w:t xml:space="preserve"> prior to the implementation of a TAWF and after the implementation of a TAWF. </w:t>
      </w:r>
      <w:r>
        <w:rPr>
          <w:rFonts w:ascii="Times New Roman" w:hAnsi="Times New Roman"/>
          <w:sz w:val="24"/>
          <w:szCs w:val="24"/>
        </w:rPr>
        <w:t>It was hypothesized that the implementat</w:t>
      </w:r>
      <w:r w:rsidR="009D5930">
        <w:rPr>
          <w:rFonts w:ascii="Times New Roman" w:hAnsi="Times New Roman"/>
          <w:sz w:val="24"/>
          <w:szCs w:val="24"/>
        </w:rPr>
        <w:t>ion of a TAWF would decrease error rates,</w:t>
      </w:r>
      <w:r w:rsidR="007816C3">
        <w:rPr>
          <w:rFonts w:ascii="Times New Roman" w:hAnsi="Times New Roman"/>
          <w:sz w:val="24"/>
          <w:szCs w:val="24"/>
        </w:rPr>
        <w:t xml:space="preserve"> reduce waste volume,</w:t>
      </w:r>
      <w:r w:rsidR="0026436C">
        <w:rPr>
          <w:rFonts w:ascii="Times New Roman" w:hAnsi="Times New Roman"/>
          <w:sz w:val="24"/>
          <w:szCs w:val="24"/>
        </w:rPr>
        <w:t xml:space="preserve"> and </w:t>
      </w:r>
      <w:r w:rsidR="009D5930">
        <w:rPr>
          <w:rFonts w:ascii="Times New Roman" w:hAnsi="Times New Roman"/>
          <w:sz w:val="24"/>
          <w:szCs w:val="24"/>
        </w:rPr>
        <w:t xml:space="preserve">enhance workflow </w:t>
      </w:r>
      <w:r w:rsidR="0026436C">
        <w:rPr>
          <w:rFonts w:ascii="Times New Roman" w:hAnsi="Times New Roman"/>
          <w:sz w:val="24"/>
          <w:szCs w:val="24"/>
        </w:rPr>
        <w:t>efficiency</w:t>
      </w:r>
      <w:r>
        <w:rPr>
          <w:rFonts w:ascii="Times New Roman" w:hAnsi="Times New Roman"/>
          <w:sz w:val="24"/>
          <w:szCs w:val="24"/>
        </w:rPr>
        <w:t xml:space="preserve">. </w:t>
      </w:r>
    </w:p>
    <w:p w14:paraId="64F80022" w14:textId="7F5EFAE6" w:rsidR="00661C71" w:rsidRPr="0026436C" w:rsidRDefault="00661C71" w:rsidP="0026436C">
      <w:pPr>
        <w:pStyle w:val="Heading2"/>
        <w:rPr>
          <w:rFonts w:cs="Times New Roman"/>
        </w:rPr>
      </w:pPr>
      <w:bookmarkStart w:id="9" w:name="_Toc469394631"/>
      <w:r>
        <w:rPr>
          <w:rFonts w:cs="Times New Roman"/>
        </w:rPr>
        <w:t>methods</w:t>
      </w:r>
      <w:bookmarkEnd w:id="9"/>
      <w:r w:rsidRPr="00A96976">
        <w:rPr>
          <w:rFonts w:cs="Times New Roman"/>
        </w:rPr>
        <w:t xml:space="preserve"> </w:t>
      </w:r>
    </w:p>
    <w:p w14:paraId="5710E9E9" w14:textId="0E7764E8" w:rsidR="00524BCE" w:rsidRDefault="008E4F18" w:rsidP="00524BCE">
      <w:r>
        <w:t xml:space="preserve">In order to measure </w:t>
      </w:r>
      <w:r w:rsidRPr="007816C3">
        <w:rPr>
          <w:i/>
        </w:rPr>
        <w:t>DoseEdge</w:t>
      </w:r>
      <w:r>
        <w:t>’s effect in</w:t>
      </w:r>
      <w:r w:rsidR="00524BCE" w:rsidRPr="00A96976">
        <w:t xml:space="preserve"> preventing and reduci</w:t>
      </w:r>
      <w:r w:rsidR="00524BCE">
        <w:t xml:space="preserve">ng medication errors, </w:t>
      </w:r>
      <w:r w:rsidR="00524BCE" w:rsidRPr="00A96976">
        <w:t>medication occurrences</w:t>
      </w:r>
      <w:r w:rsidR="00524BCE">
        <w:t xml:space="preserve"> from 2009, 2010, and 2011</w:t>
      </w:r>
      <w:r w:rsidR="00524BCE" w:rsidRPr="00A96976">
        <w:t xml:space="preserve"> were analyzed and categorized into two </w:t>
      </w:r>
      <w:r w:rsidR="00524BCE" w:rsidRPr="00A96976">
        <w:lastRenderedPageBreak/>
        <w:t xml:space="preserve">groups: errors that could potentially be prevented by the use of the software’s safety features and errors that would not be impacted by </w:t>
      </w:r>
      <w:r w:rsidR="00524BCE" w:rsidRPr="00A96976">
        <w:rPr>
          <w:i/>
        </w:rPr>
        <w:t>DoseEdge</w:t>
      </w:r>
      <w:r w:rsidR="00524BCE" w:rsidRPr="00A96976">
        <w:t>.</w:t>
      </w:r>
      <w:r w:rsidR="00524BCE">
        <w:t xml:space="preserve"> </w:t>
      </w:r>
    </w:p>
    <w:p w14:paraId="5F716F8E" w14:textId="1DF8A7C3" w:rsidR="00735B29" w:rsidRDefault="007816C3" w:rsidP="007816C3">
      <w:r w:rsidRPr="00A96976">
        <w:t xml:space="preserve">To measure the </w:t>
      </w:r>
      <w:r w:rsidR="00CB28D9">
        <w:t xml:space="preserve">effect </w:t>
      </w:r>
      <w:r w:rsidRPr="00A96976">
        <w:t xml:space="preserve">of </w:t>
      </w:r>
      <w:r w:rsidRPr="00A96976">
        <w:rPr>
          <w:i/>
        </w:rPr>
        <w:t>DoseEdge</w:t>
      </w:r>
      <w:r w:rsidRPr="00A96976">
        <w:t xml:space="preserve"> on </w:t>
      </w:r>
      <w:r w:rsidR="00CB28D9">
        <w:t xml:space="preserve">IV </w:t>
      </w:r>
      <w:r w:rsidRPr="00A96976">
        <w:t>product w</w:t>
      </w:r>
      <w:r>
        <w:t>aste, d</w:t>
      </w:r>
      <w:r w:rsidR="00EE4689">
        <w:t xml:space="preserve">ata from four </w:t>
      </w:r>
      <w:r w:rsidR="0021281B">
        <w:t xml:space="preserve">quarterly two week audits that </w:t>
      </w:r>
      <w:r w:rsidRPr="00A96976">
        <w:t xml:space="preserve">were conducted before the implementation of </w:t>
      </w:r>
      <w:r w:rsidRPr="00A96976">
        <w:rPr>
          <w:i/>
        </w:rPr>
        <w:t>DoseEdge</w:t>
      </w:r>
      <w:r w:rsidR="00EE4689">
        <w:t xml:space="preserve"> and four </w:t>
      </w:r>
      <w:r w:rsidRPr="00A96976">
        <w:t xml:space="preserve">quarterly two week audits that were conducted post implementation were analyzed.  </w:t>
      </w:r>
      <w:r>
        <w:t>W</w:t>
      </w:r>
      <w:r w:rsidRPr="00A96976">
        <w:t>aste</w:t>
      </w:r>
      <w:r>
        <w:t xml:space="preserve"> was defined</w:t>
      </w:r>
      <w:r w:rsidRPr="00A96976">
        <w:t xml:space="preserve"> as patient specific IV preparations with short stabilities that are prepared, sent to the floor or unit and subsequently are not given to the patient due to a change in therapy or patient discharge. These products cannot be re-used and are discarded because of the product-limited stabilities</w:t>
      </w:r>
      <w:r>
        <w:t xml:space="preserve">. </w:t>
      </w:r>
      <w:r w:rsidRPr="00A96976">
        <w:t xml:space="preserve">Documentation for each audit was extrapolated over a year. The four audit points, pre and post, were averaged for the purpose of comparing IVs wasted pre and post implementation. Information supplied from an IV preparation time study was applied to determine the difference in FTE commitment in making products that were ultimately wasted.  </w:t>
      </w:r>
    </w:p>
    <w:p w14:paraId="1DF97766" w14:textId="03266158" w:rsidR="007816C3" w:rsidRDefault="00735B29" w:rsidP="00735B29">
      <w:r>
        <w:t>A</w:t>
      </w:r>
      <w:r w:rsidR="007816C3">
        <w:t xml:space="preserve"> more recent </w:t>
      </w:r>
      <w:r>
        <w:t xml:space="preserve">error and </w:t>
      </w:r>
      <w:r w:rsidR="007816C3">
        <w:t>waste evaluation was conducted in 2015.</w:t>
      </w:r>
      <w:r>
        <w:t xml:space="preserve"> </w:t>
      </w:r>
      <w:r w:rsidR="007816C3">
        <w:t xml:space="preserve">TAWF reports were generated for </w:t>
      </w:r>
      <w:r w:rsidR="007816C3" w:rsidRPr="00A96976">
        <w:t>November 1</w:t>
      </w:r>
      <w:r w:rsidR="007816C3" w:rsidRPr="00A96976">
        <w:rPr>
          <w:vertAlign w:val="superscript"/>
        </w:rPr>
        <w:t>st</w:t>
      </w:r>
      <w:r w:rsidR="007816C3" w:rsidRPr="00A96976">
        <w:t>-30</w:t>
      </w:r>
      <w:r w:rsidR="007816C3" w:rsidRPr="00A96976">
        <w:rPr>
          <w:vertAlign w:val="superscript"/>
        </w:rPr>
        <w:t>th</w:t>
      </w:r>
      <w:r w:rsidR="007816C3">
        <w:t>, 2015 to determine</w:t>
      </w:r>
      <w:r>
        <w:t xml:space="preserve"> the frequency of errors and the number of IV bags wasted. The types of errors made were described, t</w:t>
      </w:r>
      <w:r w:rsidR="007816C3" w:rsidRPr="00A96976">
        <w:t>he cost associated with the waste</w:t>
      </w:r>
      <w:r w:rsidR="007816C3">
        <w:t xml:space="preserve"> was calculated</w:t>
      </w:r>
      <w:r>
        <w:t>, and the types of products wasted</w:t>
      </w:r>
      <w:r w:rsidR="007816C3">
        <w:t xml:space="preserve"> were characterized</w:t>
      </w:r>
      <w:r w:rsidR="00EE09FF">
        <w:t>.</w:t>
      </w:r>
    </w:p>
    <w:p w14:paraId="7A802370" w14:textId="426E9881" w:rsidR="00524BCE" w:rsidRDefault="00524BCE" w:rsidP="00524BCE">
      <w:r>
        <w:t xml:space="preserve">In order to determine efficiency, the </w:t>
      </w:r>
      <w:r w:rsidR="003E6A0A">
        <w:t xml:space="preserve">staffing model </w:t>
      </w:r>
      <w:r>
        <w:t xml:space="preserve">was analyzed prior to the implementation of </w:t>
      </w:r>
      <w:r w:rsidRPr="00883ED4">
        <w:rPr>
          <w:i/>
        </w:rPr>
        <w:t>DoseEdge</w:t>
      </w:r>
      <w:r>
        <w:t xml:space="preserve"> and after the implementation of </w:t>
      </w:r>
      <w:r w:rsidRPr="00883ED4">
        <w:rPr>
          <w:i/>
        </w:rPr>
        <w:t>DoseEdge</w:t>
      </w:r>
      <w:r w:rsidR="003E6A0A">
        <w:t xml:space="preserve">. Efficiency was defined as the ability to reallocate </w:t>
      </w:r>
      <w:r w:rsidR="00DB62A1">
        <w:t xml:space="preserve">pharmacy </w:t>
      </w:r>
      <w:r w:rsidR="003E6A0A">
        <w:t>staff from the IV roo</w:t>
      </w:r>
      <w:r w:rsidR="00891E2D">
        <w:t>m to other are</w:t>
      </w:r>
      <w:r w:rsidR="00DB62A1">
        <w:t>as in the hospital where pharmacy staff was needed</w:t>
      </w:r>
      <w:r w:rsidR="003E6A0A">
        <w:t xml:space="preserve">. </w:t>
      </w:r>
    </w:p>
    <w:p w14:paraId="303F78D4" w14:textId="77777777" w:rsidR="005B57EC" w:rsidRDefault="005B57EC" w:rsidP="00524BCE"/>
    <w:p w14:paraId="79FC45CA" w14:textId="143AB74D" w:rsidR="00883ED4" w:rsidRPr="00883ED4" w:rsidRDefault="00883ED4" w:rsidP="00883ED4">
      <w:pPr>
        <w:pStyle w:val="Heading2"/>
        <w:rPr>
          <w:rFonts w:cs="Times New Roman"/>
        </w:rPr>
      </w:pPr>
      <w:bookmarkStart w:id="10" w:name="_Toc469394632"/>
      <w:r>
        <w:rPr>
          <w:rFonts w:cs="Times New Roman"/>
        </w:rPr>
        <w:lastRenderedPageBreak/>
        <w:t>results</w:t>
      </w:r>
      <w:bookmarkEnd w:id="10"/>
    </w:p>
    <w:p w14:paraId="67295751" w14:textId="49ABD74B" w:rsidR="00883ED4" w:rsidRPr="00304B27" w:rsidRDefault="00883ED4" w:rsidP="00467F44">
      <w:pPr>
        <w:ind w:firstLine="0"/>
        <w:rPr>
          <w:b/>
          <w:sz w:val="22"/>
          <w:szCs w:val="22"/>
        </w:rPr>
      </w:pPr>
      <w:bookmarkStart w:id="11" w:name="_Toc106513534"/>
      <w:bookmarkStart w:id="12" w:name="_Toc106717792"/>
      <w:r w:rsidRPr="00304B27">
        <w:rPr>
          <w:b/>
          <w:i/>
        </w:rPr>
        <w:t>Reducing Errors</w:t>
      </w:r>
    </w:p>
    <w:p w14:paraId="3BBA5A40" w14:textId="7950668C" w:rsidR="00793DA2" w:rsidRPr="00A96976" w:rsidRDefault="00793DA2" w:rsidP="00793DA2">
      <w:r w:rsidRPr="00A96976">
        <w:t>In 2009, prior to</w:t>
      </w:r>
      <w:r w:rsidR="00883ED4">
        <w:t xml:space="preserve"> </w:t>
      </w:r>
      <w:r w:rsidR="00883ED4">
        <w:rPr>
          <w:i/>
        </w:rPr>
        <w:t>DoseEdge</w:t>
      </w:r>
      <w:r w:rsidRPr="00A96976">
        <w:t xml:space="preserve"> </w:t>
      </w:r>
      <w:r w:rsidR="0021281B">
        <w:t xml:space="preserve">implementation, 69 </w:t>
      </w:r>
      <w:r w:rsidRPr="00A96976">
        <w:t>medication occurrences were reported which could be attributed to medication preparation,</w:t>
      </w:r>
      <w:r w:rsidR="001E2984" w:rsidRPr="00A96976">
        <w:t xml:space="preserve"> verification, or dispensing.  </w:t>
      </w:r>
      <w:r w:rsidRPr="00A96976">
        <w:t xml:space="preserve">Analysis of those </w:t>
      </w:r>
      <w:r w:rsidR="0021281B">
        <w:t xml:space="preserve">errors showed that 15 </w:t>
      </w:r>
      <w:r w:rsidRPr="00A96976">
        <w:t xml:space="preserve">could have been prevented by use of the safety features of the </w:t>
      </w:r>
      <w:r w:rsidRPr="00A96976">
        <w:rPr>
          <w:i/>
        </w:rPr>
        <w:t>DoseEdge</w:t>
      </w:r>
      <w:r w:rsidRPr="00A96976">
        <w:t xml:space="preserve"> software.   </w:t>
      </w:r>
      <w:r w:rsidR="00883ED4">
        <w:t>In 2010, p</w:t>
      </w:r>
      <w:r w:rsidRPr="00A96976">
        <w:t>ost</w:t>
      </w:r>
      <w:r w:rsidR="00883ED4">
        <w:t xml:space="preserve"> </w:t>
      </w:r>
      <w:r w:rsidR="00883ED4">
        <w:rPr>
          <w:i/>
        </w:rPr>
        <w:t>DoseEdge</w:t>
      </w:r>
      <w:r w:rsidR="00883ED4">
        <w:t xml:space="preserve"> implementation</w:t>
      </w:r>
      <w:r w:rsidR="0021281B">
        <w:t xml:space="preserve">, 39 </w:t>
      </w:r>
      <w:r w:rsidRPr="00A96976">
        <w:t>occu</w:t>
      </w:r>
      <w:r w:rsidR="0021281B">
        <w:t xml:space="preserve">rrences were reviewed.  Six </w:t>
      </w:r>
      <w:r w:rsidRPr="00A96976">
        <w:t xml:space="preserve">of those occurrences should have been prevented by use of the software’s safety features, but these errors still occurred.  Further analysis of these errors was attributed to inexperience with using </w:t>
      </w:r>
      <w:r w:rsidRPr="00A96976">
        <w:rPr>
          <w:i/>
        </w:rPr>
        <w:t>DoseEdge</w:t>
      </w:r>
      <w:r w:rsidRPr="00A96976">
        <w:t xml:space="preserve"> or bypassing the software’s safety features.  </w:t>
      </w:r>
      <w:r w:rsidR="00524BCE">
        <w:t xml:space="preserve"> </w:t>
      </w:r>
      <w:r w:rsidRPr="00A96976">
        <w:t xml:space="preserve">Overall, the implementation of </w:t>
      </w:r>
      <w:r w:rsidRPr="00A96976">
        <w:rPr>
          <w:i/>
        </w:rPr>
        <w:t>DoseEdge</w:t>
      </w:r>
      <w:r w:rsidRPr="00A96976">
        <w:t xml:space="preserve"> represented a 60% decrease in errors associated with IV production in 2010</w:t>
      </w:r>
      <w:r w:rsidR="0021281B">
        <w:t>.  In 2011, 35</w:t>
      </w:r>
      <w:r w:rsidRPr="00A96976">
        <w:t xml:space="preserve"> error</w:t>
      </w:r>
      <w:r w:rsidR="0021281B">
        <w:t xml:space="preserve">s were reviewed and only one </w:t>
      </w:r>
      <w:r w:rsidRPr="00A96976">
        <w:t xml:space="preserve">error occurred, representing a 93% decrease in errors associated with IV production.  This </w:t>
      </w:r>
      <w:r w:rsidR="00C813BB">
        <w:t xml:space="preserve">one </w:t>
      </w:r>
      <w:r w:rsidRPr="00A96976">
        <w:t xml:space="preserve">error was a result of a staff member bypassing </w:t>
      </w:r>
      <w:r w:rsidRPr="00A96976">
        <w:rPr>
          <w:i/>
        </w:rPr>
        <w:t>DoseEdge’s</w:t>
      </w:r>
      <w:r w:rsidRPr="00A96976">
        <w:t xml:space="preserve"> safety features.  </w:t>
      </w:r>
    </w:p>
    <w:p w14:paraId="77252170" w14:textId="200CA6FF" w:rsidR="00793DA2" w:rsidRDefault="00883ED4" w:rsidP="00793DA2">
      <w:r>
        <w:t>The</w:t>
      </w:r>
      <w:r w:rsidR="00793DA2" w:rsidRPr="00A96976">
        <w:t xml:space="preserve"> survey period </w:t>
      </w:r>
      <w:r w:rsidR="00DB3690">
        <w:t>in 2015 showed</w:t>
      </w:r>
      <w:r w:rsidR="00793DA2" w:rsidRPr="00A96976">
        <w:t xml:space="preserve"> that the hospital prepared 34,2</w:t>
      </w:r>
      <w:r w:rsidR="00682C55">
        <w:t>84 doses, which if annualized was</w:t>
      </w:r>
      <w:r w:rsidR="00793DA2" w:rsidRPr="00A96976">
        <w:t xml:space="preserve"> about 411,408 doses in a year. During that one month time frame, 267 errors </w:t>
      </w:r>
      <w:r w:rsidR="002F611E">
        <w:t xml:space="preserve">(0.78%) </w:t>
      </w:r>
      <w:r w:rsidR="00793DA2" w:rsidRPr="00A96976">
        <w:t xml:space="preserve">were found.  Two hundred thirty seven (89%) of the errors were intercepted by </w:t>
      </w:r>
      <w:r w:rsidR="00793DA2" w:rsidRPr="00A96976">
        <w:rPr>
          <w:i/>
        </w:rPr>
        <w:t>DoseEdge</w:t>
      </w:r>
      <w:r w:rsidR="00793DA2" w:rsidRPr="00A96976">
        <w:t xml:space="preserve"> prior to the pharmacist verifying the dose.  One hundred sixty one (68%) of the intercepted dose errors were because the technician scanned the wrong diluent or drug into the </w:t>
      </w:r>
      <w:r w:rsidR="00793DA2" w:rsidRPr="00A96976">
        <w:rPr>
          <w:i/>
        </w:rPr>
        <w:t>DoseEdge</w:t>
      </w:r>
      <w:r w:rsidR="00793DA2" w:rsidRPr="00A96976">
        <w:t xml:space="preserve"> system. Other errors intercepted by </w:t>
      </w:r>
      <w:r w:rsidR="00793DA2" w:rsidRPr="00A96976">
        <w:rPr>
          <w:i/>
        </w:rPr>
        <w:t>DoseEdge</w:t>
      </w:r>
      <w:r w:rsidR="00793DA2" w:rsidRPr="00A96976">
        <w:t xml:space="preserve"> included using expired product or having a wrong concentration. </w:t>
      </w:r>
      <w:r w:rsidR="00682C55">
        <w:t>Of the 267 errors found, 30 (11</w:t>
      </w:r>
      <w:r w:rsidR="00793DA2" w:rsidRPr="00A96976">
        <w:t xml:space="preserve">%) of them were rejected during the pharmacist’s final verification, which shows that the majority of errors were caught by </w:t>
      </w:r>
      <w:r w:rsidR="00793DA2" w:rsidRPr="00A96976">
        <w:rPr>
          <w:i/>
        </w:rPr>
        <w:t>DoseEdge</w:t>
      </w:r>
      <w:r w:rsidR="00793DA2" w:rsidRPr="00A96976">
        <w:t xml:space="preserve"> prior to pharmacist verification. The most common type of error that resulted in the pharmacist rejecting the dose was wrong drug concentration</w:t>
      </w:r>
      <w:r w:rsidR="00467F44">
        <w:t xml:space="preserve"> (Figure 1</w:t>
      </w:r>
      <w:r w:rsidR="006C7E2B" w:rsidRPr="00A96976">
        <w:t>)</w:t>
      </w:r>
      <w:r w:rsidR="00793DA2" w:rsidRPr="00A96976">
        <w:t xml:space="preserve">. </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5"/>
        <w:gridCol w:w="2430"/>
        <w:gridCol w:w="2340"/>
      </w:tblGrid>
      <w:tr w:rsidR="006C7E2B" w:rsidRPr="00A96976" w14:paraId="2DFDF527" w14:textId="77777777" w:rsidTr="00D42E92">
        <w:trPr>
          <w:trHeight w:val="846"/>
          <w:jc w:val="center"/>
        </w:trPr>
        <w:tc>
          <w:tcPr>
            <w:tcW w:w="3595" w:type="dxa"/>
            <w:shd w:val="clear" w:color="auto" w:fill="FFFFFF"/>
            <w:tcMar>
              <w:top w:w="15" w:type="dxa"/>
              <w:left w:w="71" w:type="dxa"/>
              <w:bottom w:w="0" w:type="dxa"/>
              <w:right w:w="71" w:type="dxa"/>
            </w:tcMar>
          </w:tcPr>
          <w:p w14:paraId="0A395FBE" w14:textId="77777777" w:rsidR="006C7E2B" w:rsidRPr="00A96976" w:rsidRDefault="006C7E2B" w:rsidP="006C7E2B">
            <w:pPr>
              <w:ind w:firstLine="0"/>
              <w:jc w:val="center"/>
              <w:rPr>
                <w:b/>
                <w:bCs/>
                <w:kern w:val="24"/>
                <w:sz w:val="22"/>
                <w:szCs w:val="22"/>
              </w:rPr>
            </w:pPr>
            <w:r w:rsidRPr="00A96976">
              <w:rPr>
                <w:b/>
                <w:bCs/>
                <w:kern w:val="24"/>
                <w:sz w:val="22"/>
                <w:szCs w:val="22"/>
              </w:rPr>
              <w:lastRenderedPageBreak/>
              <w:t>Error Type</w:t>
            </w:r>
          </w:p>
        </w:tc>
        <w:tc>
          <w:tcPr>
            <w:tcW w:w="2430" w:type="dxa"/>
            <w:shd w:val="clear" w:color="auto" w:fill="FFFFFF"/>
            <w:tcMar>
              <w:top w:w="15" w:type="dxa"/>
              <w:left w:w="71" w:type="dxa"/>
              <w:bottom w:w="0" w:type="dxa"/>
              <w:right w:w="71" w:type="dxa"/>
            </w:tcMar>
          </w:tcPr>
          <w:p w14:paraId="59D94CBF" w14:textId="3C776F61" w:rsidR="006C7E2B" w:rsidRPr="00A96976" w:rsidRDefault="00682C55" w:rsidP="006C7E2B">
            <w:pPr>
              <w:ind w:firstLine="0"/>
              <w:jc w:val="center"/>
              <w:rPr>
                <w:b/>
                <w:sz w:val="22"/>
                <w:szCs w:val="22"/>
              </w:rPr>
            </w:pPr>
            <w:r>
              <w:rPr>
                <w:rFonts w:eastAsia="Calibri"/>
                <w:b/>
                <w:bCs/>
                <w:kern w:val="24"/>
                <w:sz w:val="22"/>
                <w:szCs w:val="22"/>
              </w:rPr>
              <w:t xml:space="preserve">Errors </w:t>
            </w:r>
            <w:r w:rsidR="006C7E2B" w:rsidRPr="00A96976">
              <w:rPr>
                <w:rFonts w:eastAsia="Calibri"/>
                <w:b/>
                <w:bCs/>
                <w:kern w:val="24"/>
                <w:sz w:val="22"/>
                <w:szCs w:val="22"/>
              </w:rPr>
              <w:t>intercepted</w:t>
            </w:r>
            <w:r w:rsidR="006C7E2B" w:rsidRPr="00A96976">
              <w:rPr>
                <w:b/>
                <w:sz w:val="22"/>
                <w:szCs w:val="22"/>
              </w:rPr>
              <w:t xml:space="preserve">        </w:t>
            </w:r>
            <w:r w:rsidR="006C7E2B" w:rsidRPr="00A96976">
              <w:rPr>
                <w:rFonts w:eastAsia="Calibri"/>
                <w:b/>
                <w:bCs/>
                <w:kern w:val="24"/>
                <w:sz w:val="22"/>
                <w:szCs w:val="22"/>
              </w:rPr>
              <w:t>(n=237)</w:t>
            </w:r>
          </w:p>
          <w:p w14:paraId="006220FE" w14:textId="77777777" w:rsidR="006C7E2B" w:rsidRPr="00A96976" w:rsidRDefault="006C7E2B" w:rsidP="006C7E2B">
            <w:pPr>
              <w:jc w:val="center"/>
              <w:rPr>
                <w:rFonts w:eastAsia="Calibri"/>
                <w:b/>
                <w:kern w:val="24"/>
                <w:sz w:val="22"/>
                <w:szCs w:val="22"/>
              </w:rPr>
            </w:pPr>
          </w:p>
        </w:tc>
        <w:tc>
          <w:tcPr>
            <w:tcW w:w="2340" w:type="dxa"/>
            <w:shd w:val="clear" w:color="auto" w:fill="FFFFFF"/>
          </w:tcPr>
          <w:p w14:paraId="354833F4" w14:textId="79E72C08" w:rsidR="006C7E2B" w:rsidRPr="00A96976" w:rsidRDefault="00682C55" w:rsidP="006C7E2B">
            <w:pPr>
              <w:ind w:firstLine="0"/>
              <w:jc w:val="center"/>
              <w:rPr>
                <w:rFonts w:eastAsia="Calibri"/>
                <w:b/>
                <w:kern w:val="24"/>
                <w:sz w:val="22"/>
                <w:szCs w:val="22"/>
              </w:rPr>
            </w:pPr>
            <w:r>
              <w:rPr>
                <w:rFonts w:eastAsia="Calibri"/>
                <w:b/>
                <w:bCs/>
                <w:kern w:val="24"/>
                <w:sz w:val="22"/>
                <w:szCs w:val="22"/>
              </w:rPr>
              <w:t xml:space="preserve">Errors </w:t>
            </w:r>
            <w:r w:rsidR="006C7E2B" w:rsidRPr="00A96976">
              <w:rPr>
                <w:rFonts w:eastAsia="Calibri"/>
                <w:b/>
                <w:bCs/>
                <w:kern w:val="24"/>
                <w:sz w:val="22"/>
                <w:szCs w:val="22"/>
              </w:rPr>
              <w:t xml:space="preserve">rejected         </w:t>
            </w:r>
            <w:r w:rsidR="006C7E2B" w:rsidRPr="00A96976">
              <w:rPr>
                <w:rFonts w:eastAsia="Calibri"/>
                <w:b/>
                <w:kern w:val="24"/>
                <w:sz w:val="22"/>
                <w:szCs w:val="22"/>
              </w:rPr>
              <w:t>(n=30)</w:t>
            </w:r>
          </w:p>
        </w:tc>
      </w:tr>
      <w:tr w:rsidR="006C7E2B" w:rsidRPr="00A96976" w14:paraId="2A6A1E97" w14:textId="77777777" w:rsidTr="00D42E92">
        <w:trPr>
          <w:trHeight w:val="846"/>
          <w:jc w:val="center"/>
        </w:trPr>
        <w:tc>
          <w:tcPr>
            <w:tcW w:w="3595" w:type="dxa"/>
            <w:shd w:val="clear" w:color="auto" w:fill="FFFFFF"/>
            <w:tcMar>
              <w:top w:w="15" w:type="dxa"/>
              <w:left w:w="71" w:type="dxa"/>
              <w:bottom w:w="0" w:type="dxa"/>
              <w:right w:w="71" w:type="dxa"/>
            </w:tcMar>
            <w:hideMark/>
          </w:tcPr>
          <w:p w14:paraId="02B2A706" w14:textId="77777777" w:rsidR="006C7E2B" w:rsidRPr="00A96976" w:rsidRDefault="006C7E2B" w:rsidP="006C7E2B">
            <w:pPr>
              <w:ind w:firstLine="0"/>
              <w:jc w:val="center"/>
              <w:rPr>
                <w:sz w:val="22"/>
                <w:szCs w:val="22"/>
              </w:rPr>
            </w:pPr>
            <w:r w:rsidRPr="00A96976">
              <w:rPr>
                <w:b/>
                <w:bCs/>
                <w:kern w:val="24"/>
                <w:sz w:val="22"/>
                <w:szCs w:val="22"/>
              </w:rPr>
              <w:t>Wrong drug or diluent, n (%)</w:t>
            </w:r>
          </w:p>
        </w:tc>
        <w:tc>
          <w:tcPr>
            <w:tcW w:w="2430" w:type="dxa"/>
            <w:shd w:val="clear" w:color="auto" w:fill="FFFFFF"/>
            <w:tcMar>
              <w:top w:w="15" w:type="dxa"/>
              <w:left w:w="71" w:type="dxa"/>
              <w:bottom w:w="0" w:type="dxa"/>
              <w:right w:w="71" w:type="dxa"/>
            </w:tcMar>
            <w:hideMark/>
          </w:tcPr>
          <w:p w14:paraId="1ABE3A18" w14:textId="77777777" w:rsidR="006C7E2B" w:rsidRPr="00A96976" w:rsidRDefault="006C7E2B" w:rsidP="006C7E2B">
            <w:pPr>
              <w:ind w:firstLine="0"/>
              <w:jc w:val="center"/>
              <w:rPr>
                <w:sz w:val="22"/>
                <w:szCs w:val="22"/>
              </w:rPr>
            </w:pPr>
            <w:r w:rsidRPr="00A96976">
              <w:rPr>
                <w:rFonts w:eastAsia="Calibri"/>
                <w:kern w:val="24"/>
                <w:sz w:val="22"/>
                <w:szCs w:val="22"/>
              </w:rPr>
              <w:t>161 (68%)</w:t>
            </w:r>
          </w:p>
        </w:tc>
        <w:tc>
          <w:tcPr>
            <w:tcW w:w="2340" w:type="dxa"/>
            <w:shd w:val="clear" w:color="auto" w:fill="FFFFFF"/>
          </w:tcPr>
          <w:p w14:paraId="0EC764F2" w14:textId="77777777" w:rsidR="006C7E2B" w:rsidRPr="00A96976" w:rsidRDefault="006C7E2B" w:rsidP="006C7E2B">
            <w:pPr>
              <w:ind w:firstLine="0"/>
              <w:jc w:val="center"/>
              <w:rPr>
                <w:rFonts w:eastAsia="Calibri"/>
                <w:kern w:val="24"/>
                <w:sz w:val="22"/>
                <w:szCs w:val="22"/>
              </w:rPr>
            </w:pPr>
            <w:r w:rsidRPr="00A96976">
              <w:rPr>
                <w:rFonts w:eastAsia="Calibri"/>
                <w:kern w:val="24"/>
                <w:sz w:val="22"/>
                <w:szCs w:val="22"/>
              </w:rPr>
              <w:t>2 (7%)</w:t>
            </w:r>
          </w:p>
          <w:p w14:paraId="12784134" w14:textId="77777777" w:rsidR="006C7E2B" w:rsidRPr="00A96976" w:rsidRDefault="006C7E2B" w:rsidP="006C7E2B">
            <w:pPr>
              <w:jc w:val="center"/>
              <w:rPr>
                <w:rFonts w:eastAsia="Calibri"/>
                <w:kern w:val="24"/>
                <w:sz w:val="22"/>
                <w:szCs w:val="22"/>
              </w:rPr>
            </w:pPr>
          </w:p>
        </w:tc>
      </w:tr>
      <w:tr w:rsidR="006C7E2B" w:rsidRPr="00A96976" w14:paraId="2EC19002" w14:textId="77777777" w:rsidTr="00D42E92">
        <w:trPr>
          <w:trHeight w:val="846"/>
          <w:jc w:val="center"/>
        </w:trPr>
        <w:tc>
          <w:tcPr>
            <w:tcW w:w="3595" w:type="dxa"/>
            <w:shd w:val="clear" w:color="auto" w:fill="FFFFFF"/>
            <w:tcMar>
              <w:top w:w="15" w:type="dxa"/>
              <w:left w:w="71" w:type="dxa"/>
              <w:bottom w:w="0" w:type="dxa"/>
              <w:right w:w="71" w:type="dxa"/>
            </w:tcMar>
            <w:hideMark/>
          </w:tcPr>
          <w:p w14:paraId="44245142" w14:textId="77777777" w:rsidR="006C7E2B" w:rsidRPr="00A96976" w:rsidRDefault="006C7E2B" w:rsidP="006C7E2B">
            <w:pPr>
              <w:ind w:firstLine="0"/>
              <w:jc w:val="center"/>
              <w:rPr>
                <w:sz w:val="22"/>
                <w:szCs w:val="22"/>
              </w:rPr>
            </w:pPr>
            <w:r w:rsidRPr="00A96976">
              <w:rPr>
                <w:b/>
                <w:bCs/>
                <w:kern w:val="24"/>
                <w:sz w:val="22"/>
                <w:szCs w:val="22"/>
              </w:rPr>
              <w:t>Expiration, n (%)</w:t>
            </w:r>
          </w:p>
        </w:tc>
        <w:tc>
          <w:tcPr>
            <w:tcW w:w="2430" w:type="dxa"/>
            <w:shd w:val="clear" w:color="auto" w:fill="FFFFFF"/>
            <w:tcMar>
              <w:top w:w="15" w:type="dxa"/>
              <w:left w:w="71" w:type="dxa"/>
              <w:bottom w:w="0" w:type="dxa"/>
              <w:right w:w="71" w:type="dxa"/>
            </w:tcMar>
            <w:hideMark/>
          </w:tcPr>
          <w:p w14:paraId="404E38FA" w14:textId="0EBA9132" w:rsidR="006C7E2B" w:rsidRPr="00A96976" w:rsidRDefault="006C7E2B" w:rsidP="006C7E2B">
            <w:pPr>
              <w:ind w:firstLine="0"/>
              <w:jc w:val="center"/>
              <w:rPr>
                <w:sz w:val="22"/>
                <w:szCs w:val="22"/>
              </w:rPr>
            </w:pPr>
            <w:r w:rsidRPr="00A96976">
              <w:rPr>
                <w:rFonts w:eastAsia="Calibri"/>
                <w:kern w:val="24"/>
                <w:sz w:val="22"/>
                <w:szCs w:val="22"/>
              </w:rPr>
              <w:t>7 (3%)</w:t>
            </w:r>
          </w:p>
        </w:tc>
        <w:tc>
          <w:tcPr>
            <w:tcW w:w="2340" w:type="dxa"/>
            <w:shd w:val="clear" w:color="auto" w:fill="FFFFFF"/>
          </w:tcPr>
          <w:p w14:paraId="13ECAD28" w14:textId="2660E41D" w:rsidR="006C7E2B" w:rsidRPr="00A96976" w:rsidRDefault="006C7E2B" w:rsidP="006C7E2B">
            <w:pPr>
              <w:ind w:firstLine="0"/>
              <w:jc w:val="center"/>
              <w:rPr>
                <w:rFonts w:eastAsia="Calibri"/>
                <w:kern w:val="24"/>
                <w:sz w:val="22"/>
                <w:szCs w:val="22"/>
              </w:rPr>
            </w:pPr>
            <w:r w:rsidRPr="00A96976">
              <w:rPr>
                <w:rFonts w:eastAsia="Calibri"/>
                <w:kern w:val="24"/>
                <w:sz w:val="22"/>
                <w:szCs w:val="22"/>
              </w:rPr>
              <w:t>10 (33%)</w:t>
            </w:r>
          </w:p>
          <w:p w14:paraId="79BBA54E" w14:textId="77777777" w:rsidR="006C7E2B" w:rsidRPr="00A96976" w:rsidRDefault="006C7E2B" w:rsidP="006C7E2B">
            <w:pPr>
              <w:jc w:val="center"/>
              <w:rPr>
                <w:rFonts w:eastAsia="Calibri"/>
                <w:kern w:val="24"/>
                <w:sz w:val="22"/>
                <w:szCs w:val="22"/>
              </w:rPr>
            </w:pPr>
          </w:p>
        </w:tc>
      </w:tr>
      <w:tr w:rsidR="006C7E2B" w:rsidRPr="00A96976" w14:paraId="083668E6" w14:textId="77777777" w:rsidTr="00D42E92">
        <w:trPr>
          <w:trHeight w:val="846"/>
          <w:jc w:val="center"/>
        </w:trPr>
        <w:tc>
          <w:tcPr>
            <w:tcW w:w="3595" w:type="dxa"/>
            <w:shd w:val="clear" w:color="auto" w:fill="FFFFFF"/>
            <w:tcMar>
              <w:top w:w="15" w:type="dxa"/>
              <w:left w:w="71" w:type="dxa"/>
              <w:bottom w:w="0" w:type="dxa"/>
              <w:right w:w="71" w:type="dxa"/>
            </w:tcMar>
            <w:hideMark/>
          </w:tcPr>
          <w:p w14:paraId="52BE5B24" w14:textId="77777777" w:rsidR="006C7E2B" w:rsidRPr="00A96976" w:rsidRDefault="006C7E2B" w:rsidP="006C7E2B">
            <w:pPr>
              <w:ind w:firstLine="0"/>
              <w:jc w:val="center"/>
              <w:rPr>
                <w:sz w:val="22"/>
                <w:szCs w:val="22"/>
              </w:rPr>
            </w:pPr>
            <w:r w:rsidRPr="00A96976">
              <w:rPr>
                <w:b/>
                <w:bCs/>
                <w:kern w:val="24"/>
                <w:sz w:val="22"/>
                <w:szCs w:val="22"/>
              </w:rPr>
              <w:t>Wrong concentration, n (%)</w:t>
            </w:r>
          </w:p>
        </w:tc>
        <w:tc>
          <w:tcPr>
            <w:tcW w:w="2430" w:type="dxa"/>
            <w:shd w:val="clear" w:color="auto" w:fill="FFFFFF"/>
            <w:tcMar>
              <w:top w:w="15" w:type="dxa"/>
              <w:left w:w="71" w:type="dxa"/>
              <w:bottom w:w="0" w:type="dxa"/>
              <w:right w:w="71" w:type="dxa"/>
            </w:tcMar>
            <w:hideMark/>
          </w:tcPr>
          <w:p w14:paraId="6BBB59AE" w14:textId="77777777" w:rsidR="006C7E2B" w:rsidRPr="00A96976" w:rsidRDefault="006C7E2B" w:rsidP="006C7E2B">
            <w:pPr>
              <w:ind w:firstLine="0"/>
              <w:jc w:val="center"/>
              <w:rPr>
                <w:sz w:val="22"/>
                <w:szCs w:val="22"/>
              </w:rPr>
            </w:pPr>
            <w:r w:rsidRPr="00A96976">
              <w:rPr>
                <w:rFonts w:eastAsia="Calibri"/>
                <w:kern w:val="24"/>
                <w:sz w:val="22"/>
                <w:szCs w:val="22"/>
              </w:rPr>
              <w:t>55 (23%)</w:t>
            </w:r>
          </w:p>
        </w:tc>
        <w:tc>
          <w:tcPr>
            <w:tcW w:w="2340" w:type="dxa"/>
            <w:shd w:val="clear" w:color="auto" w:fill="FFFFFF"/>
          </w:tcPr>
          <w:p w14:paraId="0D6C4DBE" w14:textId="77777777" w:rsidR="006C7E2B" w:rsidRPr="00A96976" w:rsidRDefault="006C7E2B" w:rsidP="006C7E2B">
            <w:pPr>
              <w:ind w:firstLine="0"/>
              <w:jc w:val="center"/>
              <w:rPr>
                <w:rFonts w:eastAsia="Calibri"/>
                <w:kern w:val="24"/>
                <w:sz w:val="22"/>
                <w:szCs w:val="22"/>
              </w:rPr>
            </w:pPr>
            <w:r w:rsidRPr="00A96976">
              <w:rPr>
                <w:rFonts w:eastAsia="Calibri"/>
                <w:kern w:val="24"/>
                <w:sz w:val="22"/>
                <w:szCs w:val="22"/>
              </w:rPr>
              <w:t>12 (40%)</w:t>
            </w:r>
          </w:p>
          <w:p w14:paraId="0EEF2A4C" w14:textId="77777777" w:rsidR="006C7E2B" w:rsidRPr="00A96976" w:rsidRDefault="006C7E2B" w:rsidP="006C7E2B">
            <w:pPr>
              <w:jc w:val="center"/>
              <w:rPr>
                <w:rFonts w:eastAsia="Calibri"/>
                <w:kern w:val="24"/>
                <w:sz w:val="22"/>
                <w:szCs w:val="22"/>
              </w:rPr>
            </w:pPr>
          </w:p>
        </w:tc>
      </w:tr>
      <w:tr w:rsidR="006C7E2B" w:rsidRPr="00A96976" w14:paraId="66DC6684" w14:textId="77777777" w:rsidTr="00D42E92">
        <w:trPr>
          <w:trHeight w:val="1142"/>
          <w:jc w:val="center"/>
        </w:trPr>
        <w:tc>
          <w:tcPr>
            <w:tcW w:w="3595" w:type="dxa"/>
            <w:shd w:val="clear" w:color="auto" w:fill="FFFFFF"/>
            <w:tcMar>
              <w:top w:w="15" w:type="dxa"/>
              <w:left w:w="71" w:type="dxa"/>
              <w:bottom w:w="0" w:type="dxa"/>
              <w:right w:w="71" w:type="dxa"/>
            </w:tcMar>
            <w:hideMark/>
          </w:tcPr>
          <w:p w14:paraId="2A62F761" w14:textId="77777777" w:rsidR="006C7E2B" w:rsidRPr="00A96976" w:rsidRDefault="006C7E2B" w:rsidP="006C7E2B">
            <w:pPr>
              <w:ind w:firstLine="0"/>
              <w:jc w:val="center"/>
              <w:rPr>
                <w:sz w:val="22"/>
                <w:szCs w:val="22"/>
              </w:rPr>
            </w:pPr>
            <w:r w:rsidRPr="00A96976">
              <w:rPr>
                <w:b/>
                <w:bCs/>
                <w:kern w:val="24"/>
                <w:sz w:val="22"/>
                <w:szCs w:val="22"/>
              </w:rPr>
              <w:t>Other, n (%)</w:t>
            </w:r>
          </w:p>
        </w:tc>
        <w:tc>
          <w:tcPr>
            <w:tcW w:w="2430" w:type="dxa"/>
            <w:shd w:val="clear" w:color="auto" w:fill="FFFFFF"/>
            <w:tcMar>
              <w:top w:w="15" w:type="dxa"/>
              <w:left w:w="71" w:type="dxa"/>
              <w:bottom w:w="0" w:type="dxa"/>
              <w:right w:w="71" w:type="dxa"/>
            </w:tcMar>
            <w:hideMark/>
          </w:tcPr>
          <w:p w14:paraId="31B90414" w14:textId="6E1BED4F" w:rsidR="006C7E2B" w:rsidRPr="00A96976" w:rsidRDefault="006C7E2B" w:rsidP="006C7E2B">
            <w:pPr>
              <w:ind w:firstLine="0"/>
              <w:jc w:val="center"/>
              <w:rPr>
                <w:sz w:val="22"/>
                <w:szCs w:val="22"/>
              </w:rPr>
            </w:pPr>
            <w:r w:rsidRPr="00A96976">
              <w:rPr>
                <w:rFonts w:eastAsia="Calibri"/>
                <w:kern w:val="24"/>
                <w:sz w:val="22"/>
                <w:szCs w:val="22"/>
              </w:rPr>
              <w:t>14 (6%)</w:t>
            </w:r>
          </w:p>
        </w:tc>
        <w:tc>
          <w:tcPr>
            <w:tcW w:w="2340" w:type="dxa"/>
            <w:shd w:val="clear" w:color="auto" w:fill="FFFFFF"/>
          </w:tcPr>
          <w:p w14:paraId="21DE43D1" w14:textId="77777777" w:rsidR="006C7E2B" w:rsidRPr="00A96976" w:rsidRDefault="006C7E2B" w:rsidP="005B57EC">
            <w:pPr>
              <w:keepNext/>
              <w:ind w:firstLine="0"/>
              <w:jc w:val="center"/>
              <w:rPr>
                <w:rFonts w:eastAsia="Calibri"/>
                <w:kern w:val="24"/>
                <w:sz w:val="22"/>
                <w:szCs w:val="22"/>
              </w:rPr>
            </w:pPr>
            <w:r w:rsidRPr="00A96976">
              <w:rPr>
                <w:rFonts w:eastAsia="Calibri"/>
                <w:kern w:val="24"/>
                <w:sz w:val="22"/>
                <w:szCs w:val="22"/>
              </w:rPr>
              <w:t>6 (20%)</w:t>
            </w:r>
          </w:p>
        </w:tc>
      </w:tr>
    </w:tbl>
    <w:p w14:paraId="41AD85AA" w14:textId="77777777" w:rsidR="005861C8" w:rsidRDefault="005861C8" w:rsidP="005861C8">
      <w:pPr>
        <w:pStyle w:val="Caption"/>
        <w:spacing w:line="240" w:lineRule="auto"/>
        <w:ind w:hanging="86"/>
        <w:jc w:val="center"/>
      </w:pPr>
    </w:p>
    <w:p w14:paraId="2586A0D6" w14:textId="7FC37774" w:rsidR="00883ED4" w:rsidRDefault="005B57EC" w:rsidP="005B57EC">
      <w:pPr>
        <w:pStyle w:val="Caption"/>
        <w:ind w:hanging="90"/>
        <w:jc w:val="center"/>
      </w:pPr>
      <w:bookmarkStart w:id="13" w:name="_Toc469394642"/>
      <w:r>
        <w:t xml:space="preserve">Figure </w:t>
      </w:r>
      <w:fldSimple w:instr=" SEQ Figure \* ARABIC ">
        <w:r w:rsidR="00331A44">
          <w:rPr>
            <w:noProof/>
          </w:rPr>
          <w:t>1</w:t>
        </w:r>
      </w:fldSimple>
      <w:r>
        <w:t>. Results for Types of Errors</w:t>
      </w:r>
      <w:bookmarkEnd w:id="13"/>
    </w:p>
    <w:p w14:paraId="62073153" w14:textId="77777777" w:rsidR="00D42E92" w:rsidRPr="00D42E92" w:rsidRDefault="00D42E92" w:rsidP="00D42E92"/>
    <w:p w14:paraId="471CE498" w14:textId="77777777" w:rsidR="00467F44" w:rsidRPr="00304B27" w:rsidRDefault="00467F44" w:rsidP="00467F44">
      <w:pPr>
        <w:ind w:firstLine="0"/>
        <w:rPr>
          <w:b/>
          <w:i/>
        </w:rPr>
      </w:pPr>
      <w:r w:rsidRPr="00304B27">
        <w:rPr>
          <w:b/>
          <w:i/>
        </w:rPr>
        <w:t>Decreasing Waste</w:t>
      </w:r>
    </w:p>
    <w:p w14:paraId="3A7A8611" w14:textId="167D6584" w:rsidR="00467F44" w:rsidRDefault="00467F44" w:rsidP="00467F44">
      <w:r>
        <w:t>There was</w:t>
      </w:r>
      <w:r w:rsidRPr="00A96976">
        <w:t xml:space="preserve"> continuous improvement in terms of waste as a result of the implementation of </w:t>
      </w:r>
      <w:r w:rsidRPr="00A96976">
        <w:rPr>
          <w:i/>
        </w:rPr>
        <w:t>DoseEdge</w:t>
      </w:r>
      <w:r w:rsidRPr="00A96976">
        <w:t>. Using time management studies, 217 seconds were applied as the average preparation time of each IV prepared. Average census per day pre-implementation was 412 inpatients compared to 448 inpatients per day post implementation</w:t>
      </w:r>
      <w:r>
        <w:t xml:space="preserve">. </w:t>
      </w:r>
      <w:r w:rsidRPr="00A96976">
        <w:t>The overall results</w:t>
      </w:r>
      <w:r>
        <w:t xml:space="preserve"> of the</w:t>
      </w:r>
      <w:r w:rsidRPr="00A96976">
        <w:t xml:space="preserve"> audits showed that on average 22,060 IVs were wasted per year before </w:t>
      </w:r>
      <w:r w:rsidRPr="00A96976">
        <w:rPr>
          <w:i/>
        </w:rPr>
        <w:t>DoseEdge</w:t>
      </w:r>
      <w:r w:rsidRPr="00A96976">
        <w:t xml:space="preserve"> was implemented accounting for 1,330 hours in preparation time or a 0.64 FTE commitment compared to 11,224 IVs wasted on average per year after the implementation of </w:t>
      </w:r>
      <w:r w:rsidRPr="00A96976">
        <w:rPr>
          <w:i/>
        </w:rPr>
        <w:t>DoseEdge</w:t>
      </w:r>
      <w:r w:rsidRPr="00A96976">
        <w:t>, accounting for 677 hours in preparation time or a 0.33 FTE commitment</w:t>
      </w:r>
      <w:r>
        <w:t xml:space="preserve"> (Figure 2</w:t>
      </w:r>
      <w:r w:rsidRPr="00A96976">
        <w:t xml:space="preserve">).  Comparing the pre and post </w:t>
      </w:r>
      <w:r w:rsidRPr="00467F44">
        <w:rPr>
          <w:i/>
        </w:rPr>
        <w:t>DoseEdge</w:t>
      </w:r>
      <w:r w:rsidRPr="00A96976">
        <w:t xml:space="preserve"> implementation data, there was a decrease of 10,836 IVs wasted per year equating to a decrease of 0.31 FTEs.</w:t>
      </w:r>
    </w:p>
    <w:tbl>
      <w:tblPr>
        <w:tblW w:w="6364" w:type="dxa"/>
        <w:jc w:val="center"/>
        <w:tblLook w:val="04A0" w:firstRow="1" w:lastRow="0" w:firstColumn="1" w:lastColumn="0" w:noHBand="0" w:noVBand="1"/>
      </w:tblPr>
      <w:tblGrid>
        <w:gridCol w:w="1462"/>
        <w:gridCol w:w="1464"/>
        <w:gridCol w:w="1719"/>
        <w:gridCol w:w="1719"/>
      </w:tblGrid>
      <w:tr w:rsidR="005D28EC" w:rsidRPr="00A96976" w14:paraId="2569DA6E" w14:textId="77777777" w:rsidTr="00331A44">
        <w:trPr>
          <w:trHeight w:val="687"/>
          <w:jc w:val="center"/>
        </w:trPr>
        <w:tc>
          <w:tcPr>
            <w:tcW w:w="1462" w:type="dxa"/>
            <w:tcBorders>
              <w:top w:val="nil"/>
              <w:left w:val="nil"/>
              <w:bottom w:val="nil"/>
              <w:right w:val="nil"/>
            </w:tcBorders>
            <w:shd w:val="clear" w:color="auto" w:fill="auto"/>
            <w:noWrap/>
            <w:vAlign w:val="bottom"/>
            <w:hideMark/>
          </w:tcPr>
          <w:p w14:paraId="420D5AEC" w14:textId="77777777" w:rsidR="005D28EC" w:rsidRPr="00A96976" w:rsidRDefault="005D28EC" w:rsidP="005861C8">
            <w:pPr>
              <w:spacing w:line="240" w:lineRule="auto"/>
              <w:jc w:val="center"/>
              <w:rPr>
                <w:sz w:val="22"/>
                <w:szCs w:val="22"/>
              </w:rPr>
            </w:pPr>
          </w:p>
        </w:tc>
        <w:tc>
          <w:tcPr>
            <w:tcW w:w="1464" w:type="dxa"/>
            <w:tcBorders>
              <w:top w:val="nil"/>
              <w:left w:val="nil"/>
              <w:bottom w:val="nil"/>
              <w:right w:val="nil"/>
            </w:tcBorders>
            <w:shd w:val="clear" w:color="auto" w:fill="auto"/>
            <w:noWrap/>
            <w:vAlign w:val="bottom"/>
            <w:hideMark/>
          </w:tcPr>
          <w:p w14:paraId="1565E1B5" w14:textId="77777777" w:rsidR="005D28EC" w:rsidRPr="00A96976" w:rsidRDefault="005D28EC" w:rsidP="005861C8">
            <w:pPr>
              <w:spacing w:line="240" w:lineRule="auto"/>
              <w:ind w:firstLine="0"/>
              <w:rPr>
                <w:sz w:val="22"/>
                <w:szCs w:val="22"/>
              </w:rPr>
            </w:pPr>
          </w:p>
        </w:tc>
        <w:tc>
          <w:tcPr>
            <w:tcW w:w="1719" w:type="dxa"/>
            <w:tcBorders>
              <w:top w:val="nil"/>
              <w:left w:val="nil"/>
              <w:bottom w:val="double" w:sz="6" w:space="0" w:color="auto"/>
              <w:right w:val="nil"/>
            </w:tcBorders>
            <w:shd w:val="clear" w:color="auto" w:fill="auto"/>
            <w:vAlign w:val="bottom"/>
            <w:hideMark/>
          </w:tcPr>
          <w:p w14:paraId="0090ABA8" w14:textId="77777777" w:rsidR="005D28EC" w:rsidRPr="00A96976" w:rsidRDefault="005D28EC" w:rsidP="005861C8">
            <w:pPr>
              <w:spacing w:line="240" w:lineRule="auto"/>
              <w:jc w:val="center"/>
              <w:rPr>
                <w:b/>
                <w:bCs/>
                <w:sz w:val="22"/>
                <w:szCs w:val="22"/>
              </w:rPr>
            </w:pPr>
            <w:r w:rsidRPr="00A96976">
              <w:rPr>
                <w:b/>
                <w:bCs/>
                <w:sz w:val="22"/>
                <w:szCs w:val="22"/>
              </w:rPr>
              <w:t>Pre</w:t>
            </w:r>
          </w:p>
        </w:tc>
        <w:tc>
          <w:tcPr>
            <w:tcW w:w="1719" w:type="dxa"/>
            <w:tcBorders>
              <w:top w:val="nil"/>
              <w:left w:val="nil"/>
              <w:bottom w:val="double" w:sz="6" w:space="0" w:color="auto"/>
              <w:right w:val="nil"/>
            </w:tcBorders>
            <w:shd w:val="clear" w:color="auto" w:fill="auto"/>
            <w:vAlign w:val="bottom"/>
            <w:hideMark/>
          </w:tcPr>
          <w:p w14:paraId="6D81BE2E" w14:textId="55C4A28B" w:rsidR="005D28EC" w:rsidRPr="00A96976" w:rsidRDefault="005D28EC" w:rsidP="005861C8">
            <w:pPr>
              <w:spacing w:line="240" w:lineRule="auto"/>
              <w:jc w:val="center"/>
              <w:rPr>
                <w:b/>
                <w:bCs/>
                <w:sz w:val="22"/>
                <w:szCs w:val="22"/>
              </w:rPr>
            </w:pPr>
            <w:r w:rsidRPr="00A96976">
              <w:rPr>
                <w:b/>
                <w:bCs/>
                <w:sz w:val="22"/>
                <w:szCs w:val="22"/>
              </w:rPr>
              <w:t>Post</w:t>
            </w:r>
          </w:p>
        </w:tc>
      </w:tr>
      <w:tr w:rsidR="005D28EC" w:rsidRPr="00A96976" w14:paraId="2CBC7F77" w14:textId="77777777" w:rsidTr="00331A44">
        <w:trPr>
          <w:trHeight w:val="179"/>
          <w:jc w:val="center"/>
        </w:trPr>
        <w:tc>
          <w:tcPr>
            <w:tcW w:w="2926" w:type="dxa"/>
            <w:gridSpan w:val="2"/>
            <w:tcBorders>
              <w:top w:val="nil"/>
              <w:left w:val="nil"/>
              <w:bottom w:val="nil"/>
              <w:right w:val="nil"/>
            </w:tcBorders>
            <w:shd w:val="clear" w:color="auto" w:fill="auto"/>
            <w:noWrap/>
            <w:vAlign w:val="bottom"/>
            <w:hideMark/>
          </w:tcPr>
          <w:p w14:paraId="68ED8134" w14:textId="77777777" w:rsidR="005D28EC" w:rsidRPr="00A96976" w:rsidRDefault="005D28EC" w:rsidP="005861C8">
            <w:pPr>
              <w:spacing w:line="240" w:lineRule="auto"/>
              <w:ind w:firstLine="0"/>
              <w:rPr>
                <w:i/>
                <w:iCs/>
                <w:sz w:val="22"/>
                <w:szCs w:val="22"/>
              </w:rPr>
            </w:pPr>
            <w:r w:rsidRPr="00A96976">
              <w:rPr>
                <w:i/>
                <w:iCs/>
                <w:sz w:val="22"/>
                <w:szCs w:val="22"/>
              </w:rPr>
              <w:t xml:space="preserve">             Avg # of Wasted/year</w:t>
            </w:r>
          </w:p>
        </w:tc>
        <w:tc>
          <w:tcPr>
            <w:tcW w:w="1719" w:type="dxa"/>
            <w:tcBorders>
              <w:top w:val="nil"/>
              <w:left w:val="nil"/>
              <w:bottom w:val="nil"/>
              <w:right w:val="nil"/>
            </w:tcBorders>
            <w:shd w:val="clear" w:color="auto" w:fill="auto"/>
            <w:noWrap/>
            <w:vAlign w:val="bottom"/>
            <w:hideMark/>
          </w:tcPr>
          <w:p w14:paraId="7A82A086" w14:textId="77777777" w:rsidR="005D28EC" w:rsidRPr="00A96976" w:rsidRDefault="005D28EC" w:rsidP="005D28EC">
            <w:pPr>
              <w:spacing w:line="240" w:lineRule="auto"/>
              <w:ind w:left="-210"/>
              <w:jc w:val="center"/>
              <w:rPr>
                <w:sz w:val="22"/>
                <w:szCs w:val="22"/>
              </w:rPr>
            </w:pPr>
            <w:r w:rsidRPr="00A96976">
              <w:rPr>
                <w:sz w:val="22"/>
                <w:szCs w:val="22"/>
              </w:rPr>
              <w:t>22,060</w:t>
            </w:r>
          </w:p>
        </w:tc>
        <w:tc>
          <w:tcPr>
            <w:tcW w:w="1719" w:type="dxa"/>
            <w:tcBorders>
              <w:top w:val="nil"/>
              <w:left w:val="nil"/>
              <w:bottom w:val="nil"/>
              <w:right w:val="nil"/>
            </w:tcBorders>
            <w:shd w:val="clear" w:color="auto" w:fill="auto"/>
            <w:noWrap/>
            <w:vAlign w:val="bottom"/>
            <w:hideMark/>
          </w:tcPr>
          <w:p w14:paraId="5CA478D6" w14:textId="5817ECCD" w:rsidR="005D28EC" w:rsidRPr="00A96976" w:rsidRDefault="005D28EC" w:rsidP="005D28EC">
            <w:pPr>
              <w:spacing w:line="240" w:lineRule="auto"/>
              <w:ind w:left="-225"/>
              <w:jc w:val="center"/>
              <w:rPr>
                <w:sz w:val="22"/>
                <w:szCs w:val="22"/>
              </w:rPr>
            </w:pPr>
            <w:r w:rsidRPr="00A96976">
              <w:rPr>
                <w:sz w:val="22"/>
                <w:szCs w:val="22"/>
              </w:rPr>
              <w:t>11,224</w:t>
            </w:r>
          </w:p>
        </w:tc>
      </w:tr>
      <w:tr w:rsidR="005D28EC" w:rsidRPr="00A96976" w14:paraId="677258F0" w14:textId="77777777" w:rsidTr="00331A44">
        <w:trPr>
          <w:trHeight w:val="168"/>
          <w:jc w:val="center"/>
        </w:trPr>
        <w:tc>
          <w:tcPr>
            <w:tcW w:w="2926" w:type="dxa"/>
            <w:gridSpan w:val="2"/>
            <w:tcBorders>
              <w:top w:val="nil"/>
              <w:left w:val="nil"/>
              <w:bottom w:val="nil"/>
              <w:right w:val="nil"/>
            </w:tcBorders>
            <w:shd w:val="clear" w:color="auto" w:fill="auto"/>
            <w:noWrap/>
            <w:vAlign w:val="bottom"/>
            <w:hideMark/>
          </w:tcPr>
          <w:p w14:paraId="5672B24D" w14:textId="77777777" w:rsidR="005D28EC" w:rsidRPr="00A96976" w:rsidRDefault="005D28EC" w:rsidP="005861C8">
            <w:pPr>
              <w:spacing w:line="240" w:lineRule="auto"/>
              <w:rPr>
                <w:i/>
                <w:iCs/>
                <w:sz w:val="22"/>
                <w:szCs w:val="22"/>
              </w:rPr>
            </w:pPr>
            <w:r w:rsidRPr="00A96976">
              <w:rPr>
                <w:i/>
                <w:iCs/>
                <w:sz w:val="22"/>
                <w:szCs w:val="22"/>
              </w:rPr>
              <w:t>Seconds to Prepare</w:t>
            </w:r>
          </w:p>
        </w:tc>
        <w:tc>
          <w:tcPr>
            <w:tcW w:w="1719" w:type="dxa"/>
            <w:tcBorders>
              <w:top w:val="nil"/>
              <w:left w:val="nil"/>
              <w:bottom w:val="nil"/>
              <w:right w:val="nil"/>
            </w:tcBorders>
            <w:shd w:val="clear" w:color="auto" w:fill="auto"/>
            <w:vAlign w:val="bottom"/>
          </w:tcPr>
          <w:p w14:paraId="092F050C" w14:textId="31DE9400" w:rsidR="005D28EC" w:rsidRPr="00A96976" w:rsidRDefault="005D28EC" w:rsidP="005D28EC">
            <w:pPr>
              <w:spacing w:line="240" w:lineRule="auto"/>
              <w:ind w:left="-210" w:firstLine="630"/>
              <w:jc w:val="center"/>
              <w:rPr>
                <w:sz w:val="22"/>
                <w:szCs w:val="22"/>
              </w:rPr>
            </w:pPr>
            <w:r>
              <w:rPr>
                <w:sz w:val="22"/>
                <w:szCs w:val="22"/>
              </w:rPr>
              <w:t>4,787,020</w:t>
            </w:r>
          </w:p>
        </w:tc>
        <w:tc>
          <w:tcPr>
            <w:tcW w:w="1719" w:type="dxa"/>
            <w:tcBorders>
              <w:top w:val="nil"/>
              <w:left w:val="nil"/>
              <w:bottom w:val="nil"/>
              <w:right w:val="nil"/>
            </w:tcBorders>
            <w:shd w:val="clear" w:color="auto" w:fill="auto"/>
            <w:noWrap/>
            <w:vAlign w:val="bottom"/>
          </w:tcPr>
          <w:p w14:paraId="40FA8FFB" w14:textId="4F390023" w:rsidR="005D28EC" w:rsidRPr="00A96976" w:rsidRDefault="005D28EC" w:rsidP="005D28EC">
            <w:pPr>
              <w:spacing w:line="240" w:lineRule="auto"/>
              <w:ind w:left="-405" w:firstLine="900"/>
              <w:jc w:val="center"/>
              <w:rPr>
                <w:sz w:val="22"/>
                <w:szCs w:val="22"/>
              </w:rPr>
            </w:pPr>
            <w:r>
              <w:rPr>
                <w:sz w:val="22"/>
                <w:szCs w:val="22"/>
              </w:rPr>
              <w:t>2,435,554</w:t>
            </w:r>
          </w:p>
        </w:tc>
      </w:tr>
      <w:tr w:rsidR="005D28EC" w:rsidRPr="00A96976" w14:paraId="4324EDF7" w14:textId="77777777" w:rsidTr="00331A44">
        <w:trPr>
          <w:trHeight w:val="168"/>
          <w:jc w:val="center"/>
        </w:trPr>
        <w:tc>
          <w:tcPr>
            <w:tcW w:w="2926" w:type="dxa"/>
            <w:gridSpan w:val="2"/>
            <w:tcBorders>
              <w:top w:val="nil"/>
              <w:left w:val="nil"/>
              <w:bottom w:val="nil"/>
              <w:right w:val="nil"/>
            </w:tcBorders>
            <w:shd w:val="clear" w:color="auto" w:fill="auto"/>
            <w:noWrap/>
            <w:vAlign w:val="bottom"/>
            <w:hideMark/>
          </w:tcPr>
          <w:p w14:paraId="28CAD757" w14:textId="77777777" w:rsidR="005D28EC" w:rsidRPr="00A96976" w:rsidRDefault="005D28EC" w:rsidP="005861C8">
            <w:pPr>
              <w:spacing w:line="240" w:lineRule="auto"/>
              <w:rPr>
                <w:i/>
                <w:iCs/>
                <w:sz w:val="22"/>
                <w:szCs w:val="22"/>
              </w:rPr>
            </w:pPr>
            <w:r w:rsidRPr="00A96976">
              <w:rPr>
                <w:i/>
                <w:iCs/>
                <w:sz w:val="22"/>
                <w:szCs w:val="22"/>
              </w:rPr>
              <w:t>Minutes to Prepare</w:t>
            </w:r>
          </w:p>
        </w:tc>
        <w:tc>
          <w:tcPr>
            <w:tcW w:w="1719" w:type="dxa"/>
            <w:tcBorders>
              <w:top w:val="nil"/>
              <w:left w:val="nil"/>
              <w:bottom w:val="nil"/>
              <w:right w:val="nil"/>
            </w:tcBorders>
            <w:shd w:val="clear" w:color="auto" w:fill="auto"/>
            <w:noWrap/>
            <w:vAlign w:val="bottom"/>
            <w:hideMark/>
          </w:tcPr>
          <w:p w14:paraId="08B3EA84" w14:textId="77777777" w:rsidR="005D28EC" w:rsidRPr="00A96976" w:rsidRDefault="005D28EC" w:rsidP="005D28EC">
            <w:pPr>
              <w:spacing w:line="240" w:lineRule="auto"/>
              <w:ind w:left="-210"/>
              <w:jc w:val="center"/>
              <w:rPr>
                <w:sz w:val="22"/>
                <w:szCs w:val="22"/>
              </w:rPr>
            </w:pPr>
            <w:r w:rsidRPr="00A96976">
              <w:rPr>
                <w:sz w:val="22"/>
                <w:szCs w:val="22"/>
              </w:rPr>
              <w:t>79,784</w:t>
            </w:r>
          </w:p>
        </w:tc>
        <w:tc>
          <w:tcPr>
            <w:tcW w:w="1719" w:type="dxa"/>
            <w:tcBorders>
              <w:top w:val="nil"/>
              <w:left w:val="nil"/>
              <w:bottom w:val="nil"/>
              <w:right w:val="nil"/>
            </w:tcBorders>
            <w:shd w:val="clear" w:color="auto" w:fill="auto"/>
            <w:noWrap/>
            <w:vAlign w:val="bottom"/>
            <w:hideMark/>
          </w:tcPr>
          <w:p w14:paraId="09E57778" w14:textId="77777777" w:rsidR="005D28EC" w:rsidRPr="00A96976" w:rsidRDefault="005D28EC" w:rsidP="005D28EC">
            <w:pPr>
              <w:spacing w:line="240" w:lineRule="auto"/>
              <w:ind w:firstLine="585"/>
              <w:jc w:val="center"/>
              <w:rPr>
                <w:sz w:val="22"/>
                <w:szCs w:val="22"/>
              </w:rPr>
            </w:pPr>
            <w:r w:rsidRPr="00A96976">
              <w:rPr>
                <w:sz w:val="22"/>
                <w:szCs w:val="22"/>
              </w:rPr>
              <w:t>40,593</w:t>
            </w:r>
          </w:p>
        </w:tc>
      </w:tr>
      <w:tr w:rsidR="005D28EC" w:rsidRPr="00A96976" w14:paraId="6FB5E0B1" w14:textId="77777777" w:rsidTr="00331A44">
        <w:trPr>
          <w:trHeight w:val="168"/>
          <w:jc w:val="center"/>
        </w:trPr>
        <w:tc>
          <w:tcPr>
            <w:tcW w:w="2926" w:type="dxa"/>
            <w:gridSpan w:val="2"/>
            <w:tcBorders>
              <w:top w:val="nil"/>
              <w:left w:val="nil"/>
              <w:bottom w:val="nil"/>
              <w:right w:val="nil"/>
            </w:tcBorders>
            <w:shd w:val="clear" w:color="auto" w:fill="auto"/>
            <w:noWrap/>
            <w:vAlign w:val="bottom"/>
            <w:hideMark/>
          </w:tcPr>
          <w:p w14:paraId="7AC9FF7C" w14:textId="77777777" w:rsidR="005D28EC" w:rsidRPr="00A96976" w:rsidRDefault="005D28EC" w:rsidP="005861C8">
            <w:pPr>
              <w:spacing w:line="240" w:lineRule="auto"/>
              <w:rPr>
                <w:i/>
                <w:iCs/>
                <w:sz w:val="22"/>
                <w:szCs w:val="22"/>
              </w:rPr>
            </w:pPr>
            <w:r w:rsidRPr="00A96976">
              <w:rPr>
                <w:i/>
                <w:iCs/>
                <w:sz w:val="22"/>
                <w:szCs w:val="22"/>
              </w:rPr>
              <w:t>Hrs to Prepare</w:t>
            </w:r>
          </w:p>
        </w:tc>
        <w:tc>
          <w:tcPr>
            <w:tcW w:w="1719" w:type="dxa"/>
            <w:tcBorders>
              <w:top w:val="nil"/>
              <w:left w:val="nil"/>
              <w:bottom w:val="nil"/>
              <w:right w:val="nil"/>
            </w:tcBorders>
            <w:shd w:val="clear" w:color="auto" w:fill="auto"/>
            <w:noWrap/>
            <w:vAlign w:val="bottom"/>
            <w:hideMark/>
          </w:tcPr>
          <w:p w14:paraId="325B2153" w14:textId="77777777" w:rsidR="005D28EC" w:rsidRPr="00A96976" w:rsidRDefault="005D28EC" w:rsidP="005D28EC">
            <w:pPr>
              <w:spacing w:line="240" w:lineRule="auto"/>
              <w:ind w:left="-570" w:right="-540" w:firstLine="530"/>
              <w:jc w:val="center"/>
              <w:rPr>
                <w:sz w:val="22"/>
                <w:szCs w:val="22"/>
              </w:rPr>
            </w:pPr>
            <w:r w:rsidRPr="00A96976">
              <w:rPr>
                <w:sz w:val="22"/>
                <w:szCs w:val="22"/>
              </w:rPr>
              <w:t>1,330</w:t>
            </w:r>
          </w:p>
        </w:tc>
        <w:tc>
          <w:tcPr>
            <w:tcW w:w="1719" w:type="dxa"/>
            <w:tcBorders>
              <w:top w:val="nil"/>
              <w:left w:val="nil"/>
              <w:bottom w:val="nil"/>
              <w:right w:val="nil"/>
            </w:tcBorders>
            <w:shd w:val="clear" w:color="auto" w:fill="auto"/>
            <w:noWrap/>
            <w:vAlign w:val="bottom"/>
            <w:hideMark/>
          </w:tcPr>
          <w:p w14:paraId="1F934474" w14:textId="77777777" w:rsidR="005D28EC" w:rsidRPr="00A96976" w:rsidRDefault="005D28EC" w:rsidP="005D28EC">
            <w:pPr>
              <w:spacing w:line="240" w:lineRule="auto"/>
              <w:ind w:right="-75" w:firstLine="585"/>
              <w:jc w:val="center"/>
              <w:rPr>
                <w:sz w:val="22"/>
                <w:szCs w:val="22"/>
              </w:rPr>
            </w:pPr>
            <w:r w:rsidRPr="00A96976">
              <w:rPr>
                <w:sz w:val="22"/>
                <w:szCs w:val="22"/>
              </w:rPr>
              <w:t>677</w:t>
            </w:r>
          </w:p>
        </w:tc>
      </w:tr>
      <w:tr w:rsidR="005D28EC" w:rsidRPr="00A96976" w14:paraId="11C2839D" w14:textId="77777777" w:rsidTr="00331A44">
        <w:trPr>
          <w:trHeight w:val="168"/>
          <w:jc w:val="center"/>
        </w:trPr>
        <w:tc>
          <w:tcPr>
            <w:tcW w:w="2926" w:type="dxa"/>
            <w:gridSpan w:val="2"/>
            <w:tcBorders>
              <w:top w:val="nil"/>
              <w:left w:val="nil"/>
              <w:bottom w:val="nil"/>
              <w:right w:val="nil"/>
            </w:tcBorders>
            <w:shd w:val="clear" w:color="auto" w:fill="auto"/>
            <w:noWrap/>
            <w:vAlign w:val="bottom"/>
            <w:hideMark/>
          </w:tcPr>
          <w:p w14:paraId="2F79DC3D" w14:textId="77777777" w:rsidR="005D28EC" w:rsidRPr="00A96976" w:rsidRDefault="005D28EC" w:rsidP="005861C8">
            <w:pPr>
              <w:spacing w:line="240" w:lineRule="auto"/>
              <w:rPr>
                <w:i/>
                <w:iCs/>
                <w:sz w:val="22"/>
                <w:szCs w:val="22"/>
              </w:rPr>
            </w:pPr>
            <w:r w:rsidRPr="00A96976">
              <w:rPr>
                <w:i/>
                <w:iCs/>
                <w:sz w:val="22"/>
                <w:szCs w:val="22"/>
              </w:rPr>
              <w:t>FTE's Utilized</w:t>
            </w:r>
          </w:p>
        </w:tc>
        <w:tc>
          <w:tcPr>
            <w:tcW w:w="1719" w:type="dxa"/>
            <w:tcBorders>
              <w:top w:val="nil"/>
              <w:left w:val="nil"/>
              <w:bottom w:val="nil"/>
              <w:right w:val="nil"/>
            </w:tcBorders>
            <w:shd w:val="clear" w:color="auto" w:fill="auto"/>
            <w:noWrap/>
            <w:vAlign w:val="bottom"/>
            <w:hideMark/>
          </w:tcPr>
          <w:p w14:paraId="7102E666" w14:textId="50F3B291" w:rsidR="005D28EC" w:rsidRPr="00A96976" w:rsidRDefault="005D28EC" w:rsidP="005D28EC">
            <w:pPr>
              <w:spacing w:line="240" w:lineRule="auto"/>
              <w:ind w:left="-480" w:right="-360" w:firstLine="620"/>
              <w:jc w:val="center"/>
              <w:rPr>
                <w:sz w:val="22"/>
                <w:szCs w:val="22"/>
              </w:rPr>
            </w:pPr>
            <w:r w:rsidRPr="00A96976">
              <w:rPr>
                <w:sz w:val="22"/>
                <w:szCs w:val="22"/>
              </w:rPr>
              <w:t>0.64</w:t>
            </w:r>
          </w:p>
        </w:tc>
        <w:tc>
          <w:tcPr>
            <w:tcW w:w="1719" w:type="dxa"/>
            <w:tcBorders>
              <w:top w:val="nil"/>
              <w:left w:val="nil"/>
              <w:bottom w:val="nil"/>
              <w:right w:val="nil"/>
            </w:tcBorders>
            <w:shd w:val="clear" w:color="auto" w:fill="auto"/>
            <w:noWrap/>
            <w:vAlign w:val="bottom"/>
            <w:hideMark/>
          </w:tcPr>
          <w:p w14:paraId="20AC6C46" w14:textId="77777777" w:rsidR="005D28EC" w:rsidRPr="00A96976" w:rsidRDefault="005D28EC" w:rsidP="005D28EC">
            <w:pPr>
              <w:keepNext/>
              <w:spacing w:line="240" w:lineRule="auto"/>
              <w:ind w:firstLine="675"/>
              <w:jc w:val="center"/>
              <w:rPr>
                <w:sz w:val="22"/>
                <w:szCs w:val="22"/>
              </w:rPr>
            </w:pPr>
            <w:r w:rsidRPr="00A96976">
              <w:rPr>
                <w:sz w:val="22"/>
                <w:szCs w:val="22"/>
              </w:rPr>
              <w:t>0.33</w:t>
            </w:r>
          </w:p>
        </w:tc>
      </w:tr>
    </w:tbl>
    <w:p w14:paraId="35C148A0" w14:textId="281D1D48" w:rsidR="005861C8" w:rsidRDefault="005861C8" w:rsidP="005861C8">
      <w:pPr>
        <w:pStyle w:val="Caption"/>
      </w:pPr>
    </w:p>
    <w:p w14:paraId="6E3FCAC4" w14:textId="1FEC33F7" w:rsidR="00467F44" w:rsidRPr="00A96976" w:rsidRDefault="005861C8" w:rsidP="00331A44">
      <w:pPr>
        <w:pStyle w:val="Caption"/>
        <w:ind w:left="990" w:hanging="360"/>
        <w:jc w:val="center"/>
      </w:pPr>
      <w:bookmarkStart w:id="14" w:name="_Toc469394643"/>
      <w:r>
        <w:t xml:space="preserve">Figure </w:t>
      </w:r>
      <w:fldSimple w:instr=" SEQ Figure \* ARABIC ">
        <w:r w:rsidR="00331A44">
          <w:rPr>
            <w:noProof/>
          </w:rPr>
          <w:t>2</w:t>
        </w:r>
      </w:fldSimple>
      <w:r>
        <w:t>. Pre and Post Workflow Management System</w:t>
      </w:r>
      <w:bookmarkEnd w:id="14"/>
    </w:p>
    <w:p w14:paraId="2052ABE7" w14:textId="77777777" w:rsidR="00467F44" w:rsidRPr="00A96976" w:rsidRDefault="00467F44" w:rsidP="00467F44">
      <w:pPr>
        <w:ind w:firstLine="0"/>
      </w:pPr>
    </w:p>
    <w:p w14:paraId="1CC06AAD" w14:textId="1B6811F8" w:rsidR="00467F44" w:rsidRDefault="00467F44" w:rsidP="00467F44">
      <w:r>
        <w:t>The waste audit performed in 2015 showed t</w:t>
      </w:r>
      <w:r w:rsidRPr="00A96976">
        <w:t>he pharmacy wasted 446 pro</w:t>
      </w:r>
      <w:r>
        <w:t xml:space="preserve">ducts during the survey period. This </w:t>
      </w:r>
      <w:r w:rsidRPr="00A96976">
        <w:t>accounted for $16,669 in losses. The waste annualized wou</w:t>
      </w:r>
      <w:r>
        <w:t>ld amount to 5,352 doses</w:t>
      </w:r>
      <w:r w:rsidR="00F528C8">
        <w:t>,</w:t>
      </w:r>
      <w:r>
        <w:t xml:space="preserve"> </w:t>
      </w:r>
      <w:r w:rsidRPr="00A96976">
        <w:t>resulting in about $200,000 in losses. The waste was classified for further quality improvement purposes and to determine if future action should be taken on costly wasted products (Figure</w:t>
      </w:r>
      <w:r>
        <w:t xml:space="preserve"> 3). </w:t>
      </w:r>
    </w:p>
    <w:p w14:paraId="1CC94205" w14:textId="1EDA2593" w:rsidR="00467F44" w:rsidRPr="00A96976" w:rsidRDefault="00467F44" w:rsidP="00467F44">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467F44" w:rsidRPr="00A96976" w14:paraId="3CFC968C" w14:textId="77777777" w:rsidTr="00331A44">
        <w:trPr>
          <w:jc w:val="center"/>
        </w:trPr>
        <w:tc>
          <w:tcPr>
            <w:tcW w:w="2394" w:type="dxa"/>
            <w:shd w:val="clear" w:color="auto" w:fill="auto"/>
          </w:tcPr>
          <w:p w14:paraId="6FF6851E" w14:textId="77777777" w:rsidR="00467F44" w:rsidRPr="00AC7EBD" w:rsidRDefault="00467F44" w:rsidP="007D52EE">
            <w:pPr>
              <w:rPr>
                <w:sz w:val="22"/>
                <w:szCs w:val="22"/>
              </w:rPr>
            </w:pPr>
            <w:r w:rsidRPr="00AC7EBD">
              <w:rPr>
                <w:sz w:val="22"/>
                <w:szCs w:val="22"/>
              </w:rPr>
              <w:t>Drug Class</w:t>
            </w:r>
          </w:p>
        </w:tc>
        <w:tc>
          <w:tcPr>
            <w:tcW w:w="2394" w:type="dxa"/>
            <w:shd w:val="clear" w:color="auto" w:fill="auto"/>
          </w:tcPr>
          <w:p w14:paraId="5F5DBECA" w14:textId="77777777" w:rsidR="00467F44" w:rsidRPr="00AC7EBD" w:rsidRDefault="00467F44" w:rsidP="007D52EE">
            <w:pPr>
              <w:rPr>
                <w:sz w:val="22"/>
                <w:szCs w:val="22"/>
              </w:rPr>
            </w:pPr>
            <w:r w:rsidRPr="00AC7EBD">
              <w:rPr>
                <w:sz w:val="22"/>
                <w:szCs w:val="22"/>
              </w:rPr>
              <w:t>Quantity</w:t>
            </w:r>
          </w:p>
        </w:tc>
        <w:tc>
          <w:tcPr>
            <w:tcW w:w="2394" w:type="dxa"/>
            <w:shd w:val="clear" w:color="auto" w:fill="auto"/>
          </w:tcPr>
          <w:p w14:paraId="2A6D44FE" w14:textId="77777777" w:rsidR="00467F44" w:rsidRPr="00AC7EBD" w:rsidRDefault="00467F44" w:rsidP="007D52EE">
            <w:pPr>
              <w:rPr>
                <w:sz w:val="22"/>
                <w:szCs w:val="22"/>
              </w:rPr>
            </w:pPr>
            <w:r w:rsidRPr="00AC7EBD">
              <w:rPr>
                <w:sz w:val="22"/>
                <w:szCs w:val="22"/>
              </w:rPr>
              <w:t>Total Cost</w:t>
            </w:r>
          </w:p>
        </w:tc>
      </w:tr>
      <w:tr w:rsidR="00467F44" w:rsidRPr="00A96976" w14:paraId="7ADA171A" w14:textId="77777777" w:rsidTr="00331A44">
        <w:trPr>
          <w:jc w:val="center"/>
        </w:trPr>
        <w:tc>
          <w:tcPr>
            <w:tcW w:w="2394" w:type="dxa"/>
            <w:shd w:val="clear" w:color="auto" w:fill="auto"/>
          </w:tcPr>
          <w:p w14:paraId="41283D45" w14:textId="6A9528B9" w:rsidR="00467F44" w:rsidRPr="00AC7EBD" w:rsidRDefault="00467F44" w:rsidP="00331A44">
            <w:pPr>
              <w:ind w:firstLine="150"/>
              <w:rPr>
                <w:sz w:val="22"/>
                <w:szCs w:val="22"/>
              </w:rPr>
            </w:pPr>
            <w:r w:rsidRPr="00AC7EBD">
              <w:rPr>
                <w:sz w:val="22"/>
                <w:szCs w:val="22"/>
              </w:rPr>
              <w:t>Immunosuppressant</w:t>
            </w:r>
          </w:p>
        </w:tc>
        <w:tc>
          <w:tcPr>
            <w:tcW w:w="2394" w:type="dxa"/>
            <w:shd w:val="clear" w:color="auto" w:fill="auto"/>
          </w:tcPr>
          <w:p w14:paraId="3FC353B0" w14:textId="77777777" w:rsidR="00467F44" w:rsidRPr="00AC7EBD" w:rsidRDefault="00467F44" w:rsidP="007D52EE">
            <w:pPr>
              <w:rPr>
                <w:sz w:val="22"/>
                <w:szCs w:val="22"/>
              </w:rPr>
            </w:pPr>
            <w:r w:rsidRPr="00AC7EBD">
              <w:rPr>
                <w:sz w:val="22"/>
                <w:szCs w:val="22"/>
              </w:rPr>
              <w:t>1</w:t>
            </w:r>
          </w:p>
        </w:tc>
        <w:tc>
          <w:tcPr>
            <w:tcW w:w="2394" w:type="dxa"/>
            <w:shd w:val="clear" w:color="auto" w:fill="auto"/>
          </w:tcPr>
          <w:p w14:paraId="436E55B0" w14:textId="77777777" w:rsidR="00467F44" w:rsidRPr="00AC7EBD" w:rsidRDefault="00467F44" w:rsidP="007D52EE">
            <w:pPr>
              <w:rPr>
                <w:sz w:val="22"/>
                <w:szCs w:val="22"/>
              </w:rPr>
            </w:pPr>
            <w:r w:rsidRPr="00AC7EBD">
              <w:rPr>
                <w:sz w:val="22"/>
                <w:szCs w:val="22"/>
              </w:rPr>
              <w:t>$4,843</w:t>
            </w:r>
          </w:p>
        </w:tc>
      </w:tr>
      <w:tr w:rsidR="00467F44" w:rsidRPr="00A96976" w14:paraId="3B076CF9" w14:textId="77777777" w:rsidTr="00331A44">
        <w:trPr>
          <w:jc w:val="center"/>
        </w:trPr>
        <w:tc>
          <w:tcPr>
            <w:tcW w:w="2394" w:type="dxa"/>
            <w:shd w:val="clear" w:color="auto" w:fill="auto"/>
          </w:tcPr>
          <w:p w14:paraId="1BB53C4E" w14:textId="77777777" w:rsidR="00467F44" w:rsidRPr="00AC7EBD" w:rsidRDefault="00467F44" w:rsidP="00331A44">
            <w:pPr>
              <w:ind w:firstLine="150"/>
              <w:rPr>
                <w:sz w:val="22"/>
                <w:szCs w:val="22"/>
              </w:rPr>
            </w:pPr>
            <w:r w:rsidRPr="00AC7EBD">
              <w:rPr>
                <w:sz w:val="22"/>
                <w:szCs w:val="22"/>
              </w:rPr>
              <w:t>Vasopressor</w:t>
            </w:r>
          </w:p>
        </w:tc>
        <w:tc>
          <w:tcPr>
            <w:tcW w:w="2394" w:type="dxa"/>
            <w:shd w:val="clear" w:color="auto" w:fill="auto"/>
          </w:tcPr>
          <w:p w14:paraId="12D7398E" w14:textId="77777777" w:rsidR="00467F44" w:rsidRPr="00AC7EBD" w:rsidRDefault="00467F44" w:rsidP="007D52EE">
            <w:pPr>
              <w:rPr>
                <w:sz w:val="22"/>
                <w:szCs w:val="22"/>
              </w:rPr>
            </w:pPr>
            <w:r w:rsidRPr="00AC7EBD">
              <w:rPr>
                <w:sz w:val="22"/>
                <w:szCs w:val="22"/>
              </w:rPr>
              <w:t>65</w:t>
            </w:r>
          </w:p>
        </w:tc>
        <w:tc>
          <w:tcPr>
            <w:tcW w:w="2394" w:type="dxa"/>
            <w:shd w:val="clear" w:color="auto" w:fill="auto"/>
          </w:tcPr>
          <w:p w14:paraId="65C7BF6C" w14:textId="77777777" w:rsidR="00467F44" w:rsidRPr="00AC7EBD" w:rsidRDefault="00467F44" w:rsidP="007D52EE">
            <w:pPr>
              <w:rPr>
                <w:sz w:val="22"/>
                <w:szCs w:val="22"/>
              </w:rPr>
            </w:pPr>
            <w:r w:rsidRPr="00AC7EBD">
              <w:rPr>
                <w:sz w:val="22"/>
                <w:szCs w:val="22"/>
              </w:rPr>
              <w:t>$4,197</w:t>
            </w:r>
          </w:p>
        </w:tc>
      </w:tr>
      <w:tr w:rsidR="00467F44" w:rsidRPr="00A96976" w14:paraId="714947A3" w14:textId="77777777" w:rsidTr="00331A44">
        <w:trPr>
          <w:jc w:val="center"/>
        </w:trPr>
        <w:tc>
          <w:tcPr>
            <w:tcW w:w="2394" w:type="dxa"/>
            <w:shd w:val="clear" w:color="auto" w:fill="auto"/>
          </w:tcPr>
          <w:p w14:paraId="26EC6506" w14:textId="77777777" w:rsidR="00467F44" w:rsidRPr="00AC7EBD" w:rsidRDefault="00467F44" w:rsidP="00331A44">
            <w:pPr>
              <w:ind w:firstLine="150"/>
              <w:rPr>
                <w:sz w:val="22"/>
                <w:szCs w:val="22"/>
              </w:rPr>
            </w:pPr>
            <w:r w:rsidRPr="00AC7EBD">
              <w:rPr>
                <w:sz w:val="22"/>
                <w:szCs w:val="22"/>
              </w:rPr>
              <w:t>Anti-hypertensive</w:t>
            </w:r>
          </w:p>
        </w:tc>
        <w:tc>
          <w:tcPr>
            <w:tcW w:w="2394" w:type="dxa"/>
            <w:shd w:val="clear" w:color="auto" w:fill="auto"/>
          </w:tcPr>
          <w:p w14:paraId="55EC657B" w14:textId="77777777" w:rsidR="00467F44" w:rsidRPr="00AC7EBD" w:rsidRDefault="00467F44" w:rsidP="007D52EE">
            <w:pPr>
              <w:rPr>
                <w:sz w:val="22"/>
                <w:szCs w:val="22"/>
              </w:rPr>
            </w:pPr>
            <w:r w:rsidRPr="00AC7EBD">
              <w:rPr>
                <w:sz w:val="22"/>
                <w:szCs w:val="22"/>
              </w:rPr>
              <w:t>5</w:t>
            </w:r>
          </w:p>
        </w:tc>
        <w:tc>
          <w:tcPr>
            <w:tcW w:w="2394" w:type="dxa"/>
            <w:shd w:val="clear" w:color="auto" w:fill="auto"/>
          </w:tcPr>
          <w:p w14:paraId="68FDF267" w14:textId="77777777" w:rsidR="00467F44" w:rsidRPr="00AC7EBD" w:rsidRDefault="00467F44" w:rsidP="007D52EE">
            <w:pPr>
              <w:rPr>
                <w:sz w:val="22"/>
                <w:szCs w:val="22"/>
              </w:rPr>
            </w:pPr>
            <w:r w:rsidRPr="00AC7EBD">
              <w:rPr>
                <w:sz w:val="22"/>
                <w:szCs w:val="22"/>
              </w:rPr>
              <w:t>$1,912</w:t>
            </w:r>
          </w:p>
        </w:tc>
      </w:tr>
      <w:tr w:rsidR="00467F44" w:rsidRPr="00A96976" w14:paraId="31685DBB" w14:textId="77777777" w:rsidTr="00331A44">
        <w:trPr>
          <w:jc w:val="center"/>
        </w:trPr>
        <w:tc>
          <w:tcPr>
            <w:tcW w:w="2394" w:type="dxa"/>
            <w:shd w:val="clear" w:color="auto" w:fill="auto"/>
          </w:tcPr>
          <w:p w14:paraId="234E1979" w14:textId="77777777" w:rsidR="00467F44" w:rsidRPr="00AC7EBD" w:rsidRDefault="00467F44" w:rsidP="00331A44">
            <w:pPr>
              <w:ind w:firstLine="150"/>
              <w:rPr>
                <w:sz w:val="22"/>
                <w:szCs w:val="22"/>
              </w:rPr>
            </w:pPr>
            <w:r w:rsidRPr="00AC7EBD">
              <w:rPr>
                <w:sz w:val="22"/>
                <w:szCs w:val="22"/>
              </w:rPr>
              <w:t>Antibiotic*</w:t>
            </w:r>
          </w:p>
        </w:tc>
        <w:tc>
          <w:tcPr>
            <w:tcW w:w="2394" w:type="dxa"/>
            <w:shd w:val="clear" w:color="auto" w:fill="auto"/>
          </w:tcPr>
          <w:p w14:paraId="0634081C" w14:textId="77777777" w:rsidR="00467F44" w:rsidRPr="00AC7EBD" w:rsidRDefault="00467F44" w:rsidP="007D52EE">
            <w:pPr>
              <w:rPr>
                <w:sz w:val="22"/>
                <w:szCs w:val="22"/>
              </w:rPr>
            </w:pPr>
            <w:r w:rsidRPr="00AC7EBD">
              <w:rPr>
                <w:sz w:val="22"/>
                <w:szCs w:val="22"/>
              </w:rPr>
              <w:t>105</w:t>
            </w:r>
          </w:p>
        </w:tc>
        <w:tc>
          <w:tcPr>
            <w:tcW w:w="2394" w:type="dxa"/>
            <w:shd w:val="clear" w:color="auto" w:fill="auto"/>
          </w:tcPr>
          <w:p w14:paraId="1527C2C9" w14:textId="77777777" w:rsidR="00467F44" w:rsidRPr="00AC7EBD" w:rsidRDefault="00467F44" w:rsidP="007D52EE">
            <w:pPr>
              <w:rPr>
                <w:sz w:val="22"/>
                <w:szCs w:val="22"/>
              </w:rPr>
            </w:pPr>
            <w:r w:rsidRPr="00AC7EBD">
              <w:rPr>
                <w:sz w:val="22"/>
                <w:szCs w:val="22"/>
              </w:rPr>
              <w:t>$1,180</w:t>
            </w:r>
          </w:p>
        </w:tc>
      </w:tr>
      <w:tr w:rsidR="00467F44" w:rsidRPr="00A96976" w14:paraId="19235A41" w14:textId="77777777" w:rsidTr="00331A44">
        <w:trPr>
          <w:jc w:val="center"/>
        </w:trPr>
        <w:tc>
          <w:tcPr>
            <w:tcW w:w="2394" w:type="dxa"/>
            <w:shd w:val="clear" w:color="auto" w:fill="auto"/>
          </w:tcPr>
          <w:p w14:paraId="0BE09811" w14:textId="77777777" w:rsidR="00467F44" w:rsidRPr="00AC7EBD" w:rsidRDefault="00467F44" w:rsidP="00331A44">
            <w:pPr>
              <w:ind w:firstLine="150"/>
              <w:rPr>
                <w:sz w:val="22"/>
                <w:szCs w:val="22"/>
              </w:rPr>
            </w:pPr>
            <w:r w:rsidRPr="00AC7EBD">
              <w:rPr>
                <w:sz w:val="22"/>
                <w:szCs w:val="22"/>
              </w:rPr>
              <w:t>Fibrinolytic</w:t>
            </w:r>
          </w:p>
        </w:tc>
        <w:tc>
          <w:tcPr>
            <w:tcW w:w="2394" w:type="dxa"/>
            <w:shd w:val="clear" w:color="auto" w:fill="auto"/>
          </w:tcPr>
          <w:p w14:paraId="42368271" w14:textId="77777777" w:rsidR="00467F44" w:rsidRPr="00AC7EBD" w:rsidRDefault="00467F44" w:rsidP="007D52EE">
            <w:pPr>
              <w:rPr>
                <w:sz w:val="22"/>
                <w:szCs w:val="22"/>
              </w:rPr>
            </w:pPr>
            <w:r w:rsidRPr="00AC7EBD">
              <w:rPr>
                <w:sz w:val="22"/>
                <w:szCs w:val="22"/>
              </w:rPr>
              <w:t>1</w:t>
            </w:r>
          </w:p>
        </w:tc>
        <w:tc>
          <w:tcPr>
            <w:tcW w:w="2394" w:type="dxa"/>
            <w:shd w:val="clear" w:color="auto" w:fill="auto"/>
          </w:tcPr>
          <w:p w14:paraId="403700B8" w14:textId="77777777" w:rsidR="00467F44" w:rsidRPr="00AC7EBD" w:rsidRDefault="00467F44" w:rsidP="00331A44">
            <w:pPr>
              <w:keepNext/>
              <w:rPr>
                <w:sz w:val="22"/>
                <w:szCs w:val="22"/>
              </w:rPr>
            </w:pPr>
            <w:r w:rsidRPr="00AC7EBD">
              <w:rPr>
                <w:sz w:val="22"/>
                <w:szCs w:val="22"/>
              </w:rPr>
              <w:t>$998</w:t>
            </w:r>
          </w:p>
        </w:tc>
      </w:tr>
    </w:tbl>
    <w:p w14:paraId="69CEC6D3" w14:textId="4071F723" w:rsidR="00331A44" w:rsidRPr="00331A44" w:rsidRDefault="00331A44" w:rsidP="00331A44">
      <w:pPr>
        <w:pStyle w:val="Caption"/>
        <w:ind w:left="360"/>
        <w:rPr>
          <w:b w:val="0"/>
        </w:rPr>
      </w:pPr>
      <w:r w:rsidRPr="00331A44">
        <w:rPr>
          <w:b w:val="0"/>
          <w:sz w:val="22"/>
          <w:szCs w:val="22"/>
        </w:rPr>
        <w:t>*Most wasted product at the institution</w:t>
      </w:r>
    </w:p>
    <w:p w14:paraId="2F08F817" w14:textId="5F556349" w:rsidR="00331A44" w:rsidRDefault="00331A44" w:rsidP="00331A44">
      <w:pPr>
        <w:pStyle w:val="Caption"/>
        <w:ind w:firstLine="540"/>
        <w:jc w:val="center"/>
      </w:pPr>
      <w:bookmarkStart w:id="15" w:name="_Toc469394644"/>
      <w:r>
        <w:t xml:space="preserve">Figure </w:t>
      </w:r>
      <w:fldSimple w:instr=" SEQ Figure \* ARABIC ">
        <w:r>
          <w:rPr>
            <w:noProof/>
          </w:rPr>
          <w:t>3</w:t>
        </w:r>
      </w:fldSimple>
      <w:r>
        <w:t>. Results for Top Five Most Costly Wasted Drug Categories</w:t>
      </w:r>
      <w:bookmarkEnd w:id="15"/>
    </w:p>
    <w:p w14:paraId="2D622536" w14:textId="77777777" w:rsidR="00677CA9" w:rsidRDefault="00677CA9" w:rsidP="00883ED4">
      <w:pPr>
        <w:ind w:firstLine="0"/>
        <w:rPr>
          <w:i/>
        </w:rPr>
      </w:pPr>
    </w:p>
    <w:p w14:paraId="15A02351" w14:textId="5F928371" w:rsidR="00677CA9" w:rsidRDefault="00677CA9" w:rsidP="00883ED4">
      <w:pPr>
        <w:ind w:firstLine="0"/>
        <w:rPr>
          <w:i/>
        </w:rPr>
      </w:pPr>
    </w:p>
    <w:p w14:paraId="12C96836" w14:textId="7A4E6964" w:rsidR="00331A44" w:rsidRDefault="00331A44" w:rsidP="00883ED4">
      <w:pPr>
        <w:ind w:firstLine="0"/>
        <w:rPr>
          <w:i/>
        </w:rPr>
      </w:pPr>
    </w:p>
    <w:p w14:paraId="2D2E0822" w14:textId="77777777" w:rsidR="00331A44" w:rsidRDefault="00331A44" w:rsidP="00883ED4">
      <w:pPr>
        <w:ind w:firstLine="0"/>
        <w:rPr>
          <w:i/>
        </w:rPr>
      </w:pPr>
    </w:p>
    <w:p w14:paraId="5F30100D" w14:textId="51E4A960" w:rsidR="00883ED4" w:rsidRPr="00304B27" w:rsidRDefault="00883ED4" w:rsidP="00883ED4">
      <w:pPr>
        <w:ind w:firstLine="0"/>
        <w:rPr>
          <w:b/>
          <w:i/>
        </w:rPr>
      </w:pPr>
      <w:r w:rsidRPr="00304B27">
        <w:rPr>
          <w:b/>
          <w:i/>
        </w:rPr>
        <w:lastRenderedPageBreak/>
        <w:t>Enhancing Efficiency</w:t>
      </w:r>
    </w:p>
    <w:p w14:paraId="68605518" w14:textId="1002C936" w:rsidR="00793DA2" w:rsidRDefault="00793DA2" w:rsidP="0021281B">
      <w:r w:rsidRPr="00A96976">
        <w:t xml:space="preserve">Prior to the implementation of </w:t>
      </w:r>
      <w:r w:rsidRPr="00A96976">
        <w:rPr>
          <w:i/>
        </w:rPr>
        <w:t>DoseEdge</w:t>
      </w:r>
      <w:r w:rsidRPr="00A96976">
        <w:t>, two full-time pharmacists</w:t>
      </w:r>
      <w:r w:rsidR="0021281B">
        <w:t xml:space="preserve"> and three full-time technicians</w:t>
      </w:r>
      <w:r w:rsidRPr="00A96976">
        <w:t xml:space="preserve"> on day and evening shift were scheduled to staff in the IV room. With the implementation of </w:t>
      </w:r>
      <w:r w:rsidRPr="00A96976">
        <w:rPr>
          <w:i/>
        </w:rPr>
        <w:t>DoseEdge</w:t>
      </w:r>
      <w:r w:rsidRPr="00A96976">
        <w:t>, and its ability to allow remote verification of IV pre</w:t>
      </w:r>
      <w:r w:rsidR="00524BCE">
        <w:t xml:space="preserve">parations, </w:t>
      </w:r>
      <w:r w:rsidRPr="00A96976">
        <w:t>one of the pharmacists</w:t>
      </w:r>
      <w:r w:rsidR="00524BCE">
        <w:t xml:space="preserve"> was</w:t>
      </w:r>
      <w:r w:rsidR="00883ED4">
        <w:t xml:space="preserve"> able to be</w:t>
      </w:r>
      <w:r w:rsidR="00524BCE">
        <w:t xml:space="preserve"> moved</w:t>
      </w:r>
      <w:r w:rsidRPr="00A96976">
        <w:t xml:space="preserve"> out of the IV room and into a unit based position on an intens</w:t>
      </w:r>
      <w:r w:rsidR="0021281B">
        <w:t xml:space="preserve">ive care unit in the hospital. The workflow standardization allowed for one of the </w:t>
      </w:r>
      <w:r w:rsidR="0021281B" w:rsidRPr="00A96976">
        <w:t>technician</w:t>
      </w:r>
      <w:r w:rsidR="0021281B">
        <w:t>s to be moved out of the IV room and be used</w:t>
      </w:r>
      <w:r w:rsidR="0021281B" w:rsidRPr="00A96976">
        <w:t xml:space="preserve"> in</w:t>
      </w:r>
      <w:r w:rsidR="0021281B">
        <w:t xml:space="preserve"> an expanded role to enhance</w:t>
      </w:r>
      <w:r w:rsidR="0021281B" w:rsidRPr="00A96976">
        <w:t xml:space="preserve"> medication safety programs</w:t>
      </w:r>
      <w:r w:rsidR="0021281B">
        <w:t xml:space="preserve">. </w:t>
      </w:r>
      <w:r w:rsidR="00677CA9">
        <w:t>Due to the decrease in the amount of FTEs needed to produce IV products, the IV room</w:t>
      </w:r>
      <w:r w:rsidRPr="00A96976">
        <w:t xml:space="preserve"> is now staffed with one full-time pharmacist</w:t>
      </w:r>
      <w:r w:rsidR="00677CA9">
        <w:t xml:space="preserve"> and</w:t>
      </w:r>
      <w:r w:rsidR="000C1AE3">
        <w:t xml:space="preserve"> two full-</w:t>
      </w:r>
      <w:r w:rsidR="0021281B">
        <w:t>time technicians</w:t>
      </w:r>
      <w:r w:rsidRPr="00A96976">
        <w:t xml:space="preserve"> on both the day and evening shifts as opposed to two</w:t>
      </w:r>
      <w:r w:rsidR="0021281B">
        <w:t xml:space="preserve"> and three, respectively</w:t>
      </w:r>
      <w:r w:rsidRPr="00A96976">
        <w:t xml:space="preserve">. </w:t>
      </w:r>
    </w:p>
    <w:p w14:paraId="4F4C929C" w14:textId="18EB8487" w:rsidR="00524BCE" w:rsidRPr="008E4F18" w:rsidRDefault="008E4F18" w:rsidP="008E4F18">
      <w:pPr>
        <w:pStyle w:val="Heading2"/>
        <w:rPr>
          <w:rFonts w:cs="Times New Roman"/>
        </w:rPr>
      </w:pPr>
      <w:bookmarkStart w:id="16" w:name="_Toc469394633"/>
      <w:r>
        <w:rPr>
          <w:rFonts w:cs="Times New Roman"/>
        </w:rPr>
        <w:t>DISCUSSION</w:t>
      </w:r>
      <w:bookmarkEnd w:id="16"/>
    </w:p>
    <w:p w14:paraId="7940E752" w14:textId="2A8DD379" w:rsidR="002D263E" w:rsidRDefault="002D263E" w:rsidP="002D263E">
      <w:r w:rsidRPr="00A96976">
        <w:t xml:space="preserve">Although the </w:t>
      </w:r>
      <w:r>
        <w:t>technology reduced</w:t>
      </w:r>
      <w:r w:rsidRPr="00A96976">
        <w:t xml:space="preserve"> the number of errors, pharmacist judgement is still needed since all errors were not intercepted by the TAWF before reaching the pharmacist.</w:t>
      </w:r>
      <w:r>
        <w:t xml:space="preserve"> There were some errors that still occurred despite utilizing the TAWF. As with any new system implemented, there was a learning curve. Errors that </w:t>
      </w:r>
      <w:r w:rsidRPr="002F611E">
        <w:rPr>
          <w:i/>
        </w:rPr>
        <w:t xml:space="preserve">DoseEdge </w:t>
      </w:r>
      <w:r>
        <w:t xml:space="preserve">could have prevented but were not was a result of user inexperience. </w:t>
      </w:r>
      <w:r w:rsidRPr="00A96976">
        <w:t>As these errors occurred</w:t>
      </w:r>
      <w:r>
        <w:t xml:space="preserve"> when utilizing the new system</w:t>
      </w:r>
      <w:r w:rsidRPr="00A96976">
        <w:t xml:space="preserve">, staff members were educated as to proper workflow, including when it is appropriate to bypass </w:t>
      </w:r>
      <w:r w:rsidRPr="00A96976">
        <w:rPr>
          <w:i/>
        </w:rPr>
        <w:t>DoseEdge’s</w:t>
      </w:r>
      <w:r w:rsidRPr="00A96976">
        <w:t xml:space="preserve"> safety features (barcode will not scan, non-formulary medication).  In addition, photography techniques were reviewed and standardized with the staff.</w:t>
      </w:r>
    </w:p>
    <w:p w14:paraId="5D3BEFE5" w14:textId="77B252B4" w:rsidR="00CA5787" w:rsidRDefault="00524BCE" w:rsidP="00CA5787">
      <w:r w:rsidRPr="00A96976">
        <w:t xml:space="preserve">The </w:t>
      </w:r>
      <w:r w:rsidR="00F528C8">
        <w:t xml:space="preserve">TAWF </w:t>
      </w:r>
      <w:r w:rsidRPr="00A96976">
        <w:t xml:space="preserve">system has </w:t>
      </w:r>
      <w:r w:rsidR="002F611E">
        <w:t>allowed the hospital</w:t>
      </w:r>
      <w:r w:rsidRPr="00A96976">
        <w:t xml:space="preserve"> to reduce waste in different ways. For examp</w:t>
      </w:r>
      <w:r w:rsidR="002F611E">
        <w:t xml:space="preserve">le, the </w:t>
      </w:r>
      <w:r w:rsidRPr="00A96976">
        <w:t>stock of medications on the drug shortage list</w:t>
      </w:r>
      <w:r w:rsidR="002F611E">
        <w:t xml:space="preserve"> is able to be conserved</w:t>
      </w:r>
      <w:r w:rsidRPr="00A96976">
        <w:t xml:space="preserve">.  </w:t>
      </w:r>
      <w:r w:rsidR="002F611E">
        <w:t xml:space="preserve">This is done </w:t>
      </w:r>
      <w:r w:rsidR="002F611E">
        <w:lastRenderedPageBreak/>
        <w:t>by diverting the m</w:t>
      </w:r>
      <w:r w:rsidRPr="00A96976">
        <w:t>edications on the</w:t>
      </w:r>
      <w:r w:rsidR="002F611E">
        <w:t xml:space="preserve"> drug shortage list </w:t>
      </w:r>
      <w:r w:rsidRPr="00A96976">
        <w:t>to the “wai</w:t>
      </w:r>
      <w:r w:rsidR="002F611E">
        <w:t>t/hold” queue upon verification. T</w:t>
      </w:r>
      <w:r w:rsidRPr="00A96976">
        <w:t xml:space="preserve">he senior technicians or pharmacists are instructed to call the patient’s nurse prior to preparing these medication.  This process helps eliminate the mixing of backordered medications that are subsequently not administered to the patient and returned to the pharmacy.  </w:t>
      </w:r>
      <w:r w:rsidR="002F611E">
        <w:t xml:space="preserve">This workflow strategy is </w:t>
      </w:r>
      <w:r w:rsidRPr="00A96976">
        <w:t>al</w:t>
      </w:r>
      <w:r w:rsidR="002F611E">
        <w:t xml:space="preserve">so instituted </w:t>
      </w:r>
      <w:r w:rsidRPr="00A96976">
        <w:t xml:space="preserve">for high cost medications to avoid waste. </w:t>
      </w:r>
      <w:r w:rsidR="001E449C">
        <w:t>Another way waste was decreased</w:t>
      </w:r>
      <w:r w:rsidR="000C1AE3">
        <w:t xml:space="preserve"> is</w:t>
      </w:r>
      <w:r w:rsidR="001E449C">
        <w:t xml:space="preserve"> due to </w:t>
      </w:r>
      <w:r w:rsidR="001E449C">
        <w:rPr>
          <w:i/>
        </w:rPr>
        <w:t xml:space="preserve">DoseEdge’s </w:t>
      </w:r>
      <w:r w:rsidR="002F611E">
        <w:t>tracking functionality</w:t>
      </w:r>
      <w:r w:rsidR="001E449C">
        <w:t>,</w:t>
      </w:r>
      <w:r w:rsidR="002F611E">
        <w:t xml:space="preserve"> which allows pharmacists and technicians to see if a</w:t>
      </w:r>
      <w:r w:rsidRPr="00A96976">
        <w:t xml:space="preserve"> medication has been delivered to the unit or to determine what stage of the compounding process the preparation is in.  This function has improved communication between pharmacy and nursing and has helped decrease waste by locating missing doses. </w:t>
      </w:r>
      <w:r w:rsidR="00CA5787">
        <w:t>Additionally, a</w:t>
      </w:r>
      <w:r w:rsidR="00CA5787" w:rsidRPr="00A96976">
        <w:t>ll technicians are required to follow the standardized workflow prompted by the software</w:t>
      </w:r>
      <w:r w:rsidR="001E449C">
        <w:t>.  T</w:t>
      </w:r>
      <w:r w:rsidR="00CA5787" w:rsidRPr="00A96976">
        <w:t>he software prevents the preparat</w:t>
      </w:r>
      <w:r w:rsidR="0021281B">
        <w:t xml:space="preserve">ion of doses more than four </w:t>
      </w:r>
      <w:r w:rsidR="00CA5787" w:rsidRPr="00A96976">
        <w:t>hours prior to the administration of a dose.  This feature allows for discontinued or modified doses to be automatically pulled from the queue prior to compounding, avoiding re-work and possible waste.</w:t>
      </w:r>
    </w:p>
    <w:p w14:paraId="27BE1421" w14:textId="121BF2EA" w:rsidR="00524BCE" w:rsidRDefault="00405775" w:rsidP="00405775">
      <w:r w:rsidRPr="00A96976">
        <w:t>In additio</w:t>
      </w:r>
      <w:r w:rsidR="002D263E">
        <w:t>n to reducing waste</w:t>
      </w:r>
      <w:r w:rsidR="0021281B">
        <w:t xml:space="preserve"> within the</w:t>
      </w:r>
      <w:r w:rsidRPr="00A96976">
        <w:t xml:space="preserve"> sterile products compounding process, ef</w:t>
      </w:r>
      <w:r w:rsidR="006B70DA">
        <w:t>ficiency was also enhanced</w:t>
      </w:r>
      <w:r w:rsidRPr="00A96976">
        <w:t>.</w:t>
      </w:r>
      <w:r w:rsidR="006B70DA">
        <w:t xml:space="preserve"> Since remote verification is possible with the</w:t>
      </w:r>
      <w:r w:rsidRPr="00A96976">
        <w:t xml:space="preserve"> </w:t>
      </w:r>
      <w:r w:rsidRPr="00A96976">
        <w:rPr>
          <w:i/>
        </w:rPr>
        <w:t xml:space="preserve">DoseEdge </w:t>
      </w:r>
      <w:r w:rsidR="006B70DA">
        <w:t>software, p</w:t>
      </w:r>
      <w:r w:rsidRPr="00A96976">
        <w:t>harmacists with internet access and appropriate workflo</w:t>
      </w:r>
      <w:r w:rsidR="006B70DA">
        <w:t>w software on their computer could</w:t>
      </w:r>
      <w:r w:rsidRPr="00A96976">
        <w:t xml:space="preserve"> verify an IV preparation from anywhere, inside or outside th</w:t>
      </w:r>
      <w:r w:rsidR="006B70DA">
        <w:t>e facility.  This feature allowed</w:t>
      </w:r>
      <w:r w:rsidRPr="00A96976">
        <w:t xml:space="preserve"> for flexibilit</w:t>
      </w:r>
      <w:r w:rsidR="006B70DA">
        <w:t>y during busy periods and allowed</w:t>
      </w:r>
      <w:r w:rsidRPr="00A96976">
        <w:t xml:space="preserve"> multiple pharmacists to log onto the system to help verify IV preparations.</w:t>
      </w:r>
      <w:r>
        <w:t xml:space="preserve"> The standardized workflow </w:t>
      </w:r>
      <w:r w:rsidR="006B70DA">
        <w:t xml:space="preserve">and </w:t>
      </w:r>
      <w:r w:rsidR="006B70DA" w:rsidRPr="006B70DA">
        <w:rPr>
          <w:i/>
        </w:rPr>
        <w:t>DoseEdge</w:t>
      </w:r>
      <w:r w:rsidR="006B70DA">
        <w:t xml:space="preserve"> functionalities </w:t>
      </w:r>
      <w:r>
        <w:t>has made the IV room</w:t>
      </w:r>
      <w:r w:rsidRPr="00A96976">
        <w:t xml:space="preserve"> more efficient when pr</w:t>
      </w:r>
      <w:r>
        <w:t xml:space="preserve">eparing sterile products for patients and </w:t>
      </w:r>
      <w:r w:rsidR="006B70DA">
        <w:t xml:space="preserve">has </w:t>
      </w:r>
      <w:r>
        <w:t>enabled the pharmacy</w:t>
      </w:r>
      <w:r w:rsidR="00F528C8">
        <w:t xml:space="preserve"> to reallocate a</w:t>
      </w:r>
      <w:r w:rsidRPr="00A96976">
        <w:t xml:space="preserve"> pharmacist and a tech</w:t>
      </w:r>
      <w:r>
        <w:t>nician</w:t>
      </w:r>
      <w:r w:rsidR="00F528C8">
        <w:t xml:space="preserve"> from the IV room to another area</w:t>
      </w:r>
      <w:r>
        <w:t>.</w:t>
      </w:r>
      <w:r w:rsidRPr="00A96976">
        <w:t xml:space="preserve"> </w:t>
      </w:r>
    </w:p>
    <w:p w14:paraId="52DC8033" w14:textId="77777777" w:rsidR="003F36E2" w:rsidRDefault="003F36E2" w:rsidP="003F36E2">
      <w:pPr>
        <w:ind w:firstLine="0"/>
        <w:rPr>
          <w:i/>
        </w:rPr>
      </w:pPr>
    </w:p>
    <w:p w14:paraId="702F0050" w14:textId="77777777" w:rsidR="003F36E2" w:rsidRDefault="003F36E2" w:rsidP="003F36E2">
      <w:pPr>
        <w:ind w:firstLine="0"/>
        <w:rPr>
          <w:i/>
        </w:rPr>
      </w:pPr>
    </w:p>
    <w:p w14:paraId="34C78FC7" w14:textId="66E38AD3" w:rsidR="003F36E2" w:rsidRPr="003F36E2" w:rsidRDefault="003F36E2" w:rsidP="003F36E2">
      <w:pPr>
        <w:ind w:firstLine="0"/>
        <w:rPr>
          <w:i/>
        </w:rPr>
      </w:pPr>
      <w:r w:rsidRPr="003F36E2">
        <w:rPr>
          <w:i/>
        </w:rPr>
        <w:lastRenderedPageBreak/>
        <w:t>Public Health Significance</w:t>
      </w:r>
    </w:p>
    <w:p w14:paraId="500052B4" w14:textId="6B262623" w:rsidR="00103F39" w:rsidRPr="00A96976" w:rsidRDefault="000F7BD3" w:rsidP="00103F39">
      <w:r>
        <w:t>Due to the high risk nature of these medications, i</w:t>
      </w:r>
      <w:r w:rsidR="00103F39">
        <w:t xml:space="preserve">ntravenous compounding errors are likely to cause patient harm. Recent events in the media have shown the harmful or fatal </w:t>
      </w:r>
      <w:r w:rsidR="003B0306">
        <w:t xml:space="preserve">compounding </w:t>
      </w:r>
      <w:r w:rsidR="00103F39">
        <w:t>errors that have occurred</w:t>
      </w:r>
      <w:r>
        <w:t>,</w:t>
      </w:r>
      <w:r w:rsidR="00103F39">
        <w:t xml:space="preserve"> devastating patients, families, and health care practitioners involved.  As demonstrated by this evaluation as well as others in the </w:t>
      </w:r>
      <w:r w:rsidR="008612EF">
        <w:t>literature, TAWF systems have a beneficial</w:t>
      </w:r>
      <w:r w:rsidR="00103F39">
        <w:t xml:space="preserve"> impact on public health by improving the quality of IV products. Although the technology does not replace </w:t>
      </w:r>
      <w:r w:rsidR="006B2FDD">
        <w:t>aseptic</w:t>
      </w:r>
      <w:r w:rsidR="00103F39">
        <w:t xml:space="preserve"> technique and a</w:t>
      </w:r>
      <w:r w:rsidR="007B0025">
        <w:t>n experienced</w:t>
      </w:r>
      <w:r w:rsidR="00103F39">
        <w:t xml:space="preserve"> pharmacist review,</w:t>
      </w:r>
      <w:r w:rsidR="007B0025">
        <w:t xml:space="preserve"> the TAWF can be </w:t>
      </w:r>
      <w:r w:rsidR="003B0306">
        <w:t>used as</w:t>
      </w:r>
      <w:r>
        <w:t xml:space="preserve"> a</w:t>
      </w:r>
      <w:r w:rsidR="003B0306">
        <w:t xml:space="preserve"> tool to</w:t>
      </w:r>
      <w:r w:rsidR="00103F39">
        <w:t xml:space="preserve"> catch</w:t>
      </w:r>
      <w:r w:rsidR="003B0306">
        <w:t xml:space="preserve"> errors</w:t>
      </w:r>
      <w:r w:rsidR="00103F39">
        <w:t xml:space="preserve"> before it gets to a pharmacist for review. </w:t>
      </w:r>
      <w:r w:rsidR="00DF0955">
        <w:t xml:space="preserve">Considering that the technology reduces errors, decreases waste, and improves efficiency, pharmacies should evaluate their department’s need to implement TAWF for the safety of their patients. </w:t>
      </w:r>
      <w:r w:rsidR="006B2FDD">
        <w:t xml:space="preserve"> </w:t>
      </w:r>
    </w:p>
    <w:p w14:paraId="52AD75E0" w14:textId="77777777" w:rsidR="00E35361" w:rsidRPr="00A96976" w:rsidRDefault="001E0CAD" w:rsidP="001E0CAD">
      <w:pPr>
        <w:pStyle w:val="Heading1"/>
        <w:rPr>
          <w:rFonts w:cs="Times New Roman"/>
        </w:rPr>
      </w:pPr>
      <w:bookmarkStart w:id="17" w:name="_Toc469394634"/>
      <w:bookmarkEnd w:id="11"/>
      <w:bookmarkEnd w:id="12"/>
      <w:r w:rsidRPr="00A96976">
        <w:rPr>
          <w:rFonts w:cs="Times New Roman"/>
        </w:rPr>
        <w:lastRenderedPageBreak/>
        <w:t>Conclusion</w:t>
      </w:r>
      <w:bookmarkEnd w:id="17"/>
    </w:p>
    <w:p w14:paraId="39D32A92" w14:textId="25B814BE" w:rsidR="00A232AA" w:rsidRDefault="00064C48" w:rsidP="00175607">
      <w:pPr>
        <w:pStyle w:val="NoSpacing"/>
        <w:spacing w:line="480" w:lineRule="auto"/>
        <w:ind w:firstLine="720"/>
        <w:rPr>
          <w:rFonts w:ascii="Times New Roman" w:eastAsia="Times New Roman" w:hAnsi="Times New Roman"/>
          <w:sz w:val="24"/>
          <w:szCs w:val="24"/>
        </w:rPr>
      </w:pPr>
      <w:r w:rsidRPr="00A96976">
        <w:rPr>
          <w:rFonts w:ascii="Times New Roman" w:hAnsi="Times New Roman"/>
          <w:sz w:val="24"/>
          <w:szCs w:val="24"/>
          <w:shd w:val="clear" w:color="auto" w:fill="FFFFFF"/>
        </w:rPr>
        <w:t>Sterile compoun</w:t>
      </w:r>
      <w:r w:rsidR="00DB33C4" w:rsidRPr="00A96976">
        <w:rPr>
          <w:rFonts w:ascii="Times New Roman" w:hAnsi="Times New Roman"/>
          <w:sz w:val="24"/>
          <w:szCs w:val="24"/>
          <w:shd w:val="clear" w:color="auto" w:fill="FFFFFF"/>
        </w:rPr>
        <w:t>ding is a high risk</w:t>
      </w:r>
      <w:r w:rsidR="00DD6507" w:rsidRPr="00A96976">
        <w:rPr>
          <w:rFonts w:ascii="Times New Roman" w:hAnsi="Times New Roman"/>
          <w:sz w:val="24"/>
          <w:szCs w:val="24"/>
          <w:shd w:val="clear" w:color="auto" w:fill="FFFFFF"/>
        </w:rPr>
        <w:t xml:space="preserve"> </w:t>
      </w:r>
      <w:r w:rsidR="00DB33C4" w:rsidRPr="00A96976">
        <w:rPr>
          <w:rFonts w:ascii="Times New Roman" w:hAnsi="Times New Roman"/>
          <w:sz w:val="24"/>
          <w:szCs w:val="24"/>
          <w:shd w:val="clear" w:color="auto" w:fill="FFFFFF"/>
        </w:rPr>
        <w:t xml:space="preserve">but </w:t>
      </w:r>
      <w:r w:rsidR="00DD6507" w:rsidRPr="00A96976">
        <w:rPr>
          <w:rFonts w:ascii="Times New Roman" w:hAnsi="Times New Roman"/>
          <w:sz w:val="24"/>
          <w:szCs w:val="24"/>
          <w:shd w:val="clear" w:color="auto" w:fill="FFFFFF"/>
        </w:rPr>
        <w:t>core pharmacy process in</w:t>
      </w:r>
      <w:r w:rsidRPr="00A96976">
        <w:rPr>
          <w:rFonts w:ascii="Times New Roman" w:hAnsi="Times New Roman"/>
          <w:sz w:val="24"/>
          <w:szCs w:val="24"/>
          <w:shd w:val="clear" w:color="auto" w:fill="FFFFFF"/>
        </w:rPr>
        <w:t xml:space="preserve"> need of improvement. Variability in practices, a failure to identify and teach best practices, and a host of cultural issues associated with routine practice deviations and tolerance of risks have led t</w:t>
      </w:r>
      <w:r w:rsidR="00DD6507" w:rsidRPr="00A96976">
        <w:rPr>
          <w:rFonts w:ascii="Times New Roman" w:hAnsi="Times New Roman"/>
          <w:sz w:val="24"/>
          <w:szCs w:val="24"/>
          <w:shd w:val="clear" w:color="auto" w:fill="FFFFFF"/>
        </w:rPr>
        <w:t xml:space="preserve">o harmful and fatal errors. The </w:t>
      </w:r>
      <w:r w:rsidR="00DB33C4" w:rsidRPr="00A96976">
        <w:rPr>
          <w:rFonts w:ascii="Times New Roman" w:hAnsi="Times New Roman"/>
          <w:sz w:val="24"/>
          <w:szCs w:val="24"/>
          <w:shd w:val="clear" w:color="auto" w:fill="FFFFFF"/>
        </w:rPr>
        <w:t xml:space="preserve">recent </w:t>
      </w:r>
      <w:r w:rsidR="00DD6507" w:rsidRPr="00A96976">
        <w:rPr>
          <w:rFonts w:ascii="Times New Roman" w:hAnsi="Times New Roman"/>
          <w:sz w:val="24"/>
          <w:szCs w:val="24"/>
          <w:shd w:val="clear" w:color="auto" w:fill="FFFFFF"/>
        </w:rPr>
        <w:t xml:space="preserve">sterile compounding errors should serve as a catalyst </w:t>
      </w:r>
      <w:r w:rsidRPr="00A96976">
        <w:rPr>
          <w:rFonts w:ascii="Times New Roman" w:hAnsi="Times New Roman"/>
          <w:sz w:val="24"/>
          <w:szCs w:val="24"/>
          <w:shd w:val="clear" w:color="auto" w:fill="FFFFFF"/>
        </w:rPr>
        <w:t>to</w:t>
      </w:r>
      <w:r w:rsidR="00DD6507" w:rsidRPr="00A96976">
        <w:rPr>
          <w:rFonts w:ascii="Times New Roman" w:hAnsi="Times New Roman"/>
          <w:sz w:val="24"/>
          <w:szCs w:val="24"/>
          <w:shd w:val="clear" w:color="auto" w:fill="FFFFFF"/>
        </w:rPr>
        <w:t xml:space="preserve"> take measures to improve this practice</w:t>
      </w:r>
      <w:r w:rsidRPr="00A96976">
        <w:rPr>
          <w:rFonts w:ascii="Times New Roman" w:hAnsi="Times New Roman"/>
          <w:sz w:val="24"/>
          <w:szCs w:val="24"/>
          <w:shd w:val="clear" w:color="auto" w:fill="FFFFFF"/>
        </w:rPr>
        <w:t>.</w:t>
      </w:r>
      <w:r w:rsidR="00405775">
        <w:rPr>
          <w:rFonts w:ascii="Times New Roman" w:hAnsi="Times New Roman"/>
          <w:sz w:val="24"/>
          <w:szCs w:val="24"/>
          <w:shd w:val="clear" w:color="auto" w:fill="FFFFFF"/>
        </w:rPr>
        <w:t xml:space="preserve"> </w:t>
      </w:r>
      <w:r w:rsidR="00405775" w:rsidRPr="00405775">
        <w:rPr>
          <w:rFonts w:ascii="Times New Roman" w:hAnsi="Times New Roman"/>
          <w:sz w:val="24"/>
          <w:szCs w:val="24"/>
          <w:shd w:val="clear" w:color="auto" w:fill="FFFFFF"/>
        </w:rPr>
        <w:t>TAWF systems improve safety in health care settings through barcode scanning and provide benefit to pharmacy departments through documentation of IV errors and waste for ongoing quality assurance evaluations.</w:t>
      </w:r>
      <w:r w:rsidR="00DD6507" w:rsidRPr="00A96976">
        <w:rPr>
          <w:rFonts w:ascii="Times New Roman" w:hAnsi="Times New Roman"/>
          <w:sz w:val="24"/>
          <w:szCs w:val="24"/>
          <w:shd w:val="clear" w:color="auto" w:fill="FFFFFF"/>
        </w:rPr>
        <w:t xml:space="preserve"> </w:t>
      </w:r>
      <w:r w:rsidR="006B70DA">
        <w:rPr>
          <w:rFonts w:ascii="Times New Roman" w:hAnsi="Times New Roman"/>
          <w:sz w:val="24"/>
          <w:szCs w:val="24"/>
        </w:rPr>
        <w:t>They</w:t>
      </w:r>
      <w:r w:rsidR="00051A70" w:rsidRPr="00A96976">
        <w:rPr>
          <w:rFonts w:ascii="Times New Roman" w:hAnsi="Times New Roman"/>
          <w:sz w:val="24"/>
          <w:szCs w:val="24"/>
        </w:rPr>
        <w:t xml:space="preserve"> allow for erro</w:t>
      </w:r>
      <w:r w:rsidR="00C1690F">
        <w:rPr>
          <w:rFonts w:ascii="Times New Roman" w:hAnsi="Times New Roman"/>
          <w:sz w:val="24"/>
          <w:szCs w:val="24"/>
        </w:rPr>
        <w:t>r</w:t>
      </w:r>
      <w:r w:rsidR="006B70DA">
        <w:rPr>
          <w:rFonts w:ascii="Times New Roman" w:hAnsi="Times New Roman"/>
          <w:sz w:val="24"/>
          <w:szCs w:val="24"/>
        </w:rPr>
        <w:t xml:space="preserve"> reports to be generated so that </w:t>
      </w:r>
      <w:r w:rsidR="00051A70" w:rsidRPr="00A96976">
        <w:rPr>
          <w:rFonts w:ascii="Times New Roman" w:hAnsi="Times New Roman"/>
          <w:sz w:val="24"/>
          <w:szCs w:val="24"/>
        </w:rPr>
        <w:t>workflow changes can be implemented</w:t>
      </w:r>
      <w:r w:rsidR="00051A70" w:rsidRPr="00A96976">
        <w:rPr>
          <w:rFonts w:ascii="Times New Roman" w:eastAsia="Times New Roman" w:hAnsi="Times New Roman"/>
          <w:sz w:val="24"/>
          <w:szCs w:val="24"/>
        </w:rPr>
        <w:t xml:space="preserve">; </w:t>
      </w:r>
      <w:r w:rsidR="00DB33C4" w:rsidRPr="00A96976">
        <w:rPr>
          <w:rFonts w:ascii="Times New Roman" w:eastAsia="Times New Roman" w:hAnsi="Times New Roman"/>
          <w:sz w:val="24"/>
          <w:szCs w:val="24"/>
        </w:rPr>
        <w:t xml:space="preserve">the </w:t>
      </w:r>
      <w:r w:rsidR="00051A70" w:rsidRPr="00A96976">
        <w:rPr>
          <w:rFonts w:ascii="Times New Roman" w:eastAsia="Times New Roman" w:hAnsi="Times New Roman"/>
          <w:sz w:val="24"/>
          <w:szCs w:val="24"/>
        </w:rPr>
        <w:t>pharmacy automation system in</w:t>
      </w:r>
      <w:r w:rsidR="00DB33C4" w:rsidRPr="00A96976">
        <w:rPr>
          <w:rFonts w:ascii="Times New Roman" w:eastAsia="Times New Roman" w:hAnsi="Times New Roman"/>
          <w:sz w:val="24"/>
          <w:szCs w:val="24"/>
        </w:rPr>
        <w:t>tercepts in order to stop the same errors from reoccurring</w:t>
      </w:r>
      <w:r w:rsidR="00051A70" w:rsidRPr="00A96976">
        <w:rPr>
          <w:rFonts w:ascii="Times New Roman" w:eastAsia="Times New Roman" w:hAnsi="Times New Roman"/>
          <w:sz w:val="24"/>
          <w:szCs w:val="24"/>
        </w:rPr>
        <w:t xml:space="preserve">. </w:t>
      </w:r>
      <w:r w:rsidR="00756F30" w:rsidRPr="00A96976">
        <w:rPr>
          <w:rFonts w:ascii="Times New Roman" w:hAnsi="Times New Roman"/>
          <w:sz w:val="24"/>
          <w:szCs w:val="24"/>
          <w:shd w:val="clear" w:color="auto" w:fill="FFFFFF"/>
        </w:rPr>
        <w:t xml:space="preserve">The technology </w:t>
      </w:r>
      <w:r w:rsidR="00677CA9">
        <w:rPr>
          <w:rFonts w:ascii="Times New Roman" w:hAnsi="Times New Roman"/>
          <w:sz w:val="24"/>
          <w:szCs w:val="24"/>
          <w:shd w:val="clear" w:color="auto" w:fill="FFFFFF"/>
        </w:rPr>
        <w:t>allows</w:t>
      </w:r>
      <w:r w:rsidR="00731A8D" w:rsidRPr="00A96976">
        <w:rPr>
          <w:rFonts w:ascii="Times New Roman" w:hAnsi="Times New Roman"/>
          <w:sz w:val="24"/>
          <w:szCs w:val="24"/>
          <w:shd w:val="clear" w:color="auto" w:fill="FFFFFF"/>
        </w:rPr>
        <w:t xml:space="preserve"> for standardized </w:t>
      </w:r>
      <w:r w:rsidR="00677CA9">
        <w:rPr>
          <w:rFonts w:ascii="Times New Roman" w:hAnsi="Times New Roman"/>
          <w:sz w:val="24"/>
          <w:szCs w:val="24"/>
          <w:shd w:val="clear" w:color="auto" w:fill="FFFFFF"/>
        </w:rPr>
        <w:t>preparation steps and documents</w:t>
      </w:r>
      <w:r w:rsidR="00731A8D" w:rsidRPr="00A96976">
        <w:rPr>
          <w:rFonts w:ascii="Times New Roman" w:hAnsi="Times New Roman"/>
          <w:sz w:val="24"/>
          <w:szCs w:val="24"/>
          <w:shd w:val="clear" w:color="auto" w:fill="FFFFFF"/>
        </w:rPr>
        <w:t xml:space="preserve"> each process step, enabling a systematic review of the metrics for safety, productivity, and drug waste.</w:t>
      </w:r>
      <w:r w:rsidR="00051A70" w:rsidRPr="00A96976">
        <w:rPr>
          <w:rFonts w:ascii="Times New Roman" w:eastAsia="Times New Roman" w:hAnsi="Times New Roman"/>
          <w:sz w:val="24"/>
          <w:szCs w:val="24"/>
        </w:rPr>
        <w:t xml:space="preserve"> </w:t>
      </w:r>
    </w:p>
    <w:p w14:paraId="23462D14" w14:textId="34A78D01" w:rsidR="007D16C6" w:rsidRPr="00677CA9" w:rsidRDefault="00405775" w:rsidP="00A232AA">
      <w:pPr>
        <w:pStyle w:val="NoSpacing"/>
        <w:spacing w:line="480" w:lineRule="auto"/>
        <w:ind w:firstLine="720"/>
        <w:rPr>
          <w:rFonts w:ascii="Times New Roman" w:eastAsia="Times New Roman" w:hAnsi="Times New Roman"/>
          <w:sz w:val="24"/>
          <w:szCs w:val="24"/>
        </w:rPr>
      </w:pPr>
      <w:r w:rsidRPr="00677CA9">
        <w:rPr>
          <w:rFonts w:ascii="Times New Roman" w:hAnsi="Times New Roman"/>
          <w:sz w:val="24"/>
          <w:szCs w:val="24"/>
          <w:shd w:val="clear" w:color="auto" w:fill="FFFFFF"/>
        </w:rPr>
        <w:t xml:space="preserve">In order to improve, </w:t>
      </w:r>
      <w:r w:rsidRPr="00677CA9">
        <w:rPr>
          <w:rFonts w:ascii="Times New Roman" w:hAnsi="Times New Roman"/>
          <w:sz w:val="24"/>
          <w:szCs w:val="24"/>
        </w:rPr>
        <w:t>it is important to understand the current IV error rate</w:t>
      </w:r>
      <w:r w:rsidR="00390494" w:rsidRPr="00677CA9">
        <w:rPr>
          <w:rFonts w:ascii="Times New Roman" w:hAnsi="Times New Roman"/>
          <w:sz w:val="24"/>
          <w:szCs w:val="24"/>
        </w:rPr>
        <w:t xml:space="preserve">, waste volume, and IV room workflow at an institution. </w:t>
      </w:r>
      <w:r w:rsidR="003C64DD" w:rsidRPr="00677CA9">
        <w:rPr>
          <w:rFonts w:ascii="Times New Roman" w:hAnsi="Times New Roman"/>
          <w:sz w:val="24"/>
          <w:szCs w:val="24"/>
        </w:rPr>
        <w:t xml:space="preserve">It is also important </w:t>
      </w:r>
      <w:r w:rsidRPr="00677CA9">
        <w:rPr>
          <w:rFonts w:ascii="Times New Roman" w:hAnsi="Times New Roman"/>
          <w:sz w:val="24"/>
          <w:szCs w:val="24"/>
        </w:rPr>
        <w:t xml:space="preserve">to determine what strategies can be implemented to </w:t>
      </w:r>
      <w:r w:rsidR="00677CA9" w:rsidRPr="00677CA9">
        <w:rPr>
          <w:rFonts w:ascii="Times New Roman" w:hAnsi="Times New Roman"/>
          <w:sz w:val="24"/>
          <w:szCs w:val="24"/>
        </w:rPr>
        <w:t xml:space="preserve">decrease errors, </w:t>
      </w:r>
      <w:r w:rsidRPr="00677CA9">
        <w:rPr>
          <w:rFonts w:ascii="Times New Roman" w:hAnsi="Times New Roman"/>
          <w:sz w:val="24"/>
          <w:szCs w:val="24"/>
        </w:rPr>
        <w:t>reduce</w:t>
      </w:r>
      <w:r w:rsidR="003C64DD" w:rsidRPr="00677CA9">
        <w:rPr>
          <w:rFonts w:ascii="Times New Roman" w:hAnsi="Times New Roman"/>
          <w:sz w:val="24"/>
          <w:szCs w:val="24"/>
        </w:rPr>
        <w:t xml:space="preserve"> waste,</w:t>
      </w:r>
      <w:r w:rsidR="00677CA9" w:rsidRPr="00677CA9">
        <w:rPr>
          <w:rFonts w:ascii="Times New Roman" w:hAnsi="Times New Roman"/>
          <w:sz w:val="24"/>
          <w:szCs w:val="24"/>
        </w:rPr>
        <w:t xml:space="preserve"> and enhance efficiency.</w:t>
      </w:r>
      <w:r w:rsidRPr="00677CA9">
        <w:rPr>
          <w:rFonts w:ascii="Times New Roman" w:hAnsi="Times New Roman"/>
          <w:sz w:val="24"/>
          <w:szCs w:val="24"/>
        </w:rPr>
        <w:t xml:space="preserve"> </w:t>
      </w:r>
      <w:r w:rsidR="00A232AA" w:rsidRPr="00677CA9">
        <w:rPr>
          <w:rFonts w:ascii="Times New Roman" w:hAnsi="Times New Roman"/>
          <w:sz w:val="24"/>
          <w:szCs w:val="24"/>
        </w:rPr>
        <w:t>The</w:t>
      </w:r>
      <w:r w:rsidR="00716001" w:rsidRPr="00677CA9">
        <w:rPr>
          <w:rFonts w:ascii="Times New Roman" w:hAnsi="Times New Roman"/>
          <w:sz w:val="24"/>
          <w:szCs w:val="24"/>
        </w:rPr>
        <w:t xml:space="preserve"> evaluation</w:t>
      </w:r>
      <w:r w:rsidR="00A232AA" w:rsidRPr="00677CA9">
        <w:rPr>
          <w:rFonts w:ascii="Times New Roman" w:hAnsi="Times New Roman"/>
          <w:sz w:val="24"/>
          <w:szCs w:val="24"/>
        </w:rPr>
        <w:t xml:space="preserve"> performed at a tertiary care hospital</w:t>
      </w:r>
      <w:r w:rsidR="001272E5">
        <w:rPr>
          <w:rFonts w:ascii="Times New Roman" w:hAnsi="Times New Roman"/>
          <w:sz w:val="24"/>
          <w:szCs w:val="24"/>
        </w:rPr>
        <w:t xml:space="preserve"> confirmed the benefit of utilizing a TAWF to improve quality of IV products. It also</w:t>
      </w:r>
      <w:r w:rsidR="00A232AA" w:rsidRPr="00677CA9">
        <w:rPr>
          <w:rFonts w:ascii="Times New Roman" w:hAnsi="Times New Roman"/>
          <w:sz w:val="24"/>
          <w:szCs w:val="24"/>
        </w:rPr>
        <w:t xml:space="preserve"> </w:t>
      </w:r>
      <w:r w:rsidR="00716001" w:rsidRPr="00677CA9">
        <w:rPr>
          <w:rFonts w:ascii="Times New Roman" w:hAnsi="Times New Roman"/>
          <w:sz w:val="24"/>
          <w:szCs w:val="24"/>
        </w:rPr>
        <w:t>identified future projects that need to be implemented, such as reducing antibiotic waste, preventing the wrong drug or diluent from being selected to prepare an IV, and optimiz</w:t>
      </w:r>
      <w:r w:rsidR="00677CA9" w:rsidRPr="00677CA9">
        <w:rPr>
          <w:rFonts w:ascii="Times New Roman" w:hAnsi="Times New Roman"/>
          <w:sz w:val="24"/>
          <w:szCs w:val="24"/>
        </w:rPr>
        <w:t>ing the TAWF system to intercept</w:t>
      </w:r>
      <w:r w:rsidR="00716001" w:rsidRPr="00677CA9">
        <w:rPr>
          <w:rFonts w:ascii="Times New Roman" w:hAnsi="Times New Roman"/>
          <w:sz w:val="24"/>
          <w:szCs w:val="24"/>
        </w:rPr>
        <w:t xml:space="preserve"> more errors.</w:t>
      </w:r>
      <w:r w:rsidR="00605D65" w:rsidRPr="00677CA9">
        <w:rPr>
          <w:sz w:val="24"/>
          <w:szCs w:val="24"/>
        </w:rPr>
        <w:t xml:space="preserve"> </w:t>
      </w:r>
    </w:p>
    <w:p w14:paraId="59955E71" w14:textId="77777777" w:rsidR="00DA5BA8" w:rsidRPr="00A96976" w:rsidRDefault="00DA5BA8" w:rsidP="00875500">
      <w:pPr>
        <w:pStyle w:val="Heading"/>
        <w:spacing w:line="240" w:lineRule="auto"/>
        <w:rPr>
          <w:rFonts w:cs="Times New Roman"/>
        </w:rPr>
      </w:pPr>
      <w:bookmarkStart w:id="18" w:name="_Toc469394635"/>
      <w:r w:rsidRPr="00A96976">
        <w:rPr>
          <w:rFonts w:cs="Times New Roman"/>
        </w:rPr>
        <w:lastRenderedPageBreak/>
        <w:t>bibliography</w:t>
      </w:r>
      <w:bookmarkEnd w:id="18"/>
    </w:p>
    <w:p w14:paraId="6CECE876" w14:textId="77777777" w:rsidR="00D46BCC" w:rsidRPr="00A96976" w:rsidRDefault="00D46BCC" w:rsidP="00875500">
      <w:pPr>
        <w:spacing w:line="240" w:lineRule="auto"/>
        <w:ind w:firstLine="0"/>
      </w:pPr>
      <w:r w:rsidRPr="00A96976">
        <w:t xml:space="preserve">1.) </w:t>
      </w:r>
      <w:r w:rsidRPr="00A96976">
        <w:rPr>
          <w:rStyle w:val="nlmstring-name"/>
        </w:rPr>
        <w:t xml:space="preserve">Classen, D., &amp; Brown, J. (2013). A Sociotechnical Model for Pharmacy. Hospital Pharmacy, 48(Supplement 2). </w:t>
      </w:r>
    </w:p>
    <w:p w14:paraId="2C21B5CE" w14:textId="77777777" w:rsidR="00875500" w:rsidRDefault="00875500" w:rsidP="00875500">
      <w:pPr>
        <w:spacing w:line="240" w:lineRule="auto"/>
        <w:ind w:firstLine="0"/>
      </w:pPr>
    </w:p>
    <w:p w14:paraId="579EF306" w14:textId="2D9E474A" w:rsidR="00D46BCC" w:rsidRPr="00A96976" w:rsidRDefault="00DB33C4" w:rsidP="00875500">
      <w:pPr>
        <w:spacing w:line="240" w:lineRule="auto"/>
        <w:ind w:firstLine="0"/>
      </w:pPr>
      <w:r w:rsidRPr="00A96976">
        <w:t xml:space="preserve">2.) </w:t>
      </w:r>
      <w:r w:rsidR="00D46BCC" w:rsidRPr="00A96976">
        <w:t>ISMP Guidelines for Safe Pre</w:t>
      </w:r>
      <w:r w:rsidRPr="00A96976">
        <w:t xml:space="preserve">paration of Compounded Sterile. </w:t>
      </w:r>
      <w:r w:rsidR="00D46BCC" w:rsidRPr="00A96976">
        <w:t xml:space="preserve">(2013). Retrieved September 10, 2015, from </w:t>
      </w:r>
      <w:hyperlink r:id="rId15" w:history="1">
        <w:r w:rsidR="00D46BCC" w:rsidRPr="00A96976">
          <w:rPr>
            <w:rStyle w:val="Hyperlink"/>
            <w:color w:val="auto"/>
            <w:u w:val="none"/>
          </w:rPr>
          <w:t>http://www.ismp.org/Tools/guidelines/IVSummit/IVCGuidelines.pdf</w:t>
        </w:r>
      </w:hyperlink>
      <w:r w:rsidRPr="00A96976">
        <w:rPr>
          <w:rStyle w:val="Hyperlink"/>
          <w:color w:val="auto"/>
          <w:u w:val="none"/>
        </w:rPr>
        <w:t>.</w:t>
      </w:r>
    </w:p>
    <w:p w14:paraId="268AAD3C" w14:textId="77777777" w:rsidR="00875500" w:rsidRDefault="00875500" w:rsidP="00875500">
      <w:pPr>
        <w:spacing w:line="240" w:lineRule="auto"/>
        <w:ind w:firstLine="0"/>
      </w:pPr>
    </w:p>
    <w:p w14:paraId="07DE0646" w14:textId="2853810E" w:rsidR="00D46BCC" w:rsidRPr="00A96976" w:rsidRDefault="00DB33C4" w:rsidP="00875500">
      <w:pPr>
        <w:spacing w:line="240" w:lineRule="auto"/>
        <w:ind w:firstLine="0"/>
      </w:pPr>
      <w:r w:rsidRPr="00A96976">
        <w:t xml:space="preserve">3.) </w:t>
      </w:r>
      <w:r w:rsidR="00D46BCC" w:rsidRPr="00A96976">
        <w:t>State of pharmacy compounding 2009: survey findings (2009). Pharm Purchasing Products, 6(4), 4-20.</w:t>
      </w:r>
    </w:p>
    <w:p w14:paraId="3388050A" w14:textId="77777777" w:rsidR="00875500" w:rsidRDefault="00875500" w:rsidP="00875500">
      <w:pPr>
        <w:spacing w:line="240" w:lineRule="auto"/>
        <w:ind w:firstLine="0"/>
      </w:pPr>
    </w:p>
    <w:p w14:paraId="6BA35DC7" w14:textId="68F5AA02" w:rsidR="00D46BCC" w:rsidRPr="00A96976" w:rsidRDefault="00DB33C4" w:rsidP="00875500">
      <w:pPr>
        <w:spacing w:line="240" w:lineRule="auto"/>
        <w:ind w:firstLine="0"/>
      </w:pPr>
      <w:r w:rsidRPr="00A96976">
        <w:t xml:space="preserve">4.) </w:t>
      </w:r>
      <w:r w:rsidR="00D46BCC" w:rsidRPr="00A96976">
        <w:t>Rich, D.</w:t>
      </w:r>
      <w:r w:rsidRPr="00A96976">
        <w:t>S., Fricker, M.P</w:t>
      </w:r>
      <w:r w:rsidR="00D46BCC" w:rsidRPr="00A96976">
        <w:t>., Cohen, M.</w:t>
      </w:r>
      <w:r w:rsidRPr="00A96976">
        <w:t>R.</w:t>
      </w:r>
      <w:r w:rsidR="00D46BCC" w:rsidRPr="00A96976">
        <w:t>, &amp; Levine, S.</w:t>
      </w:r>
      <w:r w:rsidRPr="00A96976">
        <w:t>R.</w:t>
      </w:r>
      <w:r w:rsidR="00D46BCC" w:rsidRPr="00A96976">
        <w:t xml:space="preserve"> (2013). Guidelines for the Safe Preparation of Sterile Compounds: Results of the ISMP Sterile Preparation Compounding Safety Summit of October 2011. Hospital Pharmacy, 48(4), 282-294.</w:t>
      </w:r>
    </w:p>
    <w:p w14:paraId="45DBD975" w14:textId="77777777" w:rsidR="00875500" w:rsidRDefault="00875500" w:rsidP="00875500">
      <w:pPr>
        <w:spacing w:line="240" w:lineRule="auto"/>
        <w:ind w:firstLine="0"/>
      </w:pPr>
    </w:p>
    <w:p w14:paraId="75519DE4" w14:textId="33119DB4" w:rsidR="00D46BCC" w:rsidRPr="00A96976" w:rsidRDefault="00DB33C4" w:rsidP="00875500">
      <w:pPr>
        <w:spacing w:line="240" w:lineRule="auto"/>
        <w:ind w:firstLine="0"/>
      </w:pPr>
      <w:r w:rsidRPr="00A96976">
        <w:t xml:space="preserve">5.) </w:t>
      </w:r>
      <w:r w:rsidR="00D46BCC" w:rsidRPr="00A96976">
        <w:t>Results of ISMP survey on high-alert medications. (2012). ISMP Medication Safety Alert, 17(3), 1-4.</w:t>
      </w:r>
    </w:p>
    <w:p w14:paraId="4DFBED55" w14:textId="77777777" w:rsidR="00875500" w:rsidRDefault="00875500" w:rsidP="00875500">
      <w:pPr>
        <w:spacing w:line="240" w:lineRule="auto"/>
        <w:ind w:firstLine="0"/>
      </w:pPr>
    </w:p>
    <w:p w14:paraId="572324BE" w14:textId="35DF2E31" w:rsidR="00D46BCC" w:rsidRPr="00A96976" w:rsidRDefault="00DB33C4" w:rsidP="00875500">
      <w:pPr>
        <w:spacing w:line="240" w:lineRule="auto"/>
        <w:ind w:firstLine="0"/>
      </w:pPr>
      <w:r w:rsidRPr="00A96976">
        <w:t xml:space="preserve">6.) </w:t>
      </w:r>
      <w:r w:rsidR="00D46BCC" w:rsidRPr="00A96976">
        <w:rPr>
          <w:shd w:val="clear" w:color="auto" w:fill="FFFFFF"/>
        </w:rPr>
        <w:t>McDowell, S</w:t>
      </w:r>
      <w:r w:rsidRPr="00A96976">
        <w:rPr>
          <w:shd w:val="clear" w:color="auto" w:fill="FFFFFF"/>
        </w:rPr>
        <w:t>.</w:t>
      </w:r>
      <w:r w:rsidR="00D46BCC" w:rsidRPr="00A96976">
        <w:rPr>
          <w:shd w:val="clear" w:color="auto" w:fill="FFFFFF"/>
        </w:rPr>
        <w:t>E</w:t>
      </w:r>
      <w:r w:rsidRPr="00A96976">
        <w:rPr>
          <w:shd w:val="clear" w:color="auto" w:fill="FFFFFF"/>
        </w:rPr>
        <w:t>.</w:t>
      </w:r>
      <w:r w:rsidR="00D46BCC" w:rsidRPr="00A96976">
        <w:rPr>
          <w:shd w:val="clear" w:color="auto" w:fill="FFFFFF"/>
        </w:rPr>
        <w:t>, Mt-Isa, S, Ashby D</w:t>
      </w:r>
      <w:r w:rsidRPr="00A96976">
        <w:rPr>
          <w:shd w:val="clear" w:color="auto" w:fill="FFFFFF"/>
        </w:rPr>
        <w:t>.</w:t>
      </w:r>
      <w:r w:rsidR="00D46BCC" w:rsidRPr="00A96976">
        <w:rPr>
          <w:shd w:val="clear" w:color="auto" w:fill="FFFFFF"/>
        </w:rPr>
        <w:t>, &amp; Ferner, RE. (2010</w:t>
      </w:r>
      <w:r w:rsidRPr="00A96976">
        <w:rPr>
          <w:shd w:val="clear" w:color="auto" w:fill="FFFFFF"/>
        </w:rPr>
        <w:t xml:space="preserve">). </w:t>
      </w:r>
      <w:r w:rsidR="00D46BCC" w:rsidRPr="00A96976">
        <w:rPr>
          <w:shd w:val="clear" w:color="auto" w:fill="FFFFFF"/>
        </w:rPr>
        <w:t>Where errors occur in the preparation and administration of intravenous medicines: systematic review and Bayesian analysis. Qual Saf Health Care, 19(4), 341-345.</w:t>
      </w:r>
    </w:p>
    <w:p w14:paraId="166DCE3D" w14:textId="77777777" w:rsidR="00875500" w:rsidRDefault="00875500" w:rsidP="00875500">
      <w:pPr>
        <w:spacing w:line="240" w:lineRule="auto"/>
        <w:ind w:firstLine="0"/>
      </w:pPr>
    </w:p>
    <w:p w14:paraId="57C0CD54" w14:textId="6CEE8B95" w:rsidR="00D46BCC" w:rsidRPr="00A96976" w:rsidRDefault="00DB33C4" w:rsidP="00875500">
      <w:pPr>
        <w:spacing w:line="240" w:lineRule="auto"/>
        <w:ind w:firstLine="0"/>
      </w:pPr>
      <w:r w:rsidRPr="00A96976">
        <w:t>7.) B</w:t>
      </w:r>
      <w:r w:rsidR="00D46BCC" w:rsidRPr="00A96976">
        <w:t xml:space="preserve">axter Healthcare Corporation. </w:t>
      </w:r>
      <w:r w:rsidRPr="00A96976">
        <w:t xml:space="preserve">(2014). </w:t>
      </w:r>
      <w:r w:rsidR="00D46BCC" w:rsidRPr="00A96976">
        <w:t>Case study: sterile compounding, error reduction and workflow management at Indiana University He</w:t>
      </w:r>
      <w:r w:rsidRPr="00A96976">
        <w:t xml:space="preserve">ath Bloomington Hospital. Retrieved September </w:t>
      </w:r>
      <w:r w:rsidR="00D46BCC" w:rsidRPr="00A96976">
        <w:t>2, 2015, from www. baxtermedicationdeliveryproducts.com/pdf/USMPMG8414-0024%20.</w:t>
      </w:r>
    </w:p>
    <w:p w14:paraId="6186FE46" w14:textId="77777777" w:rsidR="00875500" w:rsidRDefault="00875500" w:rsidP="00875500">
      <w:pPr>
        <w:shd w:val="clear" w:color="auto" w:fill="FFFFFF"/>
        <w:spacing w:line="240" w:lineRule="auto"/>
        <w:ind w:firstLine="0"/>
      </w:pPr>
    </w:p>
    <w:p w14:paraId="1A92006F" w14:textId="0AF1D9C1" w:rsidR="00D46BCC" w:rsidRPr="00A96976" w:rsidRDefault="00DB33C4" w:rsidP="00875500">
      <w:pPr>
        <w:shd w:val="clear" w:color="auto" w:fill="FFFFFF"/>
        <w:spacing w:line="240" w:lineRule="auto"/>
        <w:ind w:firstLine="0"/>
      </w:pPr>
      <w:r w:rsidRPr="00A96976">
        <w:t xml:space="preserve">8.) </w:t>
      </w:r>
      <w:r w:rsidR="00D46BCC" w:rsidRPr="00A96976">
        <w:t xml:space="preserve">Pew Charitable Trusts. (2013). U.S. illnesses and deaths associated with compounded medications (2001-present). Retrieved September 2, 2015, </w:t>
      </w:r>
      <w:r w:rsidR="00D46BCC" w:rsidRPr="003F36E2">
        <w:t>from</w:t>
      </w:r>
      <w:r w:rsidR="00B2135D" w:rsidRPr="003F36E2">
        <w:rPr>
          <w:rStyle w:val="apple-converted-space"/>
        </w:rPr>
        <w:t xml:space="preserve"> </w:t>
      </w:r>
      <w:hyperlink r:id="rId16" w:history="1">
        <w:r w:rsidR="00D46BCC" w:rsidRPr="003F36E2">
          <w:rPr>
            <w:rStyle w:val="Hyperlink"/>
            <w:color w:val="auto"/>
            <w:u w:val="none"/>
          </w:rPr>
          <w:t>www.ismp.org/sc?id=468</w:t>
        </w:r>
      </w:hyperlink>
      <w:r w:rsidR="00D46BCC" w:rsidRPr="003F36E2">
        <w:t>.</w:t>
      </w:r>
    </w:p>
    <w:p w14:paraId="5927652C" w14:textId="77777777" w:rsidR="00875500" w:rsidRDefault="00875500" w:rsidP="00875500">
      <w:pPr>
        <w:shd w:val="clear" w:color="auto" w:fill="FFFFFF"/>
        <w:spacing w:line="240" w:lineRule="auto"/>
        <w:ind w:firstLine="0"/>
      </w:pPr>
    </w:p>
    <w:p w14:paraId="7A495AA5" w14:textId="1BF32035" w:rsidR="00D46BCC" w:rsidRPr="00A96976" w:rsidRDefault="00DB33C4" w:rsidP="00875500">
      <w:pPr>
        <w:shd w:val="clear" w:color="auto" w:fill="FFFFFF"/>
        <w:spacing w:line="240" w:lineRule="auto"/>
        <w:ind w:firstLine="0"/>
      </w:pPr>
      <w:r w:rsidRPr="00A96976">
        <w:t xml:space="preserve">9.) </w:t>
      </w:r>
      <w:r w:rsidR="00D46BCC" w:rsidRPr="00A96976">
        <w:t>Webster, D. (2015). Steril</w:t>
      </w:r>
      <w:r w:rsidRPr="00A96976">
        <w:t>e compounding: Pharmacy profess</w:t>
      </w:r>
      <w:r w:rsidR="00D46BCC" w:rsidRPr="00A96976">
        <w:t>ion should take back control. Pharmacy Today, 21(3), 7.</w:t>
      </w:r>
    </w:p>
    <w:p w14:paraId="7CDE71A8" w14:textId="77777777" w:rsidR="00875500" w:rsidRDefault="00875500" w:rsidP="00875500">
      <w:pPr>
        <w:spacing w:line="240" w:lineRule="auto"/>
        <w:ind w:firstLine="0"/>
      </w:pPr>
    </w:p>
    <w:p w14:paraId="60BD6C96" w14:textId="3BE5E066" w:rsidR="00D46BCC" w:rsidRPr="00A96976" w:rsidRDefault="00DB33C4" w:rsidP="00875500">
      <w:pPr>
        <w:spacing w:line="240" w:lineRule="auto"/>
        <w:ind w:firstLine="0"/>
      </w:pPr>
      <w:r w:rsidRPr="00A96976">
        <w:t xml:space="preserve">10.) </w:t>
      </w:r>
      <w:r w:rsidR="00D46BCC" w:rsidRPr="00A96976">
        <w:t>Sterile compounding tragedy is a symptom of a broken system on many levels. (2012).</w:t>
      </w:r>
      <w:r w:rsidRPr="00A96976">
        <w:t xml:space="preserve"> ISMP Medication Safety Alert, </w:t>
      </w:r>
      <w:r w:rsidR="00D46BCC" w:rsidRPr="00A96976">
        <w:t>17(21), 1-4.</w:t>
      </w:r>
    </w:p>
    <w:p w14:paraId="2345C73E" w14:textId="77777777" w:rsidR="00875500" w:rsidRDefault="00875500" w:rsidP="00875500">
      <w:pPr>
        <w:spacing w:line="240" w:lineRule="auto"/>
        <w:ind w:firstLine="0"/>
      </w:pPr>
    </w:p>
    <w:p w14:paraId="71B3EFB6" w14:textId="0A70C517" w:rsidR="00DB33C4" w:rsidRPr="00A96976" w:rsidRDefault="00DB33C4" w:rsidP="00875500">
      <w:pPr>
        <w:spacing w:line="240" w:lineRule="auto"/>
        <w:ind w:firstLine="0"/>
      </w:pPr>
      <w:r w:rsidRPr="00A96976">
        <w:t xml:space="preserve">11.) ISMP medication safety alert. (2015). Technology and error-prevention strategies: why are we still overlooking the IV room? Retrieved September 2, 2015, from </w:t>
      </w:r>
    </w:p>
    <w:p w14:paraId="59B38A24" w14:textId="01012B7E" w:rsidR="00DB33C4" w:rsidRPr="00A96976" w:rsidRDefault="00711F33" w:rsidP="00875500">
      <w:pPr>
        <w:spacing w:line="240" w:lineRule="auto"/>
        <w:ind w:firstLine="0"/>
      </w:pPr>
      <w:hyperlink r:id="rId17" w:history="1">
        <w:r w:rsidR="00766C5F" w:rsidRPr="00A96976">
          <w:rPr>
            <w:rStyle w:val="Hyperlink"/>
            <w:color w:val="auto"/>
            <w:u w:val="none"/>
          </w:rPr>
          <w:t>https://www.ismp.org/newsletters/acutecare/showarticle.aspx?id=98</w:t>
        </w:r>
      </w:hyperlink>
      <w:r w:rsidR="00DB33C4" w:rsidRPr="00A96976">
        <w:t>.</w:t>
      </w:r>
    </w:p>
    <w:p w14:paraId="7E18A000" w14:textId="77777777" w:rsidR="00766C5F" w:rsidRPr="00A96976" w:rsidRDefault="00766C5F" w:rsidP="00875500">
      <w:pPr>
        <w:spacing w:line="240" w:lineRule="auto"/>
        <w:ind w:firstLine="0"/>
      </w:pPr>
      <w:r w:rsidRPr="00A96976">
        <w:lastRenderedPageBreak/>
        <w:t xml:space="preserve">12.) Eisler, P., &amp; Schnaars, C. (2014). Safety, sanitary problems prompt scores of drug recalls. Retrieved November 15, 2016, from </w:t>
      </w:r>
    </w:p>
    <w:p w14:paraId="4D7E5E89" w14:textId="59B0DE05" w:rsidR="00766C5F" w:rsidRPr="00A96976" w:rsidRDefault="00766C5F" w:rsidP="00875500">
      <w:pPr>
        <w:spacing w:line="240" w:lineRule="auto"/>
        <w:ind w:firstLine="0"/>
      </w:pPr>
      <w:r w:rsidRPr="00A96976">
        <w:t>http://www.usatoday.com/story/news/nation/2014/10/07/compounding-pharmacy-recalls-inspections-contamination/16472741/</w:t>
      </w:r>
      <w:r w:rsidR="00054EEB" w:rsidRPr="00A96976">
        <w:t>.</w:t>
      </w:r>
    </w:p>
    <w:p w14:paraId="0C4818C2" w14:textId="77777777" w:rsidR="00875500" w:rsidRDefault="00875500" w:rsidP="00875500">
      <w:pPr>
        <w:spacing w:line="240" w:lineRule="auto"/>
        <w:ind w:firstLine="0"/>
      </w:pPr>
    </w:p>
    <w:p w14:paraId="18808BAC" w14:textId="4217274C" w:rsidR="00D46BCC" w:rsidRPr="00A96976" w:rsidRDefault="00D46BCC" w:rsidP="00875500">
      <w:pPr>
        <w:spacing w:line="240" w:lineRule="auto"/>
        <w:ind w:firstLine="0"/>
      </w:pPr>
      <w:r w:rsidRPr="00A96976">
        <w:t>13.</w:t>
      </w:r>
      <w:r w:rsidR="00875500">
        <w:t>)</w:t>
      </w:r>
      <w:r w:rsidRPr="00A96976">
        <w:t xml:space="preserve"> Criminal prosecution of human error will likely have dangerous long-term consequences. (2007). ISMP Medication Safety Alert, 12(5), 1-2.</w:t>
      </w:r>
    </w:p>
    <w:p w14:paraId="7A288AC8" w14:textId="77777777" w:rsidR="00875500" w:rsidRDefault="00875500" w:rsidP="00875500">
      <w:pPr>
        <w:spacing w:line="240" w:lineRule="auto"/>
        <w:ind w:firstLine="0"/>
      </w:pPr>
    </w:p>
    <w:p w14:paraId="167B04A7" w14:textId="6525E755" w:rsidR="00D46BCC" w:rsidRPr="00A96976" w:rsidRDefault="00054EEB" w:rsidP="00875500">
      <w:pPr>
        <w:spacing w:line="240" w:lineRule="auto"/>
        <w:ind w:firstLine="0"/>
      </w:pPr>
      <w:r w:rsidRPr="00A96976">
        <w:t xml:space="preserve">14.) </w:t>
      </w:r>
      <w:r w:rsidR="00D46BCC" w:rsidRPr="00A96976">
        <w:t>Failed check system for chemotherapy leads to pharmacist’s no contest pl</w:t>
      </w:r>
      <w:r w:rsidRPr="00A96976">
        <w:t>ea for involuntary manslaughter. (</w:t>
      </w:r>
      <w:r w:rsidR="00D46BCC" w:rsidRPr="00A96976">
        <w:t>2009). ISMP Medication Safety Alert, 14(8), 1-2.</w:t>
      </w:r>
    </w:p>
    <w:p w14:paraId="22970DA7" w14:textId="77777777" w:rsidR="00875500" w:rsidRDefault="00875500" w:rsidP="00875500">
      <w:pPr>
        <w:spacing w:line="240" w:lineRule="auto"/>
        <w:ind w:firstLine="0"/>
      </w:pPr>
    </w:p>
    <w:p w14:paraId="086E32DE" w14:textId="0A05FBBC" w:rsidR="00D46BCC" w:rsidRPr="00A96976" w:rsidRDefault="00054EEB" w:rsidP="00875500">
      <w:pPr>
        <w:spacing w:line="240" w:lineRule="auto"/>
        <w:ind w:firstLine="0"/>
      </w:pPr>
      <w:r w:rsidRPr="00A96976">
        <w:t xml:space="preserve">15.) </w:t>
      </w:r>
      <w:r w:rsidR="00D46BCC" w:rsidRPr="00A96976">
        <w:t>Fatal 1,000-fold overdoses can occur, particularly to neonates, by transposing mcg and mg. (2007). ISMP Medication Safety Alert, 12(18), 1-4.</w:t>
      </w:r>
    </w:p>
    <w:p w14:paraId="5752D94E" w14:textId="77777777" w:rsidR="00875500" w:rsidRDefault="00875500" w:rsidP="00875500">
      <w:pPr>
        <w:spacing w:line="240" w:lineRule="auto"/>
        <w:ind w:firstLine="0"/>
      </w:pPr>
    </w:p>
    <w:p w14:paraId="06A22AF8" w14:textId="4B1A9F01" w:rsidR="00D46BCC" w:rsidRPr="00A96976" w:rsidRDefault="00054EEB" w:rsidP="00875500">
      <w:pPr>
        <w:spacing w:line="240" w:lineRule="auto"/>
        <w:ind w:firstLine="0"/>
      </w:pPr>
      <w:r w:rsidRPr="00A96976">
        <w:t xml:space="preserve">16.) </w:t>
      </w:r>
      <w:r w:rsidR="00D46BCC" w:rsidRPr="00A96976">
        <w:t>Deaths from intravenous colchicine resulting from a compounding pharmacy error – Oregon and Washington, 2007. (2007). MMWR Weekly, 56, 1050-1052.</w:t>
      </w:r>
    </w:p>
    <w:p w14:paraId="1D0FA9EC" w14:textId="77777777" w:rsidR="00875500" w:rsidRDefault="00875500" w:rsidP="00875500">
      <w:pPr>
        <w:spacing w:line="240" w:lineRule="auto"/>
        <w:ind w:firstLine="0"/>
      </w:pPr>
    </w:p>
    <w:p w14:paraId="1657280A" w14:textId="4CDEDEA1" w:rsidR="00D46BCC" w:rsidRPr="00A96976" w:rsidRDefault="00054EEB" w:rsidP="00875500">
      <w:pPr>
        <w:spacing w:line="240" w:lineRule="auto"/>
        <w:ind w:firstLine="0"/>
      </w:pPr>
      <w:r w:rsidRPr="00A96976">
        <w:t xml:space="preserve">17.) </w:t>
      </w:r>
      <w:r w:rsidR="00D46BCC" w:rsidRPr="00A96976">
        <w:t>Another tragic parenteral nutrition compounding error. (2011). ISMP Medication Safety Alert, 16(8), 1-3.</w:t>
      </w:r>
    </w:p>
    <w:p w14:paraId="65F2F541" w14:textId="77777777" w:rsidR="00875500" w:rsidRDefault="00875500" w:rsidP="00875500">
      <w:pPr>
        <w:spacing w:line="240" w:lineRule="auto"/>
        <w:ind w:firstLine="0"/>
      </w:pPr>
    </w:p>
    <w:p w14:paraId="28A7C719" w14:textId="670FD889" w:rsidR="00D46BCC" w:rsidRPr="00A96976" w:rsidRDefault="00054EEB" w:rsidP="00875500">
      <w:pPr>
        <w:spacing w:line="240" w:lineRule="auto"/>
        <w:ind w:firstLine="0"/>
      </w:pPr>
      <w:r w:rsidRPr="00A96976">
        <w:t xml:space="preserve">18.) </w:t>
      </w:r>
      <w:r w:rsidR="00D46BCC" w:rsidRPr="00A96976">
        <w:t>Unfortunately, this time it wasn’t the equipment. (2005). ISMP Medication Safety Alert, 10(20), 1-2.</w:t>
      </w:r>
    </w:p>
    <w:p w14:paraId="5CA4CB72" w14:textId="77777777" w:rsidR="00875500" w:rsidRDefault="00875500" w:rsidP="00875500">
      <w:pPr>
        <w:spacing w:line="240" w:lineRule="auto"/>
        <w:ind w:firstLine="0"/>
      </w:pPr>
    </w:p>
    <w:p w14:paraId="478DDE27" w14:textId="0343D73C" w:rsidR="00D46BCC" w:rsidRPr="00A96976" w:rsidRDefault="00054EEB" w:rsidP="00875500">
      <w:pPr>
        <w:spacing w:line="240" w:lineRule="auto"/>
        <w:ind w:firstLine="0"/>
      </w:pPr>
      <w:r w:rsidRPr="00A96976">
        <w:t xml:space="preserve">19.) </w:t>
      </w:r>
      <w:r w:rsidR="00D46BCC" w:rsidRPr="00A96976">
        <w:t>Unread labels. (2008). ISMP Medication Safety Alert, 13(18), 1-2.</w:t>
      </w:r>
    </w:p>
    <w:p w14:paraId="61145B30" w14:textId="77777777" w:rsidR="00875500" w:rsidRDefault="00875500" w:rsidP="00875500">
      <w:pPr>
        <w:spacing w:line="240" w:lineRule="auto"/>
        <w:ind w:firstLine="0"/>
      </w:pPr>
    </w:p>
    <w:p w14:paraId="2890505E" w14:textId="4BDFBAF6" w:rsidR="00D46BCC" w:rsidRPr="00A96976" w:rsidRDefault="00054EEB" w:rsidP="00875500">
      <w:pPr>
        <w:spacing w:line="240" w:lineRule="auto"/>
        <w:ind w:firstLine="0"/>
      </w:pPr>
      <w:r w:rsidRPr="00A96976">
        <w:t xml:space="preserve">20.) </w:t>
      </w:r>
      <w:r w:rsidR="00D46BCC" w:rsidRPr="00A96976">
        <w:t>Safe practices in pharmacy sterile compounding errors. (2011).</w:t>
      </w:r>
      <w:r w:rsidRPr="00A96976">
        <w:t xml:space="preserve"> </w:t>
      </w:r>
      <w:r w:rsidR="00D46BCC" w:rsidRPr="00A96976">
        <w:t>ISMP Medication Safety Alert, 16(11), 1-4.</w:t>
      </w:r>
    </w:p>
    <w:p w14:paraId="1EFCE301" w14:textId="77777777" w:rsidR="00875500" w:rsidRDefault="00875500" w:rsidP="00875500">
      <w:pPr>
        <w:spacing w:line="240" w:lineRule="auto"/>
        <w:ind w:firstLine="0"/>
      </w:pPr>
    </w:p>
    <w:p w14:paraId="4367E397" w14:textId="16498EED" w:rsidR="00D46BCC" w:rsidRPr="00A96976" w:rsidRDefault="00054EEB" w:rsidP="00875500">
      <w:pPr>
        <w:spacing w:line="240" w:lineRule="auto"/>
        <w:ind w:firstLine="0"/>
      </w:pPr>
      <w:r w:rsidRPr="00A96976">
        <w:t xml:space="preserve">21.) </w:t>
      </w:r>
      <w:r w:rsidR="00D46BCC" w:rsidRPr="00A96976">
        <w:t xml:space="preserve">Pharmaceutical compounding—sterile preparations (general information chapter 797). (2012). In: United States Pharmacopeia and National Formulary (USP 35Rev/NF 30Ed). Rockville, MD: United States Pharmacopeia Convention, 350–387. </w:t>
      </w:r>
    </w:p>
    <w:p w14:paraId="7FAE556C" w14:textId="77777777" w:rsidR="00875500" w:rsidRDefault="00875500" w:rsidP="00875500">
      <w:pPr>
        <w:spacing w:line="240" w:lineRule="auto"/>
        <w:ind w:firstLine="0"/>
      </w:pPr>
    </w:p>
    <w:p w14:paraId="4B4759E8" w14:textId="6EC110CC" w:rsidR="00054EEB" w:rsidRPr="00A96976" w:rsidRDefault="00054EEB" w:rsidP="00875500">
      <w:pPr>
        <w:spacing w:line="240" w:lineRule="auto"/>
        <w:ind w:firstLine="0"/>
      </w:pPr>
      <w:r w:rsidRPr="00A96976">
        <w:t xml:space="preserve">22.) </w:t>
      </w:r>
      <w:r w:rsidR="00D46BCC" w:rsidRPr="00A96976">
        <w:t>Clinical IQ. (2012). 797 State surve</w:t>
      </w:r>
      <w:r w:rsidRPr="00A96976">
        <w:t xml:space="preserve">y. Retrieved November 10, 2016, </w:t>
      </w:r>
      <w:r w:rsidR="00D46BCC" w:rsidRPr="00A96976">
        <w:t xml:space="preserve">from </w:t>
      </w:r>
    </w:p>
    <w:p w14:paraId="0392EF9A" w14:textId="0B50E689" w:rsidR="00D46BCC" w:rsidRPr="00A96976" w:rsidRDefault="00D46BCC" w:rsidP="00875500">
      <w:pPr>
        <w:spacing w:line="240" w:lineRule="auto"/>
        <w:ind w:firstLine="0"/>
      </w:pPr>
      <w:r w:rsidRPr="00A96976">
        <w:t xml:space="preserve">www.clinicaliq.com/797- state-survey. </w:t>
      </w:r>
    </w:p>
    <w:p w14:paraId="4079D47C" w14:textId="77777777" w:rsidR="00875500" w:rsidRDefault="00875500" w:rsidP="00875500">
      <w:pPr>
        <w:spacing w:line="240" w:lineRule="auto"/>
        <w:ind w:firstLine="0"/>
      </w:pPr>
    </w:p>
    <w:p w14:paraId="36FE8EF5" w14:textId="28758B9D" w:rsidR="00D46BCC" w:rsidRPr="00A96976" w:rsidRDefault="00054EEB" w:rsidP="00875500">
      <w:pPr>
        <w:spacing w:line="240" w:lineRule="auto"/>
        <w:ind w:firstLine="0"/>
      </w:pPr>
      <w:r w:rsidRPr="00A96976">
        <w:t xml:space="preserve">23.) </w:t>
      </w:r>
      <w:r w:rsidR="00D46BCC" w:rsidRPr="00A96976">
        <w:t>Pedersen, C</w:t>
      </w:r>
      <w:r w:rsidRPr="00A96976">
        <w:t>.</w:t>
      </w:r>
      <w:r w:rsidR="00D46BCC" w:rsidRPr="00A96976">
        <w:t>A</w:t>
      </w:r>
      <w:r w:rsidRPr="00A96976">
        <w:t>.</w:t>
      </w:r>
      <w:r w:rsidR="00D46BCC" w:rsidRPr="00A96976">
        <w:t>, Schneider, P</w:t>
      </w:r>
      <w:r w:rsidRPr="00A96976">
        <w:t>.</w:t>
      </w:r>
      <w:r w:rsidR="00D46BCC" w:rsidRPr="00A96976">
        <w:t>J</w:t>
      </w:r>
      <w:r w:rsidRPr="00A96976">
        <w:t>.</w:t>
      </w:r>
      <w:r w:rsidR="00D46BCC" w:rsidRPr="00A96976">
        <w:t>, &amp; Scheckelhoff, D</w:t>
      </w:r>
      <w:r w:rsidRPr="00A96976">
        <w:t>.</w:t>
      </w:r>
      <w:r w:rsidR="00D46BCC" w:rsidRPr="00A96976">
        <w:t xml:space="preserve">J. ASHP national survey of pharmacy practice in hospital settings: dispensing and </w:t>
      </w:r>
      <w:r w:rsidRPr="00A96976">
        <w:t xml:space="preserve">administration – 2011. (2012). </w:t>
      </w:r>
      <w:r w:rsidR="00D46BCC" w:rsidRPr="00A96976">
        <w:t>Am J Health Syst Pharm, 69, 768-785.</w:t>
      </w:r>
    </w:p>
    <w:p w14:paraId="6AFAA2E2" w14:textId="77777777" w:rsidR="00875500" w:rsidRDefault="00875500" w:rsidP="00875500">
      <w:pPr>
        <w:spacing w:line="240" w:lineRule="auto"/>
        <w:ind w:firstLine="0"/>
      </w:pPr>
    </w:p>
    <w:p w14:paraId="5EBF26B1" w14:textId="78B24B2B" w:rsidR="00D46BCC" w:rsidRPr="00A96976" w:rsidRDefault="00054EEB" w:rsidP="00875500">
      <w:pPr>
        <w:spacing w:line="240" w:lineRule="auto"/>
        <w:ind w:firstLine="0"/>
      </w:pPr>
      <w:r w:rsidRPr="00A96976">
        <w:t xml:space="preserve">24.) </w:t>
      </w:r>
      <w:r w:rsidR="00D46BCC" w:rsidRPr="00A96976">
        <w:t>Douglass, K</w:t>
      </w:r>
      <w:r w:rsidRPr="00A96976">
        <w:t>.</w:t>
      </w:r>
      <w:r w:rsidR="00D46BCC" w:rsidRPr="00A96976">
        <w:t>, Kastango, E</w:t>
      </w:r>
      <w:r w:rsidRPr="00A96976">
        <w:t>.</w:t>
      </w:r>
      <w:r w:rsidR="00D46BCC" w:rsidRPr="00A96976">
        <w:t>S</w:t>
      </w:r>
      <w:r w:rsidRPr="00A96976">
        <w:t xml:space="preserve">., &amp; Cantor, P. (2012). The 2012 USP &lt;797&gt; </w:t>
      </w:r>
      <w:r w:rsidR="00D46BCC" w:rsidRPr="00A96976">
        <w:t>compliance surv</w:t>
      </w:r>
      <w:r w:rsidRPr="00A96976">
        <w:t xml:space="preserve">ey: measuring progress. </w:t>
      </w:r>
      <w:r w:rsidR="00D46BCC" w:rsidRPr="00A96976">
        <w:t>P</w:t>
      </w:r>
      <w:r w:rsidRPr="00A96976">
        <w:t xml:space="preserve">harm Purchasing Products, 8(10), </w:t>
      </w:r>
      <w:r w:rsidR="00D46BCC" w:rsidRPr="00A96976">
        <w:t>S4-24.</w:t>
      </w:r>
    </w:p>
    <w:p w14:paraId="5B324632" w14:textId="77777777" w:rsidR="00875500" w:rsidRDefault="00875500" w:rsidP="00875500">
      <w:pPr>
        <w:spacing w:line="240" w:lineRule="auto"/>
        <w:ind w:firstLine="0"/>
      </w:pPr>
    </w:p>
    <w:p w14:paraId="560FD39F" w14:textId="7B3743A8" w:rsidR="00054EEB" w:rsidRPr="00A96976" w:rsidRDefault="00054EEB" w:rsidP="00875500">
      <w:pPr>
        <w:spacing w:line="240" w:lineRule="auto"/>
        <w:ind w:firstLine="0"/>
      </w:pPr>
      <w:r w:rsidRPr="00A96976">
        <w:t xml:space="preserve">25.) </w:t>
      </w:r>
      <w:r w:rsidR="00D46BCC" w:rsidRPr="00A96976">
        <w:t xml:space="preserve">Pedersen, </w:t>
      </w:r>
      <w:r w:rsidR="005B46E6">
        <w:t>C.A., Schneider, P.J., &amp; Scheckelhoff, D.</w:t>
      </w:r>
      <w:r w:rsidR="00D46BCC" w:rsidRPr="00A96976">
        <w:t>J. (2015). ASHP national survey of pharmacy practice in hospital settings: Dispensing and administration--2014. American Journal of Health-System Pharmacy, 72(13), 1119-1137.</w:t>
      </w:r>
    </w:p>
    <w:p w14:paraId="3032B0B0" w14:textId="1391E125" w:rsidR="00D46BCC" w:rsidRPr="00A96976" w:rsidRDefault="00054EEB" w:rsidP="00875500">
      <w:pPr>
        <w:spacing w:line="240" w:lineRule="auto"/>
        <w:ind w:firstLine="0"/>
      </w:pPr>
      <w:r w:rsidRPr="00A96976">
        <w:lastRenderedPageBreak/>
        <w:t xml:space="preserve">26.) </w:t>
      </w:r>
      <w:r w:rsidR="00D46BCC" w:rsidRPr="00A96976">
        <w:t>Hellums, M</w:t>
      </w:r>
      <w:r w:rsidRPr="00A96976">
        <w:t>.</w:t>
      </w:r>
      <w:r w:rsidR="00D46BCC" w:rsidRPr="00A96976">
        <w:t>, Alverson, S.P., &amp; Monk-Tutor, M.R.</w:t>
      </w:r>
      <w:r w:rsidRPr="00A96976">
        <w:t xml:space="preserve"> (2007).</w:t>
      </w:r>
      <w:r w:rsidR="00D46BCC" w:rsidRPr="00A96976">
        <w:t xml:space="preserve"> Instruction on compounded sterile preparations at U.S</w:t>
      </w:r>
      <w:r w:rsidRPr="00A96976">
        <w:t xml:space="preserve">. schools of pharmacy. </w:t>
      </w:r>
      <w:r w:rsidR="00D46BCC" w:rsidRPr="00A96976">
        <w:t>Am J Health Syst Pharm, 64, 2267-2274.</w:t>
      </w:r>
    </w:p>
    <w:p w14:paraId="4EE1A6BE" w14:textId="77777777" w:rsidR="00875500" w:rsidRDefault="00875500" w:rsidP="00875500">
      <w:pPr>
        <w:spacing w:line="240" w:lineRule="auto"/>
        <w:ind w:firstLine="0"/>
      </w:pPr>
    </w:p>
    <w:p w14:paraId="59D03028" w14:textId="0DA6B104" w:rsidR="00054EEB" w:rsidRPr="00A96976" w:rsidRDefault="00054EEB" w:rsidP="00875500">
      <w:pPr>
        <w:spacing w:line="240" w:lineRule="auto"/>
        <w:ind w:firstLine="0"/>
      </w:pPr>
      <w:r w:rsidRPr="00A96976">
        <w:t>27.) ISMP medication safety alert. (2010). P</w:t>
      </w:r>
      <w:r w:rsidR="00D46BCC" w:rsidRPr="00A96976">
        <w:t>ost-production IV admixture</w:t>
      </w:r>
      <w:r w:rsidRPr="00A96976">
        <w:t xml:space="preserve"> checks less than ideal. Retrieved September 1, 2015, from</w:t>
      </w:r>
    </w:p>
    <w:p w14:paraId="5CC23E4D" w14:textId="4C39C907" w:rsidR="00D46BCC" w:rsidRPr="00A96976" w:rsidRDefault="00711F33" w:rsidP="00875500">
      <w:pPr>
        <w:spacing w:line="240" w:lineRule="auto"/>
        <w:ind w:firstLine="0"/>
      </w:pPr>
      <w:hyperlink r:id="rId18" w:history="1">
        <w:r w:rsidR="00D46BCC" w:rsidRPr="00A96976">
          <w:rPr>
            <w:rStyle w:val="Hyperlink"/>
            <w:color w:val="auto"/>
            <w:u w:val="none"/>
          </w:rPr>
          <w:t>http://www.baxtermedicationdeliveryproducts.com/pdf/111835_ISMPPost-ProductionIVAdmixtureChecksLessThanIdeal_ArticleReprint_FINAL.pdf</w:t>
        </w:r>
      </w:hyperlink>
      <w:r w:rsidR="00054EEB" w:rsidRPr="00A96976">
        <w:t>.</w:t>
      </w:r>
    </w:p>
    <w:p w14:paraId="46319218" w14:textId="77777777" w:rsidR="00875500" w:rsidRDefault="00875500" w:rsidP="00875500">
      <w:pPr>
        <w:spacing w:line="240" w:lineRule="auto"/>
        <w:ind w:firstLine="0"/>
      </w:pPr>
    </w:p>
    <w:p w14:paraId="22DD052A" w14:textId="2496BF31" w:rsidR="00D46BCC" w:rsidRPr="00A96976" w:rsidRDefault="00054EEB" w:rsidP="00875500">
      <w:pPr>
        <w:spacing w:line="240" w:lineRule="auto"/>
        <w:ind w:firstLine="0"/>
      </w:pPr>
      <w:r w:rsidRPr="00A96976">
        <w:t xml:space="preserve">28.) </w:t>
      </w:r>
      <w:r w:rsidR="00D46BCC" w:rsidRPr="00A96976">
        <w:t xml:space="preserve">American Society of Health-System Pharmacists. </w:t>
      </w:r>
      <w:r w:rsidRPr="00A96976">
        <w:t xml:space="preserve">(2011). </w:t>
      </w:r>
      <w:r w:rsidR="00D46BCC" w:rsidRPr="00A96976">
        <w:t>ASHP statement on bar-code verification during inventory, preparation</w:t>
      </w:r>
      <w:r w:rsidRPr="00A96976">
        <w:t>, and dispensing of medications</w:t>
      </w:r>
      <w:r w:rsidR="00D46BCC" w:rsidRPr="00A96976">
        <w:t xml:space="preserve">. Am J Health-Syst Pharm, </w:t>
      </w:r>
      <w:r w:rsidRPr="00A96976">
        <w:t xml:space="preserve">68, </w:t>
      </w:r>
      <w:r w:rsidR="00D46BCC" w:rsidRPr="00A96976">
        <w:t>442-5.</w:t>
      </w:r>
    </w:p>
    <w:p w14:paraId="5E8C03BB" w14:textId="77777777" w:rsidR="00875500" w:rsidRDefault="00875500" w:rsidP="00875500">
      <w:pPr>
        <w:spacing w:line="240" w:lineRule="auto"/>
        <w:ind w:firstLine="0"/>
      </w:pPr>
    </w:p>
    <w:p w14:paraId="141BD309" w14:textId="0819BD9E" w:rsidR="00D46BCC" w:rsidRPr="00A96976" w:rsidRDefault="00054EEB" w:rsidP="00875500">
      <w:pPr>
        <w:spacing w:line="240" w:lineRule="auto"/>
        <w:ind w:firstLine="0"/>
      </w:pPr>
      <w:r w:rsidRPr="00A96976">
        <w:t xml:space="preserve">29.) Churchill, </w:t>
      </w:r>
      <w:r w:rsidR="00D46BCC" w:rsidRPr="00A96976">
        <w:t xml:space="preserve">W. </w:t>
      </w:r>
      <w:r w:rsidRPr="00A96976">
        <w:t xml:space="preserve">(2010). </w:t>
      </w:r>
      <w:r w:rsidR="00D46BCC" w:rsidRPr="00A96976">
        <w:t>Use of Automation and robotic technology to improve the process for preparing compo</w:t>
      </w:r>
      <w:r w:rsidRPr="00A96976">
        <w:t xml:space="preserve">unded sterile products. </w:t>
      </w:r>
      <w:r w:rsidR="00D46BCC" w:rsidRPr="00A96976">
        <w:t>ASHP Ad</w:t>
      </w:r>
      <w:r w:rsidRPr="00A96976">
        <w:t xml:space="preserve">vantage Webinar. Retrieved </w:t>
      </w:r>
      <w:r w:rsidR="00D46BCC" w:rsidRPr="00A96976">
        <w:t xml:space="preserve">November 2, 2016, from http:// www.ashpadvantagemedia.com/ivautomation/webinarhandout.pdf. </w:t>
      </w:r>
    </w:p>
    <w:p w14:paraId="661798BE" w14:textId="77777777" w:rsidR="00875500" w:rsidRDefault="00875500" w:rsidP="00875500">
      <w:pPr>
        <w:spacing w:line="240" w:lineRule="auto"/>
        <w:ind w:firstLine="0"/>
      </w:pPr>
    </w:p>
    <w:p w14:paraId="0A7BAB48" w14:textId="55EDA89E" w:rsidR="00D46BCC" w:rsidRPr="00A96976" w:rsidRDefault="00054EEB" w:rsidP="00875500">
      <w:pPr>
        <w:spacing w:line="240" w:lineRule="auto"/>
        <w:ind w:firstLine="0"/>
        <w:rPr>
          <w:rFonts w:eastAsia="Calibri"/>
        </w:rPr>
      </w:pPr>
      <w:r w:rsidRPr="00A96976">
        <w:t xml:space="preserve">30.) </w:t>
      </w:r>
      <w:r w:rsidR="00D46BCC" w:rsidRPr="00A96976">
        <w:rPr>
          <w:rFonts w:eastAsia="Calibri"/>
        </w:rPr>
        <w:t xml:space="preserve">Speth, </w:t>
      </w:r>
      <w:r w:rsidR="00B2135D">
        <w:rPr>
          <w:rFonts w:eastAsia="Calibri"/>
        </w:rPr>
        <w:t>S, Fields, D.B., Schlemmer, C.B.</w:t>
      </w:r>
      <w:r w:rsidR="00D46BCC" w:rsidRPr="00A96976">
        <w:rPr>
          <w:rFonts w:eastAsia="Calibri"/>
        </w:rPr>
        <w:t>,&amp; Harrison, C. (2013). Optimizing i.v. workflow. Am J Health-Syst Pharm, 70, 2076-80.</w:t>
      </w:r>
    </w:p>
    <w:p w14:paraId="78412499" w14:textId="77777777" w:rsidR="00875500" w:rsidRDefault="00875500" w:rsidP="00875500">
      <w:pPr>
        <w:spacing w:line="240" w:lineRule="auto"/>
        <w:ind w:firstLine="0"/>
        <w:rPr>
          <w:rFonts w:eastAsia="Calibri"/>
        </w:rPr>
      </w:pPr>
    </w:p>
    <w:p w14:paraId="4566A6AC" w14:textId="3272C6CB" w:rsidR="00D46BCC" w:rsidRPr="00A96976" w:rsidRDefault="00054EEB" w:rsidP="00875500">
      <w:pPr>
        <w:spacing w:line="240" w:lineRule="auto"/>
        <w:ind w:firstLine="0"/>
      </w:pPr>
      <w:r w:rsidRPr="00A96976">
        <w:rPr>
          <w:rFonts w:eastAsia="Calibri"/>
        </w:rPr>
        <w:t>31.)</w:t>
      </w:r>
      <w:r w:rsidR="00D46BCC" w:rsidRPr="00A96976">
        <w:rPr>
          <w:rFonts w:eastAsia="Calibri"/>
        </w:rPr>
        <w:t xml:space="preserve"> </w:t>
      </w:r>
      <w:r w:rsidR="00D46BCC" w:rsidRPr="00A96976">
        <w:t>Deng Y</w:t>
      </w:r>
      <w:r w:rsidRPr="00A96976">
        <w:t>.</w:t>
      </w:r>
      <w:r w:rsidR="00D46BCC" w:rsidRPr="00A96976">
        <w:t>, Lin A</w:t>
      </w:r>
      <w:r w:rsidRPr="00A96976">
        <w:t>.</w:t>
      </w:r>
      <w:r w:rsidR="00D46BCC" w:rsidRPr="00A96976">
        <w:t>L</w:t>
      </w:r>
      <w:r w:rsidRPr="00A96976">
        <w:t>.</w:t>
      </w:r>
      <w:r w:rsidR="00D46BCC" w:rsidRPr="00A96976">
        <w:t>, Hingl</w:t>
      </w:r>
      <w:r w:rsidRPr="00A96976">
        <w:t>,</w:t>
      </w:r>
      <w:r w:rsidR="00D46BCC" w:rsidRPr="00A96976">
        <w:t xml:space="preserve"> J</w:t>
      </w:r>
      <w:r w:rsidRPr="00A96976">
        <w:t>.</w:t>
      </w:r>
      <w:r w:rsidR="00D46BCC" w:rsidRPr="00A96976">
        <w:t xml:space="preserve"> et al.</w:t>
      </w:r>
      <w:r w:rsidRPr="00A96976">
        <w:t xml:space="preserve"> (2016).</w:t>
      </w:r>
      <w:r w:rsidR="00D46BCC" w:rsidRPr="00A96976">
        <w:t xml:space="preserve"> Risk factors of i.v. compounding errors when using an automated workflow management system</w:t>
      </w:r>
      <w:r w:rsidRPr="00A96976">
        <w:t xml:space="preserve">. Am J Health-Syst Pharm, 73(12), </w:t>
      </w:r>
      <w:r w:rsidR="00D46BCC" w:rsidRPr="00A96976">
        <w:t>887-893.</w:t>
      </w:r>
    </w:p>
    <w:p w14:paraId="06231522" w14:textId="77777777" w:rsidR="00875500" w:rsidRDefault="00875500" w:rsidP="00875500">
      <w:pPr>
        <w:spacing w:line="240" w:lineRule="auto"/>
        <w:ind w:firstLine="0"/>
      </w:pPr>
    </w:p>
    <w:p w14:paraId="0E14F332" w14:textId="0C49CBFB" w:rsidR="00D46BCC" w:rsidRPr="00A96976" w:rsidRDefault="00054EEB" w:rsidP="00875500">
      <w:pPr>
        <w:spacing w:line="240" w:lineRule="auto"/>
        <w:ind w:firstLine="0"/>
      </w:pPr>
      <w:r w:rsidRPr="00A96976">
        <w:t xml:space="preserve">32.) </w:t>
      </w:r>
      <w:r w:rsidR="00D46BCC" w:rsidRPr="00A96976">
        <w:t>Moniz</w:t>
      </w:r>
      <w:r w:rsidRPr="00A96976">
        <w:t>,</w:t>
      </w:r>
      <w:r w:rsidR="00D46BCC" w:rsidRPr="00A96976">
        <w:t xml:space="preserve"> T</w:t>
      </w:r>
      <w:r w:rsidRPr="00A96976">
        <w:t>.</w:t>
      </w:r>
      <w:r w:rsidR="00D46BCC" w:rsidRPr="00A96976">
        <w:t>T</w:t>
      </w:r>
      <w:r w:rsidRPr="00A96976">
        <w:t>.</w:t>
      </w:r>
      <w:r w:rsidR="00D46BCC" w:rsidRPr="00A96976">
        <w:t>, Chu</w:t>
      </w:r>
      <w:r w:rsidRPr="00A96976">
        <w:t>,</w:t>
      </w:r>
      <w:r w:rsidR="00D46BCC" w:rsidRPr="00A96976">
        <w:t xml:space="preserve"> S</w:t>
      </w:r>
      <w:r w:rsidRPr="00A96976">
        <w:t>.</w:t>
      </w:r>
      <w:r w:rsidR="00D46BCC" w:rsidRPr="00A96976">
        <w:t>, Tom</w:t>
      </w:r>
      <w:r w:rsidRPr="00A96976">
        <w:t>,</w:t>
      </w:r>
      <w:r w:rsidR="00D46BCC" w:rsidRPr="00A96976">
        <w:t xml:space="preserve"> C</w:t>
      </w:r>
      <w:r w:rsidRPr="00A96976">
        <w:t>.</w:t>
      </w:r>
      <w:r w:rsidR="00D46BCC" w:rsidRPr="00A96976">
        <w:t xml:space="preserve"> et al.</w:t>
      </w:r>
      <w:r w:rsidRPr="00A96976">
        <w:t xml:space="preserve"> (2014).</w:t>
      </w:r>
      <w:r w:rsidR="00D46BCC" w:rsidRPr="00A96976">
        <w:t xml:space="preserve"> Sterile product compounding using an i.v. compounding workflow management system at a pediatric hospita</w:t>
      </w:r>
      <w:r w:rsidRPr="00A96976">
        <w:t>l. Am J Health-Syst Pharm, 71, 1311-1317</w:t>
      </w:r>
      <w:r w:rsidR="00D46BCC" w:rsidRPr="00A96976">
        <w:t>.</w:t>
      </w:r>
    </w:p>
    <w:p w14:paraId="61D31FD8" w14:textId="77777777" w:rsidR="00875500" w:rsidRDefault="00875500" w:rsidP="00875500">
      <w:pPr>
        <w:spacing w:line="240" w:lineRule="auto"/>
        <w:ind w:firstLine="0"/>
      </w:pPr>
    </w:p>
    <w:p w14:paraId="54C28F6B" w14:textId="3E587025" w:rsidR="00D46BCC" w:rsidRPr="00A96976" w:rsidRDefault="00054EEB" w:rsidP="00875500">
      <w:pPr>
        <w:spacing w:line="240" w:lineRule="auto"/>
        <w:ind w:firstLine="0"/>
      </w:pPr>
      <w:r w:rsidRPr="00A96976">
        <w:t>33.) Reece, K.M., Lozano, M.A., Roux, R., &amp; Spivey, S.</w:t>
      </w:r>
      <w:r w:rsidR="00D46BCC" w:rsidRPr="00A96976">
        <w:t>M. (2016). Implementation and evaluation of a gravimetric i.v. workflow software system in an oncology ambulatory care pharmacy. American Journal of Health-System Pharmacy, 73(3), 165-173.</w:t>
      </w:r>
    </w:p>
    <w:p w14:paraId="230F27F4" w14:textId="77777777" w:rsidR="00E22E51" w:rsidRPr="00A96976" w:rsidRDefault="00E22E51" w:rsidP="00875500">
      <w:pPr>
        <w:pStyle w:val="BibliographyEntry"/>
      </w:pPr>
    </w:p>
    <w:sectPr w:rsidR="00E22E51" w:rsidRPr="00A96976" w:rsidSect="0021522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12409" w14:textId="77777777" w:rsidR="00CB28D9" w:rsidRDefault="00CB28D9">
      <w:r>
        <w:separator/>
      </w:r>
    </w:p>
  </w:endnote>
  <w:endnote w:type="continuationSeparator" w:id="0">
    <w:p w14:paraId="7006B1B4" w14:textId="77777777" w:rsidR="00CB28D9" w:rsidRDefault="00CB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88E6" w14:textId="71BE30D0" w:rsidR="005B57EC" w:rsidRDefault="005B57EC" w:rsidP="005B57EC">
    <w:pPr>
      <w:pStyle w:val="Footer"/>
      <w:ind w:firstLine="0"/>
      <w:jc w:val="center"/>
    </w:pPr>
    <w:r>
      <w:fldChar w:fldCharType="begin"/>
    </w:r>
    <w:r>
      <w:instrText xml:space="preserve"> PAGE   \* MERGEFORMAT </w:instrText>
    </w:r>
    <w:r>
      <w:fldChar w:fldCharType="separate"/>
    </w:r>
    <w:r w:rsidR="00711F33">
      <w:rPr>
        <w:noProof/>
      </w:rPr>
      <w:t>vii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3B4D" w14:textId="1D0DE3B6" w:rsidR="00CB28D9" w:rsidRPr="009D5264" w:rsidRDefault="00CB28D9" w:rsidP="009D5264">
    <w:pPr>
      <w:pStyle w:val="Footer"/>
      <w:ind w:firstLine="0"/>
      <w:jc w:val="center"/>
      <w:rPr>
        <w:caps/>
        <w:noProof/>
      </w:rPr>
    </w:pPr>
    <w:r w:rsidRPr="009D5264">
      <w:rPr>
        <w:caps/>
      </w:rPr>
      <w:fldChar w:fldCharType="begin"/>
    </w:r>
    <w:r w:rsidRPr="009D5264">
      <w:rPr>
        <w:caps/>
      </w:rPr>
      <w:instrText xml:space="preserve"> PAGE   \* MERGEFORMAT </w:instrText>
    </w:r>
    <w:r w:rsidRPr="009D5264">
      <w:rPr>
        <w:caps/>
      </w:rPr>
      <w:fldChar w:fldCharType="separate"/>
    </w:r>
    <w:r w:rsidR="00711F33">
      <w:rPr>
        <w:caps/>
        <w:noProof/>
      </w:rPr>
      <w:t>1</w:t>
    </w:r>
    <w:r w:rsidRPr="009D526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4D54" w14:textId="541AEA93" w:rsidR="00CB28D9" w:rsidRPr="009D5264" w:rsidRDefault="00CB28D9" w:rsidP="009D5264">
    <w:pPr>
      <w:pStyle w:val="Footer"/>
      <w:ind w:firstLine="0"/>
      <w:jc w:val="center"/>
      <w:rPr>
        <w:caps/>
        <w:noProof/>
      </w:rPr>
    </w:pPr>
    <w:r w:rsidRPr="009D5264">
      <w:rPr>
        <w:caps/>
      </w:rPr>
      <w:fldChar w:fldCharType="begin"/>
    </w:r>
    <w:r w:rsidRPr="009D5264">
      <w:rPr>
        <w:caps/>
      </w:rPr>
      <w:instrText xml:space="preserve"> PAGE   \* MERGEFORMAT </w:instrText>
    </w:r>
    <w:r w:rsidRPr="009D5264">
      <w:rPr>
        <w:caps/>
      </w:rPr>
      <w:fldChar w:fldCharType="separate"/>
    </w:r>
    <w:r w:rsidR="00711F33">
      <w:rPr>
        <w:caps/>
        <w:noProof/>
      </w:rPr>
      <w:t>13</w:t>
    </w:r>
    <w:r w:rsidRPr="009D5264">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F3E0" w14:textId="77777777" w:rsidR="00CB28D9" w:rsidRDefault="00CB28D9">
      <w:r>
        <w:separator/>
      </w:r>
    </w:p>
  </w:footnote>
  <w:footnote w:type="continuationSeparator" w:id="0">
    <w:p w14:paraId="4861352F" w14:textId="77777777" w:rsidR="00CB28D9" w:rsidRDefault="00CB2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ECF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4C1D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41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E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4482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C267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1077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0F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26F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64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F3A38"/>
    <w:multiLevelType w:val="hybridMultilevel"/>
    <w:tmpl w:val="1ED67502"/>
    <w:lvl w:ilvl="0" w:tplc="715A1D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15625"/>
    <w:multiLevelType w:val="multilevel"/>
    <w:tmpl w:val="3C72564E"/>
    <w:lvl w:ilvl="0">
      <w:start w:val="1"/>
      <w:numFmt w:val="decimal"/>
      <w:pStyle w:val="Heading1"/>
      <w:lvlText w:val="%1.0 "/>
      <w:lvlJc w:val="left"/>
      <w:pPr>
        <w:tabs>
          <w:tab w:val="num" w:pos="-720"/>
        </w:tabs>
        <w:ind w:left="-720" w:firstLine="0"/>
      </w:pPr>
      <w:rPr>
        <w:rFonts w:hint="default"/>
        <w:b/>
        <w:i w:val="0"/>
        <w:sz w:val="24"/>
        <w:szCs w:val="24"/>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i w:val="0"/>
        <w:sz w:val="24"/>
        <w:szCs w:val="24"/>
      </w:rPr>
    </w:lvl>
    <w:lvl w:ilvl="3">
      <w:start w:val="1"/>
      <w:numFmt w:val="decimal"/>
      <w:pStyle w:val="Heading4"/>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0517A"/>
    <w:multiLevelType w:val="multilevel"/>
    <w:tmpl w:val="B00EB1C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3" w15:restartNumberingAfterBreak="0">
    <w:nsid w:val="151907C4"/>
    <w:multiLevelType w:val="multilevel"/>
    <w:tmpl w:val="F43C4336"/>
    <w:lvl w:ilvl="0">
      <w:start w:val="1"/>
      <w:numFmt w:val="decimal"/>
      <w:lvlText w:val="%1.0 "/>
      <w:lvlJc w:val="left"/>
      <w:pPr>
        <w:tabs>
          <w:tab w:val="num" w:pos="0"/>
        </w:tabs>
        <w:ind w:left="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firstLine="0"/>
      </w:pPr>
      <w:rPr>
        <w:rFonts w:hint="default"/>
        <w:b/>
        <w:i w:val="0"/>
        <w:sz w:val="24"/>
        <w:szCs w:val="24"/>
      </w:rPr>
    </w:lvl>
    <w:lvl w:ilvl="3">
      <w:start w:val="1"/>
      <w:numFmt w:val="decimal"/>
      <w:lvlText w:val="%1.%2.%3.%4"/>
      <w:lvlJc w:val="left"/>
      <w:pPr>
        <w:tabs>
          <w:tab w:val="num" w:pos="-1440"/>
        </w:tabs>
        <w:ind w:left="-1440" w:firstLine="0"/>
      </w:pPr>
      <w:rPr>
        <w:rFonts w:hint="default"/>
        <w:b/>
        <w:i w:val="0"/>
        <w:sz w:val="24"/>
        <w:szCs w:val="24"/>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4" w15:restartNumberingAfterBreak="0">
    <w:nsid w:val="17611808"/>
    <w:multiLevelType w:val="hybridMultilevel"/>
    <w:tmpl w:val="61D482FA"/>
    <w:lvl w:ilvl="0" w:tplc="0FD6F0F2">
      <w:start w:val="1"/>
      <w:numFmt w:val="decimal"/>
      <w:lvlText w:val="%1)"/>
      <w:lvlJc w:val="left"/>
      <w:pPr>
        <w:tabs>
          <w:tab w:val="num" w:pos="1080"/>
        </w:tabs>
        <w:ind w:left="1080" w:hanging="360"/>
      </w:pPr>
    </w:lvl>
    <w:lvl w:ilvl="1" w:tplc="1BCE2032">
      <w:start w:val="1"/>
      <w:numFmt w:val="lowerLetter"/>
      <w:lvlText w:val="%2."/>
      <w:lvlJc w:val="left"/>
      <w:pPr>
        <w:tabs>
          <w:tab w:val="num" w:pos="1800"/>
        </w:tabs>
        <w:ind w:left="1800" w:hanging="360"/>
      </w:pPr>
    </w:lvl>
    <w:lvl w:ilvl="2" w:tplc="A1C80CF8" w:tentative="1">
      <w:start w:val="1"/>
      <w:numFmt w:val="decimal"/>
      <w:lvlText w:val="%3)"/>
      <w:lvlJc w:val="left"/>
      <w:pPr>
        <w:tabs>
          <w:tab w:val="num" w:pos="2520"/>
        </w:tabs>
        <w:ind w:left="2520" w:hanging="360"/>
      </w:pPr>
    </w:lvl>
    <w:lvl w:ilvl="3" w:tplc="F3D85292" w:tentative="1">
      <w:start w:val="1"/>
      <w:numFmt w:val="decimal"/>
      <w:lvlText w:val="%4)"/>
      <w:lvlJc w:val="left"/>
      <w:pPr>
        <w:tabs>
          <w:tab w:val="num" w:pos="3240"/>
        </w:tabs>
        <w:ind w:left="3240" w:hanging="360"/>
      </w:pPr>
    </w:lvl>
    <w:lvl w:ilvl="4" w:tplc="316694CE" w:tentative="1">
      <w:start w:val="1"/>
      <w:numFmt w:val="decimal"/>
      <w:lvlText w:val="%5)"/>
      <w:lvlJc w:val="left"/>
      <w:pPr>
        <w:tabs>
          <w:tab w:val="num" w:pos="3960"/>
        </w:tabs>
        <w:ind w:left="3960" w:hanging="360"/>
      </w:pPr>
    </w:lvl>
    <w:lvl w:ilvl="5" w:tplc="1882A4F4" w:tentative="1">
      <w:start w:val="1"/>
      <w:numFmt w:val="decimal"/>
      <w:lvlText w:val="%6)"/>
      <w:lvlJc w:val="left"/>
      <w:pPr>
        <w:tabs>
          <w:tab w:val="num" w:pos="4680"/>
        </w:tabs>
        <w:ind w:left="4680" w:hanging="360"/>
      </w:pPr>
    </w:lvl>
    <w:lvl w:ilvl="6" w:tplc="D54C68C4" w:tentative="1">
      <w:start w:val="1"/>
      <w:numFmt w:val="decimal"/>
      <w:lvlText w:val="%7)"/>
      <w:lvlJc w:val="left"/>
      <w:pPr>
        <w:tabs>
          <w:tab w:val="num" w:pos="5400"/>
        </w:tabs>
        <w:ind w:left="5400" w:hanging="360"/>
      </w:pPr>
    </w:lvl>
    <w:lvl w:ilvl="7" w:tplc="A61283BA" w:tentative="1">
      <w:start w:val="1"/>
      <w:numFmt w:val="decimal"/>
      <w:lvlText w:val="%8)"/>
      <w:lvlJc w:val="left"/>
      <w:pPr>
        <w:tabs>
          <w:tab w:val="num" w:pos="6120"/>
        </w:tabs>
        <w:ind w:left="6120" w:hanging="360"/>
      </w:pPr>
    </w:lvl>
    <w:lvl w:ilvl="8" w:tplc="095EDE7C" w:tentative="1">
      <w:start w:val="1"/>
      <w:numFmt w:val="decimal"/>
      <w:lvlText w:val="%9)"/>
      <w:lvlJc w:val="left"/>
      <w:pPr>
        <w:tabs>
          <w:tab w:val="num" w:pos="6840"/>
        </w:tabs>
        <w:ind w:left="6840" w:hanging="360"/>
      </w:pPr>
    </w:lvl>
  </w:abstractNum>
  <w:abstractNum w:abstractNumId="15"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6" w15:restartNumberingAfterBreak="0">
    <w:nsid w:val="4F5068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851D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565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8E3DF6"/>
    <w:multiLevelType w:val="hybridMultilevel"/>
    <w:tmpl w:val="558AF594"/>
    <w:lvl w:ilvl="0" w:tplc="7CCE76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E64804"/>
    <w:multiLevelType w:val="multilevel"/>
    <w:tmpl w:val="35D46E44"/>
    <w:lvl w:ilvl="0">
      <w:start w:val="1"/>
      <w:numFmt w:val="upperLetter"/>
      <w:suff w:val="nothing"/>
      <w:lvlText w:val="APPENDIX %1"/>
      <w:lvlJc w:val="left"/>
      <w:pPr>
        <w:ind w:left="0" w:firstLine="0"/>
      </w:pPr>
      <w:rPr>
        <w:rFonts w:hint="default"/>
        <w:b/>
        <w:i w:val="0"/>
        <w:caps/>
        <w:sz w:val="24"/>
        <w:szCs w:val="24"/>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288"/>
        </w:tabs>
        <w:ind w:left="0" w:hanging="432"/>
      </w:pPr>
      <w:rPr>
        <w:rFonts w:hint="default"/>
      </w:rPr>
    </w:lvl>
    <w:lvl w:ilvl="3">
      <w:start w:val="1"/>
      <w:numFmt w:val="lowerRoman"/>
      <w:lvlText w:val="(%4)"/>
      <w:lvlJc w:val="right"/>
      <w:pPr>
        <w:tabs>
          <w:tab w:val="num" w:pos="144"/>
        </w:tabs>
        <w:ind w:left="144" w:hanging="144"/>
      </w:pPr>
      <w:rPr>
        <w:rFonts w:hint="default"/>
      </w:rPr>
    </w:lvl>
    <w:lvl w:ilvl="4">
      <w:start w:val="1"/>
      <w:numFmt w:val="upperLetter"/>
      <w:lvlRestart w:val="0"/>
      <w:suff w:val="nothing"/>
      <w:lvlText w:val="Appendix %5"/>
      <w:lvlJc w:val="left"/>
      <w:pPr>
        <w:ind w:left="720" w:firstLine="0"/>
      </w:pPr>
      <w:rPr>
        <w:rFonts w:hint="default"/>
        <w:b/>
        <w:i w:val="0"/>
        <w:caps/>
        <w:sz w:val="20"/>
        <w:szCs w:val="20"/>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21" w15:restartNumberingAfterBreak="0">
    <w:nsid w:val="580F7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0E0144C"/>
    <w:multiLevelType w:val="hybridMultilevel"/>
    <w:tmpl w:val="A754EF78"/>
    <w:lvl w:ilvl="0" w:tplc="5D9CBF2A">
      <w:start w:val="1"/>
      <w:numFmt w:val="bullet"/>
      <w:lvlText w:val="•"/>
      <w:lvlJc w:val="left"/>
      <w:pPr>
        <w:tabs>
          <w:tab w:val="num" w:pos="720"/>
        </w:tabs>
        <w:ind w:left="720" w:hanging="360"/>
      </w:pPr>
      <w:rPr>
        <w:rFonts w:ascii="Arial" w:hAnsi="Arial" w:hint="default"/>
      </w:rPr>
    </w:lvl>
    <w:lvl w:ilvl="1" w:tplc="3DB254AC" w:tentative="1">
      <w:start w:val="1"/>
      <w:numFmt w:val="bullet"/>
      <w:lvlText w:val="•"/>
      <w:lvlJc w:val="left"/>
      <w:pPr>
        <w:tabs>
          <w:tab w:val="num" w:pos="1440"/>
        </w:tabs>
        <w:ind w:left="1440" w:hanging="360"/>
      </w:pPr>
      <w:rPr>
        <w:rFonts w:ascii="Arial" w:hAnsi="Arial" w:hint="default"/>
      </w:rPr>
    </w:lvl>
    <w:lvl w:ilvl="2" w:tplc="ADF2A7B8" w:tentative="1">
      <w:start w:val="1"/>
      <w:numFmt w:val="bullet"/>
      <w:lvlText w:val="•"/>
      <w:lvlJc w:val="left"/>
      <w:pPr>
        <w:tabs>
          <w:tab w:val="num" w:pos="2160"/>
        </w:tabs>
        <w:ind w:left="2160" w:hanging="360"/>
      </w:pPr>
      <w:rPr>
        <w:rFonts w:ascii="Arial" w:hAnsi="Arial" w:hint="default"/>
      </w:rPr>
    </w:lvl>
    <w:lvl w:ilvl="3" w:tplc="A9EA1816" w:tentative="1">
      <w:start w:val="1"/>
      <w:numFmt w:val="bullet"/>
      <w:lvlText w:val="•"/>
      <w:lvlJc w:val="left"/>
      <w:pPr>
        <w:tabs>
          <w:tab w:val="num" w:pos="2880"/>
        </w:tabs>
        <w:ind w:left="2880" w:hanging="360"/>
      </w:pPr>
      <w:rPr>
        <w:rFonts w:ascii="Arial" w:hAnsi="Arial" w:hint="default"/>
      </w:rPr>
    </w:lvl>
    <w:lvl w:ilvl="4" w:tplc="7DD85288" w:tentative="1">
      <w:start w:val="1"/>
      <w:numFmt w:val="bullet"/>
      <w:lvlText w:val="•"/>
      <w:lvlJc w:val="left"/>
      <w:pPr>
        <w:tabs>
          <w:tab w:val="num" w:pos="3600"/>
        </w:tabs>
        <w:ind w:left="3600" w:hanging="360"/>
      </w:pPr>
      <w:rPr>
        <w:rFonts w:ascii="Arial" w:hAnsi="Arial" w:hint="default"/>
      </w:rPr>
    </w:lvl>
    <w:lvl w:ilvl="5" w:tplc="877E8750" w:tentative="1">
      <w:start w:val="1"/>
      <w:numFmt w:val="bullet"/>
      <w:lvlText w:val="•"/>
      <w:lvlJc w:val="left"/>
      <w:pPr>
        <w:tabs>
          <w:tab w:val="num" w:pos="4320"/>
        </w:tabs>
        <w:ind w:left="4320" w:hanging="360"/>
      </w:pPr>
      <w:rPr>
        <w:rFonts w:ascii="Arial" w:hAnsi="Arial" w:hint="default"/>
      </w:rPr>
    </w:lvl>
    <w:lvl w:ilvl="6" w:tplc="86364FD2" w:tentative="1">
      <w:start w:val="1"/>
      <w:numFmt w:val="bullet"/>
      <w:lvlText w:val="•"/>
      <w:lvlJc w:val="left"/>
      <w:pPr>
        <w:tabs>
          <w:tab w:val="num" w:pos="5040"/>
        </w:tabs>
        <w:ind w:left="5040" w:hanging="360"/>
      </w:pPr>
      <w:rPr>
        <w:rFonts w:ascii="Arial" w:hAnsi="Arial" w:hint="default"/>
      </w:rPr>
    </w:lvl>
    <w:lvl w:ilvl="7" w:tplc="986619CC" w:tentative="1">
      <w:start w:val="1"/>
      <w:numFmt w:val="bullet"/>
      <w:lvlText w:val="•"/>
      <w:lvlJc w:val="left"/>
      <w:pPr>
        <w:tabs>
          <w:tab w:val="num" w:pos="5760"/>
        </w:tabs>
        <w:ind w:left="5760" w:hanging="360"/>
      </w:pPr>
      <w:rPr>
        <w:rFonts w:ascii="Arial" w:hAnsi="Arial" w:hint="default"/>
      </w:rPr>
    </w:lvl>
    <w:lvl w:ilvl="8" w:tplc="0652C2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251054"/>
    <w:multiLevelType w:val="hybridMultilevel"/>
    <w:tmpl w:val="3A5A15AC"/>
    <w:lvl w:ilvl="0" w:tplc="AD96DFD8">
      <w:start w:val="1"/>
      <w:numFmt w:val="decimal"/>
      <w:lvlText w:val="%1)"/>
      <w:lvlJc w:val="left"/>
      <w:pPr>
        <w:tabs>
          <w:tab w:val="num" w:pos="1080"/>
        </w:tabs>
        <w:ind w:left="1080" w:hanging="360"/>
      </w:pPr>
    </w:lvl>
    <w:lvl w:ilvl="1" w:tplc="FDEA9F22">
      <w:start w:val="1"/>
      <w:numFmt w:val="lowerLetter"/>
      <w:lvlText w:val="%2."/>
      <w:lvlJc w:val="left"/>
      <w:pPr>
        <w:tabs>
          <w:tab w:val="num" w:pos="1800"/>
        </w:tabs>
        <w:ind w:left="1800" w:hanging="360"/>
      </w:pPr>
    </w:lvl>
    <w:lvl w:ilvl="2" w:tplc="50E4AF92" w:tentative="1">
      <w:start w:val="1"/>
      <w:numFmt w:val="decimal"/>
      <w:lvlText w:val="%3)"/>
      <w:lvlJc w:val="left"/>
      <w:pPr>
        <w:tabs>
          <w:tab w:val="num" w:pos="2520"/>
        </w:tabs>
        <w:ind w:left="2520" w:hanging="360"/>
      </w:pPr>
    </w:lvl>
    <w:lvl w:ilvl="3" w:tplc="136086E2" w:tentative="1">
      <w:start w:val="1"/>
      <w:numFmt w:val="decimal"/>
      <w:lvlText w:val="%4)"/>
      <w:lvlJc w:val="left"/>
      <w:pPr>
        <w:tabs>
          <w:tab w:val="num" w:pos="3240"/>
        </w:tabs>
        <w:ind w:left="3240" w:hanging="360"/>
      </w:pPr>
    </w:lvl>
    <w:lvl w:ilvl="4" w:tplc="25FA2E4E" w:tentative="1">
      <w:start w:val="1"/>
      <w:numFmt w:val="decimal"/>
      <w:lvlText w:val="%5)"/>
      <w:lvlJc w:val="left"/>
      <w:pPr>
        <w:tabs>
          <w:tab w:val="num" w:pos="3960"/>
        </w:tabs>
        <w:ind w:left="3960" w:hanging="360"/>
      </w:pPr>
    </w:lvl>
    <w:lvl w:ilvl="5" w:tplc="B4129CBA" w:tentative="1">
      <w:start w:val="1"/>
      <w:numFmt w:val="decimal"/>
      <w:lvlText w:val="%6)"/>
      <w:lvlJc w:val="left"/>
      <w:pPr>
        <w:tabs>
          <w:tab w:val="num" w:pos="4680"/>
        </w:tabs>
        <w:ind w:left="4680" w:hanging="360"/>
      </w:pPr>
    </w:lvl>
    <w:lvl w:ilvl="6" w:tplc="1BD88C54" w:tentative="1">
      <w:start w:val="1"/>
      <w:numFmt w:val="decimal"/>
      <w:lvlText w:val="%7)"/>
      <w:lvlJc w:val="left"/>
      <w:pPr>
        <w:tabs>
          <w:tab w:val="num" w:pos="5400"/>
        </w:tabs>
        <w:ind w:left="5400" w:hanging="360"/>
      </w:pPr>
    </w:lvl>
    <w:lvl w:ilvl="7" w:tplc="1C4E2EA8" w:tentative="1">
      <w:start w:val="1"/>
      <w:numFmt w:val="decimal"/>
      <w:lvlText w:val="%8)"/>
      <w:lvlJc w:val="left"/>
      <w:pPr>
        <w:tabs>
          <w:tab w:val="num" w:pos="6120"/>
        </w:tabs>
        <w:ind w:left="6120" w:hanging="360"/>
      </w:pPr>
    </w:lvl>
    <w:lvl w:ilvl="8" w:tplc="3AD6B4B6" w:tentative="1">
      <w:start w:val="1"/>
      <w:numFmt w:val="decimal"/>
      <w:lvlText w:val="%9)"/>
      <w:lvlJc w:val="left"/>
      <w:pPr>
        <w:tabs>
          <w:tab w:val="num" w:pos="6840"/>
        </w:tabs>
        <w:ind w:left="6840" w:hanging="360"/>
      </w:pPr>
    </w:lvl>
  </w:abstractNum>
  <w:num w:numId="1">
    <w:abstractNumId w:val="13"/>
  </w:num>
  <w:num w:numId="2">
    <w:abstractNumId w:val="15"/>
  </w:num>
  <w:num w:numId="3">
    <w:abstractNumId w:val="15"/>
  </w:num>
  <w:num w:numId="4">
    <w:abstractNumId w:val="11"/>
  </w:num>
  <w:num w:numId="5">
    <w:abstractNumId w:val="11"/>
  </w:num>
  <w:num w:numId="6">
    <w:abstractNumId w:val="11"/>
  </w:num>
  <w:num w:numId="7">
    <w:abstractNumId w:val="11"/>
  </w:num>
  <w:num w:numId="8">
    <w:abstractNumId w:val="15"/>
  </w:num>
  <w:num w:numId="9">
    <w:abstractNumId w:val="15"/>
  </w:num>
  <w:num w:numId="10">
    <w:abstractNumId w:val="15"/>
  </w:num>
  <w:num w:numId="11">
    <w:abstractNumId w:val="11"/>
  </w:num>
  <w:num w:numId="12">
    <w:abstractNumId w:val="11"/>
  </w:num>
  <w:num w:numId="13">
    <w:abstractNumId w:val="11"/>
  </w:num>
  <w:num w:numId="14">
    <w:abstractNumId w:val="11"/>
  </w:num>
  <w:num w:numId="15">
    <w:abstractNumId w:val="20"/>
  </w:num>
  <w:num w:numId="16">
    <w:abstractNumId w:val="15"/>
  </w:num>
  <w:num w:numId="17">
    <w:abstractNumId w:val="15"/>
  </w:num>
  <w:num w:numId="18">
    <w:abstractNumId w:val="15"/>
  </w:num>
  <w:num w:numId="19">
    <w:abstractNumId w:val="11"/>
  </w:num>
  <w:num w:numId="20">
    <w:abstractNumId w:val="11"/>
  </w:num>
  <w:num w:numId="21">
    <w:abstractNumId w:val="11"/>
  </w:num>
  <w:num w:numId="22">
    <w:abstractNumId w:val="11"/>
  </w:num>
  <w:num w:numId="23">
    <w:abstractNumId w:val="15"/>
  </w:num>
  <w:num w:numId="24">
    <w:abstractNumId w:val="15"/>
  </w:num>
  <w:num w:numId="25">
    <w:abstractNumId w:val="15"/>
  </w:num>
  <w:num w:numId="26">
    <w:abstractNumId w:val="11"/>
  </w:num>
  <w:num w:numId="27">
    <w:abstractNumId w:val="11"/>
  </w:num>
  <w:num w:numId="28">
    <w:abstractNumId w:val="11"/>
  </w:num>
  <w:num w:numId="29">
    <w:abstractNumId w:val="11"/>
  </w:num>
  <w:num w:numId="30">
    <w:abstractNumId w:val="21"/>
  </w:num>
  <w:num w:numId="31">
    <w:abstractNumId w:val="18"/>
  </w:num>
  <w:num w:numId="32">
    <w:abstractNumId w:val="17"/>
  </w:num>
  <w:num w:numId="33">
    <w:abstractNumId w:val="16"/>
  </w:num>
  <w:num w:numId="34">
    <w:abstractNumId w:val="12"/>
  </w:num>
  <w:num w:numId="35">
    <w:abstractNumId w:val="9"/>
  </w:num>
  <w:num w:numId="36">
    <w:abstractNumId w:val="7"/>
  </w:num>
  <w:num w:numId="37">
    <w:abstractNumId w:val="6"/>
  </w:num>
  <w:num w:numId="38">
    <w:abstractNumId w:val="5"/>
  </w:num>
  <w:num w:numId="39">
    <w:abstractNumId w:val="4"/>
  </w:num>
  <w:num w:numId="40">
    <w:abstractNumId w:val="0"/>
  </w:num>
  <w:num w:numId="41">
    <w:abstractNumId w:val="1"/>
  </w:num>
  <w:num w:numId="42">
    <w:abstractNumId w:val="3"/>
  </w:num>
  <w:num w:numId="43">
    <w:abstractNumId w:val="2"/>
  </w:num>
  <w:num w:numId="44">
    <w:abstractNumId w:val="8"/>
  </w:num>
  <w:num w:numId="45">
    <w:abstractNumId w:val="10"/>
  </w:num>
  <w:num w:numId="46">
    <w:abstractNumId w:val="19"/>
  </w:num>
  <w:num w:numId="47">
    <w:abstractNumId w:val="14"/>
  </w:num>
  <w:num w:numId="48">
    <w:abstractNumId w:val="2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41"/>
    <w:rsid w:val="00007F1C"/>
    <w:rsid w:val="000135D1"/>
    <w:rsid w:val="000179D4"/>
    <w:rsid w:val="000254B0"/>
    <w:rsid w:val="00030D3B"/>
    <w:rsid w:val="00035D1E"/>
    <w:rsid w:val="00037CEE"/>
    <w:rsid w:val="00041C2D"/>
    <w:rsid w:val="00051A70"/>
    <w:rsid w:val="00054EEB"/>
    <w:rsid w:val="00057EDC"/>
    <w:rsid w:val="00064C48"/>
    <w:rsid w:val="0006669C"/>
    <w:rsid w:val="0006741A"/>
    <w:rsid w:val="00067E15"/>
    <w:rsid w:val="0008468D"/>
    <w:rsid w:val="000856AD"/>
    <w:rsid w:val="00090ED4"/>
    <w:rsid w:val="00095E8D"/>
    <w:rsid w:val="00095F1E"/>
    <w:rsid w:val="000B161F"/>
    <w:rsid w:val="000B5756"/>
    <w:rsid w:val="000C1AE3"/>
    <w:rsid w:val="000C5CE6"/>
    <w:rsid w:val="000E31C6"/>
    <w:rsid w:val="000F270B"/>
    <w:rsid w:val="000F7BD3"/>
    <w:rsid w:val="00102030"/>
    <w:rsid w:val="00103F39"/>
    <w:rsid w:val="00107683"/>
    <w:rsid w:val="00110831"/>
    <w:rsid w:val="00111DD5"/>
    <w:rsid w:val="00112431"/>
    <w:rsid w:val="00113643"/>
    <w:rsid w:val="0012467E"/>
    <w:rsid w:val="001258C5"/>
    <w:rsid w:val="001272E5"/>
    <w:rsid w:val="001314B9"/>
    <w:rsid w:val="00131883"/>
    <w:rsid w:val="00133937"/>
    <w:rsid w:val="0013658F"/>
    <w:rsid w:val="0014113B"/>
    <w:rsid w:val="001479A7"/>
    <w:rsid w:val="00150EF7"/>
    <w:rsid w:val="00162523"/>
    <w:rsid w:val="00165766"/>
    <w:rsid w:val="00175607"/>
    <w:rsid w:val="00187069"/>
    <w:rsid w:val="00191CFF"/>
    <w:rsid w:val="00195F85"/>
    <w:rsid w:val="00197180"/>
    <w:rsid w:val="001A34F2"/>
    <w:rsid w:val="001A3B1F"/>
    <w:rsid w:val="001C7CDC"/>
    <w:rsid w:val="001D1C1E"/>
    <w:rsid w:val="001D2B18"/>
    <w:rsid w:val="001E0CAD"/>
    <w:rsid w:val="001E2556"/>
    <w:rsid w:val="001E2984"/>
    <w:rsid w:val="001E449C"/>
    <w:rsid w:val="001F0674"/>
    <w:rsid w:val="001F1EC8"/>
    <w:rsid w:val="001F1FB0"/>
    <w:rsid w:val="001F6730"/>
    <w:rsid w:val="00200B2E"/>
    <w:rsid w:val="002102E6"/>
    <w:rsid w:val="0021281B"/>
    <w:rsid w:val="0021522C"/>
    <w:rsid w:val="00230A69"/>
    <w:rsid w:val="00232DF2"/>
    <w:rsid w:val="00242E6A"/>
    <w:rsid w:val="00252495"/>
    <w:rsid w:val="0026436C"/>
    <w:rsid w:val="002706BA"/>
    <w:rsid w:val="00276E7E"/>
    <w:rsid w:val="0028782F"/>
    <w:rsid w:val="0029002C"/>
    <w:rsid w:val="002A34E6"/>
    <w:rsid w:val="002C2F2E"/>
    <w:rsid w:val="002C7B51"/>
    <w:rsid w:val="002D01B1"/>
    <w:rsid w:val="002D0634"/>
    <w:rsid w:val="002D11E0"/>
    <w:rsid w:val="002D263E"/>
    <w:rsid w:val="002D7A71"/>
    <w:rsid w:val="002F611E"/>
    <w:rsid w:val="00304B27"/>
    <w:rsid w:val="00305BFC"/>
    <w:rsid w:val="00315A8A"/>
    <w:rsid w:val="00331A44"/>
    <w:rsid w:val="00335F84"/>
    <w:rsid w:val="00337CC7"/>
    <w:rsid w:val="00340C7A"/>
    <w:rsid w:val="00350231"/>
    <w:rsid w:val="00361E02"/>
    <w:rsid w:val="003631BD"/>
    <w:rsid w:val="00367476"/>
    <w:rsid w:val="003722AF"/>
    <w:rsid w:val="00372E3E"/>
    <w:rsid w:val="00390494"/>
    <w:rsid w:val="00396E27"/>
    <w:rsid w:val="003A0FB6"/>
    <w:rsid w:val="003A62FA"/>
    <w:rsid w:val="003B0306"/>
    <w:rsid w:val="003C1F17"/>
    <w:rsid w:val="003C2DBF"/>
    <w:rsid w:val="003C3BD9"/>
    <w:rsid w:val="003C64DD"/>
    <w:rsid w:val="003E6A0A"/>
    <w:rsid w:val="003F1A46"/>
    <w:rsid w:val="003F36E2"/>
    <w:rsid w:val="004020AC"/>
    <w:rsid w:val="00402F63"/>
    <w:rsid w:val="00405775"/>
    <w:rsid w:val="00405F65"/>
    <w:rsid w:val="00435D33"/>
    <w:rsid w:val="00440BD5"/>
    <w:rsid w:val="004417F5"/>
    <w:rsid w:val="00453901"/>
    <w:rsid w:val="00461285"/>
    <w:rsid w:val="00467F44"/>
    <w:rsid w:val="004702BA"/>
    <w:rsid w:val="00475494"/>
    <w:rsid w:val="00480973"/>
    <w:rsid w:val="00491428"/>
    <w:rsid w:val="00492459"/>
    <w:rsid w:val="00494C35"/>
    <w:rsid w:val="004A25C8"/>
    <w:rsid w:val="004A4AA7"/>
    <w:rsid w:val="004B7B28"/>
    <w:rsid w:val="004C0B6D"/>
    <w:rsid w:val="004C78AD"/>
    <w:rsid w:val="004D3773"/>
    <w:rsid w:val="004D3943"/>
    <w:rsid w:val="004D4D8E"/>
    <w:rsid w:val="004D7AA4"/>
    <w:rsid w:val="004E32B2"/>
    <w:rsid w:val="004E3B59"/>
    <w:rsid w:val="004F343A"/>
    <w:rsid w:val="00512260"/>
    <w:rsid w:val="00524BCE"/>
    <w:rsid w:val="0052728E"/>
    <w:rsid w:val="00534508"/>
    <w:rsid w:val="00536110"/>
    <w:rsid w:val="00544430"/>
    <w:rsid w:val="00553FB7"/>
    <w:rsid w:val="00554B77"/>
    <w:rsid w:val="005555CB"/>
    <w:rsid w:val="005558C6"/>
    <w:rsid w:val="0055685E"/>
    <w:rsid w:val="005638B5"/>
    <w:rsid w:val="00567E92"/>
    <w:rsid w:val="00571318"/>
    <w:rsid w:val="005739CE"/>
    <w:rsid w:val="005764A4"/>
    <w:rsid w:val="00580BA7"/>
    <w:rsid w:val="0058312A"/>
    <w:rsid w:val="0058457B"/>
    <w:rsid w:val="005861C8"/>
    <w:rsid w:val="0059484D"/>
    <w:rsid w:val="00596371"/>
    <w:rsid w:val="00596DE9"/>
    <w:rsid w:val="005A5D20"/>
    <w:rsid w:val="005A69DC"/>
    <w:rsid w:val="005B46E6"/>
    <w:rsid w:val="005B57EC"/>
    <w:rsid w:val="005C031D"/>
    <w:rsid w:val="005C7F05"/>
    <w:rsid w:val="005D28EC"/>
    <w:rsid w:val="005D2D9C"/>
    <w:rsid w:val="005D75B3"/>
    <w:rsid w:val="005E767B"/>
    <w:rsid w:val="005F1BB6"/>
    <w:rsid w:val="00605D65"/>
    <w:rsid w:val="00613BAC"/>
    <w:rsid w:val="00624588"/>
    <w:rsid w:val="00627FB3"/>
    <w:rsid w:val="006319B8"/>
    <w:rsid w:val="00634157"/>
    <w:rsid w:val="006345C8"/>
    <w:rsid w:val="00636C11"/>
    <w:rsid w:val="006373CB"/>
    <w:rsid w:val="006425BF"/>
    <w:rsid w:val="00656AF2"/>
    <w:rsid w:val="00656EE6"/>
    <w:rsid w:val="00660125"/>
    <w:rsid w:val="00661C71"/>
    <w:rsid w:val="006652CD"/>
    <w:rsid w:val="00677CA9"/>
    <w:rsid w:val="00682C55"/>
    <w:rsid w:val="00690071"/>
    <w:rsid w:val="006A5780"/>
    <w:rsid w:val="006B10E1"/>
    <w:rsid w:val="006B1124"/>
    <w:rsid w:val="006B2FDD"/>
    <w:rsid w:val="006B4AD7"/>
    <w:rsid w:val="006B550D"/>
    <w:rsid w:val="006B70DA"/>
    <w:rsid w:val="006B7F91"/>
    <w:rsid w:val="006C7E2B"/>
    <w:rsid w:val="006D0FF1"/>
    <w:rsid w:val="006E6BBF"/>
    <w:rsid w:val="006F48C3"/>
    <w:rsid w:val="006F57F8"/>
    <w:rsid w:val="006F6B3A"/>
    <w:rsid w:val="007009BB"/>
    <w:rsid w:val="00710BD4"/>
    <w:rsid w:val="00711F33"/>
    <w:rsid w:val="00716001"/>
    <w:rsid w:val="00731A8D"/>
    <w:rsid w:val="00735B29"/>
    <w:rsid w:val="00736CAA"/>
    <w:rsid w:val="00742969"/>
    <w:rsid w:val="00742FDB"/>
    <w:rsid w:val="00755097"/>
    <w:rsid w:val="00756F30"/>
    <w:rsid w:val="00766C5F"/>
    <w:rsid w:val="00775294"/>
    <w:rsid w:val="00775F4C"/>
    <w:rsid w:val="007808AF"/>
    <w:rsid w:val="007816C3"/>
    <w:rsid w:val="0078766E"/>
    <w:rsid w:val="00793D01"/>
    <w:rsid w:val="00793DA2"/>
    <w:rsid w:val="00794700"/>
    <w:rsid w:val="007B0025"/>
    <w:rsid w:val="007B17DE"/>
    <w:rsid w:val="007B302E"/>
    <w:rsid w:val="007B3848"/>
    <w:rsid w:val="007C5376"/>
    <w:rsid w:val="007D16C6"/>
    <w:rsid w:val="007F763B"/>
    <w:rsid w:val="00813B4C"/>
    <w:rsid w:val="008140B3"/>
    <w:rsid w:val="00816B68"/>
    <w:rsid w:val="008177DA"/>
    <w:rsid w:val="00834193"/>
    <w:rsid w:val="008561A6"/>
    <w:rsid w:val="00860BA3"/>
    <w:rsid w:val="008612EF"/>
    <w:rsid w:val="00861BD0"/>
    <w:rsid w:val="00863D37"/>
    <w:rsid w:val="008650E7"/>
    <w:rsid w:val="008669B2"/>
    <w:rsid w:val="00875500"/>
    <w:rsid w:val="00883ED4"/>
    <w:rsid w:val="00884E1F"/>
    <w:rsid w:val="008862D6"/>
    <w:rsid w:val="0088724A"/>
    <w:rsid w:val="00891E2D"/>
    <w:rsid w:val="00891E3C"/>
    <w:rsid w:val="00897A7F"/>
    <w:rsid w:val="008A110F"/>
    <w:rsid w:val="008A14E1"/>
    <w:rsid w:val="008A4541"/>
    <w:rsid w:val="008B0731"/>
    <w:rsid w:val="008B3078"/>
    <w:rsid w:val="008B5C31"/>
    <w:rsid w:val="008B6932"/>
    <w:rsid w:val="008B7641"/>
    <w:rsid w:val="008D4065"/>
    <w:rsid w:val="008E4F18"/>
    <w:rsid w:val="00901790"/>
    <w:rsid w:val="00901CC9"/>
    <w:rsid w:val="00912CB4"/>
    <w:rsid w:val="00913B58"/>
    <w:rsid w:val="00923007"/>
    <w:rsid w:val="0092456D"/>
    <w:rsid w:val="00934846"/>
    <w:rsid w:val="00936D40"/>
    <w:rsid w:val="009443B8"/>
    <w:rsid w:val="00946B66"/>
    <w:rsid w:val="00950DB7"/>
    <w:rsid w:val="00952F52"/>
    <w:rsid w:val="009562AD"/>
    <w:rsid w:val="00957D3A"/>
    <w:rsid w:val="00961B13"/>
    <w:rsid w:val="009659A8"/>
    <w:rsid w:val="00977EB9"/>
    <w:rsid w:val="009808FE"/>
    <w:rsid w:val="00982C59"/>
    <w:rsid w:val="00984D68"/>
    <w:rsid w:val="00991E89"/>
    <w:rsid w:val="0099539E"/>
    <w:rsid w:val="009A4E5B"/>
    <w:rsid w:val="009A781A"/>
    <w:rsid w:val="009B5D9B"/>
    <w:rsid w:val="009C7219"/>
    <w:rsid w:val="009C7670"/>
    <w:rsid w:val="009D23EA"/>
    <w:rsid w:val="009D3111"/>
    <w:rsid w:val="009D3422"/>
    <w:rsid w:val="009D5264"/>
    <w:rsid w:val="009D5930"/>
    <w:rsid w:val="009E052D"/>
    <w:rsid w:val="009E1166"/>
    <w:rsid w:val="009E1CE2"/>
    <w:rsid w:val="009E27D5"/>
    <w:rsid w:val="009E2D05"/>
    <w:rsid w:val="009E3D35"/>
    <w:rsid w:val="009E67E7"/>
    <w:rsid w:val="009F4A66"/>
    <w:rsid w:val="00A02C1A"/>
    <w:rsid w:val="00A1131F"/>
    <w:rsid w:val="00A16AD0"/>
    <w:rsid w:val="00A208D2"/>
    <w:rsid w:val="00A232AA"/>
    <w:rsid w:val="00A23666"/>
    <w:rsid w:val="00A3281F"/>
    <w:rsid w:val="00A350D8"/>
    <w:rsid w:val="00A35269"/>
    <w:rsid w:val="00A41C8D"/>
    <w:rsid w:val="00A4495A"/>
    <w:rsid w:val="00A45F73"/>
    <w:rsid w:val="00A72154"/>
    <w:rsid w:val="00A739D4"/>
    <w:rsid w:val="00A80270"/>
    <w:rsid w:val="00A8305B"/>
    <w:rsid w:val="00A90D18"/>
    <w:rsid w:val="00A96976"/>
    <w:rsid w:val="00A9798C"/>
    <w:rsid w:val="00AA2C6A"/>
    <w:rsid w:val="00AA3E52"/>
    <w:rsid w:val="00AB08F3"/>
    <w:rsid w:val="00AC4CF3"/>
    <w:rsid w:val="00AC6C85"/>
    <w:rsid w:val="00AC6F52"/>
    <w:rsid w:val="00AC73B4"/>
    <w:rsid w:val="00AC7EBD"/>
    <w:rsid w:val="00AD5FF7"/>
    <w:rsid w:val="00AD6076"/>
    <w:rsid w:val="00AE5FF8"/>
    <w:rsid w:val="00AF340B"/>
    <w:rsid w:val="00B0647D"/>
    <w:rsid w:val="00B17B53"/>
    <w:rsid w:val="00B2135D"/>
    <w:rsid w:val="00B21C6E"/>
    <w:rsid w:val="00B2293C"/>
    <w:rsid w:val="00B33801"/>
    <w:rsid w:val="00B417CF"/>
    <w:rsid w:val="00B424B6"/>
    <w:rsid w:val="00B42812"/>
    <w:rsid w:val="00B54427"/>
    <w:rsid w:val="00B56F3C"/>
    <w:rsid w:val="00B57847"/>
    <w:rsid w:val="00B57E9B"/>
    <w:rsid w:val="00B614F2"/>
    <w:rsid w:val="00B61ED9"/>
    <w:rsid w:val="00B6345D"/>
    <w:rsid w:val="00B838CF"/>
    <w:rsid w:val="00B852CD"/>
    <w:rsid w:val="00B917F0"/>
    <w:rsid w:val="00B972E3"/>
    <w:rsid w:val="00B9740E"/>
    <w:rsid w:val="00BB633D"/>
    <w:rsid w:val="00BB6A41"/>
    <w:rsid w:val="00BB6E7A"/>
    <w:rsid w:val="00BD3C95"/>
    <w:rsid w:val="00BD768F"/>
    <w:rsid w:val="00BE1A49"/>
    <w:rsid w:val="00BE2810"/>
    <w:rsid w:val="00BE6A4E"/>
    <w:rsid w:val="00BF2B29"/>
    <w:rsid w:val="00C13BCD"/>
    <w:rsid w:val="00C1690F"/>
    <w:rsid w:val="00C17C66"/>
    <w:rsid w:val="00C20C3C"/>
    <w:rsid w:val="00C22608"/>
    <w:rsid w:val="00C33D2C"/>
    <w:rsid w:val="00C378F6"/>
    <w:rsid w:val="00C40D61"/>
    <w:rsid w:val="00C43878"/>
    <w:rsid w:val="00C45A2A"/>
    <w:rsid w:val="00C45D92"/>
    <w:rsid w:val="00C47909"/>
    <w:rsid w:val="00C647AD"/>
    <w:rsid w:val="00C652C1"/>
    <w:rsid w:val="00C7425F"/>
    <w:rsid w:val="00C74A06"/>
    <w:rsid w:val="00C813BB"/>
    <w:rsid w:val="00C849B8"/>
    <w:rsid w:val="00C9228E"/>
    <w:rsid w:val="00CA078F"/>
    <w:rsid w:val="00CA2A0B"/>
    <w:rsid w:val="00CA5787"/>
    <w:rsid w:val="00CB03F9"/>
    <w:rsid w:val="00CB1A46"/>
    <w:rsid w:val="00CB28D9"/>
    <w:rsid w:val="00CC0ACC"/>
    <w:rsid w:val="00CD3BA2"/>
    <w:rsid w:val="00CE2FA5"/>
    <w:rsid w:val="00CE4C74"/>
    <w:rsid w:val="00CF5BCB"/>
    <w:rsid w:val="00CF7FAC"/>
    <w:rsid w:val="00D062D1"/>
    <w:rsid w:val="00D158C1"/>
    <w:rsid w:val="00D1693B"/>
    <w:rsid w:val="00D26432"/>
    <w:rsid w:val="00D34588"/>
    <w:rsid w:val="00D42E92"/>
    <w:rsid w:val="00D44A01"/>
    <w:rsid w:val="00D46BCC"/>
    <w:rsid w:val="00D530BC"/>
    <w:rsid w:val="00D57533"/>
    <w:rsid w:val="00D5786C"/>
    <w:rsid w:val="00D6419E"/>
    <w:rsid w:val="00D65F0C"/>
    <w:rsid w:val="00D67DEA"/>
    <w:rsid w:val="00D73627"/>
    <w:rsid w:val="00D7366C"/>
    <w:rsid w:val="00D97A1D"/>
    <w:rsid w:val="00DA270B"/>
    <w:rsid w:val="00DA5BA8"/>
    <w:rsid w:val="00DB02EF"/>
    <w:rsid w:val="00DB0E8E"/>
    <w:rsid w:val="00DB3240"/>
    <w:rsid w:val="00DB33C4"/>
    <w:rsid w:val="00DB3690"/>
    <w:rsid w:val="00DB5168"/>
    <w:rsid w:val="00DB62A1"/>
    <w:rsid w:val="00DC0E8B"/>
    <w:rsid w:val="00DD6507"/>
    <w:rsid w:val="00DE29B1"/>
    <w:rsid w:val="00DF0955"/>
    <w:rsid w:val="00E05165"/>
    <w:rsid w:val="00E0662F"/>
    <w:rsid w:val="00E0775A"/>
    <w:rsid w:val="00E12BF9"/>
    <w:rsid w:val="00E177D7"/>
    <w:rsid w:val="00E2217E"/>
    <w:rsid w:val="00E22E51"/>
    <w:rsid w:val="00E35361"/>
    <w:rsid w:val="00E36565"/>
    <w:rsid w:val="00E41CB3"/>
    <w:rsid w:val="00E456F4"/>
    <w:rsid w:val="00E47FD7"/>
    <w:rsid w:val="00E633CA"/>
    <w:rsid w:val="00E649FA"/>
    <w:rsid w:val="00E806BD"/>
    <w:rsid w:val="00E857B1"/>
    <w:rsid w:val="00EA39DA"/>
    <w:rsid w:val="00EA458D"/>
    <w:rsid w:val="00EB3668"/>
    <w:rsid w:val="00EB39F3"/>
    <w:rsid w:val="00ED1148"/>
    <w:rsid w:val="00ED32F2"/>
    <w:rsid w:val="00EE09FF"/>
    <w:rsid w:val="00EE4146"/>
    <w:rsid w:val="00EE4689"/>
    <w:rsid w:val="00F02D8A"/>
    <w:rsid w:val="00F0330D"/>
    <w:rsid w:val="00F05058"/>
    <w:rsid w:val="00F131FA"/>
    <w:rsid w:val="00F20DBF"/>
    <w:rsid w:val="00F308D5"/>
    <w:rsid w:val="00F31A64"/>
    <w:rsid w:val="00F34251"/>
    <w:rsid w:val="00F36A22"/>
    <w:rsid w:val="00F42B9F"/>
    <w:rsid w:val="00F46A24"/>
    <w:rsid w:val="00F5289C"/>
    <w:rsid w:val="00F528C8"/>
    <w:rsid w:val="00F56410"/>
    <w:rsid w:val="00F56B64"/>
    <w:rsid w:val="00F60005"/>
    <w:rsid w:val="00F71408"/>
    <w:rsid w:val="00F83B9E"/>
    <w:rsid w:val="00F91BDB"/>
    <w:rsid w:val="00F94476"/>
    <w:rsid w:val="00F94F92"/>
    <w:rsid w:val="00FA0280"/>
    <w:rsid w:val="00FA2244"/>
    <w:rsid w:val="00FA3FCE"/>
    <w:rsid w:val="00FB093E"/>
    <w:rsid w:val="00FB1ECE"/>
    <w:rsid w:val="00FE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AB4A488"/>
  <w15:chartTrackingRefBased/>
  <w15:docId w15:val="{4F4128C0-B8C7-41DD-8A7D-7F929B2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2E"/>
    <w:pPr>
      <w:spacing w:line="480" w:lineRule="auto"/>
      <w:ind w:firstLine="720"/>
      <w:jc w:val="both"/>
    </w:pPr>
    <w:rPr>
      <w:sz w:val="24"/>
      <w:szCs w:val="24"/>
    </w:rPr>
  </w:style>
  <w:style w:type="paragraph" w:styleId="Heading1">
    <w:name w:val="heading 1"/>
    <w:basedOn w:val="Normal"/>
    <w:next w:val="Noindent"/>
    <w:qFormat/>
    <w:rsid w:val="008A110F"/>
    <w:pPr>
      <w:keepNext/>
      <w:pageBreakBefore/>
      <w:numPr>
        <w:numId w:val="29"/>
      </w:numPr>
      <w:tabs>
        <w:tab w:val="clear" w:pos="-720"/>
      </w:tabs>
      <w:spacing w:before="1440" w:after="960"/>
      <w:ind w:left="0"/>
      <w:jc w:val="center"/>
      <w:outlineLvl w:val="0"/>
    </w:pPr>
    <w:rPr>
      <w:rFonts w:cs="Arial"/>
      <w:b/>
      <w:bCs/>
      <w:caps/>
    </w:rPr>
  </w:style>
  <w:style w:type="paragraph" w:styleId="Heading2">
    <w:name w:val="heading 2"/>
    <w:basedOn w:val="Heading1"/>
    <w:next w:val="Noindent"/>
    <w:qFormat/>
    <w:rsid w:val="008A110F"/>
    <w:pPr>
      <w:pageBreakBefore w:val="0"/>
      <w:numPr>
        <w:ilvl w:val="1"/>
      </w:numPr>
      <w:tabs>
        <w:tab w:val="clear" w:pos="0"/>
      </w:tabs>
      <w:spacing w:before="960" w:after="480"/>
      <w:contextualSpacing/>
      <w:outlineLvl w:val="1"/>
    </w:pPr>
    <w:rPr>
      <w:bCs w:val="0"/>
      <w:iCs/>
    </w:rPr>
  </w:style>
  <w:style w:type="paragraph" w:styleId="Heading3">
    <w:name w:val="heading 3"/>
    <w:basedOn w:val="Heading2"/>
    <w:next w:val="Noindent"/>
    <w:qFormat/>
    <w:rsid w:val="008A110F"/>
    <w:pPr>
      <w:numPr>
        <w:ilvl w:val="2"/>
      </w:numPr>
      <w:tabs>
        <w:tab w:val="clear" w:pos="0"/>
      </w:tabs>
      <w:spacing w:before="480"/>
      <w:jc w:val="left"/>
      <w:outlineLvl w:val="2"/>
    </w:pPr>
    <w:rPr>
      <w:bCs/>
      <w:caps w:val="0"/>
    </w:rPr>
  </w:style>
  <w:style w:type="paragraph" w:styleId="Heading4">
    <w:name w:val="heading 4"/>
    <w:basedOn w:val="Heading3"/>
    <w:next w:val="Normal"/>
    <w:qFormat/>
    <w:rsid w:val="00276E7E"/>
    <w:pPr>
      <w:numPr>
        <w:ilvl w:val="3"/>
      </w:numPr>
      <w:tabs>
        <w:tab w:val="clear" w:pos="0"/>
      </w:tabs>
      <w:spacing w:after="0"/>
      <w:contextualSpacing w:val="0"/>
      <w:jc w:val="both"/>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F7FAC"/>
    <w:pPr>
      <w:tabs>
        <w:tab w:val="left" w:pos="1008"/>
        <w:tab w:val="right" w:leader="dot" w:pos="9350"/>
      </w:tabs>
      <w:ind w:firstLine="0"/>
      <w:jc w:val="left"/>
    </w:pPr>
    <w:rPr>
      <w:b/>
      <w:caps/>
    </w:rPr>
  </w:style>
  <w:style w:type="paragraph" w:customStyle="1" w:styleId="Noindent">
    <w:name w:val="No indent"/>
    <w:basedOn w:val="Normal"/>
    <w:next w:val="Normal"/>
    <w:rsid w:val="00200B2E"/>
    <w:pPr>
      <w:ind w:firstLine="0"/>
    </w:pPr>
  </w:style>
  <w:style w:type="paragraph" w:customStyle="1" w:styleId="AppSection">
    <w:name w:val="App Section"/>
    <w:basedOn w:val="Noindent"/>
    <w:next w:val="Noindent"/>
    <w:rsid w:val="00CE2FA5"/>
    <w:pPr>
      <w:keepNext/>
      <w:numPr>
        <w:ilvl w:val="5"/>
        <w:numId w:val="25"/>
      </w:numPr>
      <w:spacing w:before="960" w:after="480"/>
      <w:jc w:val="center"/>
    </w:pPr>
    <w:rPr>
      <w:b/>
      <w:caps/>
    </w:rPr>
  </w:style>
  <w:style w:type="paragraph" w:customStyle="1" w:styleId="Appendix">
    <w:name w:val="Appendix"/>
    <w:basedOn w:val="Normal"/>
    <w:next w:val="AppendixTitle"/>
    <w:rsid w:val="00CE2FA5"/>
    <w:pPr>
      <w:keepNext/>
      <w:pageBreakBefore/>
      <w:numPr>
        <w:ilvl w:val="4"/>
        <w:numId w:val="25"/>
      </w:numPr>
      <w:spacing w:before="1440" w:after="960"/>
      <w:jc w:val="center"/>
    </w:pPr>
  </w:style>
  <w:style w:type="paragraph" w:customStyle="1" w:styleId="AppendixTitle">
    <w:name w:val="Appendix Title"/>
    <w:basedOn w:val="Heading1"/>
    <w:next w:val="Noinden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indent"/>
    <w:rsid w:val="00CE2FA5"/>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indent"/>
    <w:rsid w:val="00CE2FA5"/>
    <w:pPr>
      <w:numPr>
        <w:ilvl w:val="6"/>
      </w:numPr>
      <w:spacing w:before="480"/>
      <w:ind w:left="0"/>
      <w:jc w:val="left"/>
    </w:pPr>
    <w:rPr>
      <w:caps w:val="0"/>
    </w:rPr>
  </w:style>
  <w:style w:type="paragraph" w:styleId="TOC2">
    <w:name w:val="toc 2"/>
    <w:basedOn w:val="Normal"/>
    <w:next w:val="Normal"/>
    <w:autoRedefine/>
    <w:uiPriority w:val="39"/>
    <w:rsid w:val="00DA5BA8"/>
    <w:pPr>
      <w:ind w:left="504" w:firstLine="0"/>
    </w:pPr>
    <w:rPr>
      <w:b/>
      <w:caps/>
    </w:rPr>
  </w:style>
  <w:style w:type="paragraph" w:styleId="TOC3">
    <w:name w:val="toc 3"/>
    <w:basedOn w:val="Normal"/>
    <w:next w:val="Normal"/>
    <w:autoRedefine/>
    <w:uiPriority w:val="39"/>
    <w:rsid w:val="00DA5BA8"/>
    <w:pPr>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rmal"/>
    <w:next w:val="Normal"/>
    <w:qFormat/>
    <w:rsid w:val="002706BA"/>
    <w:rPr>
      <w:b/>
      <w:bCs/>
      <w:sz w:val="20"/>
      <w:szCs w:val="20"/>
    </w:rPr>
  </w:style>
  <w:style w:type="paragraph" w:styleId="TOC4">
    <w:name w:val="toc 4"/>
    <w:basedOn w:val="Normal"/>
    <w:next w:val="Normal"/>
    <w:autoRedefine/>
    <w:semiHidden/>
    <w:rsid w:val="00DA5BA8"/>
    <w:pPr>
      <w:ind w:left="1512" w:firstLine="0"/>
    </w:pPr>
    <w:rPr>
      <w:b/>
    </w:rPr>
  </w:style>
  <w:style w:type="paragraph" w:customStyle="1" w:styleId="Preliminary">
    <w:name w:val="Preliminary"/>
    <w:basedOn w:val="Heading1"/>
    <w:next w:val="Noindent"/>
    <w:rsid w:val="008A110F"/>
    <w:pPr>
      <w:numPr>
        <w:numId w:val="0"/>
      </w:numPr>
    </w:pPr>
  </w:style>
  <w:style w:type="table" w:styleId="TableGrid">
    <w:name w:val="Table Grid"/>
    <w:basedOn w:val="TableNormal"/>
    <w:uiPriority w:val="59"/>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uiPriority w:val="99"/>
    <w:rsid w:val="00B424B6"/>
  </w:style>
  <w:style w:type="character" w:customStyle="1" w:styleId="EndNoteBibliographyChar">
    <w:name w:val="EndNote Bibliography Char"/>
    <w:link w:val="EndNoteBibliography"/>
    <w:locked/>
    <w:rsid w:val="00E22E51"/>
    <w:rPr>
      <w:rFonts w:ascii="Calibri" w:hAnsi="Calibri" w:cs="Calibri"/>
      <w:noProof/>
    </w:rPr>
  </w:style>
  <w:style w:type="paragraph" w:customStyle="1" w:styleId="EndNoteBibliography">
    <w:name w:val="EndNote Bibliography"/>
    <w:basedOn w:val="Normal"/>
    <w:link w:val="EndNoteBibliographyChar"/>
    <w:rsid w:val="00E22E51"/>
    <w:pPr>
      <w:spacing w:after="160" w:line="240" w:lineRule="auto"/>
      <w:jc w:val="left"/>
    </w:pPr>
    <w:rPr>
      <w:rFonts w:ascii="Calibri" w:hAnsi="Calibri" w:cs="Calibri"/>
      <w:noProof/>
      <w:sz w:val="20"/>
      <w:szCs w:val="20"/>
    </w:rPr>
  </w:style>
  <w:style w:type="paragraph" w:styleId="BalloonText">
    <w:name w:val="Balloon Text"/>
    <w:basedOn w:val="Normal"/>
    <w:link w:val="BalloonTextChar"/>
    <w:rsid w:val="00860BA3"/>
    <w:pPr>
      <w:spacing w:line="240" w:lineRule="auto"/>
    </w:pPr>
    <w:rPr>
      <w:rFonts w:ascii="Tahoma" w:hAnsi="Tahoma" w:cs="Tahoma"/>
      <w:sz w:val="16"/>
      <w:szCs w:val="16"/>
    </w:rPr>
  </w:style>
  <w:style w:type="character" w:customStyle="1" w:styleId="BalloonTextChar">
    <w:name w:val="Balloon Text Char"/>
    <w:link w:val="BalloonText"/>
    <w:rsid w:val="00860BA3"/>
    <w:rPr>
      <w:rFonts w:ascii="Tahoma" w:hAnsi="Tahoma" w:cs="Tahoma"/>
      <w:sz w:val="16"/>
      <w:szCs w:val="16"/>
    </w:rPr>
  </w:style>
  <w:style w:type="paragraph" w:styleId="ListParagraph">
    <w:name w:val="List Paragraph"/>
    <w:basedOn w:val="Normal"/>
    <w:uiPriority w:val="34"/>
    <w:qFormat/>
    <w:rsid w:val="00E177D7"/>
    <w:pPr>
      <w:ind w:left="720"/>
    </w:pPr>
  </w:style>
  <w:style w:type="character" w:customStyle="1" w:styleId="FooterChar">
    <w:name w:val="Footer Char"/>
    <w:link w:val="Footer"/>
    <w:uiPriority w:val="99"/>
    <w:rsid w:val="00952F52"/>
    <w:rPr>
      <w:sz w:val="24"/>
      <w:szCs w:val="24"/>
    </w:rPr>
  </w:style>
  <w:style w:type="paragraph" w:styleId="NoSpacing">
    <w:name w:val="No Spacing"/>
    <w:uiPriority w:val="1"/>
    <w:qFormat/>
    <w:rsid w:val="00FA0280"/>
    <w:rPr>
      <w:rFonts w:ascii="Calibri" w:eastAsia="Calibri" w:hAnsi="Calibri"/>
      <w:sz w:val="22"/>
      <w:szCs w:val="22"/>
    </w:rPr>
  </w:style>
  <w:style w:type="character" w:customStyle="1" w:styleId="apple-converted-space">
    <w:name w:val="apple-converted-space"/>
    <w:rsid w:val="00DB0E8E"/>
  </w:style>
  <w:style w:type="paragraph" w:customStyle="1" w:styleId="p">
    <w:name w:val="p"/>
    <w:basedOn w:val="Normal"/>
    <w:rsid w:val="00DB0E8E"/>
    <w:pPr>
      <w:spacing w:before="100" w:beforeAutospacing="1" w:after="100" w:afterAutospacing="1" w:line="240" w:lineRule="auto"/>
      <w:ind w:firstLine="0"/>
      <w:jc w:val="left"/>
    </w:pPr>
  </w:style>
  <w:style w:type="character" w:styleId="Emphasis">
    <w:name w:val="Emphasis"/>
    <w:uiPriority w:val="20"/>
    <w:qFormat/>
    <w:rsid w:val="00DB0E8E"/>
    <w:rPr>
      <w:i/>
      <w:iCs/>
    </w:rPr>
  </w:style>
  <w:style w:type="paragraph" w:styleId="NormalWeb">
    <w:name w:val="Normal (Web)"/>
    <w:basedOn w:val="Normal"/>
    <w:uiPriority w:val="99"/>
    <w:unhideWhenUsed/>
    <w:rsid w:val="00716001"/>
    <w:pPr>
      <w:spacing w:before="100" w:beforeAutospacing="1" w:after="100" w:afterAutospacing="1" w:line="240" w:lineRule="auto"/>
      <w:ind w:firstLine="0"/>
      <w:jc w:val="left"/>
    </w:pPr>
  </w:style>
  <w:style w:type="character" w:styleId="Strong">
    <w:name w:val="Strong"/>
    <w:uiPriority w:val="22"/>
    <w:qFormat/>
    <w:rsid w:val="00EE4146"/>
    <w:rPr>
      <w:b/>
      <w:bCs/>
    </w:rPr>
  </w:style>
  <w:style w:type="character" w:customStyle="1" w:styleId="highlight">
    <w:name w:val="highlight"/>
    <w:rsid w:val="00BE6A4E"/>
  </w:style>
  <w:style w:type="character" w:customStyle="1" w:styleId="nlmstring-name">
    <w:name w:val="nlm_string-name"/>
    <w:basedOn w:val="DefaultParagraphFont"/>
    <w:rsid w:val="00D4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05676">
      <w:bodyDiv w:val="1"/>
      <w:marLeft w:val="0"/>
      <w:marRight w:val="0"/>
      <w:marTop w:val="0"/>
      <w:marBottom w:val="0"/>
      <w:divBdr>
        <w:top w:val="none" w:sz="0" w:space="0" w:color="auto"/>
        <w:left w:val="none" w:sz="0" w:space="0" w:color="auto"/>
        <w:bottom w:val="none" w:sz="0" w:space="0" w:color="auto"/>
        <w:right w:val="none" w:sz="0" w:space="0" w:color="auto"/>
      </w:divBdr>
      <w:divsChild>
        <w:div w:id="163976440">
          <w:marLeft w:val="720"/>
          <w:marRight w:val="0"/>
          <w:marTop w:val="0"/>
          <w:marBottom w:val="0"/>
          <w:divBdr>
            <w:top w:val="none" w:sz="0" w:space="0" w:color="auto"/>
            <w:left w:val="none" w:sz="0" w:space="0" w:color="auto"/>
            <w:bottom w:val="none" w:sz="0" w:space="0" w:color="auto"/>
            <w:right w:val="none" w:sz="0" w:space="0" w:color="auto"/>
          </w:divBdr>
        </w:div>
        <w:div w:id="1053769066">
          <w:marLeft w:val="720"/>
          <w:marRight w:val="0"/>
          <w:marTop w:val="0"/>
          <w:marBottom w:val="0"/>
          <w:divBdr>
            <w:top w:val="none" w:sz="0" w:space="0" w:color="auto"/>
            <w:left w:val="none" w:sz="0" w:space="0" w:color="auto"/>
            <w:bottom w:val="none" w:sz="0" w:space="0" w:color="auto"/>
            <w:right w:val="none" w:sz="0" w:space="0" w:color="auto"/>
          </w:divBdr>
        </w:div>
        <w:div w:id="1233538134">
          <w:marLeft w:val="720"/>
          <w:marRight w:val="0"/>
          <w:marTop w:val="0"/>
          <w:marBottom w:val="0"/>
          <w:divBdr>
            <w:top w:val="none" w:sz="0" w:space="0" w:color="auto"/>
            <w:left w:val="none" w:sz="0" w:space="0" w:color="auto"/>
            <w:bottom w:val="none" w:sz="0" w:space="0" w:color="auto"/>
            <w:right w:val="none" w:sz="0" w:space="0" w:color="auto"/>
          </w:divBdr>
        </w:div>
      </w:divsChild>
    </w:div>
    <w:div w:id="847257945">
      <w:bodyDiv w:val="1"/>
      <w:marLeft w:val="0"/>
      <w:marRight w:val="0"/>
      <w:marTop w:val="0"/>
      <w:marBottom w:val="0"/>
      <w:divBdr>
        <w:top w:val="none" w:sz="0" w:space="0" w:color="auto"/>
        <w:left w:val="none" w:sz="0" w:space="0" w:color="auto"/>
        <w:bottom w:val="none" w:sz="0" w:space="0" w:color="auto"/>
        <w:right w:val="none" w:sz="0" w:space="0" w:color="auto"/>
      </w:divBdr>
      <w:divsChild>
        <w:div w:id="214893820">
          <w:marLeft w:val="1526"/>
          <w:marRight w:val="0"/>
          <w:marTop w:val="0"/>
          <w:marBottom w:val="0"/>
          <w:divBdr>
            <w:top w:val="none" w:sz="0" w:space="0" w:color="auto"/>
            <w:left w:val="none" w:sz="0" w:space="0" w:color="auto"/>
            <w:bottom w:val="none" w:sz="0" w:space="0" w:color="auto"/>
            <w:right w:val="none" w:sz="0" w:space="0" w:color="auto"/>
          </w:divBdr>
        </w:div>
        <w:div w:id="286668643">
          <w:marLeft w:val="1440"/>
          <w:marRight w:val="0"/>
          <w:marTop w:val="0"/>
          <w:marBottom w:val="0"/>
          <w:divBdr>
            <w:top w:val="none" w:sz="0" w:space="0" w:color="auto"/>
            <w:left w:val="none" w:sz="0" w:space="0" w:color="auto"/>
            <w:bottom w:val="none" w:sz="0" w:space="0" w:color="auto"/>
            <w:right w:val="none" w:sz="0" w:space="0" w:color="auto"/>
          </w:divBdr>
        </w:div>
        <w:div w:id="382027906">
          <w:marLeft w:val="1526"/>
          <w:marRight w:val="0"/>
          <w:marTop w:val="0"/>
          <w:marBottom w:val="0"/>
          <w:divBdr>
            <w:top w:val="none" w:sz="0" w:space="0" w:color="auto"/>
            <w:left w:val="none" w:sz="0" w:space="0" w:color="auto"/>
            <w:bottom w:val="none" w:sz="0" w:space="0" w:color="auto"/>
            <w:right w:val="none" w:sz="0" w:space="0" w:color="auto"/>
          </w:divBdr>
        </w:div>
        <w:div w:id="535854334">
          <w:marLeft w:val="720"/>
          <w:marRight w:val="0"/>
          <w:marTop w:val="0"/>
          <w:marBottom w:val="0"/>
          <w:divBdr>
            <w:top w:val="none" w:sz="0" w:space="0" w:color="auto"/>
            <w:left w:val="none" w:sz="0" w:space="0" w:color="auto"/>
            <w:bottom w:val="none" w:sz="0" w:space="0" w:color="auto"/>
            <w:right w:val="none" w:sz="0" w:space="0" w:color="auto"/>
          </w:divBdr>
        </w:div>
        <w:div w:id="603612866">
          <w:marLeft w:val="720"/>
          <w:marRight w:val="0"/>
          <w:marTop w:val="0"/>
          <w:marBottom w:val="0"/>
          <w:divBdr>
            <w:top w:val="none" w:sz="0" w:space="0" w:color="auto"/>
            <w:left w:val="none" w:sz="0" w:space="0" w:color="auto"/>
            <w:bottom w:val="none" w:sz="0" w:space="0" w:color="auto"/>
            <w:right w:val="none" w:sz="0" w:space="0" w:color="auto"/>
          </w:divBdr>
        </w:div>
        <w:div w:id="670179048">
          <w:marLeft w:val="1526"/>
          <w:marRight w:val="0"/>
          <w:marTop w:val="0"/>
          <w:marBottom w:val="0"/>
          <w:divBdr>
            <w:top w:val="none" w:sz="0" w:space="0" w:color="auto"/>
            <w:left w:val="none" w:sz="0" w:space="0" w:color="auto"/>
            <w:bottom w:val="none" w:sz="0" w:space="0" w:color="auto"/>
            <w:right w:val="none" w:sz="0" w:space="0" w:color="auto"/>
          </w:divBdr>
        </w:div>
        <w:div w:id="675502718">
          <w:marLeft w:val="1440"/>
          <w:marRight w:val="0"/>
          <w:marTop w:val="0"/>
          <w:marBottom w:val="0"/>
          <w:divBdr>
            <w:top w:val="none" w:sz="0" w:space="0" w:color="auto"/>
            <w:left w:val="none" w:sz="0" w:space="0" w:color="auto"/>
            <w:bottom w:val="none" w:sz="0" w:space="0" w:color="auto"/>
            <w:right w:val="none" w:sz="0" w:space="0" w:color="auto"/>
          </w:divBdr>
        </w:div>
        <w:div w:id="796215241">
          <w:marLeft w:val="1440"/>
          <w:marRight w:val="0"/>
          <w:marTop w:val="0"/>
          <w:marBottom w:val="0"/>
          <w:divBdr>
            <w:top w:val="none" w:sz="0" w:space="0" w:color="auto"/>
            <w:left w:val="none" w:sz="0" w:space="0" w:color="auto"/>
            <w:bottom w:val="none" w:sz="0" w:space="0" w:color="auto"/>
            <w:right w:val="none" w:sz="0" w:space="0" w:color="auto"/>
          </w:divBdr>
        </w:div>
        <w:div w:id="920915844">
          <w:marLeft w:val="1440"/>
          <w:marRight w:val="0"/>
          <w:marTop w:val="0"/>
          <w:marBottom w:val="0"/>
          <w:divBdr>
            <w:top w:val="none" w:sz="0" w:space="0" w:color="auto"/>
            <w:left w:val="none" w:sz="0" w:space="0" w:color="auto"/>
            <w:bottom w:val="none" w:sz="0" w:space="0" w:color="auto"/>
            <w:right w:val="none" w:sz="0" w:space="0" w:color="auto"/>
          </w:divBdr>
        </w:div>
        <w:div w:id="962928129">
          <w:marLeft w:val="1440"/>
          <w:marRight w:val="0"/>
          <w:marTop w:val="0"/>
          <w:marBottom w:val="0"/>
          <w:divBdr>
            <w:top w:val="none" w:sz="0" w:space="0" w:color="auto"/>
            <w:left w:val="none" w:sz="0" w:space="0" w:color="auto"/>
            <w:bottom w:val="none" w:sz="0" w:space="0" w:color="auto"/>
            <w:right w:val="none" w:sz="0" w:space="0" w:color="auto"/>
          </w:divBdr>
        </w:div>
        <w:div w:id="1013533594">
          <w:marLeft w:val="1440"/>
          <w:marRight w:val="0"/>
          <w:marTop w:val="0"/>
          <w:marBottom w:val="0"/>
          <w:divBdr>
            <w:top w:val="none" w:sz="0" w:space="0" w:color="auto"/>
            <w:left w:val="none" w:sz="0" w:space="0" w:color="auto"/>
            <w:bottom w:val="none" w:sz="0" w:space="0" w:color="auto"/>
            <w:right w:val="none" w:sz="0" w:space="0" w:color="auto"/>
          </w:divBdr>
        </w:div>
        <w:div w:id="1170946217">
          <w:marLeft w:val="1526"/>
          <w:marRight w:val="0"/>
          <w:marTop w:val="0"/>
          <w:marBottom w:val="0"/>
          <w:divBdr>
            <w:top w:val="none" w:sz="0" w:space="0" w:color="auto"/>
            <w:left w:val="none" w:sz="0" w:space="0" w:color="auto"/>
            <w:bottom w:val="none" w:sz="0" w:space="0" w:color="auto"/>
            <w:right w:val="none" w:sz="0" w:space="0" w:color="auto"/>
          </w:divBdr>
        </w:div>
        <w:div w:id="1233200149">
          <w:marLeft w:val="806"/>
          <w:marRight w:val="0"/>
          <w:marTop w:val="0"/>
          <w:marBottom w:val="0"/>
          <w:divBdr>
            <w:top w:val="none" w:sz="0" w:space="0" w:color="auto"/>
            <w:left w:val="none" w:sz="0" w:space="0" w:color="auto"/>
            <w:bottom w:val="none" w:sz="0" w:space="0" w:color="auto"/>
            <w:right w:val="none" w:sz="0" w:space="0" w:color="auto"/>
          </w:divBdr>
        </w:div>
        <w:div w:id="1278684470">
          <w:marLeft w:val="806"/>
          <w:marRight w:val="0"/>
          <w:marTop w:val="0"/>
          <w:marBottom w:val="0"/>
          <w:divBdr>
            <w:top w:val="none" w:sz="0" w:space="0" w:color="auto"/>
            <w:left w:val="none" w:sz="0" w:space="0" w:color="auto"/>
            <w:bottom w:val="none" w:sz="0" w:space="0" w:color="auto"/>
            <w:right w:val="none" w:sz="0" w:space="0" w:color="auto"/>
          </w:divBdr>
        </w:div>
        <w:div w:id="1425878400">
          <w:marLeft w:val="1440"/>
          <w:marRight w:val="0"/>
          <w:marTop w:val="0"/>
          <w:marBottom w:val="0"/>
          <w:divBdr>
            <w:top w:val="none" w:sz="0" w:space="0" w:color="auto"/>
            <w:left w:val="none" w:sz="0" w:space="0" w:color="auto"/>
            <w:bottom w:val="none" w:sz="0" w:space="0" w:color="auto"/>
            <w:right w:val="none" w:sz="0" w:space="0" w:color="auto"/>
          </w:divBdr>
        </w:div>
        <w:div w:id="1435319894">
          <w:marLeft w:val="1440"/>
          <w:marRight w:val="0"/>
          <w:marTop w:val="0"/>
          <w:marBottom w:val="0"/>
          <w:divBdr>
            <w:top w:val="none" w:sz="0" w:space="0" w:color="auto"/>
            <w:left w:val="none" w:sz="0" w:space="0" w:color="auto"/>
            <w:bottom w:val="none" w:sz="0" w:space="0" w:color="auto"/>
            <w:right w:val="none" w:sz="0" w:space="0" w:color="auto"/>
          </w:divBdr>
        </w:div>
        <w:div w:id="1520659146">
          <w:marLeft w:val="1526"/>
          <w:marRight w:val="0"/>
          <w:marTop w:val="0"/>
          <w:marBottom w:val="0"/>
          <w:divBdr>
            <w:top w:val="none" w:sz="0" w:space="0" w:color="auto"/>
            <w:left w:val="none" w:sz="0" w:space="0" w:color="auto"/>
            <w:bottom w:val="none" w:sz="0" w:space="0" w:color="auto"/>
            <w:right w:val="none" w:sz="0" w:space="0" w:color="auto"/>
          </w:divBdr>
        </w:div>
        <w:div w:id="1819494824">
          <w:marLeft w:val="1440"/>
          <w:marRight w:val="0"/>
          <w:marTop w:val="0"/>
          <w:marBottom w:val="0"/>
          <w:divBdr>
            <w:top w:val="none" w:sz="0" w:space="0" w:color="auto"/>
            <w:left w:val="none" w:sz="0" w:space="0" w:color="auto"/>
            <w:bottom w:val="none" w:sz="0" w:space="0" w:color="auto"/>
            <w:right w:val="none" w:sz="0" w:space="0" w:color="auto"/>
          </w:divBdr>
        </w:div>
        <w:div w:id="2036953959">
          <w:marLeft w:val="1526"/>
          <w:marRight w:val="0"/>
          <w:marTop w:val="0"/>
          <w:marBottom w:val="0"/>
          <w:divBdr>
            <w:top w:val="none" w:sz="0" w:space="0" w:color="auto"/>
            <w:left w:val="none" w:sz="0" w:space="0" w:color="auto"/>
            <w:bottom w:val="none" w:sz="0" w:space="0" w:color="auto"/>
            <w:right w:val="none" w:sz="0" w:space="0" w:color="auto"/>
          </w:divBdr>
        </w:div>
      </w:divsChild>
    </w:div>
    <w:div w:id="1268930738">
      <w:bodyDiv w:val="1"/>
      <w:marLeft w:val="0"/>
      <w:marRight w:val="0"/>
      <w:marTop w:val="0"/>
      <w:marBottom w:val="0"/>
      <w:divBdr>
        <w:top w:val="none" w:sz="0" w:space="0" w:color="auto"/>
        <w:left w:val="none" w:sz="0" w:space="0" w:color="auto"/>
        <w:bottom w:val="none" w:sz="0" w:space="0" w:color="auto"/>
        <w:right w:val="none" w:sz="0" w:space="0" w:color="auto"/>
      </w:divBdr>
    </w:div>
    <w:div w:id="2095197334">
      <w:bodyDiv w:val="1"/>
      <w:marLeft w:val="0"/>
      <w:marRight w:val="0"/>
      <w:marTop w:val="0"/>
      <w:marBottom w:val="0"/>
      <w:divBdr>
        <w:top w:val="none" w:sz="0" w:space="0" w:color="auto"/>
        <w:left w:val="none" w:sz="0" w:space="0" w:color="auto"/>
        <w:bottom w:val="none" w:sz="0" w:space="0" w:color="auto"/>
        <w:right w:val="none" w:sz="0" w:space="0" w:color="auto"/>
      </w:divBdr>
    </w:div>
    <w:div w:id="2098162021">
      <w:bodyDiv w:val="1"/>
      <w:marLeft w:val="0"/>
      <w:marRight w:val="0"/>
      <w:marTop w:val="0"/>
      <w:marBottom w:val="0"/>
      <w:divBdr>
        <w:top w:val="none" w:sz="0" w:space="0" w:color="auto"/>
        <w:left w:val="none" w:sz="0" w:space="0" w:color="auto"/>
        <w:bottom w:val="none" w:sz="0" w:space="0" w:color="auto"/>
        <w:right w:val="none" w:sz="0" w:space="0" w:color="auto"/>
      </w:divBdr>
      <w:divsChild>
        <w:div w:id="204681212">
          <w:marLeft w:val="720"/>
          <w:marRight w:val="0"/>
          <w:marTop w:val="0"/>
          <w:marBottom w:val="0"/>
          <w:divBdr>
            <w:top w:val="none" w:sz="0" w:space="0" w:color="auto"/>
            <w:left w:val="none" w:sz="0" w:space="0" w:color="auto"/>
            <w:bottom w:val="none" w:sz="0" w:space="0" w:color="auto"/>
            <w:right w:val="none" w:sz="0" w:space="0" w:color="auto"/>
          </w:divBdr>
        </w:div>
        <w:div w:id="646010943">
          <w:marLeft w:val="720"/>
          <w:marRight w:val="0"/>
          <w:marTop w:val="0"/>
          <w:marBottom w:val="0"/>
          <w:divBdr>
            <w:top w:val="none" w:sz="0" w:space="0" w:color="auto"/>
            <w:left w:val="none" w:sz="0" w:space="0" w:color="auto"/>
            <w:bottom w:val="none" w:sz="0" w:space="0" w:color="auto"/>
            <w:right w:val="none" w:sz="0" w:space="0" w:color="auto"/>
          </w:divBdr>
        </w:div>
        <w:div w:id="1031568974">
          <w:marLeft w:val="720"/>
          <w:marRight w:val="0"/>
          <w:marTop w:val="0"/>
          <w:marBottom w:val="0"/>
          <w:divBdr>
            <w:top w:val="none" w:sz="0" w:space="0" w:color="auto"/>
            <w:left w:val="none" w:sz="0" w:space="0" w:color="auto"/>
            <w:bottom w:val="none" w:sz="0" w:space="0" w:color="auto"/>
            <w:right w:val="none" w:sz="0" w:space="0" w:color="auto"/>
          </w:divBdr>
        </w:div>
        <w:div w:id="1424449882">
          <w:marLeft w:val="720"/>
          <w:marRight w:val="0"/>
          <w:marTop w:val="0"/>
          <w:marBottom w:val="0"/>
          <w:divBdr>
            <w:top w:val="none" w:sz="0" w:space="0" w:color="auto"/>
            <w:left w:val="none" w:sz="0" w:space="0" w:color="auto"/>
            <w:bottom w:val="none" w:sz="0" w:space="0" w:color="auto"/>
            <w:right w:val="none" w:sz="0" w:space="0" w:color="auto"/>
          </w:divBdr>
        </w:div>
        <w:div w:id="161035497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baxtermedicationdeliveryproducts.com/pdf/111835_ISMPPost-ProductionIVAdmixtureChecksLessThanIdeal_ArticleReprint_FINAL.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itt.idm.oclc.org/pmc/articles/PMC3839457/" TargetMode="External"/><Relationship Id="rId17" Type="http://schemas.openxmlformats.org/officeDocument/2006/relationships/hyperlink" Target="https://www.ismp.org/newsletters/acutecare/showarticle.aspx?id=98" TargetMode="External"/><Relationship Id="rId2" Type="http://schemas.openxmlformats.org/officeDocument/2006/relationships/numbering" Target="numbering.xml"/><Relationship Id="rId16" Type="http://schemas.openxmlformats.org/officeDocument/2006/relationships/hyperlink" Target="http://www.ismp.org/sc?id=4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itt.idm.oclc.org/pmc/articles/PMC3839457/" TargetMode="External"/><Relationship Id="rId5" Type="http://schemas.openxmlformats.org/officeDocument/2006/relationships/webSettings" Target="webSettings.xml"/><Relationship Id="rId15" Type="http://schemas.openxmlformats.org/officeDocument/2006/relationships/hyperlink" Target="http://www.ismp.org/Tools/guidelines/IVSummit/IVCGuidelines.pdf" TargetMode="External"/><Relationship Id="rId10" Type="http://schemas.openxmlformats.org/officeDocument/2006/relationships/hyperlink" Target="https://www-ncbi-nlm-nih-gov.pitt.idm.oclc.org/pmc/articles/PMC383945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cbi-nlm-nih-gov.pitt.idm.oclc.org/pmc/articles/PMC3839457/" TargetMode="External"/><Relationship Id="rId14" Type="http://schemas.openxmlformats.org/officeDocument/2006/relationships/hyperlink" Target="https://www-ncbi-nlm-nih-gov.pitt.idm.oclc.org/pmc/articles/PMC38394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C7483-63BC-42A9-98BC-1649A304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ETDword.dot</Template>
  <TotalTime>3</TotalTime>
  <Pages>28</Pages>
  <Words>5464</Words>
  <Characters>31150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36541</CharactersWithSpaces>
  <SharedDoc>false</SharedDoc>
  <HLinks>
    <vt:vector size="174" baseType="variant">
      <vt:variant>
        <vt:i4>5111903</vt:i4>
      </vt:variant>
      <vt:variant>
        <vt:i4>129</vt:i4>
      </vt:variant>
      <vt:variant>
        <vt:i4>0</vt:i4>
      </vt:variant>
      <vt:variant>
        <vt:i4>5</vt:i4>
      </vt:variant>
      <vt:variant>
        <vt:lpwstr>https://www-ncbi-nlm-nih-gov.pitt.idm.oclc.org/pmc/articles/PMC3839457/</vt:lpwstr>
      </vt:variant>
      <vt:variant>
        <vt:lpwstr>r25</vt:lpwstr>
      </vt:variant>
      <vt:variant>
        <vt:i4>4915295</vt:i4>
      </vt:variant>
      <vt:variant>
        <vt:i4>126</vt:i4>
      </vt:variant>
      <vt:variant>
        <vt:i4>0</vt:i4>
      </vt:variant>
      <vt:variant>
        <vt:i4>5</vt:i4>
      </vt:variant>
      <vt:variant>
        <vt:lpwstr>https://www-ncbi-nlm-nih-gov.pitt.idm.oclc.org/pmc/articles/PMC3839457/</vt:lpwstr>
      </vt:variant>
      <vt:variant>
        <vt:lpwstr>r7</vt:lpwstr>
      </vt:variant>
      <vt:variant>
        <vt:i4>5111903</vt:i4>
      </vt:variant>
      <vt:variant>
        <vt:i4>123</vt:i4>
      </vt:variant>
      <vt:variant>
        <vt:i4>0</vt:i4>
      </vt:variant>
      <vt:variant>
        <vt:i4>5</vt:i4>
      </vt:variant>
      <vt:variant>
        <vt:lpwstr>https://www-ncbi-nlm-nih-gov.pitt.idm.oclc.org/pmc/articles/PMC3839457/</vt:lpwstr>
      </vt:variant>
      <vt:variant>
        <vt:lpwstr>r24</vt:lpwstr>
      </vt:variant>
      <vt:variant>
        <vt:i4>5111903</vt:i4>
      </vt:variant>
      <vt:variant>
        <vt:i4>120</vt:i4>
      </vt:variant>
      <vt:variant>
        <vt:i4>0</vt:i4>
      </vt:variant>
      <vt:variant>
        <vt:i4>5</vt:i4>
      </vt:variant>
      <vt:variant>
        <vt:lpwstr>https://www-ncbi-nlm-nih-gov.pitt.idm.oclc.org/pmc/articles/PMC3839457/</vt:lpwstr>
      </vt:variant>
      <vt:variant>
        <vt:lpwstr>r26</vt:lpwstr>
      </vt:variant>
      <vt:variant>
        <vt:i4>6094919</vt:i4>
      </vt:variant>
      <vt:variant>
        <vt:i4>117</vt:i4>
      </vt:variant>
      <vt:variant>
        <vt:i4>0</vt:i4>
      </vt:variant>
      <vt:variant>
        <vt:i4>5</vt:i4>
      </vt:variant>
      <vt:variant>
        <vt:lpwstr>http://www.ismp.org/sc?id=469</vt:lpwstr>
      </vt:variant>
      <vt:variant>
        <vt:lpwstr/>
      </vt:variant>
      <vt:variant>
        <vt:i4>4456543</vt:i4>
      </vt:variant>
      <vt:variant>
        <vt:i4>114</vt:i4>
      </vt:variant>
      <vt:variant>
        <vt:i4>0</vt:i4>
      </vt:variant>
      <vt:variant>
        <vt:i4>5</vt:i4>
      </vt:variant>
      <vt:variant>
        <vt:lpwstr>https://www-ncbi-nlm-nih-gov.pitt.idm.oclc.org/pmc/articles/PMC3839457/</vt:lpwstr>
      </vt:variant>
      <vt:variant>
        <vt:lpwstr>r8</vt:lpwstr>
      </vt:variant>
      <vt:variant>
        <vt:i4>4915295</vt:i4>
      </vt:variant>
      <vt:variant>
        <vt:i4>111</vt:i4>
      </vt:variant>
      <vt:variant>
        <vt:i4>0</vt:i4>
      </vt:variant>
      <vt:variant>
        <vt:i4>5</vt:i4>
      </vt:variant>
      <vt:variant>
        <vt:lpwstr>https://www-ncbi-nlm-nih-gov.pitt.idm.oclc.org/pmc/articles/PMC3839457/</vt:lpwstr>
      </vt:variant>
      <vt:variant>
        <vt:lpwstr>r7</vt:lpwstr>
      </vt:variant>
      <vt:variant>
        <vt:i4>4849759</vt:i4>
      </vt:variant>
      <vt:variant>
        <vt:i4>108</vt:i4>
      </vt:variant>
      <vt:variant>
        <vt:i4>0</vt:i4>
      </vt:variant>
      <vt:variant>
        <vt:i4>5</vt:i4>
      </vt:variant>
      <vt:variant>
        <vt:lpwstr>https://www-ncbi-nlm-nih-gov.pitt.idm.oclc.org/pmc/articles/PMC3839457/</vt:lpwstr>
      </vt:variant>
      <vt:variant>
        <vt:lpwstr>r6</vt:lpwstr>
      </vt:variant>
      <vt:variant>
        <vt:i4>5046367</vt:i4>
      </vt:variant>
      <vt:variant>
        <vt:i4>105</vt:i4>
      </vt:variant>
      <vt:variant>
        <vt:i4>0</vt:i4>
      </vt:variant>
      <vt:variant>
        <vt:i4>5</vt:i4>
      </vt:variant>
      <vt:variant>
        <vt:lpwstr>https://www-ncbi-nlm-nih-gov.pitt.idm.oclc.org/pmc/articles/PMC3839457/</vt:lpwstr>
      </vt:variant>
      <vt:variant>
        <vt:lpwstr>r19</vt:lpwstr>
      </vt:variant>
      <vt:variant>
        <vt:i4>5046367</vt:i4>
      </vt:variant>
      <vt:variant>
        <vt:i4>102</vt:i4>
      </vt:variant>
      <vt:variant>
        <vt:i4>0</vt:i4>
      </vt:variant>
      <vt:variant>
        <vt:i4>5</vt:i4>
      </vt:variant>
      <vt:variant>
        <vt:lpwstr>https://www-ncbi-nlm-nih-gov.pitt.idm.oclc.org/pmc/articles/PMC3839457/</vt:lpwstr>
      </vt:variant>
      <vt:variant>
        <vt:lpwstr>r18</vt:lpwstr>
      </vt:variant>
      <vt:variant>
        <vt:i4>5046367</vt:i4>
      </vt:variant>
      <vt:variant>
        <vt:i4>99</vt:i4>
      </vt:variant>
      <vt:variant>
        <vt:i4>0</vt:i4>
      </vt:variant>
      <vt:variant>
        <vt:i4>5</vt:i4>
      </vt:variant>
      <vt:variant>
        <vt:lpwstr>https://www-ncbi-nlm-nih-gov.pitt.idm.oclc.org/pmc/articles/PMC3839457/</vt:lpwstr>
      </vt:variant>
      <vt:variant>
        <vt:lpwstr>r17</vt:lpwstr>
      </vt:variant>
      <vt:variant>
        <vt:i4>5046367</vt:i4>
      </vt:variant>
      <vt:variant>
        <vt:i4>96</vt:i4>
      </vt:variant>
      <vt:variant>
        <vt:i4>0</vt:i4>
      </vt:variant>
      <vt:variant>
        <vt:i4>5</vt:i4>
      </vt:variant>
      <vt:variant>
        <vt:lpwstr>https://www-ncbi-nlm-nih-gov.pitt.idm.oclc.org/pmc/articles/PMC3839457/</vt:lpwstr>
      </vt:variant>
      <vt:variant>
        <vt:lpwstr>r13</vt:lpwstr>
      </vt:variant>
      <vt:variant>
        <vt:i4>5046367</vt:i4>
      </vt:variant>
      <vt:variant>
        <vt:i4>93</vt:i4>
      </vt:variant>
      <vt:variant>
        <vt:i4>0</vt:i4>
      </vt:variant>
      <vt:variant>
        <vt:i4>5</vt:i4>
      </vt:variant>
      <vt:variant>
        <vt:lpwstr>https://www-ncbi-nlm-nih-gov.pitt.idm.oclc.org/pmc/articles/PMC3839457/</vt:lpwstr>
      </vt:variant>
      <vt:variant>
        <vt:lpwstr>r12</vt:lpwstr>
      </vt:variant>
      <vt:variant>
        <vt:i4>5046367</vt:i4>
      </vt:variant>
      <vt:variant>
        <vt:i4>90</vt:i4>
      </vt:variant>
      <vt:variant>
        <vt:i4>0</vt:i4>
      </vt:variant>
      <vt:variant>
        <vt:i4>5</vt:i4>
      </vt:variant>
      <vt:variant>
        <vt:lpwstr>https://www-ncbi-nlm-nih-gov.pitt.idm.oclc.org/pmc/articles/PMC3839457/</vt:lpwstr>
      </vt:variant>
      <vt:variant>
        <vt:lpwstr>r11</vt:lpwstr>
      </vt:variant>
      <vt:variant>
        <vt:i4>5177439</vt:i4>
      </vt:variant>
      <vt:variant>
        <vt:i4>87</vt:i4>
      </vt:variant>
      <vt:variant>
        <vt:i4>0</vt:i4>
      </vt:variant>
      <vt:variant>
        <vt:i4>5</vt:i4>
      </vt:variant>
      <vt:variant>
        <vt:lpwstr>https://www-ncbi-nlm-nih-gov.pitt.idm.oclc.org/pmc/articles/PMC3839457/</vt:lpwstr>
      </vt:variant>
      <vt:variant>
        <vt:lpwstr>r3</vt:lpwstr>
      </vt:variant>
      <vt:variant>
        <vt:i4>5111903</vt:i4>
      </vt:variant>
      <vt:variant>
        <vt:i4>84</vt:i4>
      </vt:variant>
      <vt:variant>
        <vt:i4>0</vt:i4>
      </vt:variant>
      <vt:variant>
        <vt:i4>5</vt:i4>
      </vt:variant>
      <vt:variant>
        <vt:lpwstr>https://www-ncbi-nlm-nih-gov.pitt.idm.oclc.org/pmc/articles/PMC3839457/</vt:lpwstr>
      </vt:variant>
      <vt:variant>
        <vt:lpwstr>r21</vt:lpwstr>
      </vt:variant>
      <vt:variant>
        <vt:i4>1507391</vt:i4>
      </vt:variant>
      <vt:variant>
        <vt:i4>77</vt:i4>
      </vt:variant>
      <vt:variant>
        <vt:i4>0</vt:i4>
      </vt:variant>
      <vt:variant>
        <vt:i4>5</vt:i4>
      </vt:variant>
      <vt:variant>
        <vt:lpwstr/>
      </vt:variant>
      <vt:variant>
        <vt:lpwstr>_Toc406584510</vt:lpwstr>
      </vt:variant>
      <vt:variant>
        <vt:i4>1245216</vt:i4>
      </vt:variant>
      <vt:variant>
        <vt:i4>71</vt:i4>
      </vt:variant>
      <vt:variant>
        <vt:i4>0</vt:i4>
      </vt:variant>
      <vt:variant>
        <vt:i4>5</vt:i4>
      </vt:variant>
      <vt:variant>
        <vt:lpwstr>C:\Documents and Settings\rhabib\Desktop\Habib_R_MasterEssay_12_2014.doc</vt:lpwstr>
      </vt:variant>
      <vt:variant>
        <vt:lpwstr>_Toc406584509</vt:lpwstr>
      </vt:variant>
      <vt:variant>
        <vt:i4>1441855</vt:i4>
      </vt:variant>
      <vt:variant>
        <vt:i4>65</vt:i4>
      </vt:variant>
      <vt:variant>
        <vt:i4>0</vt:i4>
      </vt:variant>
      <vt:variant>
        <vt:i4>5</vt:i4>
      </vt:variant>
      <vt:variant>
        <vt:lpwstr/>
      </vt:variant>
      <vt:variant>
        <vt:lpwstr>_Toc406584508</vt:lpwstr>
      </vt:variant>
      <vt:variant>
        <vt:i4>1310783</vt:i4>
      </vt:variant>
      <vt:variant>
        <vt:i4>56</vt:i4>
      </vt:variant>
      <vt:variant>
        <vt:i4>0</vt:i4>
      </vt:variant>
      <vt:variant>
        <vt:i4>5</vt:i4>
      </vt:variant>
      <vt:variant>
        <vt:lpwstr/>
      </vt:variant>
      <vt:variant>
        <vt:lpwstr>_Toc406584528</vt:lpwstr>
      </vt:variant>
      <vt:variant>
        <vt:i4>1310783</vt:i4>
      </vt:variant>
      <vt:variant>
        <vt:i4>50</vt:i4>
      </vt:variant>
      <vt:variant>
        <vt:i4>0</vt:i4>
      </vt:variant>
      <vt:variant>
        <vt:i4>5</vt:i4>
      </vt:variant>
      <vt:variant>
        <vt:lpwstr/>
      </vt:variant>
      <vt:variant>
        <vt:lpwstr>_Toc406584527</vt:lpwstr>
      </vt:variant>
      <vt:variant>
        <vt:i4>1310783</vt:i4>
      </vt:variant>
      <vt:variant>
        <vt:i4>44</vt:i4>
      </vt:variant>
      <vt:variant>
        <vt:i4>0</vt:i4>
      </vt:variant>
      <vt:variant>
        <vt:i4>5</vt:i4>
      </vt:variant>
      <vt:variant>
        <vt:lpwstr/>
      </vt:variant>
      <vt:variant>
        <vt:lpwstr>_Toc406584524</vt:lpwstr>
      </vt:variant>
      <vt:variant>
        <vt:i4>1507391</vt:i4>
      </vt:variant>
      <vt:variant>
        <vt:i4>38</vt:i4>
      </vt:variant>
      <vt:variant>
        <vt:i4>0</vt:i4>
      </vt:variant>
      <vt:variant>
        <vt:i4>5</vt:i4>
      </vt:variant>
      <vt:variant>
        <vt:lpwstr/>
      </vt:variant>
      <vt:variant>
        <vt:lpwstr>_Toc406584516</vt:lpwstr>
      </vt:variant>
      <vt:variant>
        <vt:i4>1507391</vt:i4>
      </vt:variant>
      <vt:variant>
        <vt:i4>32</vt:i4>
      </vt:variant>
      <vt:variant>
        <vt:i4>0</vt:i4>
      </vt:variant>
      <vt:variant>
        <vt:i4>5</vt:i4>
      </vt:variant>
      <vt:variant>
        <vt:lpwstr/>
      </vt:variant>
      <vt:variant>
        <vt:lpwstr>_Toc406584515</vt:lpwstr>
      </vt:variant>
      <vt:variant>
        <vt:i4>1310783</vt:i4>
      </vt:variant>
      <vt:variant>
        <vt:i4>26</vt:i4>
      </vt:variant>
      <vt:variant>
        <vt:i4>0</vt:i4>
      </vt:variant>
      <vt:variant>
        <vt:i4>5</vt:i4>
      </vt:variant>
      <vt:variant>
        <vt:lpwstr/>
      </vt:variant>
      <vt:variant>
        <vt:lpwstr>_Toc406584520</vt:lpwstr>
      </vt:variant>
      <vt:variant>
        <vt:i4>1507391</vt:i4>
      </vt:variant>
      <vt:variant>
        <vt:i4>20</vt:i4>
      </vt:variant>
      <vt:variant>
        <vt:i4>0</vt:i4>
      </vt:variant>
      <vt:variant>
        <vt:i4>5</vt:i4>
      </vt:variant>
      <vt:variant>
        <vt:lpwstr/>
      </vt:variant>
      <vt:variant>
        <vt:lpwstr>_Toc406584516</vt:lpwstr>
      </vt:variant>
      <vt:variant>
        <vt:i4>1507391</vt:i4>
      </vt:variant>
      <vt:variant>
        <vt:i4>14</vt:i4>
      </vt:variant>
      <vt:variant>
        <vt:i4>0</vt:i4>
      </vt:variant>
      <vt:variant>
        <vt:i4>5</vt:i4>
      </vt:variant>
      <vt:variant>
        <vt:lpwstr/>
      </vt:variant>
      <vt:variant>
        <vt:lpwstr>_Toc406584517</vt:lpwstr>
      </vt:variant>
      <vt:variant>
        <vt:i4>1507391</vt:i4>
      </vt:variant>
      <vt:variant>
        <vt:i4>8</vt:i4>
      </vt:variant>
      <vt:variant>
        <vt:i4>0</vt:i4>
      </vt:variant>
      <vt:variant>
        <vt:i4>5</vt:i4>
      </vt:variant>
      <vt:variant>
        <vt:lpwstr/>
      </vt:variant>
      <vt:variant>
        <vt:lpwstr>_Toc406584515</vt:lpwstr>
      </vt:variant>
      <vt:variant>
        <vt:i4>1507391</vt:i4>
      </vt:variant>
      <vt:variant>
        <vt:i4>2</vt:i4>
      </vt:variant>
      <vt:variant>
        <vt:i4>0</vt:i4>
      </vt:variant>
      <vt:variant>
        <vt:i4>5</vt:i4>
      </vt:variant>
      <vt:variant>
        <vt:lpwstr/>
      </vt:variant>
      <vt:variant>
        <vt:lpwstr>_Toc406584514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rlh52</dc:creator>
  <cp:keywords/>
  <dc:description/>
  <cp:lastModifiedBy>JPEGHER</cp:lastModifiedBy>
  <cp:revision>4</cp:revision>
  <cp:lastPrinted>2016-11-29T21:44:00Z</cp:lastPrinted>
  <dcterms:created xsi:type="dcterms:W3CDTF">2016-12-13T17:11:00Z</dcterms:created>
  <dcterms:modified xsi:type="dcterms:W3CDTF">2016-12-13T17:15:00Z</dcterms:modified>
</cp:coreProperties>
</file>