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9993" w14:textId="167CC795" w:rsidR="004E3B59" w:rsidRPr="008438F4" w:rsidRDefault="00806E0D" w:rsidP="00BF2B29">
      <w:pPr>
        <w:ind w:firstLine="0"/>
        <w:rPr>
          <w:rFonts w:ascii="Calibri" w:hAnsi="Calibri" w:cs="Calibri"/>
        </w:rPr>
      </w:pPr>
      <w:bookmarkStart w:id="0" w:name="_GoBack"/>
      <w:bookmarkEnd w:id="0"/>
      <w:r>
        <w:rPr>
          <w:rFonts w:ascii="Calibri" w:hAnsi="Calibri" w:cs="Calibri"/>
          <w:noProof/>
        </w:rPr>
        <mc:AlternateContent>
          <mc:Choice Requires="wps">
            <w:drawing>
              <wp:anchor distT="0" distB="0" distL="114300" distR="114300" simplePos="0" relativeHeight="251656192" behindDoc="0" locked="0" layoutInCell="1" allowOverlap="1" wp14:anchorId="3FD8B02E" wp14:editId="2A799CB0">
                <wp:simplePos x="0" y="0"/>
                <wp:positionH relativeFrom="page">
                  <wp:posOffset>914400</wp:posOffset>
                </wp:positionH>
                <wp:positionV relativeFrom="page">
                  <wp:posOffset>1143000</wp:posOffset>
                </wp:positionV>
                <wp:extent cx="5943600" cy="8343900"/>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4DF35" w14:textId="77777777" w:rsidR="009857EA" w:rsidRDefault="009857EA" w:rsidP="005A397E">
                            <w:pPr>
                              <w:spacing w:line="240" w:lineRule="auto"/>
                              <w:ind w:firstLine="0"/>
                              <w:jc w:val="center"/>
                              <w:rPr>
                                <w:rFonts w:ascii="Calibri" w:hAnsi="Calibri" w:cs="Calibri"/>
                                <w:b/>
                              </w:rPr>
                            </w:pPr>
                            <w:r>
                              <w:rPr>
                                <w:rFonts w:ascii="Calibri" w:hAnsi="Calibri" w:cs="Calibri"/>
                                <w:b/>
                              </w:rPr>
                              <w:t>NEURAL CORRELATES OF FATIGABILITY IN OLDER ADULTS</w:t>
                            </w:r>
                          </w:p>
                          <w:p w14:paraId="3CDCA5A4" w14:textId="57B24EFF" w:rsidR="009857EA" w:rsidRPr="00C041A2" w:rsidRDefault="009857EA" w:rsidP="005A397E">
                            <w:pPr>
                              <w:spacing w:line="240" w:lineRule="auto"/>
                              <w:ind w:firstLine="0"/>
                              <w:jc w:val="center"/>
                              <w:rPr>
                                <w:rFonts w:ascii="Calibri" w:hAnsi="Calibri" w:cs="Calibri"/>
                                <w:b/>
                              </w:rPr>
                            </w:pPr>
                            <w:r>
                              <w:rPr>
                                <w:rFonts w:ascii="Calibri" w:hAnsi="Calibri" w:cs="Calibri"/>
                                <w:b/>
                              </w:rPr>
                              <w:t xml:space="preserve"> BY 7T MAGNETIC RESONANCE IMAGING (MRI)</w:t>
                            </w:r>
                          </w:p>
                          <w:p w14:paraId="77CB4B3C" w14:textId="77777777" w:rsidR="009857EA" w:rsidRPr="00C041A2" w:rsidRDefault="009857EA" w:rsidP="00536110">
                            <w:pPr>
                              <w:spacing w:line="240" w:lineRule="auto"/>
                              <w:ind w:firstLine="0"/>
                              <w:jc w:val="center"/>
                              <w:rPr>
                                <w:rFonts w:ascii="Calibri" w:hAnsi="Calibri" w:cs="Calibri"/>
                                <w:b/>
                              </w:rPr>
                            </w:pPr>
                          </w:p>
                          <w:p w14:paraId="4D1221A6" w14:textId="77777777" w:rsidR="009857EA" w:rsidRPr="00C041A2" w:rsidRDefault="009857EA" w:rsidP="00536110">
                            <w:pPr>
                              <w:spacing w:line="240" w:lineRule="auto"/>
                              <w:ind w:firstLine="0"/>
                              <w:jc w:val="center"/>
                              <w:rPr>
                                <w:rFonts w:ascii="Calibri" w:hAnsi="Calibri" w:cs="Calibri"/>
                                <w:b/>
                              </w:rPr>
                            </w:pPr>
                          </w:p>
                          <w:p w14:paraId="4BA1CA06" w14:textId="77777777" w:rsidR="009857EA" w:rsidRPr="00C041A2" w:rsidRDefault="009857EA" w:rsidP="00536110">
                            <w:pPr>
                              <w:spacing w:line="240" w:lineRule="auto"/>
                              <w:ind w:firstLine="0"/>
                              <w:jc w:val="center"/>
                              <w:rPr>
                                <w:rFonts w:ascii="Calibri" w:hAnsi="Calibri" w:cs="Calibri"/>
                                <w:b/>
                              </w:rPr>
                            </w:pPr>
                          </w:p>
                          <w:p w14:paraId="18D03787" w14:textId="77777777" w:rsidR="009857EA" w:rsidRPr="00C041A2" w:rsidRDefault="009857EA" w:rsidP="00536110">
                            <w:pPr>
                              <w:spacing w:line="240" w:lineRule="auto"/>
                              <w:ind w:firstLine="0"/>
                              <w:jc w:val="center"/>
                              <w:rPr>
                                <w:rFonts w:ascii="Calibri" w:hAnsi="Calibri" w:cs="Calibri"/>
                                <w:b/>
                              </w:rPr>
                            </w:pPr>
                          </w:p>
                          <w:p w14:paraId="06EEE660" w14:textId="77777777" w:rsidR="009857EA" w:rsidRPr="00C041A2" w:rsidRDefault="009857EA" w:rsidP="00536110">
                            <w:pPr>
                              <w:spacing w:line="240" w:lineRule="auto"/>
                              <w:ind w:firstLine="0"/>
                              <w:jc w:val="center"/>
                              <w:rPr>
                                <w:rFonts w:ascii="Calibri" w:hAnsi="Calibri" w:cs="Calibri"/>
                                <w:b/>
                              </w:rPr>
                            </w:pPr>
                          </w:p>
                          <w:p w14:paraId="1608AA6C" w14:textId="77777777" w:rsidR="009857EA" w:rsidRPr="00C041A2" w:rsidRDefault="009857EA" w:rsidP="00536110">
                            <w:pPr>
                              <w:spacing w:line="240" w:lineRule="auto"/>
                              <w:ind w:firstLine="0"/>
                              <w:jc w:val="center"/>
                              <w:rPr>
                                <w:rFonts w:ascii="Calibri" w:hAnsi="Calibri" w:cs="Calibri"/>
                                <w:b/>
                              </w:rPr>
                            </w:pPr>
                          </w:p>
                          <w:p w14:paraId="657EB7E4" w14:textId="77777777" w:rsidR="009857EA" w:rsidRPr="00C041A2" w:rsidRDefault="009857EA" w:rsidP="00536110">
                            <w:pPr>
                              <w:spacing w:line="240" w:lineRule="auto"/>
                              <w:ind w:firstLine="0"/>
                              <w:jc w:val="center"/>
                              <w:rPr>
                                <w:rFonts w:ascii="Calibri" w:hAnsi="Calibri" w:cs="Calibri"/>
                                <w:b/>
                              </w:rPr>
                            </w:pPr>
                          </w:p>
                          <w:p w14:paraId="49618AAE" w14:textId="77777777" w:rsidR="009857EA" w:rsidRPr="00C041A2" w:rsidRDefault="009857EA" w:rsidP="00536110">
                            <w:pPr>
                              <w:spacing w:line="240" w:lineRule="auto"/>
                              <w:ind w:firstLine="0"/>
                              <w:jc w:val="center"/>
                              <w:rPr>
                                <w:rFonts w:ascii="Calibri" w:hAnsi="Calibri" w:cs="Calibri"/>
                                <w:b/>
                              </w:rPr>
                            </w:pPr>
                          </w:p>
                          <w:p w14:paraId="3E1221C8" w14:textId="77777777" w:rsidR="009857EA" w:rsidRPr="00C041A2" w:rsidRDefault="009857EA" w:rsidP="00B57E9B">
                            <w:pPr>
                              <w:ind w:firstLine="0"/>
                              <w:jc w:val="center"/>
                              <w:rPr>
                                <w:rFonts w:ascii="Calibri" w:hAnsi="Calibri" w:cs="Calibri"/>
                              </w:rPr>
                            </w:pPr>
                            <w:r w:rsidRPr="00C041A2">
                              <w:rPr>
                                <w:rFonts w:ascii="Calibri" w:hAnsi="Calibri" w:cs="Calibri"/>
                              </w:rPr>
                              <w:t>by</w:t>
                            </w:r>
                          </w:p>
                          <w:p w14:paraId="58A6D710" w14:textId="77777777" w:rsidR="009857EA" w:rsidRPr="00C041A2" w:rsidRDefault="009857EA" w:rsidP="00B57E9B">
                            <w:pPr>
                              <w:ind w:firstLine="0"/>
                              <w:jc w:val="center"/>
                              <w:rPr>
                                <w:rFonts w:ascii="Calibri" w:hAnsi="Calibri" w:cs="Calibri"/>
                                <w:b/>
                              </w:rPr>
                            </w:pPr>
                            <w:r w:rsidRPr="00C041A2">
                              <w:rPr>
                                <w:rFonts w:ascii="Calibri" w:hAnsi="Calibri" w:cs="Calibri"/>
                                <w:b/>
                              </w:rPr>
                              <w:t>Emily E. Wasson</w:t>
                            </w:r>
                          </w:p>
                          <w:p w14:paraId="13955FC0" w14:textId="77777777" w:rsidR="009857EA" w:rsidRPr="00C041A2" w:rsidRDefault="009857EA" w:rsidP="00536110">
                            <w:pPr>
                              <w:spacing w:line="240" w:lineRule="auto"/>
                              <w:ind w:firstLine="0"/>
                              <w:jc w:val="center"/>
                              <w:rPr>
                                <w:rFonts w:ascii="Calibri" w:hAnsi="Calibri" w:cs="Calibri"/>
                              </w:rPr>
                            </w:pPr>
                            <w:r w:rsidRPr="00C041A2">
                              <w:rPr>
                                <w:rFonts w:ascii="Calibri" w:hAnsi="Calibri" w:cs="Calibri"/>
                              </w:rPr>
                              <w:t>BS Biology, Gettysburg College, 2016</w:t>
                            </w:r>
                          </w:p>
                          <w:p w14:paraId="6487018B" w14:textId="77777777" w:rsidR="009857EA" w:rsidRPr="00C041A2" w:rsidRDefault="009857EA" w:rsidP="00536110">
                            <w:pPr>
                              <w:spacing w:line="240" w:lineRule="auto"/>
                              <w:ind w:firstLine="0"/>
                              <w:jc w:val="center"/>
                              <w:rPr>
                                <w:rFonts w:ascii="Calibri" w:hAnsi="Calibri" w:cs="Calibri"/>
                                <w:noProof/>
                              </w:rPr>
                            </w:pPr>
                          </w:p>
                          <w:p w14:paraId="2A532590" w14:textId="77777777" w:rsidR="009857EA" w:rsidRPr="00C041A2" w:rsidRDefault="009857EA" w:rsidP="00536110">
                            <w:pPr>
                              <w:spacing w:line="240" w:lineRule="auto"/>
                              <w:ind w:firstLine="0"/>
                              <w:jc w:val="center"/>
                              <w:rPr>
                                <w:rFonts w:ascii="Calibri" w:hAnsi="Calibri" w:cs="Calibri"/>
                                <w:b/>
                              </w:rPr>
                            </w:pPr>
                          </w:p>
                          <w:p w14:paraId="52D4C6A6" w14:textId="77777777" w:rsidR="009857EA" w:rsidRPr="00C041A2" w:rsidRDefault="009857EA" w:rsidP="00536110">
                            <w:pPr>
                              <w:spacing w:line="240" w:lineRule="auto"/>
                              <w:ind w:firstLine="0"/>
                              <w:jc w:val="center"/>
                              <w:rPr>
                                <w:rFonts w:ascii="Calibri" w:hAnsi="Calibri" w:cs="Calibri"/>
                                <w:b/>
                              </w:rPr>
                            </w:pPr>
                          </w:p>
                          <w:p w14:paraId="47D5B721" w14:textId="77777777" w:rsidR="009857EA" w:rsidRPr="00C041A2" w:rsidRDefault="009857EA" w:rsidP="00536110">
                            <w:pPr>
                              <w:spacing w:line="240" w:lineRule="auto"/>
                              <w:ind w:firstLine="0"/>
                              <w:jc w:val="center"/>
                              <w:rPr>
                                <w:rFonts w:ascii="Calibri" w:hAnsi="Calibri" w:cs="Calibri"/>
                                <w:b/>
                              </w:rPr>
                            </w:pPr>
                          </w:p>
                          <w:p w14:paraId="6CDF4B3F" w14:textId="77777777" w:rsidR="009857EA" w:rsidRPr="00C041A2" w:rsidRDefault="009857EA" w:rsidP="00536110">
                            <w:pPr>
                              <w:spacing w:line="240" w:lineRule="auto"/>
                              <w:ind w:firstLine="0"/>
                              <w:jc w:val="center"/>
                              <w:rPr>
                                <w:rFonts w:ascii="Calibri" w:hAnsi="Calibri" w:cs="Calibri"/>
                                <w:b/>
                              </w:rPr>
                            </w:pPr>
                          </w:p>
                          <w:p w14:paraId="4D569D0F" w14:textId="77777777" w:rsidR="009857EA" w:rsidRPr="00C041A2" w:rsidRDefault="009857EA" w:rsidP="00536110">
                            <w:pPr>
                              <w:spacing w:line="240" w:lineRule="auto"/>
                              <w:ind w:firstLine="0"/>
                              <w:jc w:val="center"/>
                              <w:rPr>
                                <w:rFonts w:ascii="Calibri" w:hAnsi="Calibri" w:cs="Calibri"/>
                                <w:b/>
                              </w:rPr>
                            </w:pPr>
                          </w:p>
                          <w:p w14:paraId="0ED414F4" w14:textId="77777777" w:rsidR="009857EA" w:rsidRPr="00C041A2" w:rsidRDefault="009857EA" w:rsidP="00536110">
                            <w:pPr>
                              <w:spacing w:line="240" w:lineRule="auto"/>
                              <w:ind w:firstLine="0"/>
                              <w:jc w:val="center"/>
                              <w:rPr>
                                <w:rFonts w:ascii="Calibri" w:hAnsi="Calibri" w:cs="Calibri"/>
                                <w:b/>
                              </w:rPr>
                            </w:pPr>
                          </w:p>
                          <w:p w14:paraId="79349992" w14:textId="77777777" w:rsidR="009857EA" w:rsidRPr="00C041A2" w:rsidRDefault="009857EA" w:rsidP="00536110">
                            <w:pPr>
                              <w:spacing w:line="240" w:lineRule="auto"/>
                              <w:ind w:firstLine="0"/>
                              <w:jc w:val="center"/>
                              <w:rPr>
                                <w:rFonts w:ascii="Calibri" w:hAnsi="Calibri" w:cs="Calibri"/>
                                <w:b/>
                              </w:rPr>
                            </w:pPr>
                          </w:p>
                          <w:p w14:paraId="71F47A6F" w14:textId="77777777" w:rsidR="009857EA" w:rsidRPr="00C041A2" w:rsidRDefault="009857EA" w:rsidP="00536110">
                            <w:pPr>
                              <w:spacing w:line="240" w:lineRule="auto"/>
                              <w:ind w:firstLine="0"/>
                              <w:jc w:val="center"/>
                              <w:rPr>
                                <w:rFonts w:ascii="Calibri" w:hAnsi="Calibri" w:cs="Calibri"/>
                                <w:b/>
                              </w:rPr>
                            </w:pPr>
                          </w:p>
                          <w:p w14:paraId="4B09F307" w14:textId="77777777" w:rsidR="009857EA" w:rsidRPr="00C041A2" w:rsidRDefault="009857EA" w:rsidP="00B57E9B">
                            <w:pPr>
                              <w:ind w:firstLine="0"/>
                              <w:jc w:val="center"/>
                              <w:rPr>
                                <w:rFonts w:ascii="Calibri" w:hAnsi="Calibri" w:cs="Calibri"/>
                              </w:rPr>
                            </w:pPr>
                            <w:r w:rsidRPr="00C041A2">
                              <w:rPr>
                                <w:rFonts w:ascii="Calibri" w:hAnsi="Calibri" w:cs="Calibri"/>
                              </w:rPr>
                              <w:t>Submitted to the Graduate Faculty of</w:t>
                            </w:r>
                          </w:p>
                          <w:p w14:paraId="57BD3360" w14:textId="77777777" w:rsidR="009857EA" w:rsidRPr="00C041A2" w:rsidRDefault="009857EA" w:rsidP="00B57E9B">
                            <w:pPr>
                              <w:ind w:firstLine="0"/>
                              <w:jc w:val="center"/>
                              <w:rPr>
                                <w:rFonts w:ascii="Calibri" w:hAnsi="Calibri" w:cs="Calibri"/>
                              </w:rPr>
                            </w:pPr>
                            <w:r w:rsidRPr="00C041A2">
                              <w:rPr>
                                <w:rFonts w:ascii="Calibri" w:hAnsi="Calibri" w:cs="Calibri"/>
                              </w:rPr>
                              <w:t>the Department of Epidemiology</w:t>
                            </w:r>
                          </w:p>
                          <w:p w14:paraId="1068CFEE" w14:textId="77777777" w:rsidR="009857EA" w:rsidRPr="00C041A2" w:rsidRDefault="009857EA" w:rsidP="00B57E9B">
                            <w:pPr>
                              <w:ind w:firstLine="0"/>
                              <w:jc w:val="center"/>
                              <w:rPr>
                                <w:rFonts w:ascii="Calibri" w:hAnsi="Calibri" w:cs="Calibri"/>
                              </w:rPr>
                            </w:pPr>
                            <w:r w:rsidRPr="00C041A2">
                              <w:rPr>
                                <w:rFonts w:ascii="Calibri" w:hAnsi="Calibri" w:cs="Calibri"/>
                              </w:rPr>
                              <w:t xml:space="preserve">Graduate School of Public Health in partial fulfillment </w:t>
                            </w:r>
                          </w:p>
                          <w:p w14:paraId="1FFDA013" w14:textId="77777777" w:rsidR="009857EA" w:rsidRPr="00C041A2" w:rsidRDefault="009857EA" w:rsidP="00B57E9B">
                            <w:pPr>
                              <w:ind w:firstLine="0"/>
                              <w:jc w:val="center"/>
                              <w:rPr>
                                <w:rFonts w:ascii="Calibri" w:hAnsi="Calibri" w:cs="Calibri"/>
                              </w:rPr>
                            </w:pPr>
                            <w:r w:rsidRPr="00C041A2">
                              <w:rPr>
                                <w:rFonts w:ascii="Calibri" w:hAnsi="Calibri" w:cs="Calibri"/>
                              </w:rPr>
                              <w:t>of the requirements for the degree of</w:t>
                            </w:r>
                          </w:p>
                          <w:p w14:paraId="5FF2BEBC" w14:textId="77777777" w:rsidR="009857EA" w:rsidRPr="00C041A2" w:rsidRDefault="009857EA" w:rsidP="00536110">
                            <w:pPr>
                              <w:spacing w:line="240" w:lineRule="auto"/>
                              <w:ind w:firstLine="0"/>
                              <w:jc w:val="center"/>
                              <w:rPr>
                                <w:rFonts w:ascii="Calibri" w:hAnsi="Calibri" w:cs="Calibri"/>
                              </w:rPr>
                            </w:pPr>
                            <w:r w:rsidRPr="00C041A2">
                              <w:rPr>
                                <w:rFonts w:ascii="Calibri" w:hAnsi="Calibri" w:cs="Calibri"/>
                              </w:rPr>
                              <w:t xml:space="preserve">Master of Public Health </w:t>
                            </w:r>
                          </w:p>
                          <w:p w14:paraId="7E8C1739" w14:textId="77777777" w:rsidR="009857EA" w:rsidRPr="00C041A2" w:rsidRDefault="009857EA" w:rsidP="00536110">
                            <w:pPr>
                              <w:spacing w:line="240" w:lineRule="auto"/>
                              <w:ind w:firstLine="0"/>
                              <w:jc w:val="center"/>
                              <w:rPr>
                                <w:rFonts w:ascii="Calibri" w:hAnsi="Calibri" w:cs="Calibri"/>
                              </w:rPr>
                            </w:pPr>
                          </w:p>
                          <w:p w14:paraId="5F63D93F" w14:textId="77777777" w:rsidR="009857EA" w:rsidRPr="00C041A2" w:rsidRDefault="009857EA" w:rsidP="00B57E9B">
                            <w:pPr>
                              <w:spacing w:line="240" w:lineRule="auto"/>
                              <w:ind w:firstLine="0"/>
                              <w:jc w:val="center"/>
                              <w:rPr>
                                <w:rFonts w:ascii="Calibri" w:hAnsi="Calibri" w:cs="Calibri"/>
                              </w:rPr>
                            </w:pPr>
                          </w:p>
                          <w:p w14:paraId="14922353" w14:textId="77777777" w:rsidR="009857EA" w:rsidRPr="00C041A2" w:rsidRDefault="009857EA" w:rsidP="00B57E9B">
                            <w:pPr>
                              <w:spacing w:line="240" w:lineRule="auto"/>
                              <w:ind w:firstLine="0"/>
                              <w:jc w:val="center"/>
                              <w:rPr>
                                <w:rFonts w:ascii="Calibri" w:hAnsi="Calibri" w:cs="Calibri"/>
                              </w:rPr>
                            </w:pPr>
                          </w:p>
                          <w:p w14:paraId="4561EE09" w14:textId="77777777" w:rsidR="009857EA" w:rsidRPr="00C041A2" w:rsidRDefault="009857EA" w:rsidP="00B57E9B">
                            <w:pPr>
                              <w:spacing w:line="240" w:lineRule="auto"/>
                              <w:ind w:firstLine="0"/>
                              <w:jc w:val="center"/>
                              <w:rPr>
                                <w:rFonts w:ascii="Calibri" w:hAnsi="Calibri" w:cs="Calibri"/>
                              </w:rPr>
                            </w:pPr>
                          </w:p>
                          <w:p w14:paraId="58F5A2AA" w14:textId="77777777" w:rsidR="009857EA" w:rsidRPr="00C041A2" w:rsidRDefault="009857EA" w:rsidP="00B57E9B">
                            <w:pPr>
                              <w:spacing w:line="240" w:lineRule="auto"/>
                              <w:ind w:firstLine="0"/>
                              <w:jc w:val="center"/>
                              <w:rPr>
                                <w:rFonts w:ascii="Calibri" w:hAnsi="Calibri" w:cs="Calibri"/>
                              </w:rPr>
                            </w:pPr>
                          </w:p>
                          <w:p w14:paraId="626E33F7" w14:textId="77777777" w:rsidR="009857EA" w:rsidRPr="00C041A2" w:rsidRDefault="009857EA" w:rsidP="00B57E9B">
                            <w:pPr>
                              <w:spacing w:line="240" w:lineRule="auto"/>
                              <w:ind w:firstLine="0"/>
                              <w:jc w:val="center"/>
                              <w:rPr>
                                <w:rFonts w:ascii="Calibri" w:hAnsi="Calibri" w:cs="Calibri"/>
                              </w:rPr>
                            </w:pPr>
                          </w:p>
                          <w:p w14:paraId="38CC6D43" w14:textId="77777777" w:rsidR="009857EA" w:rsidRPr="00C041A2" w:rsidRDefault="009857EA" w:rsidP="00B57E9B">
                            <w:pPr>
                              <w:spacing w:line="240" w:lineRule="auto"/>
                              <w:ind w:firstLine="0"/>
                              <w:jc w:val="center"/>
                              <w:rPr>
                                <w:rFonts w:ascii="Calibri" w:hAnsi="Calibri" w:cs="Calibri"/>
                              </w:rPr>
                            </w:pPr>
                          </w:p>
                          <w:p w14:paraId="158877B6" w14:textId="77777777" w:rsidR="009857EA" w:rsidRPr="00C041A2" w:rsidRDefault="009857EA" w:rsidP="00B57E9B">
                            <w:pPr>
                              <w:spacing w:line="240" w:lineRule="auto"/>
                              <w:ind w:firstLine="0"/>
                              <w:jc w:val="center"/>
                              <w:rPr>
                                <w:rFonts w:ascii="Calibri" w:hAnsi="Calibri" w:cs="Calibri"/>
                              </w:rPr>
                            </w:pPr>
                          </w:p>
                          <w:p w14:paraId="2F6548D3" w14:textId="77777777" w:rsidR="009857EA" w:rsidRPr="00C041A2" w:rsidRDefault="009857EA" w:rsidP="00337CC7">
                            <w:pPr>
                              <w:ind w:firstLine="0"/>
                              <w:jc w:val="center"/>
                              <w:rPr>
                                <w:rFonts w:ascii="Calibri" w:hAnsi="Calibri" w:cs="Calibri"/>
                              </w:rPr>
                            </w:pPr>
                            <w:r w:rsidRPr="00C041A2">
                              <w:rPr>
                                <w:rFonts w:ascii="Calibri" w:hAnsi="Calibri" w:cs="Calibri"/>
                              </w:rPr>
                              <w:t>University of Pittsburgh</w:t>
                            </w:r>
                          </w:p>
                          <w:p w14:paraId="5BA799F9" w14:textId="77777777" w:rsidR="009857EA" w:rsidRPr="00C041A2" w:rsidRDefault="009857EA" w:rsidP="00B57E9B">
                            <w:pPr>
                              <w:ind w:firstLine="0"/>
                              <w:jc w:val="center"/>
                              <w:rPr>
                                <w:rFonts w:ascii="Calibri" w:hAnsi="Calibri" w:cs="Calibri"/>
                                <w:noProof/>
                              </w:rPr>
                            </w:pPr>
                            <w:r w:rsidRPr="00C041A2">
                              <w:rPr>
                                <w:rFonts w:ascii="Calibri" w:hAnsi="Calibri" w:cs="Calibri"/>
                              </w:rPr>
                              <w:t>2017</w:t>
                            </w:r>
                          </w:p>
                          <w:p w14:paraId="47CABEB2" w14:textId="77777777" w:rsidR="009857EA" w:rsidRPr="00C041A2" w:rsidRDefault="009857EA" w:rsidP="006B1124">
                            <w:pPr>
                              <w:ind w:firstLine="0"/>
                              <w:jc w:val="center"/>
                              <w:rPr>
                                <w:rFonts w:ascii="Calibri" w:hAnsi="Calibri" w:cs="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8B02E" id="_x0000_t202" coordsize="21600,21600" o:spt="202" path="m,l,21600r21600,l21600,xe">
                <v:stroke joinstyle="miter"/>
                <v:path gradientshapeok="t" o:connecttype="rect"/>
              </v:shapetype>
              <v:shape id="Text Box 14" o:spid="_x0000_s1026" type="#_x0000_t202" style="position:absolute;left:0;text-align:left;margin-left:1in;margin-top:90pt;width:468pt;height:6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uJegIAAAE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" stroked="f">
                <v:textbox inset="0,0,0,0">
                  <w:txbxContent>
                    <w:p w14:paraId="04D4DF35" w14:textId="77777777" w:rsidR="009857EA" w:rsidRDefault="009857EA" w:rsidP="005A397E">
                      <w:pPr>
                        <w:spacing w:line="240" w:lineRule="auto"/>
                        <w:ind w:firstLine="0"/>
                        <w:jc w:val="center"/>
                        <w:rPr>
                          <w:rFonts w:ascii="Calibri" w:hAnsi="Calibri" w:cs="Calibri"/>
                          <w:b/>
                        </w:rPr>
                      </w:pPr>
                      <w:r>
                        <w:rPr>
                          <w:rFonts w:ascii="Calibri" w:hAnsi="Calibri" w:cs="Calibri"/>
                          <w:b/>
                        </w:rPr>
                        <w:t>NEURAL CORRELATES OF FATIGABILITY IN OLDER ADULTS</w:t>
                      </w:r>
                    </w:p>
                    <w:p w14:paraId="3CDCA5A4" w14:textId="57B24EFF" w:rsidR="009857EA" w:rsidRPr="00C041A2" w:rsidRDefault="009857EA" w:rsidP="005A397E">
                      <w:pPr>
                        <w:spacing w:line="240" w:lineRule="auto"/>
                        <w:ind w:firstLine="0"/>
                        <w:jc w:val="center"/>
                        <w:rPr>
                          <w:rFonts w:ascii="Calibri" w:hAnsi="Calibri" w:cs="Calibri"/>
                          <w:b/>
                        </w:rPr>
                      </w:pPr>
                      <w:r>
                        <w:rPr>
                          <w:rFonts w:ascii="Calibri" w:hAnsi="Calibri" w:cs="Calibri"/>
                          <w:b/>
                        </w:rPr>
                        <w:t xml:space="preserve"> BY 7T MAGNETIC RESONANCE IMAGING (MRI)</w:t>
                      </w:r>
                    </w:p>
                    <w:p w14:paraId="77CB4B3C" w14:textId="77777777" w:rsidR="009857EA" w:rsidRPr="00C041A2" w:rsidRDefault="009857EA" w:rsidP="00536110">
                      <w:pPr>
                        <w:spacing w:line="240" w:lineRule="auto"/>
                        <w:ind w:firstLine="0"/>
                        <w:jc w:val="center"/>
                        <w:rPr>
                          <w:rFonts w:ascii="Calibri" w:hAnsi="Calibri" w:cs="Calibri"/>
                          <w:b/>
                        </w:rPr>
                      </w:pPr>
                    </w:p>
                    <w:p w14:paraId="4D1221A6" w14:textId="77777777" w:rsidR="009857EA" w:rsidRPr="00C041A2" w:rsidRDefault="009857EA" w:rsidP="00536110">
                      <w:pPr>
                        <w:spacing w:line="240" w:lineRule="auto"/>
                        <w:ind w:firstLine="0"/>
                        <w:jc w:val="center"/>
                        <w:rPr>
                          <w:rFonts w:ascii="Calibri" w:hAnsi="Calibri" w:cs="Calibri"/>
                          <w:b/>
                        </w:rPr>
                      </w:pPr>
                    </w:p>
                    <w:p w14:paraId="4BA1CA06" w14:textId="77777777" w:rsidR="009857EA" w:rsidRPr="00C041A2" w:rsidRDefault="009857EA" w:rsidP="00536110">
                      <w:pPr>
                        <w:spacing w:line="240" w:lineRule="auto"/>
                        <w:ind w:firstLine="0"/>
                        <w:jc w:val="center"/>
                        <w:rPr>
                          <w:rFonts w:ascii="Calibri" w:hAnsi="Calibri" w:cs="Calibri"/>
                          <w:b/>
                        </w:rPr>
                      </w:pPr>
                    </w:p>
                    <w:p w14:paraId="18D03787" w14:textId="77777777" w:rsidR="009857EA" w:rsidRPr="00C041A2" w:rsidRDefault="009857EA" w:rsidP="00536110">
                      <w:pPr>
                        <w:spacing w:line="240" w:lineRule="auto"/>
                        <w:ind w:firstLine="0"/>
                        <w:jc w:val="center"/>
                        <w:rPr>
                          <w:rFonts w:ascii="Calibri" w:hAnsi="Calibri" w:cs="Calibri"/>
                          <w:b/>
                        </w:rPr>
                      </w:pPr>
                    </w:p>
                    <w:p w14:paraId="06EEE660" w14:textId="77777777" w:rsidR="009857EA" w:rsidRPr="00C041A2" w:rsidRDefault="009857EA" w:rsidP="00536110">
                      <w:pPr>
                        <w:spacing w:line="240" w:lineRule="auto"/>
                        <w:ind w:firstLine="0"/>
                        <w:jc w:val="center"/>
                        <w:rPr>
                          <w:rFonts w:ascii="Calibri" w:hAnsi="Calibri" w:cs="Calibri"/>
                          <w:b/>
                        </w:rPr>
                      </w:pPr>
                    </w:p>
                    <w:p w14:paraId="1608AA6C" w14:textId="77777777" w:rsidR="009857EA" w:rsidRPr="00C041A2" w:rsidRDefault="009857EA" w:rsidP="00536110">
                      <w:pPr>
                        <w:spacing w:line="240" w:lineRule="auto"/>
                        <w:ind w:firstLine="0"/>
                        <w:jc w:val="center"/>
                        <w:rPr>
                          <w:rFonts w:ascii="Calibri" w:hAnsi="Calibri" w:cs="Calibri"/>
                          <w:b/>
                        </w:rPr>
                      </w:pPr>
                    </w:p>
                    <w:p w14:paraId="657EB7E4" w14:textId="77777777" w:rsidR="009857EA" w:rsidRPr="00C041A2" w:rsidRDefault="009857EA" w:rsidP="00536110">
                      <w:pPr>
                        <w:spacing w:line="240" w:lineRule="auto"/>
                        <w:ind w:firstLine="0"/>
                        <w:jc w:val="center"/>
                        <w:rPr>
                          <w:rFonts w:ascii="Calibri" w:hAnsi="Calibri" w:cs="Calibri"/>
                          <w:b/>
                        </w:rPr>
                      </w:pPr>
                    </w:p>
                    <w:p w14:paraId="49618AAE" w14:textId="77777777" w:rsidR="009857EA" w:rsidRPr="00C041A2" w:rsidRDefault="009857EA" w:rsidP="00536110">
                      <w:pPr>
                        <w:spacing w:line="240" w:lineRule="auto"/>
                        <w:ind w:firstLine="0"/>
                        <w:jc w:val="center"/>
                        <w:rPr>
                          <w:rFonts w:ascii="Calibri" w:hAnsi="Calibri" w:cs="Calibri"/>
                          <w:b/>
                        </w:rPr>
                      </w:pPr>
                    </w:p>
                    <w:p w14:paraId="3E1221C8" w14:textId="77777777" w:rsidR="009857EA" w:rsidRPr="00C041A2" w:rsidRDefault="009857EA" w:rsidP="00B57E9B">
                      <w:pPr>
                        <w:ind w:firstLine="0"/>
                        <w:jc w:val="center"/>
                        <w:rPr>
                          <w:rFonts w:ascii="Calibri" w:hAnsi="Calibri" w:cs="Calibri"/>
                        </w:rPr>
                      </w:pPr>
                      <w:r w:rsidRPr="00C041A2">
                        <w:rPr>
                          <w:rFonts w:ascii="Calibri" w:hAnsi="Calibri" w:cs="Calibri"/>
                        </w:rPr>
                        <w:t>by</w:t>
                      </w:r>
                    </w:p>
                    <w:p w14:paraId="58A6D710" w14:textId="77777777" w:rsidR="009857EA" w:rsidRPr="00C041A2" w:rsidRDefault="009857EA" w:rsidP="00B57E9B">
                      <w:pPr>
                        <w:ind w:firstLine="0"/>
                        <w:jc w:val="center"/>
                        <w:rPr>
                          <w:rFonts w:ascii="Calibri" w:hAnsi="Calibri" w:cs="Calibri"/>
                          <w:b/>
                        </w:rPr>
                      </w:pPr>
                      <w:r w:rsidRPr="00C041A2">
                        <w:rPr>
                          <w:rFonts w:ascii="Calibri" w:hAnsi="Calibri" w:cs="Calibri"/>
                          <w:b/>
                        </w:rPr>
                        <w:t>Emily E. Wasson</w:t>
                      </w:r>
                    </w:p>
                    <w:p w14:paraId="13955FC0" w14:textId="77777777" w:rsidR="009857EA" w:rsidRPr="00C041A2" w:rsidRDefault="009857EA" w:rsidP="00536110">
                      <w:pPr>
                        <w:spacing w:line="240" w:lineRule="auto"/>
                        <w:ind w:firstLine="0"/>
                        <w:jc w:val="center"/>
                        <w:rPr>
                          <w:rFonts w:ascii="Calibri" w:hAnsi="Calibri" w:cs="Calibri"/>
                        </w:rPr>
                      </w:pPr>
                      <w:r w:rsidRPr="00C041A2">
                        <w:rPr>
                          <w:rFonts w:ascii="Calibri" w:hAnsi="Calibri" w:cs="Calibri"/>
                        </w:rPr>
                        <w:t>BS Biology, Gettysburg College, 2016</w:t>
                      </w:r>
                    </w:p>
                    <w:p w14:paraId="6487018B" w14:textId="77777777" w:rsidR="009857EA" w:rsidRPr="00C041A2" w:rsidRDefault="009857EA" w:rsidP="00536110">
                      <w:pPr>
                        <w:spacing w:line="240" w:lineRule="auto"/>
                        <w:ind w:firstLine="0"/>
                        <w:jc w:val="center"/>
                        <w:rPr>
                          <w:rFonts w:ascii="Calibri" w:hAnsi="Calibri" w:cs="Calibri"/>
                          <w:noProof/>
                        </w:rPr>
                      </w:pPr>
                    </w:p>
                    <w:p w14:paraId="2A532590" w14:textId="77777777" w:rsidR="009857EA" w:rsidRPr="00C041A2" w:rsidRDefault="009857EA" w:rsidP="00536110">
                      <w:pPr>
                        <w:spacing w:line="240" w:lineRule="auto"/>
                        <w:ind w:firstLine="0"/>
                        <w:jc w:val="center"/>
                        <w:rPr>
                          <w:rFonts w:ascii="Calibri" w:hAnsi="Calibri" w:cs="Calibri"/>
                          <w:b/>
                        </w:rPr>
                      </w:pPr>
                    </w:p>
                    <w:p w14:paraId="52D4C6A6" w14:textId="77777777" w:rsidR="009857EA" w:rsidRPr="00C041A2" w:rsidRDefault="009857EA" w:rsidP="00536110">
                      <w:pPr>
                        <w:spacing w:line="240" w:lineRule="auto"/>
                        <w:ind w:firstLine="0"/>
                        <w:jc w:val="center"/>
                        <w:rPr>
                          <w:rFonts w:ascii="Calibri" w:hAnsi="Calibri" w:cs="Calibri"/>
                          <w:b/>
                        </w:rPr>
                      </w:pPr>
                    </w:p>
                    <w:p w14:paraId="47D5B721" w14:textId="77777777" w:rsidR="009857EA" w:rsidRPr="00C041A2" w:rsidRDefault="009857EA" w:rsidP="00536110">
                      <w:pPr>
                        <w:spacing w:line="240" w:lineRule="auto"/>
                        <w:ind w:firstLine="0"/>
                        <w:jc w:val="center"/>
                        <w:rPr>
                          <w:rFonts w:ascii="Calibri" w:hAnsi="Calibri" w:cs="Calibri"/>
                          <w:b/>
                        </w:rPr>
                      </w:pPr>
                    </w:p>
                    <w:p w14:paraId="6CDF4B3F" w14:textId="77777777" w:rsidR="009857EA" w:rsidRPr="00C041A2" w:rsidRDefault="009857EA" w:rsidP="00536110">
                      <w:pPr>
                        <w:spacing w:line="240" w:lineRule="auto"/>
                        <w:ind w:firstLine="0"/>
                        <w:jc w:val="center"/>
                        <w:rPr>
                          <w:rFonts w:ascii="Calibri" w:hAnsi="Calibri" w:cs="Calibri"/>
                          <w:b/>
                        </w:rPr>
                      </w:pPr>
                    </w:p>
                    <w:p w14:paraId="4D569D0F" w14:textId="77777777" w:rsidR="009857EA" w:rsidRPr="00C041A2" w:rsidRDefault="009857EA" w:rsidP="00536110">
                      <w:pPr>
                        <w:spacing w:line="240" w:lineRule="auto"/>
                        <w:ind w:firstLine="0"/>
                        <w:jc w:val="center"/>
                        <w:rPr>
                          <w:rFonts w:ascii="Calibri" w:hAnsi="Calibri" w:cs="Calibri"/>
                          <w:b/>
                        </w:rPr>
                      </w:pPr>
                    </w:p>
                    <w:p w14:paraId="0ED414F4" w14:textId="77777777" w:rsidR="009857EA" w:rsidRPr="00C041A2" w:rsidRDefault="009857EA" w:rsidP="00536110">
                      <w:pPr>
                        <w:spacing w:line="240" w:lineRule="auto"/>
                        <w:ind w:firstLine="0"/>
                        <w:jc w:val="center"/>
                        <w:rPr>
                          <w:rFonts w:ascii="Calibri" w:hAnsi="Calibri" w:cs="Calibri"/>
                          <w:b/>
                        </w:rPr>
                      </w:pPr>
                    </w:p>
                    <w:p w14:paraId="79349992" w14:textId="77777777" w:rsidR="009857EA" w:rsidRPr="00C041A2" w:rsidRDefault="009857EA" w:rsidP="00536110">
                      <w:pPr>
                        <w:spacing w:line="240" w:lineRule="auto"/>
                        <w:ind w:firstLine="0"/>
                        <w:jc w:val="center"/>
                        <w:rPr>
                          <w:rFonts w:ascii="Calibri" w:hAnsi="Calibri" w:cs="Calibri"/>
                          <w:b/>
                        </w:rPr>
                      </w:pPr>
                    </w:p>
                    <w:p w14:paraId="71F47A6F" w14:textId="77777777" w:rsidR="009857EA" w:rsidRPr="00C041A2" w:rsidRDefault="009857EA" w:rsidP="00536110">
                      <w:pPr>
                        <w:spacing w:line="240" w:lineRule="auto"/>
                        <w:ind w:firstLine="0"/>
                        <w:jc w:val="center"/>
                        <w:rPr>
                          <w:rFonts w:ascii="Calibri" w:hAnsi="Calibri" w:cs="Calibri"/>
                          <w:b/>
                        </w:rPr>
                      </w:pPr>
                    </w:p>
                    <w:p w14:paraId="4B09F307" w14:textId="77777777" w:rsidR="009857EA" w:rsidRPr="00C041A2" w:rsidRDefault="009857EA" w:rsidP="00B57E9B">
                      <w:pPr>
                        <w:ind w:firstLine="0"/>
                        <w:jc w:val="center"/>
                        <w:rPr>
                          <w:rFonts w:ascii="Calibri" w:hAnsi="Calibri" w:cs="Calibri"/>
                        </w:rPr>
                      </w:pPr>
                      <w:r w:rsidRPr="00C041A2">
                        <w:rPr>
                          <w:rFonts w:ascii="Calibri" w:hAnsi="Calibri" w:cs="Calibri"/>
                        </w:rPr>
                        <w:t>Submitted to the Graduate Faculty of</w:t>
                      </w:r>
                    </w:p>
                    <w:p w14:paraId="57BD3360" w14:textId="77777777" w:rsidR="009857EA" w:rsidRPr="00C041A2" w:rsidRDefault="009857EA" w:rsidP="00B57E9B">
                      <w:pPr>
                        <w:ind w:firstLine="0"/>
                        <w:jc w:val="center"/>
                        <w:rPr>
                          <w:rFonts w:ascii="Calibri" w:hAnsi="Calibri" w:cs="Calibri"/>
                        </w:rPr>
                      </w:pPr>
                      <w:r w:rsidRPr="00C041A2">
                        <w:rPr>
                          <w:rFonts w:ascii="Calibri" w:hAnsi="Calibri" w:cs="Calibri"/>
                        </w:rPr>
                        <w:t>the Department of Epidemiology</w:t>
                      </w:r>
                    </w:p>
                    <w:p w14:paraId="1068CFEE" w14:textId="77777777" w:rsidR="009857EA" w:rsidRPr="00C041A2" w:rsidRDefault="009857EA" w:rsidP="00B57E9B">
                      <w:pPr>
                        <w:ind w:firstLine="0"/>
                        <w:jc w:val="center"/>
                        <w:rPr>
                          <w:rFonts w:ascii="Calibri" w:hAnsi="Calibri" w:cs="Calibri"/>
                        </w:rPr>
                      </w:pPr>
                      <w:r w:rsidRPr="00C041A2">
                        <w:rPr>
                          <w:rFonts w:ascii="Calibri" w:hAnsi="Calibri" w:cs="Calibri"/>
                        </w:rPr>
                        <w:t xml:space="preserve">Graduate School of Public Health in partial fulfillment </w:t>
                      </w:r>
                    </w:p>
                    <w:p w14:paraId="1FFDA013" w14:textId="77777777" w:rsidR="009857EA" w:rsidRPr="00C041A2" w:rsidRDefault="009857EA" w:rsidP="00B57E9B">
                      <w:pPr>
                        <w:ind w:firstLine="0"/>
                        <w:jc w:val="center"/>
                        <w:rPr>
                          <w:rFonts w:ascii="Calibri" w:hAnsi="Calibri" w:cs="Calibri"/>
                        </w:rPr>
                      </w:pPr>
                      <w:r w:rsidRPr="00C041A2">
                        <w:rPr>
                          <w:rFonts w:ascii="Calibri" w:hAnsi="Calibri" w:cs="Calibri"/>
                        </w:rPr>
                        <w:t>of the requirements for the degree of</w:t>
                      </w:r>
                    </w:p>
                    <w:p w14:paraId="5FF2BEBC" w14:textId="77777777" w:rsidR="009857EA" w:rsidRPr="00C041A2" w:rsidRDefault="009857EA" w:rsidP="00536110">
                      <w:pPr>
                        <w:spacing w:line="240" w:lineRule="auto"/>
                        <w:ind w:firstLine="0"/>
                        <w:jc w:val="center"/>
                        <w:rPr>
                          <w:rFonts w:ascii="Calibri" w:hAnsi="Calibri" w:cs="Calibri"/>
                        </w:rPr>
                      </w:pPr>
                      <w:r w:rsidRPr="00C041A2">
                        <w:rPr>
                          <w:rFonts w:ascii="Calibri" w:hAnsi="Calibri" w:cs="Calibri"/>
                        </w:rPr>
                        <w:t xml:space="preserve">Master of Public Health </w:t>
                      </w:r>
                    </w:p>
                    <w:p w14:paraId="7E8C1739" w14:textId="77777777" w:rsidR="009857EA" w:rsidRPr="00C041A2" w:rsidRDefault="009857EA" w:rsidP="00536110">
                      <w:pPr>
                        <w:spacing w:line="240" w:lineRule="auto"/>
                        <w:ind w:firstLine="0"/>
                        <w:jc w:val="center"/>
                        <w:rPr>
                          <w:rFonts w:ascii="Calibri" w:hAnsi="Calibri" w:cs="Calibri"/>
                        </w:rPr>
                      </w:pPr>
                    </w:p>
                    <w:p w14:paraId="5F63D93F" w14:textId="77777777" w:rsidR="009857EA" w:rsidRPr="00C041A2" w:rsidRDefault="009857EA" w:rsidP="00B57E9B">
                      <w:pPr>
                        <w:spacing w:line="240" w:lineRule="auto"/>
                        <w:ind w:firstLine="0"/>
                        <w:jc w:val="center"/>
                        <w:rPr>
                          <w:rFonts w:ascii="Calibri" w:hAnsi="Calibri" w:cs="Calibri"/>
                        </w:rPr>
                      </w:pPr>
                    </w:p>
                    <w:p w14:paraId="14922353" w14:textId="77777777" w:rsidR="009857EA" w:rsidRPr="00C041A2" w:rsidRDefault="009857EA" w:rsidP="00B57E9B">
                      <w:pPr>
                        <w:spacing w:line="240" w:lineRule="auto"/>
                        <w:ind w:firstLine="0"/>
                        <w:jc w:val="center"/>
                        <w:rPr>
                          <w:rFonts w:ascii="Calibri" w:hAnsi="Calibri" w:cs="Calibri"/>
                        </w:rPr>
                      </w:pPr>
                    </w:p>
                    <w:p w14:paraId="4561EE09" w14:textId="77777777" w:rsidR="009857EA" w:rsidRPr="00C041A2" w:rsidRDefault="009857EA" w:rsidP="00B57E9B">
                      <w:pPr>
                        <w:spacing w:line="240" w:lineRule="auto"/>
                        <w:ind w:firstLine="0"/>
                        <w:jc w:val="center"/>
                        <w:rPr>
                          <w:rFonts w:ascii="Calibri" w:hAnsi="Calibri" w:cs="Calibri"/>
                        </w:rPr>
                      </w:pPr>
                    </w:p>
                    <w:p w14:paraId="58F5A2AA" w14:textId="77777777" w:rsidR="009857EA" w:rsidRPr="00C041A2" w:rsidRDefault="009857EA" w:rsidP="00B57E9B">
                      <w:pPr>
                        <w:spacing w:line="240" w:lineRule="auto"/>
                        <w:ind w:firstLine="0"/>
                        <w:jc w:val="center"/>
                        <w:rPr>
                          <w:rFonts w:ascii="Calibri" w:hAnsi="Calibri" w:cs="Calibri"/>
                        </w:rPr>
                      </w:pPr>
                    </w:p>
                    <w:p w14:paraId="626E33F7" w14:textId="77777777" w:rsidR="009857EA" w:rsidRPr="00C041A2" w:rsidRDefault="009857EA" w:rsidP="00B57E9B">
                      <w:pPr>
                        <w:spacing w:line="240" w:lineRule="auto"/>
                        <w:ind w:firstLine="0"/>
                        <w:jc w:val="center"/>
                        <w:rPr>
                          <w:rFonts w:ascii="Calibri" w:hAnsi="Calibri" w:cs="Calibri"/>
                        </w:rPr>
                      </w:pPr>
                    </w:p>
                    <w:p w14:paraId="38CC6D43" w14:textId="77777777" w:rsidR="009857EA" w:rsidRPr="00C041A2" w:rsidRDefault="009857EA" w:rsidP="00B57E9B">
                      <w:pPr>
                        <w:spacing w:line="240" w:lineRule="auto"/>
                        <w:ind w:firstLine="0"/>
                        <w:jc w:val="center"/>
                        <w:rPr>
                          <w:rFonts w:ascii="Calibri" w:hAnsi="Calibri" w:cs="Calibri"/>
                        </w:rPr>
                      </w:pPr>
                    </w:p>
                    <w:p w14:paraId="158877B6" w14:textId="77777777" w:rsidR="009857EA" w:rsidRPr="00C041A2" w:rsidRDefault="009857EA" w:rsidP="00B57E9B">
                      <w:pPr>
                        <w:spacing w:line="240" w:lineRule="auto"/>
                        <w:ind w:firstLine="0"/>
                        <w:jc w:val="center"/>
                        <w:rPr>
                          <w:rFonts w:ascii="Calibri" w:hAnsi="Calibri" w:cs="Calibri"/>
                        </w:rPr>
                      </w:pPr>
                    </w:p>
                    <w:p w14:paraId="2F6548D3" w14:textId="77777777" w:rsidR="009857EA" w:rsidRPr="00C041A2" w:rsidRDefault="009857EA" w:rsidP="00337CC7">
                      <w:pPr>
                        <w:ind w:firstLine="0"/>
                        <w:jc w:val="center"/>
                        <w:rPr>
                          <w:rFonts w:ascii="Calibri" w:hAnsi="Calibri" w:cs="Calibri"/>
                        </w:rPr>
                      </w:pPr>
                      <w:r w:rsidRPr="00C041A2">
                        <w:rPr>
                          <w:rFonts w:ascii="Calibri" w:hAnsi="Calibri" w:cs="Calibri"/>
                        </w:rPr>
                        <w:t>University of Pittsburgh</w:t>
                      </w:r>
                    </w:p>
                    <w:p w14:paraId="5BA799F9" w14:textId="77777777" w:rsidR="009857EA" w:rsidRPr="00C041A2" w:rsidRDefault="009857EA" w:rsidP="00B57E9B">
                      <w:pPr>
                        <w:ind w:firstLine="0"/>
                        <w:jc w:val="center"/>
                        <w:rPr>
                          <w:rFonts w:ascii="Calibri" w:hAnsi="Calibri" w:cs="Calibri"/>
                          <w:noProof/>
                        </w:rPr>
                      </w:pPr>
                      <w:r w:rsidRPr="00C041A2">
                        <w:rPr>
                          <w:rFonts w:ascii="Calibri" w:hAnsi="Calibri" w:cs="Calibri"/>
                        </w:rPr>
                        <w:t>2017</w:t>
                      </w:r>
                    </w:p>
                    <w:p w14:paraId="47CABEB2" w14:textId="77777777" w:rsidR="009857EA" w:rsidRPr="00C041A2" w:rsidRDefault="009857EA" w:rsidP="006B1124">
                      <w:pPr>
                        <w:ind w:firstLine="0"/>
                        <w:jc w:val="center"/>
                        <w:rPr>
                          <w:rFonts w:ascii="Calibri" w:hAnsi="Calibri" w:cs="Calibri"/>
                          <w:b/>
                        </w:rPr>
                      </w:pPr>
                    </w:p>
                  </w:txbxContent>
                </v:textbox>
                <w10:wrap type="square" anchorx="page" anchory="page"/>
              </v:shape>
            </w:pict>
          </mc:Fallback>
        </mc:AlternateContent>
      </w:r>
    </w:p>
    <w:p w14:paraId="41306ADA" w14:textId="405990DB" w:rsidR="0028782F" w:rsidRPr="008438F4" w:rsidRDefault="00806E0D" w:rsidP="007F763B">
      <w:pPr>
        <w:pStyle w:val="Noindent"/>
        <w:spacing w:line="240" w:lineRule="auto"/>
        <w:rPr>
          <w:rFonts w:ascii="Calibri" w:hAnsi="Calibri" w:cs="Calibri"/>
          <w:b/>
        </w:rPr>
      </w:pPr>
      <w:r>
        <w:rPr>
          <w:rFonts w:ascii="Calibri" w:hAnsi="Calibri" w:cs="Calibri"/>
          <w:noProof/>
        </w:rPr>
        <w:lastRenderedPageBreak/>
        <mc:AlternateContent>
          <mc:Choice Requires="wps">
            <w:drawing>
              <wp:anchor distT="0" distB="0" distL="114300" distR="114300" simplePos="0" relativeHeight="251657216" behindDoc="0" locked="0" layoutInCell="1" allowOverlap="1" wp14:anchorId="76EBB97D" wp14:editId="30657C2D">
                <wp:simplePos x="0" y="0"/>
                <wp:positionH relativeFrom="page">
                  <wp:align>center</wp:align>
                </wp:positionH>
                <wp:positionV relativeFrom="margin">
                  <wp:posOffset>301625</wp:posOffset>
                </wp:positionV>
                <wp:extent cx="5943600" cy="7794625"/>
                <wp:effectExtent l="0" t="0" r="0" b="6350"/>
                <wp:wrapSquare wrapText="bothSides"/>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08C6C" w14:textId="77777777" w:rsidR="009857EA" w:rsidRPr="00C041A2" w:rsidRDefault="009857EA" w:rsidP="006B1124">
                            <w:pPr>
                              <w:ind w:firstLine="0"/>
                              <w:jc w:val="center"/>
                              <w:rPr>
                                <w:rFonts w:ascii="Calibri" w:hAnsi="Calibri" w:cs="Calibri"/>
                              </w:rPr>
                            </w:pPr>
                            <w:r w:rsidRPr="00C041A2">
                              <w:rPr>
                                <w:rFonts w:ascii="Calibri" w:hAnsi="Calibri" w:cs="Calibri"/>
                              </w:rPr>
                              <w:t>UNIVERSITY OF PITTSBURGH</w:t>
                            </w:r>
                          </w:p>
                          <w:p w14:paraId="43D7D676" w14:textId="77777777" w:rsidR="009857EA" w:rsidRPr="00C041A2" w:rsidRDefault="009857EA" w:rsidP="00536110">
                            <w:pPr>
                              <w:spacing w:line="240" w:lineRule="auto"/>
                              <w:ind w:firstLine="0"/>
                              <w:jc w:val="center"/>
                              <w:rPr>
                                <w:rFonts w:ascii="Calibri" w:hAnsi="Calibri" w:cs="Calibri"/>
                              </w:rPr>
                            </w:pPr>
                            <w:r w:rsidRPr="00C041A2">
                              <w:rPr>
                                <w:rFonts w:ascii="Calibri" w:hAnsi="Calibri" w:cs="Calibri"/>
                              </w:rPr>
                              <w:t>GRADUATE SCHOOL OF PUBLIC HEALTH</w:t>
                            </w:r>
                          </w:p>
                          <w:p w14:paraId="4A4B54CB" w14:textId="77777777" w:rsidR="009857EA" w:rsidRPr="00C041A2" w:rsidRDefault="009857EA" w:rsidP="00536110">
                            <w:pPr>
                              <w:spacing w:line="240" w:lineRule="auto"/>
                              <w:ind w:firstLine="0"/>
                              <w:jc w:val="center"/>
                              <w:rPr>
                                <w:rFonts w:ascii="Calibri" w:hAnsi="Calibri" w:cs="Calibri"/>
                              </w:rPr>
                            </w:pPr>
                          </w:p>
                          <w:p w14:paraId="4700C71D" w14:textId="77777777" w:rsidR="009857EA" w:rsidRPr="00C041A2" w:rsidRDefault="009857EA" w:rsidP="00536110">
                            <w:pPr>
                              <w:spacing w:line="240" w:lineRule="auto"/>
                              <w:ind w:firstLine="0"/>
                              <w:jc w:val="center"/>
                              <w:rPr>
                                <w:rFonts w:ascii="Calibri" w:hAnsi="Calibri" w:cs="Calibri"/>
                              </w:rPr>
                            </w:pPr>
                          </w:p>
                          <w:p w14:paraId="03E37570" w14:textId="77777777" w:rsidR="009857EA" w:rsidRPr="00C041A2" w:rsidRDefault="009857EA" w:rsidP="00536110">
                            <w:pPr>
                              <w:spacing w:line="240" w:lineRule="auto"/>
                              <w:ind w:firstLine="0"/>
                              <w:jc w:val="center"/>
                              <w:rPr>
                                <w:rFonts w:ascii="Calibri" w:hAnsi="Calibri" w:cs="Calibri"/>
                              </w:rPr>
                            </w:pPr>
                          </w:p>
                          <w:p w14:paraId="481CEB41" w14:textId="77777777" w:rsidR="009857EA" w:rsidRPr="00C041A2" w:rsidRDefault="009857EA" w:rsidP="006A5780">
                            <w:pPr>
                              <w:ind w:firstLine="0"/>
                              <w:jc w:val="center"/>
                              <w:rPr>
                                <w:rFonts w:ascii="Calibri" w:hAnsi="Calibri" w:cs="Calibri"/>
                              </w:rPr>
                            </w:pPr>
                            <w:r w:rsidRPr="00C041A2">
                              <w:rPr>
                                <w:rFonts w:ascii="Calibri" w:hAnsi="Calibri" w:cs="Calibri"/>
                              </w:rPr>
                              <w:t>This essay is submitted</w:t>
                            </w:r>
                          </w:p>
                          <w:p w14:paraId="187A04D7" w14:textId="77777777" w:rsidR="009857EA" w:rsidRPr="00C041A2" w:rsidRDefault="009857EA" w:rsidP="006B1124">
                            <w:pPr>
                              <w:ind w:firstLine="0"/>
                              <w:jc w:val="center"/>
                              <w:rPr>
                                <w:rFonts w:ascii="Calibri" w:hAnsi="Calibri" w:cs="Calibri"/>
                              </w:rPr>
                            </w:pPr>
                            <w:r w:rsidRPr="00C041A2">
                              <w:rPr>
                                <w:rFonts w:ascii="Calibri" w:hAnsi="Calibri" w:cs="Calibri"/>
                              </w:rPr>
                              <w:t>by</w:t>
                            </w:r>
                          </w:p>
                          <w:p w14:paraId="1C1878FC" w14:textId="77777777" w:rsidR="009857EA" w:rsidRPr="00C041A2" w:rsidRDefault="009857EA" w:rsidP="006A5780">
                            <w:pPr>
                              <w:spacing w:line="240" w:lineRule="auto"/>
                              <w:ind w:firstLine="0"/>
                              <w:jc w:val="center"/>
                              <w:rPr>
                                <w:rFonts w:ascii="Calibri" w:hAnsi="Calibri" w:cs="Calibri"/>
                              </w:rPr>
                            </w:pPr>
                            <w:r w:rsidRPr="00C041A2">
                              <w:rPr>
                                <w:rFonts w:ascii="Calibri" w:hAnsi="Calibri" w:cs="Calibri"/>
                              </w:rPr>
                              <w:t>Emily E. Wasson</w:t>
                            </w:r>
                          </w:p>
                          <w:p w14:paraId="71E61CF5" w14:textId="77777777" w:rsidR="009857EA" w:rsidRPr="00C041A2" w:rsidRDefault="009857EA" w:rsidP="006A5780">
                            <w:pPr>
                              <w:spacing w:line="240" w:lineRule="auto"/>
                              <w:ind w:firstLine="0"/>
                              <w:jc w:val="center"/>
                              <w:rPr>
                                <w:rFonts w:ascii="Calibri" w:hAnsi="Calibri" w:cs="Calibri"/>
                              </w:rPr>
                            </w:pPr>
                          </w:p>
                          <w:p w14:paraId="23F1D2CD" w14:textId="77777777" w:rsidR="009857EA" w:rsidRPr="00C041A2" w:rsidRDefault="009857EA" w:rsidP="006A5780">
                            <w:pPr>
                              <w:spacing w:line="240" w:lineRule="auto"/>
                              <w:ind w:firstLine="0"/>
                              <w:jc w:val="center"/>
                              <w:rPr>
                                <w:rFonts w:ascii="Calibri" w:hAnsi="Calibri" w:cs="Calibri"/>
                              </w:rPr>
                            </w:pPr>
                            <w:r w:rsidRPr="00C041A2">
                              <w:rPr>
                                <w:rFonts w:ascii="Calibri" w:hAnsi="Calibri" w:cs="Calibri"/>
                              </w:rPr>
                              <w:t>on</w:t>
                            </w:r>
                          </w:p>
                          <w:p w14:paraId="0F30B640" w14:textId="77777777" w:rsidR="009857EA" w:rsidRPr="00C041A2" w:rsidRDefault="009857EA" w:rsidP="006A5780">
                            <w:pPr>
                              <w:spacing w:line="240" w:lineRule="auto"/>
                              <w:ind w:firstLine="0"/>
                              <w:jc w:val="center"/>
                              <w:rPr>
                                <w:rFonts w:ascii="Calibri" w:hAnsi="Calibri" w:cs="Calibri"/>
                              </w:rPr>
                            </w:pPr>
                          </w:p>
                          <w:p w14:paraId="5ACC7C6E" w14:textId="0BC28376" w:rsidR="009857EA" w:rsidRPr="00C041A2" w:rsidRDefault="009857EA" w:rsidP="006A5780">
                            <w:pPr>
                              <w:ind w:firstLine="0"/>
                              <w:jc w:val="center"/>
                              <w:rPr>
                                <w:rFonts w:ascii="Calibri" w:hAnsi="Calibri" w:cs="Calibri"/>
                              </w:rPr>
                            </w:pPr>
                            <w:r>
                              <w:rPr>
                                <w:rFonts w:ascii="Calibri" w:hAnsi="Calibri" w:cs="Calibri"/>
                              </w:rPr>
                              <w:t>December 1st, 2017</w:t>
                            </w:r>
                          </w:p>
                          <w:p w14:paraId="71CE773A" w14:textId="77777777" w:rsidR="009857EA" w:rsidRPr="00C041A2" w:rsidRDefault="009857EA" w:rsidP="006A5780">
                            <w:pPr>
                              <w:ind w:firstLine="0"/>
                              <w:jc w:val="center"/>
                              <w:rPr>
                                <w:rFonts w:ascii="Calibri" w:hAnsi="Calibri" w:cs="Calibri"/>
                              </w:rPr>
                            </w:pPr>
                            <w:r w:rsidRPr="00C041A2">
                              <w:rPr>
                                <w:rFonts w:ascii="Calibri" w:hAnsi="Calibri" w:cs="Calibri"/>
                              </w:rPr>
                              <w:t>and approved by</w:t>
                            </w:r>
                          </w:p>
                          <w:p w14:paraId="18C0E229" w14:textId="77777777" w:rsidR="009857EA" w:rsidRPr="00C041A2" w:rsidRDefault="009857EA" w:rsidP="006A5780">
                            <w:pPr>
                              <w:ind w:firstLine="0"/>
                              <w:jc w:val="center"/>
                              <w:rPr>
                                <w:rFonts w:ascii="Calibri" w:hAnsi="Calibri" w:cs="Calibri"/>
                              </w:rPr>
                            </w:pPr>
                          </w:p>
                          <w:p w14:paraId="3AB0FC90" w14:textId="77777777" w:rsidR="009857EA" w:rsidRPr="00C041A2" w:rsidRDefault="009857EA" w:rsidP="00030D3B">
                            <w:pPr>
                              <w:spacing w:line="240" w:lineRule="auto"/>
                              <w:ind w:firstLine="0"/>
                              <w:rPr>
                                <w:rFonts w:ascii="Calibri" w:hAnsi="Calibri" w:cs="Calibri"/>
                              </w:rPr>
                            </w:pPr>
                            <w:r w:rsidRPr="00C041A2">
                              <w:rPr>
                                <w:rFonts w:ascii="Calibri" w:hAnsi="Calibri" w:cs="Calibri"/>
                              </w:rPr>
                              <w:t>Essay Advisor:</w:t>
                            </w:r>
                          </w:p>
                          <w:p w14:paraId="32D5E699" w14:textId="34334454" w:rsidR="009857EA" w:rsidRPr="00C041A2" w:rsidRDefault="009857EA" w:rsidP="00030D3B">
                            <w:pPr>
                              <w:spacing w:line="240" w:lineRule="auto"/>
                              <w:ind w:firstLine="0"/>
                              <w:rPr>
                                <w:rFonts w:ascii="Calibri" w:hAnsi="Calibri" w:cs="Calibri"/>
                              </w:rPr>
                            </w:pPr>
                            <w:r>
                              <w:rPr>
                                <w:rFonts w:ascii="Calibri" w:hAnsi="Calibri" w:cs="Calibri"/>
                              </w:rPr>
                              <w:t>Andrea Rosso</w:t>
                            </w:r>
                            <w:r w:rsidRPr="00C041A2">
                              <w:rPr>
                                <w:rFonts w:ascii="Calibri" w:hAnsi="Calibri" w:cs="Calibri"/>
                              </w:rPr>
                              <w:t xml:space="preserve">, </w:t>
                            </w:r>
                            <w:r>
                              <w:rPr>
                                <w:rFonts w:ascii="Calibri" w:hAnsi="Calibri" w:cs="Calibri"/>
                              </w:rPr>
                              <w:t>Ph.D., MPH</w:t>
                            </w:r>
                            <w:r w:rsidRPr="00C041A2">
                              <w:rPr>
                                <w:rFonts w:ascii="Calibri" w:hAnsi="Calibri" w:cs="Calibri"/>
                              </w:rPr>
                              <w:tab/>
                            </w:r>
                            <w:r w:rsidRPr="00C041A2">
                              <w:rPr>
                                <w:rFonts w:ascii="Calibri" w:hAnsi="Calibri" w:cs="Calibri"/>
                              </w:rPr>
                              <w:tab/>
                              <w:t>_______________________________________</w:t>
                            </w:r>
                          </w:p>
                          <w:p w14:paraId="2E39C554" w14:textId="23FEEB22" w:rsidR="009857EA" w:rsidRDefault="009857EA" w:rsidP="00030D3B">
                            <w:pPr>
                              <w:spacing w:line="240" w:lineRule="auto"/>
                              <w:ind w:firstLine="0"/>
                              <w:rPr>
                                <w:rFonts w:ascii="Calibri" w:hAnsi="Calibri" w:cs="Calibri"/>
                              </w:rPr>
                            </w:pPr>
                            <w:r>
                              <w:rPr>
                                <w:rFonts w:ascii="Calibri" w:hAnsi="Calibri" w:cs="Calibri"/>
                              </w:rPr>
                              <w:t>Assistant Professor</w:t>
                            </w:r>
                          </w:p>
                          <w:p w14:paraId="31D3CB08" w14:textId="4FDAEDB8" w:rsidR="009857EA" w:rsidRPr="00C041A2" w:rsidRDefault="009857EA" w:rsidP="00030D3B">
                            <w:pPr>
                              <w:spacing w:line="240" w:lineRule="auto"/>
                              <w:ind w:firstLine="0"/>
                              <w:rPr>
                                <w:rFonts w:ascii="Calibri" w:hAnsi="Calibri" w:cs="Calibri"/>
                              </w:rPr>
                            </w:pPr>
                            <w:r>
                              <w:rPr>
                                <w:rFonts w:ascii="Calibri" w:hAnsi="Calibri" w:cs="Calibri"/>
                              </w:rPr>
                              <w:t xml:space="preserve">Department of Epidemiology </w:t>
                            </w:r>
                          </w:p>
                          <w:p w14:paraId="1CDE9173" w14:textId="77777777" w:rsidR="009857EA" w:rsidRDefault="009857EA" w:rsidP="00030D3B">
                            <w:pPr>
                              <w:spacing w:line="240" w:lineRule="auto"/>
                              <w:ind w:firstLine="0"/>
                              <w:rPr>
                                <w:rFonts w:ascii="Calibri" w:hAnsi="Calibri" w:cs="Calibri"/>
                              </w:rPr>
                            </w:pPr>
                            <w:r>
                              <w:rPr>
                                <w:rFonts w:ascii="Calibri" w:hAnsi="Calibri" w:cs="Calibri"/>
                              </w:rPr>
                              <w:t xml:space="preserve">Graduate School of Public Health </w:t>
                            </w:r>
                          </w:p>
                          <w:p w14:paraId="770FA63A" w14:textId="217EA7F2" w:rsidR="009857EA" w:rsidRPr="00C041A2" w:rsidRDefault="009857EA" w:rsidP="00030D3B">
                            <w:pPr>
                              <w:spacing w:line="240" w:lineRule="auto"/>
                              <w:ind w:firstLine="0"/>
                              <w:rPr>
                                <w:rFonts w:ascii="Calibri" w:hAnsi="Calibri" w:cs="Calibri"/>
                              </w:rPr>
                            </w:pPr>
                            <w:r w:rsidRPr="00C041A2">
                              <w:rPr>
                                <w:rFonts w:ascii="Calibri" w:hAnsi="Calibri" w:cs="Calibri"/>
                              </w:rPr>
                              <w:t>University of Pittsburgh</w:t>
                            </w:r>
                          </w:p>
                          <w:p w14:paraId="2E68F888" w14:textId="77777777" w:rsidR="009857EA" w:rsidRPr="00C041A2" w:rsidRDefault="009857EA" w:rsidP="00030D3B">
                            <w:pPr>
                              <w:spacing w:line="240" w:lineRule="auto"/>
                              <w:ind w:firstLine="0"/>
                              <w:rPr>
                                <w:rFonts w:ascii="Calibri" w:hAnsi="Calibri" w:cs="Calibri"/>
                              </w:rPr>
                            </w:pPr>
                          </w:p>
                          <w:p w14:paraId="0C133DD2" w14:textId="77777777" w:rsidR="009857EA" w:rsidRPr="00C041A2" w:rsidRDefault="009857EA" w:rsidP="00030D3B">
                            <w:pPr>
                              <w:spacing w:line="240" w:lineRule="auto"/>
                              <w:ind w:firstLine="0"/>
                              <w:rPr>
                                <w:rFonts w:ascii="Calibri" w:hAnsi="Calibri" w:cs="Calibri"/>
                              </w:rPr>
                            </w:pPr>
                            <w:r w:rsidRPr="00C041A2">
                              <w:rPr>
                                <w:rFonts w:ascii="Calibri" w:hAnsi="Calibri" w:cs="Calibri"/>
                              </w:rPr>
                              <w:t>Essay Readers:</w:t>
                            </w:r>
                          </w:p>
                          <w:p w14:paraId="59374E8B" w14:textId="77777777" w:rsidR="009857EA" w:rsidRPr="00C041A2" w:rsidRDefault="009857EA" w:rsidP="00030D3B">
                            <w:pPr>
                              <w:spacing w:line="240" w:lineRule="auto"/>
                              <w:ind w:firstLine="0"/>
                              <w:rPr>
                                <w:rFonts w:ascii="Calibri" w:hAnsi="Calibri" w:cs="Calibri"/>
                              </w:rPr>
                            </w:pPr>
                          </w:p>
                          <w:p w14:paraId="39CD1F9C" w14:textId="2404E629" w:rsidR="009857EA" w:rsidRPr="00C041A2" w:rsidRDefault="009857EA" w:rsidP="00030D3B">
                            <w:pPr>
                              <w:spacing w:line="240" w:lineRule="auto"/>
                              <w:ind w:firstLine="0"/>
                              <w:rPr>
                                <w:rFonts w:ascii="Calibri" w:hAnsi="Calibri" w:cs="Calibri"/>
                              </w:rPr>
                            </w:pPr>
                            <w:r>
                              <w:rPr>
                                <w:rFonts w:ascii="Calibri" w:hAnsi="Calibri" w:cs="Calibri"/>
                              </w:rPr>
                              <w:t>Nancy</w:t>
                            </w:r>
                            <w:r w:rsidRPr="00C041A2">
                              <w:rPr>
                                <w:rFonts w:ascii="Calibri" w:hAnsi="Calibri" w:cs="Calibri"/>
                              </w:rPr>
                              <w:t xml:space="preserve"> </w:t>
                            </w:r>
                            <w:r>
                              <w:rPr>
                                <w:rFonts w:ascii="Calibri" w:hAnsi="Calibri" w:cs="Calibri"/>
                              </w:rPr>
                              <w:t xml:space="preserve">W. Glynn, Ph.D. </w:t>
                            </w:r>
                            <w:r w:rsidRPr="00C041A2">
                              <w:rPr>
                                <w:rFonts w:ascii="Calibri" w:hAnsi="Calibri" w:cs="Calibri"/>
                              </w:rPr>
                              <w:tab/>
                            </w:r>
                            <w:r w:rsidRPr="00C041A2">
                              <w:rPr>
                                <w:rFonts w:ascii="Calibri" w:hAnsi="Calibri" w:cs="Calibri"/>
                              </w:rPr>
                              <w:tab/>
                            </w:r>
                            <w:r>
                              <w:rPr>
                                <w:rFonts w:ascii="Calibri" w:hAnsi="Calibri" w:cs="Calibri"/>
                              </w:rPr>
                              <w:t xml:space="preserve"> </w:t>
                            </w:r>
                            <w:r w:rsidRPr="00C041A2">
                              <w:rPr>
                                <w:rFonts w:ascii="Calibri" w:hAnsi="Calibri" w:cs="Calibri"/>
                              </w:rPr>
                              <w:t>______________________________________</w:t>
                            </w:r>
                          </w:p>
                          <w:p w14:paraId="0D4279D8" w14:textId="479C5F12" w:rsidR="009857EA" w:rsidRPr="00C041A2" w:rsidRDefault="009857EA" w:rsidP="00030D3B">
                            <w:pPr>
                              <w:spacing w:line="240" w:lineRule="auto"/>
                              <w:ind w:firstLine="0"/>
                              <w:rPr>
                                <w:rFonts w:ascii="Calibri" w:hAnsi="Calibri" w:cs="Calibri"/>
                              </w:rPr>
                            </w:pPr>
                            <w:r>
                              <w:rPr>
                                <w:rFonts w:ascii="Calibri" w:hAnsi="Calibri" w:cs="Calibri"/>
                              </w:rPr>
                              <w:t xml:space="preserve">Assistant Professor </w:t>
                            </w:r>
                          </w:p>
                          <w:p w14:paraId="54F80B8E" w14:textId="77777777" w:rsidR="009857EA" w:rsidRDefault="009857EA" w:rsidP="00030D3B">
                            <w:pPr>
                              <w:spacing w:line="240" w:lineRule="auto"/>
                              <w:ind w:firstLine="0"/>
                              <w:rPr>
                                <w:rFonts w:ascii="Calibri" w:hAnsi="Calibri" w:cs="Calibri"/>
                              </w:rPr>
                            </w:pPr>
                            <w:r>
                              <w:rPr>
                                <w:rFonts w:ascii="Calibri" w:hAnsi="Calibri" w:cs="Calibri"/>
                              </w:rPr>
                              <w:t>Department of Epidemiology</w:t>
                            </w:r>
                          </w:p>
                          <w:p w14:paraId="48CE10D7" w14:textId="77777777" w:rsidR="009857EA" w:rsidRDefault="009857EA" w:rsidP="00030D3B">
                            <w:pPr>
                              <w:spacing w:line="240" w:lineRule="auto"/>
                              <w:ind w:firstLine="0"/>
                              <w:rPr>
                                <w:rFonts w:ascii="Calibri" w:hAnsi="Calibri" w:cs="Calibri"/>
                              </w:rPr>
                            </w:pPr>
                            <w:r>
                              <w:rPr>
                                <w:rFonts w:ascii="Calibri" w:hAnsi="Calibri" w:cs="Calibri"/>
                              </w:rPr>
                              <w:t>Graduate School of Public Health</w:t>
                            </w:r>
                          </w:p>
                          <w:p w14:paraId="7FE5AD38" w14:textId="2468EC49" w:rsidR="009857EA" w:rsidRPr="00C041A2" w:rsidRDefault="009857EA" w:rsidP="00030D3B">
                            <w:pPr>
                              <w:spacing w:line="240" w:lineRule="auto"/>
                              <w:ind w:firstLine="0"/>
                              <w:rPr>
                                <w:rFonts w:ascii="Calibri" w:hAnsi="Calibri" w:cs="Calibri"/>
                              </w:rPr>
                            </w:pPr>
                            <w:r w:rsidRPr="00C041A2">
                              <w:rPr>
                                <w:rFonts w:ascii="Calibri" w:hAnsi="Calibri" w:cs="Calibri"/>
                              </w:rPr>
                              <w:t>University of Pittsburgh</w:t>
                            </w:r>
                          </w:p>
                          <w:p w14:paraId="293342A5" w14:textId="77777777" w:rsidR="009857EA" w:rsidRPr="00C041A2" w:rsidRDefault="009857EA" w:rsidP="00553EEB">
                            <w:pPr>
                              <w:spacing w:line="240" w:lineRule="auto"/>
                              <w:ind w:firstLine="0"/>
                              <w:rPr>
                                <w:rFonts w:ascii="Calibri" w:hAnsi="Calibri" w:cs="Calibri"/>
                              </w:rPr>
                            </w:pPr>
                          </w:p>
                          <w:p w14:paraId="2E906CD0" w14:textId="4D584C85" w:rsidR="009857EA" w:rsidRPr="00C041A2" w:rsidRDefault="009857EA" w:rsidP="00553EEB">
                            <w:pPr>
                              <w:spacing w:line="240" w:lineRule="auto"/>
                              <w:ind w:firstLine="0"/>
                              <w:rPr>
                                <w:rFonts w:ascii="Calibri" w:hAnsi="Calibri" w:cs="Calibri"/>
                              </w:rPr>
                            </w:pPr>
                            <w:r>
                              <w:rPr>
                                <w:rFonts w:ascii="Calibri" w:hAnsi="Calibri" w:cs="Calibri"/>
                              </w:rPr>
                              <w:t>Meryl Butters</w:t>
                            </w:r>
                            <w:r w:rsidRPr="00C041A2">
                              <w:rPr>
                                <w:rFonts w:ascii="Calibri" w:hAnsi="Calibri" w:cs="Calibri"/>
                              </w:rPr>
                              <w:t>,</w:t>
                            </w:r>
                            <w:r>
                              <w:rPr>
                                <w:rFonts w:ascii="Calibri" w:hAnsi="Calibri" w:cs="Calibri"/>
                              </w:rPr>
                              <w:t xml:space="preserve"> Ph.D.</w:t>
                            </w:r>
                            <w:r w:rsidRPr="00C041A2">
                              <w:rPr>
                                <w:rFonts w:ascii="Calibri" w:hAnsi="Calibri" w:cs="Calibri"/>
                              </w:rPr>
                              <w:tab/>
                            </w:r>
                            <w:r w:rsidRPr="00C041A2">
                              <w:rPr>
                                <w:rFonts w:ascii="Calibri" w:hAnsi="Calibri" w:cs="Calibri"/>
                              </w:rPr>
                              <w:tab/>
                            </w:r>
                            <w:r>
                              <w:rPr>
                                <w:rFonts w:ascii="Calibri" w:hAnsi="Calibri" w:cs="Calibri"/>
                              </w:rPr>
                              <w:t xml:space="preserve">              </w:t>
                            </w:r>
                            <w:r w:rsidRPr="00C041A2">
                              <w:rPr>
                                <w:rFonts w:ascii="Calibri" w:hAnsi="Calibri" w:cs="Calibri"/>
                              </w:rPr>
                              <w:t>______________________________________</w:t>
                            </w:r>
                          </w:p>
                          <w:p w14:paraId="45328703" w14:textId="10B6C281" w:rsidR="009857EA" w:rsidRPr="00C041A2" w:rsidRDefault="009857EA" w:rsidP="00553EEB">
                            <w:pPr>
                              <w:spacing w:line="240" w:lineRule="auto"/>
                              <w:ind w:firstLine="0"/>
                              <w:rPr>
                                <w:rFonts w:ascii="Calibri" w:hAnsi="Calibri" w:cs="Calibri"/>
                              </w:rPr>
                            </w:pPr>
                            <w:r>
                              <w:rPr>
                                <w:rFonts w:ascii="Calibri" w:hAnsi="Calibri" w:cs="Calibri"/>
                              </w:rPr>
                              <w:t xml:space="preserve">Associate Professor </w:t>
                            </w:r>
                          </w:p>
                          <w:p w14:paraId="3E72675D" w14:textId="5AE815F5" w:rsidR="009857EA" w:rsidRDefault="009857EA" w:rsidP="00553EEB">
                            <w:pPr>
                              <w:spacing w:line="240" w:lineRule="auto"/>
                              <w:ind w:firstLine="0"/>
                              <w:rPr>
                                <w:rFonts w:ascii="Calibri" w:hAnsi="Calibri" w:cs="Calibri"/>
                              </w:rPr>
                            </w:pPr>
                            <w:r>
                              <w:rPr>
                                <w:rFonts w:ascii="Calibri" w:hAnsi="Calibri" w:cs="Calibri"/>
                              </w:rPr>
                              <w:t xml:space="preserve">Department of Psychiatry </w:t>
                            </w:r>
                          </w:p>
                          <w:p w14:paraId="2899DCAB" w14:textId="73AE5047" w:rsidR="009857EA" w:rsidRPr="00C041A2" w:rsidRDefault="009857EA" w:rsidP="00553EEB">
                            <w:pPr>
                              <w:spacing w:line="240" w:lineRule="auto"/>
                              <w:ind w:firstLine="0"/>
                              <w:rPr>
                                <w:rFonts w:ascii="Calibri" w:hAnsi="Calibri" w:cs="Calibri"/>
                              </w:rPr>
                            </w:pPr>
                            <w:r>
                              <w:rPr>
                                <w:rFonts w:ascii="Calibri" w:hAnsi="Calibri" w:cs="Calibri"/>
                              </w:rPr>
                              <w:t xml:space="preserve">School of Medicine </w:t>
                            </w:r>
                          </w:p>
                          <w:p w14:paraId="45F43C7E" w14:textId="77777777" w:rsidR="009857EA" w:rsidRPr="00C041A2" w:rsidRDefault="009857EA" w:rsidP="00553EEB">
                            <w:pPr>
                              <w:spacing w:line="240" w:lineRule="auto"/>
                              <w:ind w:firstLine="0"/>
                              <w:rPr>
                                <w:rFonts w:ascii="Calibri" w:hAnsi="Calibri" w:cs="Calibri"/>
                              </w:rPr>
                            </w:pPr>
                            <w:r w:rsidRPr="00C041A2">
                              <w:rPr>
                                <w:rFonts w:ascii="Calibri" w:hAnsi="Calibri" w:cs="Calibri"/>
                              </w:rPr>
                              <w:t>University of Pittsburgh</w:t>
                            </w:r>
                          </w:p>
                          <w:p w14:paraId="45C18238" w14:textId="77777777" w:rsidR="009857EA" w:rsidRPr="00C041A2" w:rsidRDefault="009857EA" w:rsidP="00030D3B">
                            <w:pPr>
                              <w:spacing w:line="240" w:lineRule="auto"/>
                              <w:ind w:firstLine="0"/>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BB97D" id="Text Box 26" o:spid="_x0000_s1027" type="#_x0000_t202" style="position:absolute;left:0;text-align:left;margin-left:0;margin-top:23.75pt;width:468pt;height:613.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129hQ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" stroked="f">
                <v:textbox>
                  <w:txbxContent>
                    <w:p w14:paraId="26C08C6C" w14:textId="77777777" w:rsidR="009857EA" w:rsidRPr="00C041A2" w:rsidRDefault="009857EA" w:rsidP="006B1124">
                      <w:pPr>
                        <w:ind w:firstLine="0"/>
                        <w:jc w:val="center"/>
                        <w:rPr>
                          <w:rFonts w:ascii="Calibri" w:hAnsi="Calibri" w:cs="Calibri"/>
                        </w:rPr>
                      </w:pPr>
                      <w:r w:rsidRPr="00C041A2">
                        <w:rPr>
                          <w:rFonts w:ascii="Calibri" w:hAnsi="Calibri" w:cs="Calibri"/>
                        </w:rPr>
                        <w:t>UNIVERSITY OF PITTSBURGH</w:t>
                      </w:r>
                    </w:p>
                    <w:p w14:paraId="43D7D676" w14:textId="77777777" w:rsidR="009857EA" w:rsidRPr="00C041A2" w:rsidRDefault="009857EA" w:rsidP="00536110">
                      <w:pPr>
                        <w:spacing w:line="240" w:lineRule="auto"/>
                        <w:ind w:firstLine="0"/>
                        <w:jc w:val="center"/>
                        <w:rPr>
                          <w:rFonts w:ascii="Calibri" w:hAnsi="Calibri" w:cs="Calibri"/>
                        </w:rPr>
                      </w:pPr>
                      <w:r w:rsidRPr="00C041A2">
                        <w:rPr>
                          <w:rFonts w:ascii="Calibri" w:hAnsi="Calibri" w:cs="Calibri"/>
                        </w:rPr>
                        <w:t>GRADUATE SCHOOL OF PUBLIC HEALTH</w:t>
                      </w:r>
                    </w:p>
                    <w:p w14:paraId="4A4B54CB" w14:textId="77777777" w:rsidR="009857EA" w:rsidRPr="00C041A2" w:rsidRDefault="009857EA" w:rsidP="00536110">
                      <w:pPr>
                        <w:spacing w:line="240" w:lineRule="auto"/>
                        <w:ind w:firstLine="0"/>
                        <w:jc w:val="center"/>
                        <w:rPr>
                          <w:rFonts w:ascii="Calibri" w:hAnsi="Calibri" w:cs="Calibri"/>
                        </w:rPr>
                      </w:pPr>
                    </w:p>
                    <w:p w14:paraId="4700C71D" w14:textId="77777777" w:rsidR="009857EA" w:rsidRPr="00C041A2" w:rsidRDefault="009857EA" w:rsidP="00536110">
                      <w:pPr>
                        <w:spacing w:line="240" w:lineRule="auto"/>
                        <w:ind w:firstLine="0"/>
                        <w:jc w:val="center"/>
                        <w:rPr>
                          <w:rFonts w:ascii="Calibri" w:hAnsi="Calibri" w:cs="Calibri"/>
                        </w:rPr>
                      </w:pPr>
                    </w:p>
                    <w:p w14:paraId="03E37570" w14:textId="77777777" w:rsidR="009857EA" w:rsidRPr="00C041A2" w:rsidRDefault="009857EA" w:rsidP="00536110">
                      <w:pPr>
                        <w:spacing w:line="240" w:lineRule="auto"/>
                        <w:ind w:firstLine="0"/>
                        <w:jc w:val="center"/>
                        <w:rPr>
                          <w:rFonts w:ascii="Calibri" w:hAnsi="Calibri" w:cs="Calibri"/>
                        </w:rPr>
                      </w:pPr>
                    </w:p>
                    <w:p w14:paraId="481CEB41" w14:textId="77777777" w:rsidR="009857EA" w:rsidRPr="00C041A2" w:rsidRDefault="009857EA" w:rsidP="006A5780">
                      <w:pPr>
                        <w:ind w:firstLine="0"/>
                        <w:jc w:val="center"/>
                        <w:rPr>
                          <w:rFonts w:ascii="Calibri" w:hAnsi="Calibri" w:cs="Calibri"/>
                        </w:rPr>
                      </w:pPr>
                      <w:r w:rsidRPr="00C041A2">
                        <w:rPr>
                          <w:rFonts w:ascii="Calibri" w:hAnsi="Calibri" w:cs="Calibri"/>
                        </w:rPr>
                        <w:t>This essay is submitted</w:t>
                      </w:r>
                    </w:p>
                    <w:p w14:paraId="187A04D7" w14:textId="77777777" w:rsidR="009857EA" w:rsidRPr="00C041A2" w:rsidRDefault="009857EA" w:rsidP="006B1124">
                      <w:pPr>
                        <w:ind w:firstLine="0"/>
                        <w:jc w:val="center"/>
                        <w:rPr>
                          <w:rFonts w:ascii="Calibri" w:hAnsi="Calibri" w:cs="Calibri"/>
                        </w:rPr>
                      </w:pPr>
                      <w:r w:rsidRPr="00C041A2">
                        <w:rPr>
                          <w:rFonts w:ascii="Calibri" w:hAnsi="Calibri" w:cs="Calibri"/>
                        </w:rPr>
                        <w:t>by</w:t>
                      </w:r>
                    </w:p>
                    <w:p w14:paraId="1C1878FC" w14:textId="77777777" w:rsidR="009857EA" w:rsidRPr="00C041A2" w:rsidRDefault="009857EA" w:rsidP="006A5780">
                      <w:pPr>
                        <w:spacing w:line="240" w:lineRule="auto"/>
                        <w:ind w:firstLine="0"/>
                        <w:jc w:val="center"/>
                        <w:rPr>
                          <w:rFonts w:ascii="Calibri" w:hAnsi="Calibri" w:cs="Calibri"/>
                        </w:rPr>
                      </w:pPr>
                      <w:r w:rsidRPr="00C041A2">
                        <w:rPr>
                          <w:rFonts w:ascii="Calibri" w:hAnsi="Calibri" w:cs="Calibri"/>
                        </w:rPr>
                        <w:t>Emily E. Wasson</w:t>
                      </w:r>
                    </w:p>
                    <w:p w14:paraId="71E61CF5" w14:textId="77777777" w:rsidR="009857EA" w:rsidRPr="00C041A2" w:rsidRDefault="009857EA" w:rsidP="006A5780">
                      <w:pPr>
                        <w:spacing w:line="240" w:lineRule="auto"/>
                        <w:ind w:firstLine="0"/>
                        <w:jc w:val="center"/>
                        <w:rPr>
                          <w:rFonts w:ascii="Calibri" w:hAnsi="Calibri" w:cs="Calibri"/>
                        </w:rPr>
                      </w:pPr>
                    </w:p>
                    <w:p w14:paraId="23F1D2CD" w14:textId="77777777" w:rsidR="009857EA" w:rsidRPr="00C041A2" w:rsidRDefault="009857EA" w:rsidP="006A5780">
                      <w:pPr>
                        <w:spacing w:line="240" w:lineRule="auto"/>
                        <w:ind w:firstLine="0"/>
                        <w:jc w:val="center"/>
                        <w:rPr>
                          <w:rFonts w:ascii="Calibri" w:hAnsi="Calibri" w:cs="Calibri"/>
                        </w:rPr>
                      </w:pPr>
                      <w:r w:rsidRPr="00C041A2">
                        <w:rPr>
                          <w:rFonts w:ascii="Calibri" w:hAnsi="Calibri" w:cs="Calibri"/>
                        </w:rPr>
                        <w:t>on</w:t>
                      </w:r>
                    </w:p>
                    <w:p w14:paraId="0F30B640" w14:textId="77777777" w:rsidR="009857EA" w:rsidRPr="00C041A2" w:rsidRDefault="009857EA" w:rsidP="006A5780">
                      <w:pPr>
                        <w:spacing w:line="240" w:lineRule="auto"/>
                        <w:ind w:firstLine="0"/>
                        <w:jc w:val="center"/>
                        <w:rPr>
                          <w:rFonts w:ascii="Calibri" w:hAnsi="Calibri" w:cs="Calibri"/>
                        </w:rPr>
                      </w:pPr>
                    </w:p>
                    <w:p w14:paraId="5ACC7C6E" w14:textId="0BC28376" w:rsidR="009857EA" w:rsidRPr="00C041A2" w:rsidRDefault="009857EA" w:rsidP="006A5780">
                      <w:pPr>
                        <w:ind w:firstLine="0"/>
                        <w:jc w:val="center"/>
                        <w:rPr>
                          <w:rFonts w:ascii="Calibri" w:hAnsi="Calibri" w:cs="Calibri"/>
                        </w:rPr>
                      </w:pPr>
                      <w:r>
                        <w:rPr>
                          <w:rFonts w:ascii="Calibri" w:hAnsi="Calibri" w:cs="Calibri"/>
                        </w:rPr>
                        <w:t>December 1st, 2017</w:t>
                      </w:r>
                    </w:p>
                    <w:p w14:paraId="71CE773A" w14:textId="77777777" w:rsidR="009857EA" w:rsidRPr="00C041A2" w:rsidRDefault="009857EA" w:rsidP="006A5780">
                      <w:pPr>
                        <w:ind w:firstLine="0"/>
                        <w:jc w:val="center"/>
                        <w:rPr>
                          <w:rFonts w:ascii="Calibri" w:hAnsi="Calibri" w:cs="Calibri"/>
                        </w:rPr>
                      </w:pPr>
                      <w:r w:rsidRPr="00C041A2">
                        <w:rPr>
                          <w:rFonts w:ascii="Calibri" w:hAnsi="Calibri" w:cs="Calibri"/>
                        </w:rPr>
                        <w:t>and approved by</w:t>
                      </w:r>
                    </w:p>
                    <w:p w14:paraId="18C0E229" w14:textId="77777777" w:rsidR="009857EA" w:rsidRPr="00C041A2" w:rsidRDefault="009857EA" w:rsidP="006A5780">
                      <w:pPr>
                        <w:ind w:firstLine="0"/>
                        <w:jc w:val="center"/>
                        <w:rPr>
                          <w:rFonts w:ascii="Calibri" w:hAnsi="Calibri" w:cs="Calibri"/>
                        </w:rPr>
                      </w:pPr>
                    </w:p>
                    <w:p w14:paraId="3AB0FC90" w14:textId="77777777" w:rsidR="009857EA" w:rsidRPr="00C041A2" w:rsidRDefault="009857EA" w:rsidP="00030D3B">
                      <w:pPr>
                        <w:spacing w:line="240" w:lineRule="auto"/>
                        <w:ind w:firstLine="0"/>
                        <w:rPr>
                          <w:rFonts w:ascii="Calibri" w:hAnsi="Calibri" w:cs="Calibri"/>
                        </w:rPr>
                      </w:pPr>
                      <w:r w:rsidRPr="00C041A2">
                        <w:rPr>
                          <w:rFonts w:ascii="Calibri" w:hAnsi="Calibri" w:cs="Calibri"/>
                        </w:rPr>
                        <w:t>Essay Advisor:</w:t>
                      </w:r>
                    </w:p>
                    <w:p w14:paraId="32D5E699" w14:textId="34334454" w:rsidR="009857EA" w:rsidRPr="00C041A2" w:rsidRDefault="009857EA" w:rsidP="00030D3B">
                      <w:pPr>
                        <w:spacing w:line="240" w:lineRule="auto"/>
                        <w:ind w:firstLine="0"/>
                        <w:rPr>
                          <w:rFonts w:ascii="Calibri" w:hAnsi="Calibri" w:cs="Calibri"/>
                        </w:rPr>
                      </w:pPr>
                      <w:r>
                        <w:rPr>
                          <w:rFonts w:ascii="Calibri" w:hAnsi="Calibri" w:cs="Calibri"/>
                        </w:rPr>
                        <w:t>Andrea Rosso</w:t>
                      </w:r>
                      <w:r w:rsidRPr="00C041A2">
                        <w:rPr>
                          <w:rFonts w:ascii="Calibri" w:hAnsi="Calibri" w:cs="Calibri"/>
                        </w:rPr>
                        <w:t xml:space="preserve">, </w:t>
                      </w:r>
                      <w:r>
                        <w:rPr>
                          <w:rFonts w:ascii="Calibri" w:hAnsi="Calibri" w:cs="Calibri"/>
                        </w:rPr>
                        <w:t>Ph.D., MPH</w:t>
                      </w:r>
                      <w:r w:rsidRPr="00C041A2">
                        <w:rPr>
                          <w:rFonts w:ascii="Calibri" w:hAnsi="Calibri" w:cs="Calibri"/>
                        </w:rPr>
                        <w:tab/>
                      </w:r>
                      <w:r w:rsidRPr="00C041A2">
                        <w:rPr>
                          <w:rFonts w:ascii="Calibri" w:hAnsi="Calibri" w:cs="Calibri"/>
                        </w:rPr>
                        <w:tab/>
                        <w:t>_______________________________________</w:t>
                      </w:r>
                    </w:p>
                    <w:p w14:paraId="2E39C554" w14:textId="23FEEB22" w:rsidR="009857EA" w:rsidRDefault="009857EA" w:rsidP="00030D3B">
                      <w:pPr>
                        <w:spacing w:line="240" w:lineRule="auto"/>
                        <w:ind w:firstLine="0"/>
                        <w:rPr>
                          <w:rFonts w:ascii="Calibri" w:hAnsi="Calibri" w:cs="Calibri"/>
                        </w:rPr>
                      </w:pPr>
                      <w:r>
                        <w:rPr>
                          <w:rFonts w:ascii="Calibri" w:hAnsi="Calibri" w:cs="Calibri"/>
                        </w:rPr>
                        <w:t>Assistant Professor</w:t>
                      </w:r>
                    </w:p>
                    <w:p w14:paraId="31D3CB08" w14:textId="4FDAEDB8" w:rsidR="009857EA" w:rsidRPr="00C041A2" w:rsidRDefault="009857EA" w:rsidP="00030D3B">
                      <w:pPr>
                        <w:spacing w:line="240" w:lineRule="auto"/>
                        <w:ind w:firstLine="0"/>
                        <w:rPr>
                          <w:rFonts w:ascii="Calibri" w:hAnsi="Calibri" w:cs="Calibri"/>
                        </w:rPr>
                      </w:pPr>
                      <w:r>
                        <w:rPr>
                          <w:rFonts w:ascii="Calibri" w:hAnsi="Calibri" w:cs="Calibri"/>
                        </w:rPr>
                        <w:t xml:space="preserve">Department of Epidemiology </w:t>
                      </w:r>
                    </w:p>
                    <w:p w14:paraId="1CDE9173" w14:textId="77777777" w:rsidR="009857EA" w:rsidRDefault="009857EA" w:rsidP="00030D3B">
                      <w:pPr>
                        <w:spacing w:line="240" w:lineRule="auto"/>
                        <w:ind w:firstLine="0"/>
                        <w:rPr>
                          <w:rFonts w:ascii="Calibri" w:hAnsi="Calibri" w:cs="Calibri"/>
                        </w:rPr>
                      </w:pPr>
                      <w:r>
                        <w:rPr>
                          <w:rFonts w:ascii="Calibri" w:hAnsi="Calibri" w:cs="Calibri"/>
                        </w:rPr>
                        <w:t xml:space="preserve">Graduate School of Public Health </w:t>
                      </w:r>
                    </w:p>
                    <w:p w14:paraId="770FA63A" w14:textId="217EA7F2" w:rsidR="009857EA" w:rsidRPr="00C041A2" w:rsidRDefault="009857EA" w:rsidP="00030D3B">
                      <w:pPr>
                        <w:spacing w:line="240" w:lineRule="auto"/>
                        <w:ind w:firstLine="0"/>
                        <w:rPr>
                          <w:rFonts w:ascii="Calibri" w:hAnsi="Calibri" w:cs="Calibri"/>
                        </w:rPr>
                      </w:pPr>
                      <w:r w:rsidRPr="00C041A2">
                        <w:rPr>
                          <w:rFonts w:ascii="Calibri" w:hAnsi="Calibri" w:cs="Calibri"/>
                        </w:rPr>
                        <w:t>University of Pittsburgh</w:t>
                      </w:r>
                    </w:p>
                    <w:p w14:paraId="2E68F888" w14:textId="77777777" w:rsidR="009857EA" w:rsidRPr="00C041A2" w:rsidRDefault="009857EA" w:rsidP="00030D3B">
                      <w:pPr>
                        <w:spacing w:line="240" w:lineRule="auto"/>
                        <w:ind w:firstLine="0"/>
                        <w:rPr>
                          <w:rFonts w:ascii="Calibri" w:hAnsi="Calibri" w:cs="Calibri"/>
                        </w:rPr>
                      </w:pPr>
                    </w:p>
                    <w:p w14:paraId="0C133DD2" w14:textId="77777777" w:rsidR="009857EA" w:rsidRPr="00C041A2" w:rsidRDefault="009857EA" w:rsidP="00030D3B">
                      <w:pPr>
                        <w:spacing w:line="240" w:lineRule="auto"/>
                        <w:ind w:firstLine="0"/>
                        <w:rPr>
                          <w:rFonts w:ascii="Calibri" w:hAnsi="Calibri" w:cs="Calibri"/>
                        </w:rPr>
                      </w:pPr>
                      <w:r w:rsidRPr="00C041A2">
                        <w:rPr>
                          <w:rFonts w:ascii="Calibri" w:hAnsi="Calibri" w:cs="Calibri"/>
                        </w:rPr>
                        <w:t>Essay Readers:</w:t>
                      </w:r>
                    </w:p>
                    <w:p w14:paraId="59374E8B" w14:textId="77777777" w:rsidR="009857EA" w:rsidRPr="00C041A2" w:rsidRDefault="009857EA" w:rsidP="00030D3B">
                      <w:pPr>
                        <w:spacing w:line="240" w:lineRule="auto"/>
                        <w:ind w:firstLine="0"/>
                        <w:rPr>
                          <w:rFonts w:ascii="Calibri" w:hAnsi="Calibri" w:cs="Calibri"/>
                        </w:rPr>
                      </w:pPr>
                    </w:p>
                    <w:p w14:paraId="39CD1F9C" w14:textId="2404E629" w:rsidR="009857EA" w:rsidRPr="00C041A2" w:rsidRDefault="009857EA" w:rsidP="00030D3B">
                      <w:pPr>
                        <w:spacing w:line="240" w:lineRule="auto"/>
                        <w:ind w:firstLine="0"/>
                        <w:rPr>
                          <w:rFonts w:ascii="Calibri" w:hAnsi="Calibri" w:cs="Calibri"/>
                        </w:rPr>
                      </w:pPr>
                      <w:r>
                        <w:rPr>
                          <w:rFonts w:ascii="Calibri" w:hAnsi="Calibri" w:cs="Calibri"/>
                        </w:rPr>
                        <w:t>Nancy</w:t>
                      </w:r>
                      <w:r w:rsidRPr="00C041A2">
                        <w:rPr>
                          <w:rFonts w:ascii="Calibri" w:hAnsi="Calibri" w:cs="Calibri"/>
                        </w:rPr>
                        <w:t xml:space="preserve"> </w:t>
                      </w:r>
                      <w:r>
                        <w:rPr>
                          <w:rFonts w:ascii="Calibri" w:hAnsi="Calibri" w:cs="Calibri"/>
                        </w:rPr>
                        <w:t xml:space="preserve">W. Glynn, Ph.D. </w:t>
                      </w:r>
                      <w:r w:rsidRPr="00C041A2">
                        <w:rPr>
                          <w:rFonts w:ascii="Calibri" w:hAnsi="Calibri" w:cs="Calibri"/>
                        </w:rPr>
                        <w:tab/>
                      </w:r>
                      <w:r w:rsidRPr="00C041A2">
                        <w:rPr>
                          <w:rFonts w:ascii="Calibri" w:hAnsi="Calibri" w:cs="Calibri"/>
                        </w:rPr>
                        <w:tab/>
                      </w:r>
                      <w:r>
                        <w:rPr>
                          <w:rFonts w:ascii="Calibri" w:hAnsi="Calibri" w:cs="Calibri"/>
                        </w:rPr>
                        <w:t xml:space="preserve"> </w:t>
                      </w:r>
                      <w:r w:rsidRPr="00C041A2">
                        <w:rPr>
                          <w:rFonts w:ascii="Calibri" w:hAnsi="Calibri" w:cs="Calibri"/>
                        </w:rPr>
                        <w:t>______________________________________</w:t>
                      </w:r>
                    </w:p>
                    <w:p w14:paraId="0D4279D8" w14:textId="479C5F12" w:rsidR="009857EA" w:rsidRPr="00C041A2" w:rsidRDefault="009857EA" w:rsidP="00030D3B">
                      <w:pPr>
                        <w:spacing w:line="240" w:lineRule="auto"/>
                        <w:ind w:firstLine="0"/>
                        <w:rPr>
                          <w:rFonts w:ascii="Calibri" w:hAnsi="Calibri" w:cs="Calibri"/>
                        </w:rPr>
                      </w:pPr>
                      <w:r>
                        <w:rPr>
                          <w:rFonts w:ascii="Calibri" w:hAnsi="Calibri" w:cs="Calibri"/>
                        </w:rPr>
                        <w:t xml:space="preserve">Assistant Professor </w:t>
                      </w:r>
                    </w:p>
                    <w:p w14:paraId="54F80B8E" w14:textId="77777777" w:rsidR="009857EA" w:rsidRDefault="009857EA" w:rsidP="00030D3B">
                      <w:pPr>
                        <w:spacing w:line="240" w:lineRule="auto"/>
                        <w:ind w:firstLine="0"/>
                        <w:rPr>
                          <w:rFonts w:ascii="Calibri" w:hAnsi="Calibri" w:cs="Calibri"/>
                        </w:rPr>
                      </w:pPr>
                      <w:r>
                        <w:rPr>
                          <w:rFonts w:ascii="Calibri" w:hAnsi="Calibri" w:cs="Calibri"/>
                        </w:rPr>
                        <w:t>Department of Epidemiology</w:t>
                      </w:r>
                    </w:p>
                    <w:p w14:paraId="48CE10D7" w14:textId="77777777" w:rsidR="009857EA" w:rsidRDefault="009857EA" w:rsidP="00030D3B">
                      <w:pPr>
                        <w:spacing w:line="240" w:lineRule="auto"/>
                        <w:ind w:firstLine="0"/>
                        <w:rPr>
                          <w:rFonts w:ascii="Calibri" w:hAnsi="Calibri" w:cs="Calibri"/>
                        </w:rPr>
                      </w:pPr>
                      <w:r>
                        <w:rPr>
                          <w:rFonts w:ascii="Calibri" w:hAnsi="Calibri" w:cs="Calibri"/>
                        </w:rPr>
                        <w:t>Graduate School of Public Health</w:t>
                      </w:r>
                    </w:p>
                    <w:p w14:paraId="7FE5AD38" w14:textId="2468EC49" w:rsidR="009857EA" w:rsidRPr="00C041A2" w:rsidRDefault="009857EA" w:rsidP="00030D3B">
                      <w:pPr>
                        <w:spacing w:line="240" w:lineRule="auto"/>
                        <w:ind w:firstLine="0"/>
                        <w:rPr>
                          <w:rFonts w:ascii="Calibri" w:hAnsi="Calibri" w:cs="Calibri"/>
                        </w:rPr>
                      </w:pPr>
                      <w:r w:rsidRPr="00C041A2">
                        <w:rPr>
                          <w:rFonts w:ascii="Calibri" w:hAnsi="Calibri" w:cs="Calibri"/>
                        </w:rPr>
                        <w:t>University of Pittsburgh</w:t>
                      </w:r>
                    </w:p>
                    <w:p w14:paraId="293342A5" w14:textId="77777777" w:rsidR="009857EA" w:rsidRPr="00C041A2" w:rsidRDefault="009857EA" w:rsidP="00553EEB">
                      <w:pPr>
                        <w:spacing w:line="240" w:lineRule="auto"/>
                        <w:ind w:firstLine="0"/>
                        <w:rPr>
                          <w:rFonts w:ascii="Calibri" w:hAnsi="Calibri" w:cs="Calibri"/>
                        </w:rPr>
                      </w:pPr>
                    </w:p>
                    <w:p w14:paraId="2E906CD0" w14:textId="4D584C85" w:rsidR="009857EA" w:rsidRPr="00C041A2" w:rsidRDefault="009857EA" w:rsidP="00553EEB">
                      <w:pPr>
                        <w:spacing w:line="240" w:lineRule="auto"/>
                        <w:ind w:firstLine="0"/>
                        <w:rPr>
                          <w:rFonts w:ascii="Calibri" w:hAnsi="Calibri" w:cs="Calibri"/>
                        </w:rPr>
                      </w:pPr>
                      <w:r>
                        <w:rPr>
                          <w:rFonts w:ascii="Calibri" w:hAnsi="Calibri" w:cs="Calibri"/>
                        </w:rPr>
                        <w:t>Meryl Butters</w:t>
                      </w:r>
                      <w:r w:rsidRPr="00C041A2">
                        <w:rPr>
                          <w:rFonts w:ascii="Calibri" w:hAnsi="Calibri" w:cs="Calibri"/>
                        </w:rPr>
                        <w:t>,</w:t>
                      </w:r>
                      <w:r>
                        <w:rPr>
                          <w:rFonts w:ascii="Calibri" w:hAnsi="Calibri" w:cs="Calibri"/>
                        </w:rPr>
                        <w:t xml:space="preserve"> Ph.D.</w:t>
                      </w:r>
                      <w:r w:rsidRPr="00C041A2">
                        <w:rPr>
                          <w:rFonts w:ascii="Calibri" w:hAnsi="Calibri" w:cs="Calibri"/>
                        </w:rPr>
                        <w:tab/>
                      </w:r>
                      <w:r w:rsidRPr="00C041A2">
                        <w:rPr>
                          <w:rFonts w:ascii="Calibri" w:hAnsi="Calibri" w:cs="Calibri"/>
                        </w:rPr>
                        <w:tab/>
                      </w:r>
                      <w:r>
                        <w:rPr>
                          <w:rFonts w:ascii="Calibri" w:hAnsi="Calibri" w:cs="Calibri"/>
                        </w:rPr>
                        <w:t xml:space="preserve">              </w:t>
                      </w:r>
                      <w:r w:rsidRPr="00C041A2">
                        <w:rPr>
                          <w:rFonts w:ascii="Calibri" w:hAnsi="Calibri" w:cs="Calibri"/>
                        </w:rPr>
                        <w:t>______________________________________</w:t>
                      </w:r>
                    </w:p>
                    <w:p w14:paraId="45328703" w14:textId="10B6C281" w:rsidR="009857EA" w:rsidRPr="00C041A2" w:rsidRDefault="009857EA" w:rsidP="00553EEB">
                      <w:pPr>
                        <w:spacing w:line="240" w:lineRule="auto"/>
                        <w:ind w:firstLine="0"/>
                        <w:rPr>
                          <w:rFonts w:ascii="Calibri" w:hAnsi="Calibri" w:cs="Calibri"/>
                        </w:rPr>
                      </w:pPr>
                      <w:r>
                        <w:rPr>
                          <w:rFonts w:ascii="Calibri" w:hAnsi="Calibri" w:cs="Calibri"/>
                        </w:rPr>
                        <w:t xml:space="preserve">Associate Professor </w:t>
                      </w:r>
                    </w:p>
                    <w:p w14:paraId="3E72675D" w14:textId="5AE815F5" w:rsidR="009857EA" w:rsidRDefault="009857EA" w:rsidP="00553EEB">
                      <w:pPr>
                        <w:spacing w:line="240" w:lineRule="auto"/>
                        <w:ind w:firstLine="0"/>
                        <w:rPr>
                          <w:rFonts w:ascii="Calibri" w:hAnsi="Calibri" w:cs="Calibri"/>
                        </w:rPr>
                      </w:pPr>
                      <w:r>
                        <w:rPr>
                          <w:rFonts w:ascii="Calibri" w:hAnsi="Calibri" w:cs="Calibri"/>
                        </w:rPr>
                        <w:t xml:space="preserve">Department of Psychiatry </w:t>
                      </w:r>
                    </w:p>
                    <w:p w14:paraId="2899DCAB" w14:textId="73AE5047" w:rsidR="009857EA" w:rsidRPr="00C041A2" w:rsidRDefault="009857EA" w:rsidP="00553EEB">
                      <w:pPr>
                        <w:spacing w:line="240" w:lineRule="auto"/>
                        <w:ind w:firstLine="0"/>
                        <w:rPr>
                          <w:rFonts w:ascii="Calibri" w:hAnsi="Calibri" w:cs="Calibri"/>
                        </w:rPr>
                      </w:pPr>
                      <w:r>
                        <w:rPr>
                          <w:rFonts w:ascii="Calibri" w:hAnsi="Calibri" w:cs="Calibri"/>
                        </w:rPr>
                        <w:t xml:space="preserve">School of Medicine </w:t>
                      </w:r>
                    </w:p>
                    <w:p w14:paraId="45F43C7E" w14:textId="77777777" w:rsidR="009857EA" w:rsidRPr="00C041A2" w:rsidRDefault="009857EA" w:rsidP="00553EEB">
                      <w:pPr>
                        <w:spacing w:line="240" w:lineRule="auto"/>
                        <w:ind w:firstLine="0"/>
                        <w:rPr>
                          <w:rFonts w:ascii="Calibri" w:hAnsi="Calibri" w:cs="Calibri"/>
                        </w:rPr>
                      </w:pPr>
                      <w:r w:rsidRPr="00C041A2">
                        <w:rPr>
                          <w:rFonts w:ascii="Calibri" w:hAnsi="Calibri" w:cs="Calibri"/>
                        </w:rPr>
                        <w:t>University of Pittsburgh</w:t>
                      </w:r>
                    </w:p>
                    <w:p w14:paraId="45C18238" w14:textId="77777777" w:rsidR="009857EA" w:rsidRPr="00C041A2" w:rsidRDefault="009857EA" w:rsidP="00030D3B">
                      <w:pPr>
                        <w:spacing w:line="240" w:lineRule="auto"/>
                        <w:ind w:firstLine="0"/>
                        <w:rPr>
                          <w:rFonts w:ascii="Calibri" w:hAnsi="Calibri" w:cs="Calibri"/>
                        </w:rPr>
                      </w:pPr>
                    </w:p>
                  </w:txbxContent>
                </v:textbox>
                <w10:wrap type="square" anchorx="page" anchory="margin"/>
              </v:shape>
            </w:pict>
          </mc:Fallback>
        </mc:AlternateContent>
      </w:r>
      <w:r w:rsidR="00834193" w:rsidRPr="008438F4">
        <w:rPr>
          <w:rFonts w:ascii="Calibri" w:hAnsi="Calibri" w:cs="Calibri"/>
        </w:rPr>
        <w:br w:type="page"/>
      </w:r>
      <w:r>
        <w:rPr>
          <w:rFonts w:ascii="Calibri" w:hAnsi="Calibri" w:cs="Calibri"/>
          <w:noProof/>
        </w:rPr>
        <w:lastRenderedPageBreak/>
        <mc:AlternateContent>
          <mc:Choice Requires="wps">
            <w:drawing>
              <wp:anchor distT="0" distB="0" distL="114300" distR="114300" simplePos="0" relativeHeight="251658240" behindDoc="0" locked="0" layoutInCell="1" allowOverlap="1" wp14:anchorId="4C37D603" wp14:editId="5D3958DC">
                <wp:simplePos x="0" y="0"/>
                <wp:positionH relativeFrom="page">
                  <wp:align>center</wp:align>
                </wp:positionH>
                <wp:positionV relativeFrom="page">
                  <wp:posOffset>4648200</wp:posOffset>
                </wp:positionV>
                <wp:extent cx="5943600" cy="1066800"/>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C2804" w14:textId="77777777" w:rsidR="009857EA" w:rsidRPr="00C041A2" w:rsidRDefault="009857EA" w:rsidP="006B1124">
                            <w:pPr>
                              <w:ind w:firstLine="0"/>
                              <w:jc w:val="center"/>
                              <w:rPr>
                                <w:rFonts w:ascii="Calibri" w:hAnsi="Calibri" w:cs="Calibri"/>
                              </w:rPr>
                            </w:pPr>
                            <w:r w:rsidRPr="00C041A2">
                              <w:rPr>
                                <w:rFonts w:ascii="Calibri" w:hAnsi="Calibri" w:cs="Calibri"/>
                              </w:rPr>
                              <w:t>Copyright © by Emily E. Wasson</w:t>
                            </w:r>
                          </w:p>
                          <w:p w14:paraId="19D7FB12" w14:textId="77777777" w:rsidR="009857EA" w:rsidRPr="00C041A2" w:rsidRDefault="009857EA" w:rsidP="006B1124">
                            <w:pPr>
                              <w:ind w:firstLine="0"/>
                              <w:jc w:val="center"/>
                              <w:rPr>
                                <w:rFonts w:ascii="Calibri" w:hAnsi="Calibri" w:cs="Calibri"/>
                              </w:rPr>
                            </w:pPr>
                            <w:r w:rsidRPr="00C041A2">
                              <w:rPr>
                                <w:rFonts w:ascii="Calibri" w:hAnsi="Calibri" w:cs="Calibri"/>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D603" id="Text Box 30" o:spid="_x0000_s1028" type="#_x0000_t202" style="position:absolute;left:0;text-align:left;margin-left:0;margin-top:366pt;width:468pt;height:8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XKhw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" stroked="f">
                <v:textbox>
                  <w:txbxContent>
                    <w:p w14:paraId="373C2804" w14:textId="77777777" w:rsidR="009857EA" w:rsidRPr="00C041A2" w:rsidRDefault="009857EA" w:rsidP="006B1124">
                      <w:pPr>
                        <w:ind w:firstLine="0"/>
                        <w:jc w:val="center"/>
                        <w:rPr>
                          <w:rFonts w:ascii="Calibri" w:hAnsi="Calibri" w:cs="Calibri"/>
                        </w:rPr>
                      </w:pPr>
                      <w:r w:rsidRPr="00C041A2">
                        <w:rPr>
                          <w:rFonts w:ascii="Calibri" w:hAnsi="Calibri" w:cs="Calibri"/>
                        </w:rPr>
                        <w:t>Copyright © by Emily E. Wasson</w:t>
                      </w:r>
                    </w:p>
                    <w:p w14:paraId="19D7FB12" w14:textId="77777777" w:rsidR="009857EA" w:rsidRPr="00C041A2" w:rsidRDefault="009857EA" w:rsidP="006B1124">
                      <w:pPr>
                        <w:ind w:firstLine="0"/>
                        <w:jc w:val="center"/>
                        <w:rPr>
                          <w:rFonts w:ascii="Calibri" w:hAnsi="Calibri" w:cs="Calibri"/>
                        </w:rPr>
                      </w:pPr>
                      <w:r w:rsidRPr="00C041A2">
                        <w:rPr>
                          <w:rFonts w:ascii="Calibri" w:hAnsi="Calibri" w:cs="Calibri"/>
                        </w:rPr>
                        <w:t>2017</w:t>
                      </w:r>
                    </w:p>
                  </w:txbxContent>
                </v:textbox>
                <w10:wrap type="square" anchorx="page" anchory="page"/>
              </v:shape>
            </w:pict>
          </mc:Fallback>
        </mc:AlternateContent>
      </w:r>
      <w:r w:rsidR="002D01B1" w:rsidRPr="008438F4">
        <w:rPr>
          <w:rFonts w:ascii="Calibri" w:hAnsi="Calibri" w:cs="Calibri"/>
        </w:rPr>
        <w:br w:type="page"/>
      </w:r>
      <w:r w:rsidR="007F763B" w:rsidRPr="008438F4">
        <w:rPr>
          <w:rFonts w:ascii="Calibri" w:hAnsi="Calibri" w:cs="Calibri"/>
          <w:b/>
        </w:rPr>
        <w:lastRenderedPageBreak/>
        <w:t>ABSTRACT</w:t>
      </w:r>
    </w:p>
    <w:p w14:paraId="79800DDA" w14:textId="77777777" w:rsidR="001A7A87" w:rsidRPr="008438F4" w:rsidRDefault="001A7A87" w:rsidP="001A7A87">
      <w:pPr>
        <w:spacing w:line="240" w:lineRule="auto"/>
        <w:rPr>
          <w:rFonts w:ascii="Calibri" w:hAnsi="Calibri" w:cs="Calibri"/>
        </w:rPr>
      </w:pPr>
    </w:p>
    <w:p w14:paraId="40A04A2C" w14:textId="42A4AE0C" w:rsidR="006B1124" w:rsidRPr="008438F4" w:rsidRDefault="00806E0D" w:rsidP="001162E2">
      <w:pPr>
        <w:pStyle w:val="Noindent"/>
        <w:spacing w:line="360" w:lineRule="auto"/>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151A169F" wp14:editId="23FD66B2">
                <wp:simplePos x="0" y="0"/>
                <wp:positionH relativeFrom="column">
                  <wp:align>center</wp:align>
                </wp:positionH>
                <wp:positionV relativeFrom="margin">
                  <wp:posOffset>-222250</wp:posOffset>
                </wp:positionV>
                <wp:extent cx="5943600" cy="2041525"/>
                <wp:effectExtent l="0" t="6350" r="0" b="0"/>
                <wp:wrapSquare wrapText="bothSides"/>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0FC17" w14:textId="5CB6E9C3" w:rsidR="009857EA" w:rsidRPr="00C041A2" w:rsidRDefault="009857EA" w:rsidP="005F1BB6">
                            <w:pPr>
                              <w:ind w:firstLine="0"/>
                              <w:jc w:val="right"/>
                              <w:rPr>
                                <w:rFonts w:ascii="Calibri" w:hAnsi="Calibri" w:cs="Calibri"/>
                              </w:rPr>
                            </w:pPr>
                            <w:r w:rsidRPr="00C041A2">
                              <w:rPr>
                                <w:rFonts w:ascii="Calibri" w:hAnsi="Calibri" w:cs="Calibri"/>
                              </w:rPr>
                              <w:t>Andrea Rosso, Ph</w:t>
                            </w:r>
                            <w:r>
                              <w:rPr>
                                <w:rFonts w:ascii="Calibri" w:hAnsi="Calibri" w:cs="Calibri"/>
                              </w:rPr>
                              <w:t>.</w:t>
                            </w:r>
                            <w:r w:rsidRPr="00C041A2">
                              <w:rPr>
                                <w:rFonts w:ascii="Calibri" w:hAnsi="Calibri" w:cs="Calibri"/>
                              </w:rPr>
                              <w:t>D</w:t>
                            </w:r>
                            <w:r>
                              <w:rPr>
                                <w:rFonts w:ascii="Calibri" w:hAnsi="Calibri" w:cs="Calibri"/>
                              </w:rPr>
                              <w:t>., MPH</w:t>
                            </w:r>
                          </w:p>
                          <w:p w14:paraId="2CA3CB75" w14:textId="77777777" w:rsidR="009857EA" w:rsidRPr="00C041A2" w:rsidRDefault="009857EA" w:rsidP="005F1BB6">
                            <w:pPr>
                              <w:ind w:firstLine="0"/>
                              <w:jc w:val="right"/>
                              <w:rPr>
                                <w:rFonts w:ascii="Calibri" w:hAnsi="Calibri" w:cs="Calibri"/>
                              </w:rPr>
                            </w:pPr>
                          </w:p>
                          <w:p w14:paraId="73F423BF" w14:textId="77777777" w:rsidR="009857EA" w:rsidRDefault="009857EA" w:rsidP="00624DA4">
                            <w:pPr>
                              <w:spacing w:line="240" w:lineRule="auto"/>
                              <w:ind w:firstLine="0"/>
                              <w:jc w:val="center"/>
                              <w:rPr>
                                <w:rFonts w:ascii="Calibri" w:hAnsi="Calibri" w:cs="Calibri"/>
                                <w:b/>
                              </w:rPr>
                            </w:pPr>
                            <w:r>
                              <w:rPr>
                                <w:rFonts w:ascii="Calibri" w:hAnsi="Calibri" w:cs="Calibri"/>
                                <w:b/>
                              </w:rPr>
                              <w:t>NEURAL CORRELATES OF FATIGABILITY IN OLDER ADULTS</w:t>
                            </w:r>
                          </w:p>
                          <w:p w14:paraId="780C49ED" w14:textId="77777777" w:rsidR="009857EA" w:rsidRPr="00C041A2" w:rsidRDefault="009857EA" w:rsidP="00624DA4">
                            <w:pPr>
                              <w:spacing w:line="240" w:lineRule="auto"/>
                              <w:ind w:firstLine="0"/>
                              <w:jc w:val="center"/>
                              <w:rPr>
                                <w:rFonts w:ascii="Calibri" w:hAnsi="Calibri" w:cs="Calibri"/>
                                <w:b/>
                              </w:rPr>
                            </w:pPr>
                            <w:r>
                              <w:rPr>
                                <w:rFonts w:ascii="Calibri" w:hAnsi="Calibri" w:cs="Calibri"/>
                                <w:b/>
                              </w:rPr>
                              <w:t xml:space="preserve"> BY 7T MAGNETIC RESONANCE IMAGING (MRI)</w:t>
                            </w:r>
                          </w:p>
                          <w:p w14:paraId="0ED0421C" w14:textId="77777777" w:rsidR="009857EA" w:rsidRPr="00C041A2" w:rsidRDefault="009857EA" w:rsidP="001A7A87">
                            <w:pPr>
                              <w:spacing w:line="240" w:lineRule="auto"/>
                              <w:ind w:firstLine="0"/>
                              <w:jc w:val="center"/>
                              <w:rPr>
                                <w:rFonts w:ascii="Calibri" w:hAnsi="Calibri" w:cs="Calibri"/>
                                <w:b/>
                              </w:rPr>
                            </w:pPr>
                          </w:p>
                          <w:p w14:paraId="6684E8C9" w14:textId="77777777" w:rsidR="009857EA" w:rsidRPr="00C041A2" w:rsidRDefault="009857EA" w:rsidP="006B1124">
                            <w:pPr>
                              <w:ind w:firstLine="0"/>
                              <w:jc w:val="center"/>
                              <w:rPr>
                                <w:rFonts w:ascii="Calibri" w:hAnsi="Calibri" w:cs="Calibri"/>
                              </w:rPr>
                            </w:pPr>
                            <w:r w:rsidRPr="00C041A2">
                              <w:rPr>
                                <w:rFonts w:ascii="Calibri" w:hAnsi="Calibri" w:cs="Calibri"/>
                              </w:rPr>
                              <w:t>Emily E. Wasson, MPH</w:t>
                            </w:r>
                          </w:p>
                          <w:p w14:paraId="13E36534" w14:textId="77777777" w:rsidR="009857EA" w:rsidRDefault="009857EA" w:rsidP="006B1124">
                            <w:pPr>
                              <w:ind w:firstLine="0"/>
                              <w:jc w:val="center"/>
                            </w:pPr>
                            <w:r w:rsidRPr="00C041A2">
                              <w:rPr>
                                <w:rFonts w:ascii="Calibri" w:hAnsi="Calibri" w:cs="Calibri"/>
                              </w:rPr>
                              <w:t>University of Pittsburgh, 2017</w:t>
                            </w:r>
                            <w:r w:rsidRPr="00C041A2">
                              <w:rPr>
                                <w:rFonts w:ascii="Calibri" w:hAnsi="Calibri" w:cs="Calibri"/>
                              </w:rP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169F" id="Text Box 33" o:spid="_x0000_s1029" type="#_x0000_t202" style="position:absolute;left:0;text-align:left;margin-left:0;margin-top:-17.5pt;width:468pt;height:160.7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" filled="f" stroked="f">
                <v:textbox>
                  <w:txbxContent>
                    <w:p w14:paraId="3E10FC17" w14:textId="5CB6E9C3" w:rsidR="009857EA" w:rsidRPr="00C041A2" w:rsidRDefault="009857EA" w:rsidP="005F1BB6">
                      <w:pPr>
                        <w:ind w:firstLine="0"/>
                        <w:jc w:val="right"/>
                        <w:rPr>
                          <w:rFonts w:ascii="Calibri" w:hAnsi="Calibri" w:cs="Calibri"/>
                        </w:rPr>
                      </w:pPr>
                      <w:r w:rsidRPr="00C041A2">
                        <w:rPr>
                          <w:rFonts w:ascii="Calibri" w:hAnsi="Calibri" w:cs="Calibri"/>
                        </w:rPr>
                        <w:t>Andrea Rosso, Ph</w:t>
                      </w:r>
                      <w:r>
                        <w:rPr>
                          <w:rFonts w:ascii="Calibri" w:hAnsi="Calibri" w:cs="Calibri"/>
                        </w:rPr>
                        <w:t>.</w:t>
                      </w:r>
                      <w:r w:rsidRPr="00C041A2">
                        <w:rPr>
                          <w:rFonts w:ascii="Calibri" w:hAnsi="Calibri" w:cs="Calibri"/>
                        </w:rPr>
                        <w:t>D</w:t>
                      </w:r>
                      <w:r>
                        <w:rPr>
                          <w:rFonts w:ascii="Calibri" w:hAnsi="Calibri" w:cs="Calibri"/>
                        </w:rPr>
                        <w:t>., MPH</w:t>
                      </w:r>
                    </w:p>
                    <w:p w14:paraId="2CA3CB75" w14:textId="77777777" w:rsidR="009857EA" w:rsidRPr="00C041A2" w:rsidRDefault="009857EA" w:rsidP="005F1BB6">
                      <w:pPr>
                        <w:ind w:firstLine="0"/>
                        <w:jc w:val="right"/>
                        <w:rPr>
                          <w:rFonts w:ascii="Calibri" w:hAnsi="Calibri" w:cs="Calibri"/>
                        </w:rPr>
                      </w:pPr>
                    </w:p>
                    <w:p w14:paraId="73F423BF" w14:textId="77777777" w:rsidR="009857EA" w:rsidRDefault="009857EA" w:rsidP="00624DA4">
                      <w:pPr>
                        <w:spacing w:line="240" w:lineRule="auto"/>
                        <w:ind w:firstLine="0"/>
                        <w:jc w:val="center"/>
                        <w:rPr>
                          <w:rFonts w:ascii="Calibri" w:hAnsi="Calibri" w:cs="Calibri"/>
                          <w:b/>
                        </w:rPr>
                      </w:pPr>
                      <w:r>
                        <w:rPr>
                          <w:rFonts w:ascii="Calibri" w:hAnsi="Calibri" w:cs="Calibri"/>
                          <w:b/>
                        </w:rPr>
                        <w:t>NEURAL CORRELATES OF FATIGABILITY IN OLDER ADULTS</w:t>
                      </w:r>
                    </w:p>
                    <w:p w14:paraId="780C49ED" w14:textId="77777777" w:rsidR="009857EA" w:rsidRPr="00C041A2" w:rsidRDefault="009857EA" w:rsidP="00624DA4">
                      <w:pPr>
                        <w:spacing w:line="240" w:lineRule="auto"/>
                        <w:ind w:firstLine="0"/>
                        <w:jc w:val="center"/>
                        <w:rPr>
                          <w:rFonts w:ascii="Calibri" w:hAnsi="Calibri" w:cs="Calibri"/>
                          <w:b/>
                        </w:rPr>
                      </w:pPr>
                      <w:r>
                        <w:rPr>
                          <w:rFonts w:ascii="Calibri" w:hAnsi="Calibri" w:cs="Calibri"/>
                          <w:b/>
                        </w:rPr>
                        <w:t xml:space="preserve"> BY 7T MAGNETIC RESONANCE IMAGING (MRI)</w:t>
                      </w:r>
                    </w:p>
                    <w:p w14:paraId="0ED0421C" w14:textId="77777777" w:rsidR="009857EA" w:rsidRPr="00C041A2" w:rsidRDefault="009857EA" w:rsidP="001A7A87">
                      <w:pPr>
                        <w:spacing w:line="240" w:lineRule="auto"/>
                        <w:ind w:firstLine="0"/>
                        <w:jc w:val="center"/>
                        <w:rPr>
                          <w:rFonts w:ascii="Calibri" w:hAnsi="Calibri" w:cs="Calibri"/>
                          <w:b/>
                        </w:rPr>
                      </w:pPr>
                    </w:p>
                    <w:p w14:paraId="6684E8C9" w14:textId="77777777" w:rsidR="009857EA" w:rsidRPr="00C041A2" w:rsidRDefault="009857EA" w:rsidP="006B1124">
                      <w:pPr>
                        <w:ind w:firstLine="0"/>
                        <w:jc w:val="center"/>
                        <w:rPr>
                          <w:rFonts w:ascii="Calibri" w:hAnsi="Calibri" w:cs="Calibri"/>
                        </w:rPr>
                      </w:pPr>
                      <w:r w:rsidRPr="00C041A2">
                        <w:rPr>
                          <w:rFonts w:ascii="Calibri" w:hAnsi="Calibri" w:cs="Calibri"/>
                        </w:rPr>
                        <w:t>Emily E. Wasson, MPH</w:t>
                      </w:r>
                    </w:p>
                    <w:p w14:paraId="13E36534" w14:textId="77777777" w:rsidR="009857EA" w:rsidRDefault="009857EA" w:rsidP="006B1124">
                      <w:pPr>
                        <w:ind w:firstLine="0"/>
                        <w:jc w:val="center"/>
                      </w:pPr>
                      <w:r w:rsidRPr="00C041A2">
                        <w:rPr>
                          <w:rFonts w:ascii="Calibri" w:hAnsi="Calibri" w:cs="Calibri"/>
                        </w:rPr>
                        <w:t>University of Pittsburgh, 2017</w:t>
                      </w:r>
                      <w:r w:rsidRPr="00C041A2">
                        <w:rPr>
                          <w:rFonts w:ascii="Calibri" w:hAnsi="Calibri" w:cs="Calibri"/>
                        </w:rPr>
                        <w:br w:type="page"/>
                      </w:r>
                    </w:p>
                  </w:txbxContent>
                </v:textbox>
                <w10:wrap type="square" anchory="margin"/>
              </v:shape>
            </w:pict>
          </mc:Fallback>
        </mc:AlternateContent>
      </w:r>
      <w:r w:rsidR="007E22E9" w:rsidRPr="008438F4">
        <w:rPr>
          <w:rFonts w:ascii="Calibri" w:hAnsi="Calibri" w:cs="Calibri"/>
        </w:rPr>
        <w:t>There is increasing evidence to support that fatigability, a term for feelings of fatigue anchored to a defined activity at a fixed intensity and duration, may have neurobiological origins. The identification of brain regions associated with fatigability may illuminate vulnerable structural neuronal networks related to the disablement pathway. This work will examine whether structural brain MRI metrics are associated with physical and mental fatigability in older adults. Cross-sectional data collected at the baseline visit for the Lifestyle Interventions and Independence for Elders Study was used to conduct analyses. The analytic sample included participants with complete data for brain MRI metrics and the Pittsburgh Fatigability Scale. Grey matter volumes (GMV) for a priori identified brain regions of interest</w:t>
      </w:r>
      <w:r w:rsidR="00990685">
        <w:rPr>
          <w:rFonts w:ascii="Calibri" w:hAnsi="Calibri" w:cs="Calibri"/>
        </w:rPr>
        <w:t xml:space="preserve"> based on previous literature were </w:t>
      </w:r>
      <w:r w:rsidR="00F51305">
        <w:rPr>
          <w:rFonts w:ascii="Calibri" w:hAnsi="Calibri" w:cs="Calibri"/>
        </w:rPr>
        <w:t>normalized to</w:t>
      </w:r>
      <w:r w:rsidR="007E22E9" w:rsidRPr="008438F4">
        <w:rPr>
          <w:rFonts w:ascii="Calibri" w:hAnsi="Calibri" w:cs="Calibri"/>
        </w:rPr>
        <w:t xml:space="preserve"> intracranial volume (ICV) and fatigability was dichotomized to higher</w:t>
      </w:r>
      <w:r w:rsidR="006329AB">
        <w:rPr>
          <w:rFonts w:ascii="Calibri" w:hAnsi="Calibri" w:cs="Calibri"/>
        </w:rPr>
        <w:t xml:space="preserve"> </w:t>
      </w:r>
      <w:r w:rsidR="007E22E9" w:rsidRPr="008438F4">
        <w:rPr>
          <w:rFonts w:ascii="Calibri" w:hAnsi="Calibri" w:cs="Calibri"/>
        </w:rPr>
        <w:t>(HF) and lower(LF) physical and mental fatigability status based on established cutpoints. T-tests and non-parametric methods were performed to compare</w:t>
      </w:r>
      <w:r w:rsidR="006329AB">
        <w:rPr>
          <w:rFonts w:ascii="Calibri" w:hAnsi="Calibri" w:cs="Calibri"/>
        </w:rPr>
        <w:t xml:space="preserve"> </w:t>
      </w:r>
      <w:r w:rsidR="007E22E9" w:rsidRPr="008438F4">
        <w:rPr>
          <w:rFonts w:ascii="Calibri" w:hAnsi="Calibri" w:cs="Calibri"/>
        </w:rPr>
        <w:t xml:space="preserve">normalized GMV by higher and lower physical and mental fatigability. An exploratory significance level of p&lt;0.1 was used. The analytic sample (n=29) had a mean (SD) age of 77.2(5.5) years (range=70.3 to 88.3 years), was mostly female (86.2%), 37.9% White and 31.0% had completed greater than a high school education. A majority of participants reported higher fatigability for physical and mental categories (65.5% for each). For the right hippocampus, mean (SD) GMV was lower for those with HF (0.261(0.039)) compared to LF (0.273(0.022)) for physical measures, p=0.07. Similar associations were found for the right putamen (HF: 0.273(0.030), LF: 0.292(0.030), p=0.05) and left (HF: 0.254(0.043), LF: 0.314(0.024), p=0.04) and right thalamus (HF: 0.285(0.032), LF: (0.307(0.023), p=0.08). The associations were similar for mental fatigability for the right hippocampus and thalamus with addition of the right cingulum posterior (HF: 0.260(0.040), LF: 0.276(0.015), p=0.05) and left (HF: 0.075(0.012), LF: 0.080(0.006), p=0.02) and right amygdala (HF: 0.081(0.015), LF: 0.086(0.010), p=0.05). </w:t>
      </w:r>
      <w:r w:rsidR="00053A61" w:rsidRPr="008438F4">
        <w:rPr>
          <w:rFonts w:ascii="Calibri" w:hAnsi="Calibri" w:cs="Calibri"/>
        </w:rPr>
        <w:t>Analyses are</w:t>
      </w:r>
      <w:r w:rsidR="007E22E9" w:rsidRPr="008438F4">
        <w:rPr>
          <w:rFonts w:ascii="Calibri" w:hAnsi="Calibri" w:cs="Calibri"/>
        </w:rPr>
        <w:t xml:space="preserve"> suggestive of neural correlates of physical and mental fatigability in older adults. These findings are significant to public health, because they will advance neuroepidemiologic knowledge about the role of the brain and fatigability in the disablement pathway.</w:t>
      </w:r>
    </w:p>
    <w:p w14:paraId="604A5C10" w14:textId="77777777" w:rsidR="00AA2C6A" w:rsidRPr="008438F4" w:rsidRDefault="00AA2C6A" w:rsidP="00050A6A">
      <w:pPr>
        <w:rPr>
          <w:rFonts w:ascii="Calibri" w:hAnsi="Calibri" w:cs="Calibri"/>
        </w:rPr>
      </w:pPr>
    </w:p>
    <w:p w14:paraId="1FBAC91A" w14:textId="77777777" w:rsidR="00AA2C6A" w:rsidRPr="008438F4" w:rsidRDefault="00AA2C6A" w:rsidP="00050A6A">
      <w:pPr>
        <w:rPr>
          <w:rFonts w:ascii="Calibri" w:hAnsi="Calibri" w:cs="Calibri"/>
        </w:rPr>
      </w:pPr>
    </w:p>
    <w:p w14:paraId="5BC1A483" w14:textId="77777777" w:rsidR="008A110F" w:rsidRPr="008438F4" w:rsidRDefault="008A110F" w:rsidP="00656EE6">
      <w:pPr>
        <w:pStyle w:val="Preliminary"/>
        <w:rPr>
          <w:rFonts w:ascii="Calibri" w:hAnsi="Calibri" w:cs="Calibri"/>
        </w:rPr>
      </w:pPr>
      <w:bookmarkStart w:id="1" w:name="_Toc106717784"/>
      <w:r w:rsidRPr="008438F4">
        <w:rPr>
          <w:rFonts w:ascii="Calibri" w:hAnsi="Calibri" w:cs="Calibri"/>
        </w:rPr>
        <w:t>TABLE OF CONTENTS</w:t>
      </w:r>
      <w:bookmarkEnd w:id="1"/>
    </w:p>
    <w:p w14:paraId="41297C83" w14:textId="0A7F6952" w:rsidR="00A2704C" w:rsidRPr="00050A6A" w:rsidRDefault="00367476">
      <w:pPr>
        <w:pStyle w:val="TOC1"/>
        <w:tabs>
          <w:tab w:val="right" w:leader="dot" w:pos="9350"/>
        </w:tabs>
        <w:rPr>
          <w:rFonts w:asciiTheme="majorHAnsi" w:eastAsiaTheme="minorEastAsia" w:hAnsiTheme="majorHAnsi" w:cstheme="majorHAnsi"/>
          <w:b w:val="0"/>
          <w:caps w:val="0"/>
          <w:noProof/>
          <w:sz w:val="22"/>
          <w:szCs w:val="22"/>
        </w:rPr>
      </w:pPr>
      <w:r w:rsidRPr="008438F4">
        <w:rPr>
          <w:rFonts w:ascii="Calibri" w:hAnsi="Calibri" w:cs="Calibri"/>
        </w:rPr>
        <w:fldChar w:fldCharType="begin"/>
      </w:r>
      <w:r w:rsidRPr="008438F4">
        <w:rPr>
          <w:rFonts w:ascii="Calibri" w:hAnsi="Calibri" w:cs="Calibri"/>
        </w:rPr>
        <w:instrText xml:space="preserve"> TOC \o "2-4" \h \z \t "Heading 1,1,Appendix,1,Heading,1" </w:instrText>
      </w:r>
      <w:r w:rsidRPr="008438F4">
        <w:rPr>
          <w:rFonts w:ascii="Calibri" w:hAnsi="Calibri" w:cs="Calibri"/>
        </w:rPr>
        <w:fldChar w:fldCharType="separate"/>
      </w:r>
      <w:hyperlink w:anchor="_Toc499840769" w:history="1">
        <w:r w:rsidR="00A2704C" w:rsidRPr="00050A6A">
          <w:rPr>
            <w:rStyle w:val="Hyperlink"/>
            <w:rFonts w:asciiTheme="majorHAnsi" w:hAnsiTheme="majorHAnsi" w:cstheme="majorHAnsi"/>
            <w:noProof/>
          </w:rPr>
          <w:t>preface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_Toc499840769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xi</w:t>
        </w:r>
        <w:r w:rsidR="00A2704C" w:rsidRPr="00050A6A">
          <w:rPr>
            <w:rFonts w:asciiTheme="majorHAnsi" w:hAnsiTheme="majorHAnsi" w:cstheme="majorHAnsi"/>
            <w:noProof/>
            <w:webHidden/>
          </w:rPr>
          <w:fldChar w:fldCharType="end"/>
        </w:r>
      </w:hyperlink>
    </w:p>
    <w:p w14:paraId="6F9A8747" w14:textId="65A91B77"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70" w:history="1">
        <w:r w:rsidR="00A2704C" w:rsidRPr="00050A6A">
          <w:rPr>
            <w:rStyle w:val="Hyperlink"/>
            <w:rFonts w:asciiTheme="majorHAnsi" w:hAnsiTheme="majorHAnsi" w:cstheme="majorHAnsi"/>
            <w:noProof/>
          </w:rPr>
          <w:t>1.1</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FATIGUE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_Toc499840770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w:t>
        </w:r>
        <w:r w:rsidR="00A2704C" w:rsidRPr="00050A6A">
          <w:rPr>
            <w:rFonts w:asciiTheme="majorHAnsi" w:hAnsiTheme="majorHAnsi" w:cstheme="majorHAnsi"/>
            <w:noProof/>
            <w:webHidden/>
          </w:rPr>
          <w:fldChar w:fldCharType="end"/>
        </w:r>
      </w:hyperlink>
    </w:p>
    <w:p w14:paraId="164498E5" w14:textId="3210BDFD"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1" w:history="1">
        <w:r w:rsidR="00A2704C" w:rsidRPr="00050A6A">
          <w:rPr>
            <w:rStyle w:val="Hyperlink"/>
            <w:rFonts w:asciiTheme="majorHAnsi" w:hAnsiTheme="majorHAnsi" w:cstheme="majorHAnsi"/>
            <w:noProof/>
          </w:rPr>
          <w:t>1.1.1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Overview</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_Toc499840771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w:t>
        </w:r>
        <w:r w:rsidR="00A2704C" w:rsidRPr="00050A6A">
          <w:rPr>
            <w:rFonts w:asciiTheme="majorHAnsi" w:hAnsiTheme="majorHAnsi" w:cstheme="majorHAnsi"/>
            <w:noProof/>
            <w:webHidden/>
          </w:rPr>
          <w:fldChar w:fldCharType="end"/>
        </w:r>
      </w:hyperlink>
    </w:p>
    <w:p w14:paraId="60AA4475" w14:textId="54A7D16A"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2" w:history="1">
        <w:r w:rsidR="00A2704C" w:rsidRPr="00050A6A">
          <w:rPr>
            <w:rStyle w:val="Hyperlink"/>
            <w:rFonts w:asciiTheme="majorHAnsi" w:hAnsiTheme="majorHAnsi" w:cstheme="majorHAnsi"/>
            <w:noProof/>
          </w:rPr>
          <w:t>1.1.2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Risk Factors for Fatigue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_Toc499840772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3</w:t>
        </w:r>
        <w:r w:rsidR="00A2704C" w:rsidRPr="00050A6A">
          <w:rPr>
            <w:rFonts w:asciiTheme="majorHAnsi" w:hAnsiTheme="majorHAnsi" w:cstheme="majorHAnsi"/>
            <w:noProof/>
            <w:webHidden/>
          </w:rPr>
          <w:fldChar w:fldCharType="end"/>
        </w:r>
      </w:hyperlink>
    </w:p>
    <w:p w14:paraId="7F113057" w14:textId="1D8154B1"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3" w:history="1">
        <w:r w:rsidR="00A2704C" w:rsidRPr="00050A6A">
          <w:rPr>
            <w:rStyle w:val="Hyperlink"/>
            <w:rFonts w:asciiTheme="majorHAnsi" w:hAnsiTheme="majorHAnsi" w:cstheme="majorHAnsi"/>
            <w:noProof/>
          </w:rPr>
          <w:t>1.1.3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Fatigue and Aging</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_Toc499840773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5</w:t>
        </w:r>
        <w:r w:rsidR="00A2704C" w:rsidRPr="00050A6A">
          <w:rPr>
            <w:rFonts w:asciiTheme="majorHAnsi" w:hAnsiTheme="majorHAnsi" w:cstheme="majorHAnsi"/>
            <w:noProof/>
            <w:webHidden/>
          </w:rPr>
          <w:fldChar w:fldCharType="end"/>
        </w:r>
      </w:hyperlink>
    </w:p>
    <w:p w14:paraId="517872C4" w14:textId="3397AFC5"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74" w:history="1">
        <w:r w:rsidR="00A2704C" w:rsidRPr="00050A6A">
          <w:rPr>
            <w:rStyle w:val="Hyperlink"/>
            <w:rFonts w:asciiTheme="majorHAnsi" w:hAnsiTheme="majorHAnsi" w:cstheme="majorHAnsi"/>
            <w:noProof/>
          </w:rPr>
          <w:t>1.2</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FATIGABILITY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_Toc499840774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6</w:t>
        </w:r>
        <w:r w:rsidR="00A2704C" w:rsidRPr="00050A6A">
          <w:rPr>
            <w:rFonts w:asciiTheme="majorHAnsi" w:hAnsiTheme="majorHAnsi" w:cstheme="majorHAnsi"/>
            <w:noProof/>
            <w:webHidden/>
          </w:rPr>
          <w:fldChar w:fldCharType="end"/>
        </w:r>
      </w:hyperlink>
    </w:p>
    <w:p w14:paraId="14D7981B" w14:textId="43F20CAD"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5" w:history="1">
        <w:r w:rsidR="00A2704C" w:rsidRPr="00050A6A">
          <w:rPr>
            <w:rStyle w:val="Hyperlink"/>
            <w:rFonts w:asciiTheme="majorHAnsi" w:hAnsiTheme="majorHAnsi" w:cstheme="majorHAnsi"/>
            <w:noProof/>
          </w:rPr>
          <w:t>1.2.1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Overview</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_Toc499840775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6</w:t>
        </w:r>
        <w:r w:rsidR="00A2704C" w:rsidRPr="00050A6A">
          <w:rPr>
            <w:rFonts w:asciiTheme="majorHAnsi" w:hAnsiTheme="majorHAnsi" w:cstheme="majorHAnsi"/>
            <w:noProof/>
            <w:webHidden/>
          </w:rPr>
          <w:fldChar w:fldCharType="end"/>
        </w:r>
      </w:hyperlink>
    </w:p>
    <w:p w14:paraId="2DF3018D" w14:textId="6FE5E8CA"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6" w:history="1">
        <w:r w:rsidR="00A2704C" w:rsidRPr="00050A6A">
          <w:rPr>
            <w:rStyle w:val="Hyperlink"/>
            <w:rFonts w:asciiTheme="majorHAnsi" w:hAnsiTheme="majorHAnsi" w:cstheme="majorHAnsi"/>
            <w:noProof/>
          </w:rPr>
          <w:t>1.2.2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Subjective vs. Objective Fatigability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_Toc499840776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6</w:t>
        </w:r>
        <w:r w:rsidR="00A2704C" w:rsidRPr="00050A6A">
          <w:rPr>
            <w:rFonts w:asciiTheme="majorHAnsi" w:hAnsiTheme="majorHAnsi" w:cstheme="majorHAnsi"/>
            <w:noProof/>
            <w:webHidden/>
          </w:rPr>
          <w:fldChar w:fldCharType="end"/>
        </w:r>
      </w:hyperlink>
    </w:p>
    <w:p w14:paraId="5E8F4B79" w14:textId="12A3EF25"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7" w:history="1">
        <w:r w:rsidR="00A2704C" w:rsidRPr="00050A6A">
          <w:rPr>
            <w:rStyle w:val="Hyperlink"/>
            <w:rFonts w:asciiTheme="majorHAnsi" w:hAnsiTheme="majorHAnsi" w:cstheme="majorHAnsi"/>
            <w:noProof/>
          </w:rPr>
          <w:t>1.2.3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Physical vs. Mental Fatigability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_Toc499840777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7</w:t>
        </w:r>
        <w:r w:rsidR="00A2704C" w:rsidRPr="00050A6A">
          <w:rPr>
            <w:rFonts w:asciiTheme="majorHAnsi" w:hAnsiTheme="majorHAnsi" w:cstheme="majorHAnsi"/>
            <w:noProof/>
            <w:webHidden/>
          </w:rPr>
          <w:fldChar w:fldCharType="end"/>
        </w:r>
      </w:hyperlink>
    </w:p>
    <w:p w14:paraId="3A4F4536" w14:textId="12E7087A"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78" w:history="1">
        <w:r w:rsidR="00A2704C" w:rsidRPr="00050A6A">
          <w:rPr>
            <w:rStyle w:val="Hyperlink"/>
            <w:rFonts w:asciiTheme="majorHAnsi" w:hAnsiTheme="majorHAnsi" w:cstheme="majorHAnsi"/>
            <w:noProof/>
          </w:rPr>
          <w:t>1.3</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FATIGABILITY VS. FATIGUE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_Toc499840778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8</w:t>
        </w:r>
        <w:r w:rsidR="00A2704C" w:rsidRPr="00050A6A">
          <w:rPr>
            <w:rFonts w:asciiTheme="majorHAnsi" w:hAnsiTheme="majorHAnsi" w:cstheme="majorHAnsi"/>
            <w:noProof/>
            <w:webHidden/>
          </w:rPr>
          <w:fldChar w:fldCharType="end"/>
        </w:r>
      </w:hyperlink>
    </w:p>
    <w:p w14:paraId="0E1F03CF" w14:textId="6A410E79"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79" w:history="1">
        <w:r w:rsidR="00A2704C" w:rsidRPr="00050A6A">
          <w:rPr>
            <w:rStyle w:val="Hyperlink"/>
            <w:rFonts w:asciiTheme="majorHAnsi" w:hAnsiTheme="majorHAnsi" w:cstheme="majorHAnsi"/>
            <w:noProof/>
          </w:rPr>
          <w:t>1.3.1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Measures of Fatigue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_Toc499840779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8</w:t>
        </w:r>
        <w:r w:rsidR="00A2704C" w:rsidRPr="00050A6A">
          <w:rPr>
            <w:rFonts w:asciiTheme="majorHAnsi" w:hAnsiTheme="majorHAnsi" w:cstheme="majorHAnsi"/>
            <w:noProof/>
            <w:webHidden/>
          </w:rPr>
          <w:fldChar w:fldCharType="end"/>
        </w:r>
      </w:hyperlink>
    </w:p>
    <w:p w14:paraId="56E1D1D9" w14:textId="012D711F"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0" w:history="1">
        <w:r w:rsidR="00A2704C" w:rsidRPr="00050A6A">
          <w:rPr>
            <w:rStyle w:val="Hyperlink"/>
            <w:rFonts w:asciiTheme="majorHAnsi" w:hAnsiTheme="majorHAnsi" w:cstheme="majorHAnsi"/>
            <w:noProof/>
          </w:rPr>
          <w:t>1.3.2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 xml:space="preserve">Measures of Fatigability </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_Toc499840780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9</w:t>
        </w:r>
        <w:r w:rsidR="00A2704C" w:rsidRPr="00050A6A">
          <w:rPr>
            <w:rFonts w:asciiTheme="majorHAnsi" w:hAnsiTheme="majorHAnsi" w:cstheme="majorHAnsi"/>
            <w:noProof/>
            <w:webHidden/>
          </w:rPr>
          <w:fldChar w:fldCharType="end"/>
        </w:r>
      </w:hyperlink>
    </w:p>
    <w:p w14:paraId="303C4DC5" w14:textId="15B14AE4"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1" w:history="1">
        <w:r w:rsidR="00A2704C" w:rsidRPr="00050A6A">
          <w:rPr>
            <w:rStyle w:val="Hyperlink"/>
            <w:rFonts w:asciiTheme="majorHAnsi" w:hAnsiTheme="majorHAnsi" w:cstheme="majorHAnsi"/>
            <w:noProof/>
          </w:rPr>
          <w:t>1.3.3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Justification</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_Toc499840781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11</w:t>
        </w:r>
        <w:r w:rsidR="00A2704C" w:rsidRPr="00050A6A">
          <w:rPr>
            <w:rFonts w:asciiTheme="majorHAnsi" w:hAnsiTheme="majorHAnsi" w:cstheme="majorHAnsi"/>
            <w:noProof/>
            <w:webHidden/>
          </w:rPr>
          <w:fldChar w:fldCharType="end"/>
        </w:r>
      </w:hyperlink>
    </w:p>
    <w:p w14:paraId="1480538A" w14:textId="6EB9F18E"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82" w:history="1">
        <w:r w:rsidR="00A2704C" w:rsidRPr="00050A6A">
          <w:rPr>
            <w:rStyle w:val="Hyperlink"/>
            <w:rFonts w:asciiTheme="majorHAnsi" w:hAnsiTheme="majorHAnsi" w:cstheme="majorHAnsi"/>
            <w:noProof/>
          </w:rPr>
          <w:t>1.4</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PATHOPHYSIOLOGY OF FATIGABILITY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_Toc499840782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12</w:t>
        </w:r>
        <w:r w:rsidR="00A2704C" w:rsidRPr="00050A6A">
          <w:rPr>
            <w:rFonts w:asciiTheme="majorHAnsi" w:hAnsiTheme="majorHAnsi" w:cstheme="majorHAnsi"/>
            <w:noProof/>
            <w:webHidden/>
          </w:rPr>
          <w:fldChar w:fldCharType="end"/>
        </w:r>
      </w:hyperlink>
    </w:p>
    <w:p w14:paraId="1A1187DD" w14:textId="6E6CF3AD"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3" w:history="1">
        <w:r w:rsidR="00A2704C" w:rsidRPr="00050A6A">
          <w:rPr>
            <w:rStyle w:val="Hyperlink"/>
            <w:rFonts w:asciiTheme="majorHAnsi" w:hAnsiTheme="majorHAnsi" w:cstheme="majorHAnsi"/>
            <w:noProof/>
          </w:rPr>
          <w:t>1.4.1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Motivation Theory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_Toc499840783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13</w:t>
        </w:r>
        <w:r w:rsidR="00A2704C" w:rsidRPr="00050A6A">
          <w:rPr>
            <w:rFonts w:asciiTheme="majorHAnsi" w:hAnsiTheme="majorHAnsi" w:cstheme="majorHAnsi"/>
            <w:noProof/>
            <w:webHidden/>
          </w:rPr>
          <w:fldChar w:fldCharType="end"/>
        </w:r>
      </w:hyperlink>
    </w:p>
    <w:p w14:paraId="2D95DBA3" w14:textId="0FCD714C"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4" w:history="1">
        <w:r w:rsidR="00A2704C" w:rsidRPr="00050A6A">
          <w:rPr>
            <w:rStyle w:val="Hyperlink"/>
            <w:rFonts w:asciiTheme="majorHAnsi" w:hAnsiTheme="majorHAnsi" w:cstheme="majorHAnsi"/>
            <w:noProof/>
          </w:rPr>
          <w:t>1.4.2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Energy Theory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_Toc499840784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13</w:t>
        </w:r>
        <w:r w:rsidR="00A2704C" w:rsidRPr="00050A6A">
          <w:rPr>
            <w:rFonts w:asciiTheme="majorHAnsi" w:hAnsiTheme="majorHAnsi" w:cstheme="majorHAnsi"/>
            <w:noProof/>
            <w:webHidden/>
          </w:rPr>
          <w:fldChar w:fldCharType="end"/>
        </w:r>
      </w:hyperlink>
    </w:p>
    <w:p w14:paraId="6917D873" w14:textId="0472068E"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5" w:history="1">
        <w:r w:rsidR="00A2704C" w:rsidRPr="00050A6A">
          <w:rPr>
            <w:rStyle w:val="Hyperlink"/>
            <w:rFonts w:asciiTheme="majorHAnsi" w:hAnsiTheme="majorHAnsi" w:cstheme="majorHAnsi"/>
            <w:noProof/>
          </w:rPr>
          <w:t>1.4.3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Immune Activation Theory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_Toc499840785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14</w:t>
        </w:r>
        <w:r w:rsidR="00A2704C" w:rsidRPr="00050A6A">
          <w:rPr>
            <w:rFonts w:asciiTheme="majorHAnsi" w:hAnsiTheme="majorHAnsi" w:cstheme="majorHAnsi"/>
            <w:noProof/>
            <w:webHidden/>
          </w:rPr>
          <w:fldChar w:fldCharType="end"/>
        </w:r>
      </w:hyperlink>
    </w:p>
    <w:p w14:paraId="52D7A49E" w14:textId="5DA7C56E"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6" w:history="1">
        <w:r w:rsidR="00A2704C" w:rsidRPr="00050A6A">
          <w:rPr>
            <w:rStyle w:val="Hyperlink"/>
            <w:rFonts w:asciiTheme="majorHAnsi" w:hAnsiTheme="majorHAnsi" w:cstheme="majorHAnsi"/>
            <w:noProof/>
          </w:rPr>
          <w:t>1.4.4</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Pharmacologic Agent Theory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_Toc499840786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14</w:t>
        </w:r>
        <w:r w:rsidR="00A2704C" w:rsidRPr="00050A6A">
          <w:rPr>
            <w:rFonts w:asciiTheme="majorHAnsi" w:hAnsiTheme="majorHAnsi" w:cstheme="majorHAnsi"/>
            <w:noProof/>
            <w:webHidden/>
          </w:rPr>
          <w:fldChar w:fldCharType="end"/>
        </w:r>
      </w:hyperlink>
    </w:p>
    <w:p w14:paraId="35D3305E" w14:textId="31BE46B6"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7" w:history="1">
        <w:r w:rsidR="00A2704C" w:rsidRPr="00050A6A">
          <w:rPr>
            <w:rStyle w:val="Hyperlink"/>
            <w:rFonts w:asciiTheme="majorHAnsi" w:hAnsiTheme="majorHAnsi" w:cstheme="majorHAnsi"/>
            <w:noProof/>
          </w:rPr>
          <w:t>1.4.5</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Environment vs. Genetic Theory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_Toc499840787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15</w:t>
        </w:r>
        <w:r w:rsidR="00A2704C" w:rsidRPr="00050A6A">
          <w:rPr>
            <w:rFonts w:asciiTheme="majorHAnsi" w:hAnsiTheme="majorHAnsi" w:cstheme="majorHAnsi"/>
            <w:noProof/>
            <w:webHidden/>
          </w:rPr>
          <w:fldChar w:fldCharType="end"/>
        </w:r>
      </w:hyperlink>
    </w:p>
    <w:p w14:paraId="01F3605E" w14:textId="05ADCFA1"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88" w:history="1">
        <w:r w:rsidR="00A2704C" w:rsidRPr="00050A6A">
          <w:rPr>
            <w:rStyle w:val="Hyperlink"/>
            <w:rFonts w:asciiTheme="majorHAnsi" w:hAnsiTheme="majorHAnsi" w:cstheme="majorHAnsi"/>
            <w:noProof/>
          </w:rPr>
          <w:t>1.5</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BRAIN AND AGING</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_Toc499840788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15</w:t>
        </w:r>
        <w:r w:rsidR="00A2704C" w:rsidRPr="00050A6A">
          <w:rPr>
            <w:rFonts w:asciiTheme="majorHAnsi" w:hAnsiTheme="majorHAnsi" w:cstheme="majorHAnsi"/>
            <w:noProof/>
            <w:webHidden/>
          </w:rPr>
          <w:fldChar w:fldCharType="end"/>
        </w:r>
      </w:hyperlink>
    </w:p>
    <w:p w14:paraId="70C49DEF" w14:textId="49A9784E"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89" w:history="1">
        <w:r w:rsidR="00A2704C" w:rsidRPr="00050A6A">
          <w:rPr>
            <w:rStyle w:val="Hyperlink"/>
            <w:rFonts w:asciiTheme="majorHAnsi" w:hAnsiTheme="majorHAnsi" w:cstheme="majorHAnsi"/>
            <w:noProof/>
          </w:rPr>
          <w:t>1.5.1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NEUROEPIDEMIOLOGY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_Toc499840789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16</w:t>
        </w:r>
        <w:r w:rsidR="00A2704C" w:rsidRPr="00050A6A">
          <w:rPr>
            <w:rFonts w:asciiTheme="majorHAnsi" w:hAnsiTheme="majorHAnsi" w:cstheme="majorHAnsi"/>
            <w:noProof/>
            <w:webHidden/>
          </w:rPr>
          <w:fldChar w:fldCharType="end"/>
        </w:r>
      </w:hyperlink>
    </w:p>
    <w:p w14:paraId="41EBC4F9" w14:textId="13D4701B" w:rsidR="00A2704C" w:rsidRPr="00050A6A" w:rsidRDefault="009543C2">
      <w:pPr>
        <w:pStyle w:val="TOC4"/>
        <w:tabs>
          <w:tab w:val="left" w:pos="2392"/>
          <w:tab w:val="right" w:leader="dot" w:pos="9350"/>
        </w:tabs>
        <w:rPr>
          <w:rFonts w:asciiTheme="majorHAnsi" w:eastAsiaTheme="minorEastAsia" w:hAnsiTheme="majorHAnsi" w:cstheme="majorHAnsi"/>
          <w:b w:val="0"/>
          <w:noProof/>
          <w:sz w:val="22"/>
          <w:szCs w:val="22"/>
        </w:rPr>
      </w:pPr>
      <w:hyperlink w:anchor="_Toc499840790" w:history="1">
        <w:r w:rsidR="00A2704C" w:rsidRPr="00050A6A">
          <w:rPr>
            <w:rStyle w:val="Hyperlink"/>
            <w:rFonts w:asciiTheme="majorHAnsi" w:hAnsiTheme="majorHAnsi" w:cstheme="majorHAnsi"/>
            <w:noProof/>
          </w:rPr>
          <w:t>1.5.1.1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Population Neuroscience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_Toc499840790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16</w:t>
        </w:r>
        <w:r w:rsidR="00A2704C" w:rsidRPr="00050A6A">
          <w:rPr>
            <w:rFonts w:asciiTheme="majorHAnsi" w:hAnsiTheme="majorHAnsi" w:cstheme="majorHAnsi"/>
            <w:noProof/>
            <w:webHidden/>
          </w:rPr>
          <w:fldChar w:fldCharType="end"/>
        </w:r>
      </w:hyperlink>
    </w:p>
    <w:p w14:paraId="0CF06B7D" w14:textId="2048159C"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791" w:history="1">
        <w:r w:rsidR="00A2704C" w:rsidRPr="00050A6A">
          <w:rPr>
            <w:rStyle w:val="Hyperlink"/>
            <w:rFonts w:asciiTheme="majorHAnsi" w:hAnsiTheme="majorHAnsi" w:cstheme="majorHAnsi"/>
            <w:noProof/>
          </w:rPr>
          <w:t>1.5.1.2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Magnetic Resonance Imaging (MRI)</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_Toc499840791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17</w:t>
        </w:r>
        <w:r w:rsidR="00A2704C" w:rsidRPr="00050A6A">
          <w:rPr>
            <w:rFonts w:asciiTheme="majorHAnsi" w:hAnsiTheme="majorHAnsi" w:cstheme="majorHAnsi"/>
            <w:noProof/>
            <w:webHidden/>
          </w:rPr>
          <w:fldChar w:fldCharType="end"/>
        </w:r>
      </w:hyperlink>
    </w:p>
    <w:p w14:paraId="7E584484" w14:textId="46BD79B5"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792" w:history="1">
        <w:r w:rsidR="00A2704C" w:rsidRPr="00050A6A">
          <w:rPr>
            <w:rStyle w:val="Hyperlink"/>
            <w:rFonts w:asciiTheme="majorHAnsi" w:hAnsiTheme="majorHAnsi" w:cstheme="majorHAnsi"/>
            <w:noProof/>
          </w:rPr>
          <w:t>1.5.1.3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Grey Matter</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_Toc499840792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17</w:t>
        </w:r>
        <w:r w:rsidR="00A2704C" w:rsidRPr="00050A6A">
          <w:rPr>
            <w:rFonts w:asciiTheme="majorHAnsi" w:hAnsiTheme="majorHAnsi" w:cstheme="majorHAnsi"/>
            <w:noProof/>
            <w:webHidden/>
          </w:rPr>
          <w:fldChar w:fldCharType="end"/>
        </w:r>
      </w:hyperlink>
    </w:p>
    <w:p w14:paraId="1B497F4E" w14:textId="69B7D93C"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793" w:history="1">
        <w:r w:rsidR="00A2704C" w:rsidRPr="00050A6A">
          <w:rPr>
            <w:rStyle w:val="Hyperlink"/>
            <w:rFonts w:asciiTheme="majorHAnsi" w:hAnsiTheme="majorHAnsi" w:cstheme="majorHAnsi"/>
            <w:noProof/>
          </w:rPr>
          <w:t>1.5.1.4</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White Matter</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_Toc499840793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18</w:t>
        </w:r>
        <w:r w:rsidR="00A2704C" w:rsidRPr="00050A6A">
          <w:rPr>
            <w:rFonts w:asciiTheme="majorHAnsi" w:hAnsiTheme="majorHAnsi" w:cstheme="majorHAnsi"/>
            <w:noProof/>
            <w:webHidden/>
          </w:rPr>
          <w:fldChar w:fldCharType="end"/>
        </w:r>
      </w:hyperlink>
    </w:p>
    <w:p w14:paraId="6DA596D8" w14:textId="620F8CDA"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94" w:history="1">
        <w:r w:rsidR="00A2704C" w:rsidRPr="00050A6A">
          <w:rPr>
            <w:rStyle w:val="Hyperlink"/>
            <w:rFonts w:asciiTheme="majorHAnsi" w:hAnsiTheme="majorHAnsi" w:cstheme="majorHAnsi"/>
            <w:noProof/>
          </w:rPr>
          <w:t>1.6</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PREVIOUS RESEARCH</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_Toc499840794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18</w:t>
        </w:r>
        <w:r w:rsidR="00A2704C" w:rsidRPr="00050A6A">
          <w:rPr>
            <w:rFonts w:asciiTheme="majorHAnsi" w:hAnsiTheme="majorHAnsi" w:cstheme="majorHAnsi"/>
            <w:noProof/>
            <w:webHidden/>
          </w:rPr>
          <w:fldChar w:fldCharType="end"/>
        </w:r>
      </w:hyperlink>
    </w:p>
    <w:p w14:paraId="0498CF90" w14:textId="6CCA7DD2"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795" w:history="1">
        <w:r w:rsidR="00A2704C" w:rsidRPr="00050A6A">
          <w:rPr>
            <w:rStyle w:val="Hyperlink"/>
            <w:rFonts w:asciiTheme="majorHAnsi" w:hAnsiTheme="majorHAnsi" w:cstheme="majorHAnsi"/>
            <w:noProof/>
          </w:rPr>
          <w:t>1.6.1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Gap in Knowledge</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_Toc499840795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21</w:t>
        </w:r>
        <w:r w:rsidR="00A2704C" w:rsidRPr="00050A6A">
          <w:rPr>
            <w:rFonts w:asciiTheme="majorHAnsi" w:hAnsiTheme="majorHAnsi" w:cstheme="majorHAnsi"/>
            <w:noProof/>
            <w:webHidden/>
          </w:rPr>
          <w:fldChar w:fldCharType="end"/>
        </w:r>
      </w:hyperlink>
    </w:p>
    <w:p w14:paraId="755F7AC9" w14:textId="24157D20"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96" w:history="1">
        <w:r w:rsidR="00A2704C" w:rsidRPr="00050A6A">
          <w:rPr>
            <w:rStyle w:val="Hyperlink"/>
            <w:rFonts w:asciiTheme="majorHAnsi" w:hAnsiTheme="majorHAnsi" w:cstheme="majorHAnsi"/>
            <w:noProof/>
          </w:rPr>
          <w:t>1.7</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PUBLIC HEALTH IMPLICATIONS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_Toc499840796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22</w:t>
        </w:r>
        <w:r w:rsidR="00A2704C" w:rsidRPr="00050A6A">
          <w:rPr>
            <w:rFonts w:asciiTheme="majorHAnsi" w:hAnsiTheme="majorHAnsi" w:cstheme="majorHAnsi"/>
            <w:noProof/>
            <w:webHidden/>
          </w:rPr>
          <w:fldChar w:fldCharType="end"/>
        </w:r>
      </w:hyperlink>
    </w:p>
    <w:p w14:paraId="6AF6690D" w14:textId="68888DE2" w:rsidR="00A2704C" w:rsidRPr="00050A6A" w:rsidRDefault="009543C2">
      <w:pPr>
        <w:pStyle w:val="TOC1"/>
        <w:tabs>
          <w:tab w:val="left" w:pos="1008"/>
          <w:tab w:val="right" w:leader="dot" w:pos="9350"/>
        </w:tabs>
        <w:rPr>
          <w:rFonts w:asciiTheme="majorHAnsi" w:eastAsiaTheme="minorEastAsia" w:hAnsiTheme="majorHAnsi" w:cstheme="majorHAnsi"/>
          <w:b w:val="0"/>
          <w:caps w:val="0"/>
          <w:noProof/>
          <w:sz w:val="22"/>
          <w:szCs w:val="22"/>
        </w:rPr>
      </w:pPr>
      <w:hyperlink w:anchor="_Toc499840797" w:history="1">
        <w:r w:rsidR="00A2704C" w:rsidRPr="00050A6A">
          <w:rPr>
            <w:rStyle w:val="Hyperlink"/>
            <w:rFonts w:asciiTheme="majorHAnsi" w:hAnsiTheme="majorHAnsi" w:cstheme="majorHAnsi"/>
            <w:noProof/>
          </w:rPr>
          <w:t>2.0</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OBJECTIVES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_Toc499840797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24</w:t>
        </w:r>
        <w:r w:rsidR="00A2704C" w:rsidRPr="00050A6A">
          <w:rPr>
            <w:rFonts w:asciiTheme="majorHAnsi" w:hAnsiTheme="majorHAnsi" w:cstheme="majorHAnsi"/>
            <w:noProof/>
            <w:webHidden/>
          </w:rPr>
          <w:fldChar w:fldCharType="end"/>
        </w:r>
      </w:hyperlink>
    </w:p>
    <w:p w14:paraId="0A29177B" w14:textId="70DBD0EB" w:rsidR="00A2704C" w:rsidRPr="00050A6A" w:rsidRDefault="009543C2">
      <w:pPr>
        <w:pStyle w:val="TOC1"/>
        <w:tabs>
          <w:tab w:val="left" w:pos="1008"/>
          <w:tab w:val="right" w:leader="dot" w:pos="9350"/>
        </w:tabs>
        <w:rPr>
          <w:rFonts w:asciiTheme="majorHAnsi" w:eastAsiaTheme="minorEastAsia" w:hAnsiTheme="majorHAnsi" w:cstheme="majorHAnsi"/>
          <w:b w:val="0"/>
          <w:caps w:val="0"/>
          <w:noProof/>
          <w:sz w:val="22"/>
          <w:szCs w:val="22"/>
        </w:rPr>
      </w:pPr>
      <w:hyperlink w:anchor="_Toc499840798" w:history="1">
        <w:r w:rsidR="00A2704C" w:rsidRPr="00050A6A">
          <w:rPr>
            <w:rStyle w:val="Hyperlink"/>
            <w:rFonts w:asciiTheme="majorHAnsi" w:hAnsiTheme="majorHAnsi" w:cstheme="majorHAnsi"/>
            <w:noProof/>
          </w:rPr>
          <w:t>3.0</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Methods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_Toc499840798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25</w:t>
        </w:r>
        <w:r w:rsidR="00A2704C" w:rsidRPr="00050A6A">
          <w:rPr>
            <w:rFonts w:asciiTheme="majorHAnsi" w:hAnsiTheme="majorHAnsi" w:cstheme="majorHAnsi"/>
            <w:noProof/>
            <w:webHidden/>
          </w:rPr>
          <w:fldChar w:fldCharType="end"/>
        </w:r>
      </w:hyperlink>
    </w:p>
    <w:p w14:paraId="6576719E" w14:textId="04A5224D"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799" w:history="1">
        <w:r w:rsidR="00A2704C" w:rsidRPr="00050A6A">
          <w:rPr>
            <w:rStyle w:val="Hyperlink"/>
            <w:rFonts w:asciiTheme="majorHAnsi" w:hAnsiTheme="majorHAnsi" w:cstheme="majorHAnsi"/>
            <w:noProof/>
          </w:rPr>
          <w:t>3.1</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Ethics Statement</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_Toc499840799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25</w:t>
        </w:r>
        <w:r w:rsidR="00A2704C" w:rsidRPr="00050A6A">
          <w:rPr>
            <w:rFonts w:asciiTheme="majorHAnsi" w:hAnsiTheme="majorHAnsi" w:cstheme="majorHAnsi"/>
            <w:noProof/>
            <w:webHidden/>
          </w:rPr>
          <w:fldChar w:fldCharType="end"/>
        </w:r>
      </w:hyperlink>
    </w:p>
    <w:p w14:paraId="0BF1B37C" w14:textId="44F56431"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800" w:history="1">
        <w:r w:rsidR="00A2704C" w:rsidRPr="00050A6A">
          <w:rPr>
            <w:rStyle w:val="Hyperlink"/>
            <w:rFonts w:asciiTheme="majorHAnsi" w:hAnsiTheme="majorHAnsi" w:cstheme="majorHAnsi"/>
            <w:noProof/>
          </w:rPr>
          <w:t>3.2</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Design and Setting</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_Toc499840800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25</w:t>
        </w:r>
        <w:r w:rsidR="00A2704C" w:rsidRPr="00050A6A">
          <w:rPr>
            <w:rFonts w:asciiTheme="majorHAnsi" w:hAnsiTheme="majorHAnsi" w:cstheme="majorHAnsi"/>
            <w:noProof/>
            <w:webHidden/>
          </w:rPr>
          <w:fldChar w:fldCharType="end"/>
        </w:r>
      </w:hyperlink>
    </w:p>
    <w:p w14:paraId="527F63E7" w14:textId="399C8EA4"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801" w:history="1">
        <w:r w:rsidR="00A2704C" w:rsidRPr="00050A6A">
          <w:rPr>
            <w:rStyle w:val="Hyperlink"/>
            <w:rFonts w:asciiTheme="majorHAnsi" w:hAnsiTheme="majorHAnsi" w:cstheme="majorHAnsi"/>
            <w:noProof/>
          </w:rPr>
          <w:t>3.2.1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Overview of the Parent Study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_Toc499840801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25</w:t>
        </w:r>
        <w:r w:rsidR="00A2704C" w:rsidRPr="00050A6A">
          <w:rPr>
            <w:rFonts w:asciiTheme="majorHAnsi" w:hAnsiTheme="majorHAnsi" w:cstheme="majorHAnsi"/>
            <w:noProof/>
            <w:webHidden/>
          </w:rPr>
          <w:fldChar w:fldCharType="end"/>
        </w:r>
      </w:hyperlink>
    </w:p>
    <w:p w14:paraId="7C28762C" w14:textId="36311DD5"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802" w:history="1">
        <w:r w:rsidR="00A2704C" w:rsidRPr="00050A6A">
          <w:rPr>
            <w:rStyle w:val="Hyperlink"/>
            <w:rFonts w:asciiTheme="majorHAnsi" w:hAnsiTheme="majorHAnsi" w:cstheme="majorHAnsi"/>
            <w:noProof/>
          </w:rPr>
          <w:t>3.2.2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Recruitment</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_Toc499840802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26</w:t>
        </w:r>
        <w:r w:rsidR="00A2704C" w:rsidRPr="00050A6A">
          <w:rPr>
            <w:rFonts w:asciiTheme="majorHAnsi" w:hAnsiTheme="majorHAnsi" w:cstheme="majorHAnsi"/>
            <w:noProof/>
            <w:webHidden/>
          </w:rPr>
          <w:fldChar w:fldCharType="end"/>
        </w:r>
      </w:hyperlink>
    </w:p>
    <w:p w14:paraId="374A6D59" w14:textId="48D63091" w:rsidR="00A2704C" w:rsidRPr="00050A6A" w:rsidRDefault="009543C2">
      <w:pPr>
        <w:pStyle w:val="TOC3"/>
        <w:tabs>
          <w:tab w:val="left" w:pos="1760"/>
          <w:tab w:val="right" w:leader="dot" w:pos="9350"/>
        </w:tabs>
        <w:rPr>
          <w:rFonts w:asciiTheme="majorHAnsi" w:eastAsiaTheme="minorEastAsia" w:hAnsiTheme="majorHAnsi" w:cstheme="majorHAnsi"/>
          <w:b w:val="0"/>
          <w:noProof/>
          <w:sz w:val="22"/>
          <w:szCs w:val="22"/>
        </w:rPr>
      </w:pPr>
      <w:hyperlink w:anchor="_Toc499840803" w:history="1">
        <w:r w:rsidR="00A2704C" w:rsidRPr="00050A6A">
          <w:rPr>
            <w:rStyle w:val="Hyperlink"/>
            <w:rFonts w:asciiTheme="majorHAnsi" w:hAnsiTheme="majorHAnsi" w:cstheme="majorHAnsi"/>
            <w:noProof/>
          </w:rPr>
          <w:t>3.2.3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Data Collection</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_Toc499840803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27</w:t>
        </w:r>
        <w:r w:rsidR="00A2704C" w:rsidRPr="00050A6A">
          <w:rPr>
            <w:rFonts w:asciiTheme="majorHAnsi" w:hAnsiTheme="majorHAnsi" w:cstheme="majorHAnsi"/>
            <w:noProof/>
            <w:webHidden/>
          </w:rPr>
          <w:fldChar w:fldCharType="end"/>
        </w:r>
      </w:hyperlink>
    </w:p>
    <w:p w14:paraId="3D51B072" w14:textId="039C100F"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804" w:history="1">
        <w:r w:rsidR="00A2704C" w:rsidRPr="00050A6A">
          <w:rPr>
            <w:rStyle w:val="Hyperlink"/>
            <w:rFonts w:asciiTheme="majorHAnsi" w:hAnsiTheme="majorHAnsi" w:cstheme="majorHAnsi"/>
            <w:noProof/>
          </w:rPr>
          <w:t>3.2.3.1</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Fatigability Measures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_Toc499840804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27</w:t>
        </w:r>
        <w:r w:rsidR="00A2704C" w:rsidRPr="00050A6A">
          <w:rPr>
            <w:rFonts w:asciiTheme="majorHAnsi" w:hAnsiTheme="majorHAnsi" w:cstheme="majorHAnsi"/>
            <w:noProof/>
            <w:webHidden/>
          </w:rPr>
          <w:fldChar w:fldCharType="end"/>
        </w:r>
      </w:hyperlink>
    </w:p>
    <w:p w14:paraId="01EAD956" w14:textId="346196A4"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805" w:history="1">
        <w:r w:rsidR="00A2704C" w:rsidRPr="00050A6A">
          <w:rPr>
            <w:rStyle w:val="Hyperlink"/>
            <w:rFonts w:asciiTheme="majorHAnsi" w:hAnsiTheme="majorHAnsi" w:cstheme="majorHAnsi"/>
            <w:noProof/>
          </w:rPr>
          <w:t>3.2.3.2</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Brain Volume Measures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_Toc499840805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27</w:t>
        </w:r>
        <w:r w:rsidR="00A2704C" w:rsidRPr="00050A6A">
          <w:rPr>
            <w:rFonts w:asciiTheme="majorHAnsi" w:hAnsiTheme="majorHAnsi" w:cstheme="majorHAnsi"/>
            <w:noProof/>
            <w:webHidden/>
          </w:rPr>
          <w:fldChar w:fldCharType="end"/>
        </w:r>
      </w:hyperlink>
    </w:p>
    <w:p w14:paraId="29A07C81" w14:textId="57962544"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806" w:history="1">
        <w:r w:rsidR="00A2704C" w:rsidRPr="00050A6A">
          <w:rPr>
            <w:rStyle w:val="Hyperlink"/>
            <w:rFonts w:asciiTheme="majorHAnsi" w:hAnsiTheme="majorHAnsi" w:cstheme="majorHAnsi"/>
            <w:noProof/>
          </w:rPr>
          <w:t>3.2.3.3</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Covariates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_Toc499840806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28</w:t>
        </w:r>
        <w:r w:rsidR="00A2704C" w:rsidRPr="00050A6A">
          <w:rPr>
            <w:rFonts w:asciiTheme="majorHAnsi" w:hAnsiTheme="majorHAnsi" w:cstheme="majorHAnsi"/>
            <w:noProof/>
            <w:webHidden/>
          </w:rPr>
          <w:fldChar w:fldCharType="end"/>
        </w:r>
      </w:hyperlink>
    </w:p>
    <w:p w14:paraId="0CD5268D" w14:textId="496A32ED" w:rsidR="00A2704C" w:rsidRPr="00050A6A" w:rsidRDefault="009543C2">
      <w:pPr>
        <w:pStyle w:val="TOC4"/>
        <w:tabs>
          <w:tab w:val="left" w:pos="2411"/>
          <w:tab w:val="right" w:leader="dot" w:pos="9350"/>
        </w:tabs>
        <w:rPr>
          <w:rFonts w:asciiTheme="majorHAnsi" w:eastAsiaTheme="minorEastAsia" w:hAnsiTheme="majorHAnsi" w:cstheme="majorHAnsi"/>
          <w:b w:val="0"/>
          <w:noProof/>
          <w:sz w:val="22"/>
          <w:szCs w:val="22"/>
        </w:rPr>
      </w:pPr>
      <w:hyperlink w:anchor="_Toc499840807" w:history="1">
        <w:r w:rsidR="00A2704C" w:rsidRPr="00050A6A">
          <w:rPr>
            <w:rStyle w:val="Hyperlink"/>
            <w:rFonts w:asciiTheme="majorHAnsi" w:hAnsiTheme="majorHAnsi" w:cstheme="majorHAnsi"/>
            <w:noProof/>
          </w:rPr>
          <w:t>3.2.3.4</w:t>
        </w:r>
        <w:r w:rsidR="00A2704C" w:rsidRPr="00050A6A">
          <w:rPr>
            <w:rFonts w:asciiTheme="majorHAnsi" w:eastAsiaTheme="minorEastAsia" w:hAnsiTheme="majorHAnsi" w:cstheme="majorHAnsi"/>
            <w:b w:val="0"/>
            <w:noProof/>
            <w:sz w:val="22"/>
            <w:szCs w:val="22"/>
          </w:rPr>
          <w:tab/>
        </w:r>
        <w:r w:rsidR="00A2704C" w:rsidRPr="00050A6A">
          <w:rPr>
            <w:rStyle w:val="Hyperlink"/>
            <w:rFonts w:asciiTheme="majorHAnsi" w:hAnsiTheme="majorHAnsi" w:cstheme="majorHAnsi"/>
            <w:noProof/>
          </w:rPr>
          <w:t>Physical and Cognitive Performance Measures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_Toc499840807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28</w:t>
        </w:r>
        <w:r w:rsidR="00A2704C" w:rsidRPr="00050A6A">
          <w:rPr>
            <w:rFonts w:asciiTheme="majorHAnsi" w:hAnsiTheme="majorHAnsi" w:cstheme="majorHAnsi"/>
            <w:noProof/>
            <w:webHidden/>
          </w:rPr>
          <w:fldChar w:fldCharType="end"/>
        </w:r>
      </w:hyperlink>
    </w:p>
    <w:p w14:paraId="6834B6DA" w14:textId="51E3EDCD" w:rsidR="00A2704C" w:rsidRPr="00050A6A" w:rsidRDefault="009543C2">
      <w:pPr>
        <w:pStyle w:val="TOC2"/>
        <w:tabs>
          <w:tab w:val="left" w:pos="1512"/>
          <w:tab w:val="right" w:leader="dot" w:pos="9350"/>
        </w:tabs>
        <w:rPr>
          <w:rFonts w:asciiTheme="majorHAnsi" w:eastAsiaTheme="minorEastAsia" w:hAnsiTheme="majorHAnsi" w:cstheme="majorHAnsi"/>
          <w:b w:val="0"/>
          <w:caps w:val="0"/>
          <w:noProof/>
          <w:sz w:val="22"/>
          <w:szCs w:val="22"/>
        </w:rPr>
      </w:pPr>
      <w:hyperlink w:anchor="_Toc499840808" w:history="1">
        <w:r w:rsidR="00A2704C" w:rsidRPr="00050A6A">
          <w:rPr>
            <w:rStyle w:val="Hyperlink"/>
            <w:rFonts w:asciiTheme="majorHAnsi" w:hAnsiTheme="majorHAnsi" w:cstheme="majorHAnsi"/>
            <w:noProof/>
          </w:rPr>
          <w:t>3.3</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Statistical Analysis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_Toc499840808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29</w:t>
        </w:r>
        <w:r w:rsidR="00A2704C" w:rsidRPr="00050A6A">
          <w:rPr>
            <w:rFonts w:asciiTheme="majorHAnsi" w:hAnsiTheme="majorHAnsi" w:cstheme="majorHAnsi"/>
            <w:noProof/>
            <w:webHidden/>
          </w:rPr>
          <w:fldChar w:fldCharType="end"/>
        </w:r>
      </w:hyperlink>
    </w:p>
    <w:p w14:paraId="4957BBE9" w14:textId="798F8510" w:rsidR="00A2704C" w:rsidRPr="00050A6A" w:rsidRDefault="009543C2">
      <w:pPr>
        <w:pStyle w:val="TOC1"/>
        <w:tabs>
          <w:tab w:val="left" w:pos="1008"/>
          <w:tab w:val="right" w:leader="dot" w:pos="9350"/>
        </w:tabs>
        <w:rPr>
          <w:rFonts w:asciiTheme="majorHAnsi" w:eastAsiaTheme="minorEastAsia" w:hAnsiTheme="majorHAnsi" w:cstheme="majorHAnsi"/>
          <w:b w:val="0"/>
          <w:caps w:val="0"/>
          <w:noProof/>
          <w:sz w:val="22"/>
          <w:szCs w:val="22"/>
        </w:rPr>
      </w:pPr>
      <w:hyperlink w:anchor="_Toc499840809" w:history="1">
        <w:r w:rsidR="00A2704C" w:rsidRPr="00050A6A">
          <w:rPr>
            <w:rStyle w:val="Hyperlink"/>
            <w:rFonts w:asciiTheme="majorHAnsi" w:hAnsiTheme="majorHAnsi" w:cstheme="majorHAnsi"/>
            <w:noProof/>
          </w:rPr>
          <w:t>4.0</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Results</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_Toc499840809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30</w:t>
        </w:r>
        <w:r w:rsidR="00A2704C" w:rsidRPr="00050A6A">
          <w:rPr>
            <w:rFonts w:asciiTheme="majorHAnsi" w:hAnsiTheme="majorHAnsi" w:cstheme="majorHAnsi"/>
            <w:noProof/>
            <w:webHidden/>
          </w:rPr>
          <w:fldChar w:fldCharType="end"/>
        </w:r>
      </w:hyperlink>
    </w:p>
    <w:p w14:paraId="45D0B701" w14:textId="7A7E4DD5" w:rsidR="00A2704C" w:rsidRPr="00050A6A" w:rsidRDefault="009543C2">
      <w:pPr>
        <w:pStyle w:val="TOC1"/>
        <w:tabs>
          <w:tab w:val="left" w:pos="1008"/>
          <w:tab w:val="right" w:leader="dot" w:pos="9350"/>
        </w:tabs>
        <w:rPr>
          <w:rFonts w:asciiTheme="majorHAnsi" w:eastAsiaTheme="minorEastAsia" w:hAnsiTheme="majorHAnsi" w:cstheme="majorHAnsi"/>
          <w:b w:val="0"/>
          <w:caps w:val="0"/>
          <w:noProof/>
          <w:sz w:val="22"/>
          <w:szCs w:val="22"/>
        </w:rPr>
      </w:pPr>
      <w:hyperlink w:anchor="_Toc499840810" w:history="1">
        <w:r w:rsidR="00A2704C" w:rsidRPr="00050A6A">
          <w:rPr>
            <w:rStyle w:val="Hyperlink"/>
            <w:rFonts w:asciiTheme="majorHAnsi" w:hAnsiTheme="majorHAnsi" w:cstheme="majorHAnsi"/>
            <w:noProof/>
          </w:rPr>
          <w:t>5.0</w:t>
        </w:r>
        <w:r w:rsidR="00A2704C" w:rsidRPr="00050A6A">
          <w:rPr>
            <w:rFonts w:asciiTheme="majorHAnsi" w:eastAsiaTheme="minorEastAsia" w:hAnsiTheme="majorHAnsi" w:cstheme="majorHAnsi"/>
            <w:b w:val="0"/>
            <w:caps w:val="0"/>
            <w:noProof/>
            <w:sz w:val="22"/>
            <w:szCs w:val="22"/>
          </w:rPr>
          <w:tab/>
        </w:r>
        <w:r w:rsidR="00A2704C" w:rsidRPr="00050A6A">
          <w:rPr>
            <w:rStyle w:val="Hyperlink"/>
            <w:rFonts w:asciiTheme="majorHAnsi" w:hAnsiTheme="majorHAnsi" w:cstheme="majorHAnsi"/>
            <w:noProof/>
          </w:rPr>
          <w:t>Discussion</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_Toc499840810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37</w:t>
        </w:r>
        <w:r w:rsidR="00A2704C" w:rsidRPr="00050A6A">
          <w:rPr>
            <w:rFonts w:asciiTheme="majorHAnsi" w:hAnsiTheme="majorHAnsi" w:cstheme="majorHAnsi"/>
            <w:noProof/>
            <w:webHidden/>
          </w:rPr>
          <w:fldChar w:fldCharType="end"/>
        </w:r>
      </w:hyperlink>
    </w:p>
    <w:p w14:paraId="730987A3" w14:textId="75A9DFD0" w:rsidR="00A2704C" w:rsidRDefault="009543C2">
      <w:pPr>
        <w:pStyle w:val="TOC1"/>
        <w:tabs>
          <w:tab w:val="right" w:leader="dot" w:pos="9350"/>
        </w:tabs>
        <w:rPr>
          <w:rFonts w:asciiTheme="minorHAnsi" w:eastAsiaTheme="minorEastAsia" w:hAnsiTheme="minorHAnsi" w:cstheme="minorBidi"/>
          <w:b w:val="0"/>
          <w:caps w:val="0"/>
          <w:noProof/>
          <w:sz w:val="22"/>
          <w:szCs w:val="22"/>
        </w:rPr>
      </w:pPr>
      <w:hyperlink w:anchor="_Toc499840811" w:history="1">
        <w:r w:rsidR="00A2704C" w:rsidRPr="00050A6A">
          <w:rPr>
            <w:rStyle w:val="Hyperlink"/>
            <w:rFonts w:asciiTheme="majorHAnsi" w:hAnsiTheme="majorHAnsi" w:cstheme="majorHAnsi"/>
            <w:noProof/>
          </w:rPr>
          <w:t>BIBLIOGRAPHY</w:t>
        </w:r>
        <w:r w:rsidR="00A2704C" w:rsidRPr="00050A6A">
          <w:rPr>
            <w:rFonts w:asciiTheme="majorHAnsi" w:hAnsiTheme="majorHAnsi" w:cstheme="majorHAnsi"/>
            <w:noProof/>
            <w:webHidden/>
          </w:rPr>
          <w:tab/>
        </w:r>
        <w:r w:rsidR="00A2704C" w:rsidRPr="00050A6A">
          <w:rPr>
            <w:rFonts w:asciiTheme="majorHAnsi" w:hAnsiTheme="majorHAnsi" w:cstheme="majorHAnsi"/>
            <w:noProof/>
            <w:webHidden/>
          </w:rPr>
          <w:fldChar w:fldCharType="begin"/>
        </w:r>
        <w:r w:rsidR="00A2704C" w:rsidRPr="00050A6A">
          <w:rPr>
            <w:rFonts w:asciiTheme="majorHAnsi" w:hAnsiTheme="majorHAnsi" w:cstheme="majorHAnsi"/>
            <w:noProof/>
            <w:webHidden/>
          </w:rPr>
          <w:instrText xml:space="preserve"> PAGEREF _Toc499840811 \h </w:instrText>
        </w:r>
        <w:r w:rsidR="00A2704C" w:rsidRPr="00050A6A">
          <w:rPr>
            <w:rFonts w:asciiTheme="majorHAnsi" w:hAnsiTheme="majorHAnsi" w:cstheme="majorHAnsi"/>
            <w:noProof/>
            <w:webHidden/>
          </w:rPr>
        </w:r>
        <w:r w:rsidR="00A2704C" w:rsidRPr="00050A6A">
          <w:rPr>
            <w:rFonts w:asciiTheme="majorHAnsi" w:hAnsiTheme="majorHAnsi" w:cstheme="majorHAnsi"/>
            <w:noProof/>
            <w:webHidden/>
          </w:rPr>
          <w:fldChar w:fldCharType="separate"/>
        </w:r>
        <w:r w:rsidR="00D81391">
          <w:rPr>
            <w:rFonts w:asciiTheme="majorHAnsi" w:hAnsiTheme="majorHAnsi" w:cstheme="majorHAnsi"/>
            <w:noProof/>
            <w:webHidden/>
          </w:rPr>
          <w:t>44</w:t>
        </w:r>
        <w:r w:rsidR="00A2704C" w:rsidRPr="00050A6A">
          <w:rPr>
            <w:rFonts w:asciiTheme="majorHAnsi" w:hAnsiTheme="majorHAnsi" w:cstheme="majorHAnsi"/>
            <w:noProof/>
            <w:webHidden/>
          </w:rPr>
          <w:fldChar w:fldCharType="end"/>
        </w:r>
      </w:hyperlink>
    </w:p>
    <w:p w14:paraId="4F509E6A" w14:textId="77777777" w:rsidR="00CB03F9" w:rsidRPr="008438F4" w:rsidRDefault="00367476" w:rsidP="00035D1E">
      <w:pPr>
        <w:pStyle w:val="Preliminary"/>
        <w:rPr>
          <w:rFonts w:ascii="Calibri" w:hAnsi="Calibri" w:cs="Calibri"/>
        </w:rPr>
      </w:pPr>
      <w:r w:rsidRPr="008438F4">
        <w:rPr>
          <w:rFonts w:ascii="Calibri" w:hAnsi="Calibri" w:cs="Calibri"/>
        </w:rPr>
        <w:fldChar w:fldCharType="end"/>
      </w:r>
      <w:r w:rsidR="00CB03F9" w:rsidRPr="008438F4">
        <w:rPr>
          <w:rFonts w:ascii="Calibri" w:hAnsi="Calibri" w:cs="Calibri"/>
        </w:rPr>
        <w:t>List of tables</w:t>
      </w:r>
    </w:p>
    <w:p w14:paraId="264BA31F" w14:textId="03FF9C99" w:rsidR="00CD24DE" w:rsidRDefault="00CB03F9">
      <w:pPr>
        <w:pStyle w:val="TableofFigures"/>
        <w:tabs>
          <w:tab w:val="right" w:leader="dot" w:pos="9350"/>
        </w:tabs>
        <w:rPr>
          <w:rFonts w:asciiTheme="minorHAnsi" w:eastAsiaTheme="minorEastAsia" w:hAnsiTheme="minorHAnsi" w:cstheme="minorBidi"/>
          <w:noProof/>
          <w:sz w:val="22"/>
          <w:szCs w:val="22"/>
        </w:rPr>
      </w:pPr>
      <w:r w:rsidRPr="008438F4">
        <w:rPr>
          <w:rFonts w:ascii="Calibri" w:hAnsi="Calibri" w:cs="Calibri"/>
        </w:rPr>
        <w:fldChar w:fldCharType="begin"/>
      </w:r>
      <w:r w:rsidRPr="008438F4">
        <w:rPr>
          <w:rFonts w:ascii="Calibri" w:hAnsi="Calibri" w:cs="Calibri"/>
        </w:rPr>
        <w:instrText xml:space="preserve"> TOC \h \z \c "Table" </w:instrText>
      </w:r>
      <w:r w:rsidRPr="008438F4">
        <w:rPr>
          <w:rFonts w:ascii="Calibri" w:hAnsi="Calibri" w:cs="Calibri"/>
        </w:rPr>
        <w:fldChar w:fldCharType="separate"/>
      </w:r>
      <w:hyperlink w:anchor="_Toc499755704" w:history="1">
        <w:r w:rsidR="00CD24DE" w:rsidRPr="00515EED">
          <w:rPr>
            <w:rStyle w:val="Hyperlink"/>
            <w:rFonts w:ascii="Calibri" w:hAnsi="Calibri" w:cs="Calibri"/>
            <w:noProof/>
          </w:rPr>
          <w:t>Table 1. Baseline Characteristics of the Pittsburgh Field Center and Analytic Sample from the Lifestyle Interventions and Independence for Elders Study</w:t>
        </w:r>
        <w:r w:rsidR="00CD24DE">
          <w:rPr>
            <w:noProof/>
            <w:webHidden/>
          </w:rPr>
          <w:tab/>
        </w:r>
        <w:r w:rsidR="00CD24DE">
          <w:rPr>
            <w:noProof/>
            <w:webHidden/>
          </w:rPr>
          <w:fldChar w:fldCharType="begin"/>
        </w:r>
        <w:r w:rsidR="00CD24DE">
          <w:rPr>
            <w:noProof/>
            <w:webHidden/>
          </w:rPr>
          <w:instrText xml:space="preserve"> PAGEREF _Toc499755704 \h </w:instrText>
        </w:r>
        <w:r w:rsidR="00CD24DE">
          <w:rPr>
            <w:noProof/>
            <w:webHidden/>
          </w:rPr>
        </w:r>
        <w:r w:rsidR="00CD24DE">
          <w:rPr>
            <w:noProof/>
            <w:webHidden/>
          </w:rPr>
          <w:fldChar w:fldCharType="separate"/>
        </w:r>
        <w:r w:rsidR="00D81391">
          <w:rPr>
            <w:noProof/>
            <w:webHidden/>
          </w:rPr>
          <w:t>31</w:t>
        </w:r>
        <w:r w:rsidR="00CD24DE">
          <w:rPr>
            <w:noProof/>
            <w:webHidden/>
          </w:rPr>
          <w:fldChar w:fldCharType="end"/>
        </w:r>
      </w:hyperlink>
    </w:p>
    <w:p w14:paraId="3EBDB102" w14:textId="2A951891" w:rsidR="00CD24DE" w:rsidRDefault="009543C2">
      <w:pPr>
        <w:pStyle w:val="TableofFigures"/>
        <w:tabs>
          <w:tab w:val="right" w:leader="dot" w:pos="9350"/>
        </w:tabs>
        <w:rPr>
          <w:rFonts w:asciiTheme="minorHAnsi" w:eastAsiaTheme="minorEastAsia" w:hAnsiTheme="minorHAnsi" w:cstheme="minorBidi"/>
          <w:noProof/>
          <w:sz w:val="22"/>
          <w:szCs w:val="22"/>
        </w:rPr>
      </w:pPr>
      <w:hyperlink w:anchor="_Toc499755705" w:history="1">
        <w:r w:rsidR="00CD24DE" w:rsidRPr="00515EED">
          <w:rPr>
            <w:rStyle w:val="Hyperlink"/>
            <w:rFonts w:ascii="Calibri" w:hAnsi="Calibri" w:cs="Calibri"/>
            <w:noProof/>
          </w:rPr>
          <w:t>Table 2. Baseline Characteristics of the Analytic Sample from the LIFE Study by Fatigability Status (N=29)</w:t>
        </w:r>
        <w:r w:rsidR="00CD24DE">
          <w:rPr>
            <w:noProof/>
            <w:webHidden/>
          </w:rPr>
          <w:tab/>
        </w:r>
        <w:r w:rsidR="00CD24DE">
          <w:rPr>
            <w:noProof/>
            <w:webHidden/>
          </w:rPr>
          <w:fldChar w:fldCharType="begin"/>
        </w:r>
        <w:r w:rsidR="00CD24DE">
          <w:rPr>
            <w:noProof/>
            <w:webHidden/>
          </w:rPr>
          <w:instrText xml:space="preserve"> PAGEREF _Toc499755705 \h </w:instrText>
        </w:r>
        <w:r w:rsidR="00CD24DE">
          <w:rPr>
            <w:noProof/>
            <w:webHidden/>
          </w:rPr>
        </w:r>
        <w:r w:rsidR="00CD24DE">
          <w:rPr>
            <w:noProof/>
            <w:webHidden/>
          </w:rPr>
          <w:fldChar w:fldCharType="separate"/>
        </w:r>
        <w:r w:rsidR="00D81391">
          <w:rPr>
            <w:noProof/>
            <w:webHidden/>
          </w:rPr>
          <w:t>33</w:t>
        </w:r>
        <w:r w:rsidR="00CD24DE">
          <w:rPr>
            <w:noProof/>
            <w:webHidden/>
          </w:rPr>
          <w:fldChar w:fldCharType="end"/>
        </w:r>
      </w:hyperlink>
    </w:p>
    <w:p w14:paraId="0E3C5DEA" w14:textId="3BAACA13" w:rsidR="00CD24DE" w:rsidRDefault="009543C2">
      <w:pPr>
        <w:pStyle w:val="TableofFigures"/>
        <w:tabs>
          <w:tab w:val="right" w:leader="dot" w:pos="9350"/>
        </w:tabs>
        <w:rPr>
          <w:rFonts w:asciiTheme="minorHAnsi" w:eastAsiaTheme="minorEastAsia" w:hAnsiTheme="minorHAnsi" w:cstheme="minorBidi"/>
          <w:noProof/>
          <w:sz w:val="22"/>
          <w:szCs w:val="22"/>
        </w:rPr>
      </w:pPr>
      <w:hyperlink w:anchor="_Toc499755706" w:history="1">
        <w:r w:rsidR="00CD24DE" w:rsidRPr="00515EED">
          <w:rPr>
            <w:rStyle w:val="Hyperlink"/>
            <w:rFonts w:ascii="Calibri" w:hAnsi="Calibri" w:cs="Calibri"/>
            <w:noProof/>
          </w:rPr>
          <w:t xml:space="preserve">Table 3. Means (SD) Grey Matter Volume as a Percentage of Intracranial Volume </w:t>
        </w:r>
        <w:r w:rsidR="00CD24DE" w:rsidRPr="00515EED">
          <w:rPr>
            <w:rStyle w:val="Hyperlink"/>
            <w:rFonts w:ascii="Calibri" w:eastAsia="Calibri" w:hAnsi="Calibri" w:cs="Calibri"/>
            <w:noProof/>
            <w:kern w:val="24"/>
          </w:rPr>
          <w:t>(nm</w:t>
        </w:r>
        <w:r w:rsidR="00CD24DE" w:rsidRPr="00515EED">
          <w:rPr>
            <w:rStyle w:val="Hyperlink"/>
            <w:rFonts w:ascii="Calibri" w:eastAsia="Calibri" w:hAnsi="Calibri" w:cs="Calibri"/>
            <w:noProof/>
            <w:kern w:val="24"/>
            <w:vertAlign w:val="superscript"/>
          </w:rPr>
          <w:t>3</w:t>
        </w:r>
        <w:r w:rsidR="00CD24DE" w:rsidRPr="00515EED">
          <w:rPr>
            <w:rStyle w:val="Hyperlink"/>
            <w:rFonts w:ascii="Calibri" w:eastAsia="Calibri" w:hAnsi="Calibri" w:cs="Calibri"/>
            <w:noProof/>
            <w:kern w:val="24"/>
          </w:rPr>
          <w:t>)</w:t>
        </w:r>
        <w:r w:rsidR="00CD24DE" w:rsidRPr="00515EED">
          <w:rPr>
            <w:rStyle w:val="Hyperlink"/>
            <w:rFonts w:ascii="Calibri" w:hAnsi="Calibri" w:cs="Calibri"/>
            <w:noProof/>
          </w:rPr>
          <w:t xml:space="preserve"> by Fatigability Status (LIFE, N=29)</w:t>
        </w:r>
        <w:r w:rsidR="00CD24DE">
          <w:rPr>
            <w:noProof/>
            <w:webHidden/>
          </w:rPr>
          <w:tab/>
        </w:r>
        <w:r w:rsidR="00CD24DE">
          <w:rPr>
            <w:noProof/>
            <w:webHidden/>
          </w:rPr>
          <w:fldChar w:fldCharType="begin"/>
        </w:r>
        <w:r w:rsidR="00CD24DE">
          <w:rPr>
            <w:noProof/>
            <w:webHidden/>
          </w:rPr>
          <w:instrText xml:space="preserve"> PAGEREF _Toc499755706 \h </w:instrText>
        </w:r>
        <w:r w:rsidR="00CD24DE">
          <w:rPr>
            <w:noProof/>
            <w:webHidden/>
          </w:rPr>
        </w:r>
        <w:r w:rsidR="00CD24DE">
          <w:rPr>
            <w:noProof/>
            <w:webHidden/>
          </w:rPr>
          <w:fldChar w:fldCharType="separate"/>
        </w:r>
        <w:r w:rsidR="00D81391">
          <w:rPr>
            <w:noProof/>
            <w:webHidden/>
          </w:rPr>
          <w:t>34</w:t>
        </w:r>
        <w:r w:rsidR="00CD24DE">
          <w:rPr>
            <w:noProof/>
            <w:webHidden/>
          </w:rPr>
          <w:fldChar w:fldCharType="end"/>
        </w:r>
      </w:hyperlink>
    </w:p>
    <w:p w14:paraId="3CEB98B9" w14:textId="0B671F07" w:rsidR="00CD24DE" w:rsidRDefault="009543C2">
      <w:pPr>
        <w:pStyle w:val="TableofFigures"/>
        <w:tabs>
          <w:tab w:val="right" w:leader="dot" w:pos="9350"/>
        </w:tabs>
        <w:rPr>
          <w:rFonts w:asciiTheme="minorHAnsi" w:eastAsiaTheme="minorEastAsia" w:hAnsiTheme="minorHAnsi" w:cstheme="minorBidi"/>
          <w:noProof/>
          <w:sz w:val="22"/>
          <w:szCs w:val="22"/>
        </w:rPr>
      </w:pPr>
      <w:hyperlink w:anchor="_Toc499755707" w:history="1">
        <w:r w:rsidR="00CD24DE" w:rsidRPr="00515EED">
          <w:rPr>
            <w:rStyle w:val="Hyperlink"/>
            <w:rFonts w:ascii="Calibri" w:hAnsi="Calibri" w:cs="Calibri"/>
            <w:noProof/>
          </w:rPr>
          <w:t>Table 4. Associations of Anatomical Brain Regions from 7T MRI Scans on Categorical Physical and Mental</w:t>
        </w:r>
        <w:r w:rsidR="00CD24DE" w:rsidRPr="00515EED">
          <w:rPr>
            <w:rStyle w:val="Hyperlink"/>
            <w:rFonts w:ascii="Calibri" w:hAnsi="Calibri" w:cs="Calibri"/>
            <w:i/>
            <w:noProof/>
          </w:rPr>
          <w:t xml:space="preserve"> </w:t>
        </w:r>
        <w:r w:rsidR="00CD24DE" w:rsidRPr="00515EED">
          <w:rPr>
            <w:rStyle w:val="Hyperlink"/>
            <w:rFonts w:ascii="Calibri" w:hAnsi="Calibri" w:cs="Calibri"/>
            <w:noProof/>
          </w:rPr>
          <w:t>Fatigability Scale (LIFE, N=29)</w:t>
        </w:r>
        <w:r w:rsidR="00CD24DE">
          <w:rPr>
            <w:noProof/>
            <w:webHidden/>
          </w:rPr>
          <w:tab/>
        </w:r>
        <w:r w:rsidR="00CD24DE">
          <w:rPr>
            <w:noProof/>
            <w:webHidden/>
          </w:rPr>
          <w:fldChar w:fldCharType="begin"/>
        </w:r>
        <w:r w:rsidR="00CD24DE">
          <w:rPr>
            <w:noProof/>
            <w:webHidden/>
          </w:rPr>
          <w:instrText xml:space="preserve"> PAGEREF _Toc499755707 \h </w:instrText>
        </w:r>
        <w:r w:rsidR="00CD24DE">
          <w:rPr>
            <w:noProof/>
            <w:webHidden/>
          </w:rPr>
        </w:r>
        <w:r w:rsidR="00CD24DE">
          <w:rPr>
            <w:noProof/>
            <w:webHidden/>
          </w:rPr>
          <w:fldChar w:fldCharType="separate"/>
        </w:r>
        <w:r w:rsidR="00D81391">
          <w:rPr>
            <w:noProof/>
            <w:webHidden/>
          </w:rPr>
          <w:t>36</w:t>
        </w:r>
        <w:r w:rsidR="00CD24DE">
          <w:rPr>
            <w:noProof/>
            <w:webHidden/>
          </w:rPr>
          <w:fldChar w:fldCharType="end"/>
        </w:r>
      </w:hyperlink>
    </w:p>
    <w:p w14:paraId="2D630339" w14:textId="77777777" w:rsidR="00B424B6" w:rsidRPr="008438F4" w:rsidRDefault="00CB03F9" w:rsidP="00035D1E">
      <w:pPr>
        <w:pStyle w:val="Preliminary"/>
        <w:rPr>
          <w:rFonts w:ascii="Calibri" w:hAnsi="Calibri" w:cs="Calibri"/>
        </w:rPr>
      </w:pPr>
      <w:r w:rsidRPr="008438F4">
        <w:rPr>
          <w:rFonts w:ascii="Calibri" w:hAnsi="Calibri" w:cs="Calibri"/>
        </w:rPr>
        <w:fldChar w:fldCharType="end"/>
      </w:r>
      <w:r w:rsidR="00B424B6" w:rsidRPr="008438F4">
        <w:rPr>
          <w:rFonts w:ascii="Calibri" w:hAnsi="Calibri" w:cs="Calibri"/>
        </w:rPr>
        <w:t>List of figures</w:t>
      </w:r>
    </w:p>
    <w:p w14:paraId="4A7F7ADF" w14:textId="6D58DD27" w:rsidR="002E064A" w:rsidRPr="008438F4" w:rsidRDefault="00B424B6">
      <w:pPr>
        <w:pStyle w:val="TableofFigures"/>
        <w:tabs>
          <w:tab w:val="right" w:leader="dot" w:pos="9350"/>
        </w:tabs>
        <w:rPr>
          <w:rFonts w:ascii="Calibri" w:hAnsi="Calibri" w:cs="Calibri"/>
          <w:noProof/>
          <w:sz w:val="22"/>
          <w:szCs w:val="22"/>
        </w:rPr>
      </w:pPr>
      <w:r w:rsidRPr="008438F4">
        <w:rPr>
          <w:rFonts w:ascii="Calibri" w:hAnsi="Calibri" w:cs="Calibri"/>
        </w:rPr>
        <w:fldChar w:fldCharType="begin"/>
      </w:r>
      <w:r w:rsidRPr="008438F4">
        <w:rPr>
          <w:rFonts w:ascii="Calibri" w:hAnsi="Calibri" w:cs="Calibri"/>
        </w:rPr>
        <w:instrText xml:space="preserve"> TOC \h \z \c "Figure" </w:instrText>
      </w:r>
      <w:r w:rsidRPr="008438F4">
        <w:rPr>
          <w:rFonts w:ascii="Calibri" w:hAnsi="Calibri" w:cs="Calibri"/>
        </w:rPr>
        <w:fldChar w:fldCharType="separate"/>
      </w:r>
      <w:hyperlink w:anchor="_Toc497999645" w:history="1">
        <w:r w:rsidR="002E064A" w:rsidRPr="008438F4">
          <w:rPr>
            <w:rStyle w:val="Hyperlink"/>
            <w:rFonts w:ascii="Calibri" w:hAnsi="Calibri" w:cs="Calibri"/>
            <w:noProof/>
          </w:rPr>
          <w:t>Figure 1. Fatigability Diagram</w:t>
        </w:r>
        <w:r w:rsidR="002E064A" w:rsidRPr="008438F4">
          <w:rPr>
            <w:rFonts w:ascii="Calibri" w:hAnsi="Calibri" w:cs="Calibri"/>
            <w:noProof/>
            <w:webHidden/>
          </w:rPr>
          <w:tab/>
        </w:r>
        <w:r w:rsidR="002E064A" w:rsidRPr="008438F4">
          <w:rPr>
            <w:rFonts w:ascii="Calibri" w:hAnsi="Calibri" w:cs="Calibri"/>
            <w:noProof/>
            <w:webHidden/>
          </w:rPr>
          <w:fldChar w:fldCharType="begin"/>
        </w:r>
        <w:r w:rsidR="002E064A" w:rsidRPr="008438F4">
          <w:rPr>
            <w:rFonts w:ascii="Calibri" w:hAnsi="Calibri" w:cs="Calibri"/>
            <w:noProof/>
            <w:webHidden/>
          </w:rPr>
          <w:instrText xml:space="preserve"> PAGEREF _Toc497999645 \h </w:instrText>
        </w:r>
        <w:r w:rsidR="002E064A" w:rsidRPr="008438F4">
          <w:rPr>
            <w:rFonts w:ascii="Calibri" w:hAnsi="Calibri" w:cs="Calibri"/>
            <w:noProof/>
            <w:webHidden/>
          </w:rPr>
        </w:r>
        <w:r w:rsidR="002E064A" w:rsidRPr="008438F4">
          <w:rPr>
            <w:rFonts w:ascii="Calibri" w:hAnsi="Calibri" w:cs="Calibri"/>
            <w:noProof/>
            <w:webHidden/>
          </w:rPr>
          <w:fldChar w:fldCharType="separate"/>
        </w:r>
        <w:r w:rsidR="00D81391">
          <w:rPr>
            <w:rFonts w:ascii="Calibri" w:hAnsi="Calibri" w:cs="Calibri"/>
            <w:noProof/>
            <w:webHidden/>
          </w:rPr>
          <w:t>6</w:t>
        </w:r>
        <w:r w:rsidR="002E064A" w:rsidRPr="008438F4">
          <w:rPr>
            <w:rFonts w:ascii="Calibri" w:hAnsi="Calibri" w:cs="Calibri"/>
            <w:noProof/>
            <w:webHidden/>
          </w:rPr>
          <w:fldChar w:fldCharType="end"/>
        </w:r>
      </w:hyperlink>
    </w:p>
    <w:p w14:paraId="17999CB3" w14:textId="38B789DB" w:rsidR="002E064A" w:rsidRPr="008438F4" w:rsidRDefault="009543C2">
      <w:pPr>
        <w:pStyle w:val="TableofFigures"/>
        <w:tabs>
          <w:tab w:val="right" w:leader="dot" w:pos="9350"/>
        </w:tabs>
        <w:rPr>
          <w:rFonts w:ascii="Calibri" w:hAnsi="Calibri" w:cs="Calibri"/>
          <w:noProof/>
          <w:sz w:val="22"/>
          <w:szCs w:val="22"/>
        </w:rPr>
      </w:pPr>
      <w:hyperlink w:anchor="_Toc497999646" w:history="1">
        <w:r w:rsidR="002E064A" w:rsidRPr="008438F4">
          <w:rPr>
            <w:rStyle w:val="Hyperlink"/>
            <w:rFonts w:ascii="Calibri" w:hAnsi="Calibri" w:cs="Calibri"/>
            <w:noProof/>
          </w:rPr>
          <w:t>Figure 2. Conceptual Model of Fatigability and Brain Health</w:t>
        </w:r>
        <w:r w:rsidR="002E064A" w:rsidRPr="008438F4">
          <w:rPr>
            <w:rFonts w:ascii="Calibri" w:hAnsi="Calibri" w:cs="Calibri"/>
            <w:noProof/>
            <w:webHidden/>
          </w:rPr>
          <w:tab/>
        </w:r>
        <w:r w:rsidR="002E064A" w:rsidRPr="008438F4">
          <w:rPr>
            <w:rFonts w:ascii="Calibri" w:hAnsi="Calibri" w:cs="Calibri"/>
            <w:noProof/>
            <w:webHidden/>
          </w:rPr>
          <w:fldChar w:fldCharType="begin"/>
        </w:r>
        <w:r w:rsidR="002E064A" w:rsidRPr="008438F4">
          <w:rPr>
            <w:rFonts w:ascii="Calibri" w:hAnsi="Calibri" w:cs="Calibri"/>
            <w:noProof/>
            <w:webHidden/>
          </w:rPr>
          <w:instrText xml:space="preserve"> PAGEREF _Toc497999646 \h </w:instrText>
        </w:r>
        <w:r w:rsidR="002E064A" w:rsidRPr="008438F4">
          <w:rPr>
            <w:rFonts w:ascii="Calibri" w:hAnsi="Calibri" w:cs="Calibri"/>
            <w:noProof/>
            <w:webHidden/>
          </w:rPr>
        </w:r>
        <w:r w:rsidR="002E064A" w:rsidRPr="008438F4">
          <w:rPr>
            <w:rFonts w:ascii="Calibri" w:hAnsi="Calibri" w:cs="Calibri"/>
            <w:noProof/>
            <w:webHidden/>
          </w:rPr>
          <w:fldChar w:fldCharType="separate"/>
        </w:r>
        <w:r w:rsidR="00D81391">
          <w:rPr>
            <w:rFonts w:ascii="Calibri" w:hAnsi="Calibri" w:cs="Calibri"/>
            <w:noProof/>
            <w:webHidden/>
          </w:rPr>
          <w:t>16</w:t>
        </w:r>
        <w:r w:rsidR="002E064A" w:rsidRPr="008438F4">
          <w:rPr>
            <w:rFonts w:ascii="Calibri" w:hAnsi="Calibri" w:cs="Calibri"/>
            <w:noProof/>
            <w:webHidden/>
          </w:rPr>
          <w:fldChar w:fldCharType="end"/>
        </w:r>
      </w:hyperlink>
    </w:p>
    <w:p w14:paraId="10C1498D" w14:textId="622F55CD" w:rsidR="00625E72" w:rsidRPr="00625E72" w:rsidRDefault="00B424B6" w:rsidP="00625E72">
      <w:pPr>
        <w:pStyle w:val="Heading"/>
        <w:rPr>
          <w:rFonts w:ascii="Calibri" w:hAnsi="Calibri" w:cs="Calibri"/>
        </w:rPr>
      </w:pPr>
      <w:r w:rsidRPr="008438F4">
        <w:rPr>
          <w:rFonts w:ascii="Calibri" w:hAnsi="Calibri" w:cs="Calibri"/>
        </w:rPr>
        <w:fldChar w:fldCharType="end"/>
      </w:r>
      <w:bookmarkStart w:id="2" w:name="_Toc499840769"/>
      <w:r w:rsidR="00AA2C6A" w:rsidRPr="008438F4">
        <w:rPr>
          <w:rFonts w:ascii="Calibri" w:hAnsi="Calibri" w:cs="Calibri"/>
        </w:rPr>
        <w:t>preface</w:t>
      </w:r>
      <w:bookmarkEnd w:id="2"/>
    </w:p>
    <w:p w14:paraId="1B0B7070" w14:textId="4E66D5CD" w:rsidR="00EB7A62" w:rsidRDefault="00625E72" w:rsidP="001162E2">
      <w:pPr>
        <w:pStyle w:val="Noindent"/>
        <w:spacing w:line="360" w:lineRule="auto"/>
        <w:rPr>
          <w:rFonts w:asciiTheme="majorHAnsi" w:hAnsiTheme="majorHAnsi" w:cstheme="majorHAnsi"/>
        </w:rPr>
      </w:pPr>
      <w:r>
        <w:rPr>
          <w:rFonts w:ascii="Calibri" w:hAnsi="Calibri" w:cs="Calibri"/>
        </w:rPr>
        <w:t xml:space="preserve">I would like to </w:t>
      </w:r>
      <w:r w:rsidR="00EB7A62">
        <w:rPr>
          <w:rFonts w:ascii="Calibri" w:hAnsi="Calibri" w:cs="Calibri"/>
        </w:rPr>
        <w:t>thank</w:t>
      </w:r>
      <w:r>
        <w:rPr>
          <w:rFonts w:ascii="Calibri" w:hAnsi="Calibri" w:cs="Calibri"/>
        </w:rPr>
        <w:t xml:space="preserve"> my essa</w:t>
      </w:r>
      <w:r w:rsidR="001D00BE">
        <w:rPr>
          <w:rFonts w:ascii="Calibri" w:hAnsi="Calibri" w:cs="Calibri"/>
        </w:rPr>
        <w:t>y</w:t>
      </w:r>
      <w:r>
        <w:rPr>
          <w:rFonts w:ascii="Calibri" w:hAnsi="Calibri" w:cs="Calibri"/>
        </w:rPr>
        <w:t xml:space="preserve"> mentors Dr. Rosso, Dr. Glynn and Dr. Butters for their overwhelming support</w:t>
      </w:r>
      <w:r w:rsidR="001D00BE">
        <w:rPr>
          <w:rFonts w:ascii="Calibri" w:hAnsi="Calibri" w:cs="Calibri"/>
        </w:rPr>
        <w:t xml:space="preserve"> and guidance during my essay-writing process. </w:t>
      </w:r>
      <w:r>
        <w:rPr>
          <w:rFonts w:ascii="Calibri" w:hAnsi="Calibri" w:cs="Calibri"/>
        </w:rPr>
        <w:t>Additionally, I would like to thank my Pitt Public Health friends</w:t>
      </w:r>
      <w:r w:rsidR="001D00BE">
        <w:rPr>
          <w:rFonts w:ascii="Calibri" w:hAnsi="Calibri" w:cs="Calibri"/>
        </w:rPr>
        <w:t xml:space="preserve"> for their encouragement and for the precious memories I will </w:t>
      </w:r>
      <w:r w:rsidR="001D00BE" w:rsidRPr="00EB7A62">
        <w:rPr>
          <w:rFonts w:asciiTheme="majorHAnsi" w:hAnsiTheme="majorHAnsi" w:cstheme="majorHAnsi"/>
        </w:rPr>
        <w:t>forever cherish of my time in Pittsburgh</w:t>
      </w:r>
      <w:r w:rsidRPr="00EB7A62">
        <w:rPr>
          <w:rFonts w:asciiTheme="majorHAnsi" w:hAnsiTheme="majorHAnsi" w:cstheme="majorHAnsi"/>
        </w:rPr>
        <w:t>. Lastly</w:t>
      </w:r>
      <w:r w:rsidR="001D00BE" w:rsidRPr="00EB7A62">
        <w:rPr>
          <w:rFonts w:asciiTheme="majorHAnsi" w:hAnsiTheme="majorHAnsi" w:cstheme="majorHAnsi"/>
        </w:rPr>
        <w:t>, to my family</w:t>
      </w:r>
      <w:r w:rsidR="001162E2">
        <w:rPr>
          <w:rFonts w:asciiTheme="majorHAnsi" w:hAnsiTheme="majorHAnsi" w:cstheme="majorHAnsi"/>
        </w:rPr>
        <w:t xml:space="preserve"> and loved ones</w:t>
      </w:r>
      <w:r w:rsidR="001D00BE" w:rsidRPr="00EB7A62">
        <w:rPr>
          <w:rFonts w:asciiTheme="majorHAnsi" w:hAnsiTheme="majorHAnsi" w:cstheme="majorHAnsi"/>
        </w:rPr>
        <w:t>,</w:t>
      </w:r>
      <w:r w:rsidR="00EB7A62" w:rsidRPr="00EB7A62">
        <w:rPr>
          <w:rFonts w:asciiTheme="majorHAnsi" w:hAnsiTheme="majorHAnsi" w:cstheme="majorHAnsi"/>
        </w:rPr>
        <w:t xml:space="preserve"> thank you for a lifetime of continuous support </w:t>
      </w:r>
      <w:r w:rsidR="001D00BE" w:rsidRPr="00EB7A62">
        <w:rPr>
          <w:rFonts w:asciiTheme="majorHAnsi" w:hAnsiTheme="majorHAnsi" w:cstheme="majorHAnsi"/>
        </w:rPr>
        <w:t>and love</w:t>
      </w:r>
      <w:r w:rsidR="00EB7A62" w:rsidRPr="00EB7A62">
        <w:rPr>
          <w:rFonts w:asciiTheme="majorHAnsi" w:hAnsiTheme="majorHAnsi" w:cstheme="majorHAnsi"/>
        </w:rPr>
        <w:t xml:space="preserve">. </w:t>
      </w:r>
    </w:p>
    <w:p w14:paraId="1304571F" w14:textId="77777777" w:rsidR="00EB7A62" w:rsidRPr="00EB7A62" w:rsidRDefault="00EB7A62" w:rsidP="001162E2">
      <w:pPr>
        <w:spacing w:line="360" w:lineRule="auto"/>
        <w:jc w:val="left"/>
      </w:pPr>
    </w:p>
    <w:p w14:paraId="26C70BE9" w14:textId="3D20C13C" w:rsidR="00EB7A62" w:rsidRPr="00EB7A62" w:rsidRDefault="00EB7A62" w:rsidP="001162E2">
      <w:pPr>
        <w:pStyle w:val="Noindent"/>
        <w:spacing w:line="360" w:lineRule="auto"/>
        <w:rPr>
          <w:rFonts w:asciiTheme="majorHAnsi" w:hAnsiTheme="majorHAnsi" w:cstheme="majorHAnsi"/>
        </w:rPr>
      </w:pPr>
      <w:r>
        <w:rPr>
          <w:rFonts w:asciiTheme="majorHAnsi" w:hAnsiTheme="majorHAnsi" w:cstheme="majorHAnsi"/>
        </w:rPr>
        <w:t xml:space="preserve">I would like to acknowledge the following funders and groups for making this work possible: </w:t>
      </w:r>
    </w:p>
    <w:p w14:paraId="053EE48C" w14:textId="66C171F5" w:rsidR="00EB7A62" w:rsidRPr="00EB7A62" w:rsidRDefault="00EB7A62" w:rsidP="001162E2">
      <w:pPr>
        <w:pStyle w:val="Noindent"/>
        <w:spacing w:line="360" w:lineRule="auto"/>
        <w:rPr>
          <w:rFonts w:asciiTheme="majorHAnsi" w:hAnsiTheme="majorHAnsi" w:cstheme="majorHAnsi"/>
        </w:rPr>
      </w:pPr>
      <w:r w:rsidRPr="00EB7A62">
        <w:rPr>
          <w:rFonts w:asciiTheme="majorHAnsi" w:hAnsiTheme="majorHAnsi" w:cstheme="majorHAnsi"/>
        </w:rPr>
        <w:t>The LIFE main study, supported by the National Institutes of Health/National Institute on Aging Cooperative Agreement, National Heart, Lung and Blood Institute, and the Intramural Research Program, Na</w:t>
      </w:r>
      <w:r>
        <w:rPr>
          <w:rFonts w:asciiTheme="majorHAnsi" w:hAnsiTheme="majorHAnsi" w:cstheme="majorHAnsi"/>
        </w:rPr>
        <w:t xml:space="preserve">tional Institute on Aging, NIH; </w:t>
      </w:r>
      <w:r w:rsidRPr="00EB7A62">
        <w:rPr>
          <w:rFonts w:asciiTheme="majorHAnsi" w:hAnsiTheme="majorHAnsi" w:cstheme="majorHAnsi"/>
        </w:rPr>
        <w:t>Pittsburgh Claude D. Pepper Older Americans Independence Center</w:t>
      </w:r>
      <w:r>
        <w:rPr>
          <w:rFonts w:asciiTheme="majorHAnsi" w:hAnsiTheme="majorHAnsi" w:cstheme="majorHAnsi"/>
        </w:rPr>
        <w:t xml:space="preserve">; </w:t>
      </w:r>
      <w:r w:rsidRPr="00EB7A62">
        <w:rPr>
          <w:rFonts w:asciiTheme="majorHAnsi" w:hAnsiTheme="majorHAnsi" w:cstheme="majorHAnsi"/>
        </w:rPr>
        <w:t>The research teams and funding sources for the neuroimaging and mitochondrial function ancillary studies at the University of Pittsburgh</w:t>
      </w:r>
    </w:p>
    <w:p w14:paraId="60EF816B" w14:textId="77777777" w:rsidR="00AA2C6A" w:rsidRPr="00EB7A62" w:rsidRDefault="00AA2C6A" w:rsidP="001162E2">
      <w:pPr>
        <w:spacing w:line="360" w:lineRule="auto"/>
        <w:rPr>
          <w:rFonts w:asciiTheme="majorHAnsi" w:hAnsiTheme="majorHAnsi" w:cstheme="majorHAnsi"/>
        </w:rPr>
      </w:pPr>
    </w:p>
    <w:p w14:paraId="5F44BFDC" w14:textId="77777777" w:rsidR="00AA2C6A" w:rsidRPr="008438F4" w:rsidRDefault="00AA2C6A" w:rsidP="001162E2">
      <w:pPr>
        <w:spacing w:line="360" w:lineRule="auto"/>
        <w:rPr>
          <w:rFonts w:ascii="Calibri" w:hAnsi="Calibri" w:cs="Calibri"/>
        </w:rPr>
      </w:pPr>
    </w:p>
    <w:p w14:paraId="6B813A87" w14:textId="77777777" w:rsidR="00AA2C6A" w:rsidRPr="008438F4" w:rsidRDefault="00AA2C6A" w:rsidP="001162E2">
      <w:pPr>
        <w:spacing w:line="360" w:lineRule="auto"/>
        <w:ind w:firstLine="0"/>
        <w:rPr>
          <w:rFonts w:ascii="Calibri" w:hAnsi="Calibri" w:cs="Calibri"/>
        </w:rPr>
      </w:pPr>
    </w:p>
    <w:p w14:paraId="57AF448D" w14:textId="77777777" w:rsidR="00AA2C6A" w:rsidRPr="008438F4" w:rsidRDefault="00AA2C6A" w:rsidP="001162E2">
      <w:pPr>
        <w:spacing w:line="360" w:lineRule="auto"/>
        <w:ind w:firstLine="0"/>
        <w:rPr>
          <w:rFonts w:ascii="Calibri" w:hAnsi="Calibri" w:cs="Calibri"/>
        </w:rPr>
        <w:sectPr w:rsidR="00AA2C6A" w:rsidRPr="008438F4" w:rsidSect="00367476">
          <w:footerReference w:type="default" r:id="rId8"/>
          <w:pgSz w:w="12240" w:h="15840"/>
          <w:pgMar w:top="1440" w:right="1440" w:bottom="1440" w:left="1440" w:header="720" w:footer="720" w:gutter="0"/>
          <w:pgNumType w:fmt="lowerRoman" w:start="1"/>
          <w:cols w:space="720"/>
          <w:titlePg/>
          <w:docGrid w:linePitch="360"/>
        </w:sectPr>
      </w:pPr>
    </w:p>
    <w:p w14:paraId="79E5CAA2" w14:textId="77777777" w:rsidR="006B1124" w:rsidRPr="008438F4" w:rsidRDefault="006B1124" w:rsidP="00DD3B2F">
      <w:pPr>
        <w:pStyle w:val="Style1"/>
        <w:rPr>
          <w:rFonts w:cs="Calibri"/>
        </w:rPr>
      </w:pPr>
      <w:bookmarkStart w:id="3" w:name="_Toc106513527"/>
      <w:bookmarkStart w:id="4" w:name="_Toc106717785"/>
      <w:r w:rsidRPr="008438F4">
        <w:rPr>
          <w:rFonts w:cs="Calibri"/>
        </w:rPr>
        <w:t>Introduction</w:t>
      </w:r>
      <w:bookmarkEnd w:id="3"/>
      <w:bookmarkEnd w:id="4"/>
    </w:p>
    <w:p w14:paraId="7F9B9AE4"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By the year 2050, the world’s population age 60 and older is anticipated to rise from 900 million to two billion people </w:t>
      </w:r>
      <w:r w:rsidRPr="008438F4">
        <w:rPr>
          <w:rFonts w:cs="Calibri"/>
          <w:sz w:val="24"/>
          <w:szCs w:val="24"/>
        </w:rPr>
        <w:fldChar w:fldCharType="begin"/>
      </w:r>
      <w:r w:rsidRPr="008438F4">
        <w:rPr>
          <w:rFonts w:cs="Calibri"/>
          <w:sz w:val="24"/>
          <w:szCs w:val="24"/>
        </w:rPr>
        <w:instrText xml:space="preserve"> ADDIN ZOTERO_ITEM CSL_CITATION {"citationID":"oPzoMOI2","properties":{"formattedCitation":"{\\rtf (\\uc0\\u8220{}WHO | 10 facts on ageing and health,\\uc0\\u8221{} 2017)}","plainCitation":"(“WHO | 10 facts on ageing and health,” 2017)"},"citationItems":[{"id":735,"uris":["http://zotero.org/users/local/vDYxJ8mW/items/ZCHUGS2Z"],"uri":["http://zotero.org/users/local/vDYxJ8mW/items/ZCHUGS2Z"],"itemData":{"id":735,"type":"webpage","title":"WHO | 10 facts on ageing and health","container-title":"WHO","abstract":"Fact file on ageing and the life course: 10 facts and images","URL":"http://www.who.int/features/factfiles/ageing/en/","issued":{"date-parts":[["2017",5]]},"accessed":{"date-parts":[["2017",5,31]]}}}],"schema":"https://github.com/citation-style-language/schema/raw/master/csl-citation.json"} </w:instrText>
      </w:r>
      <w:r w:rsidRPr="008438F4">
        <w:rPr>
          <w:rFonts w:cs="Calibri"/>
          <w:sz w:val="24"/>
          <w:szCs w:val="24"/>
        </w:rPr>
        <w:fldChar w:fldCharType="separate"/>
      </w:r>
      <w:r w:rsidR="00AD2869" w:rsidRPr="008438F4">
        <w:rPr>
          <w:rFonts w:cs="Calibri"/>
          <w:sz w:val="24"/>
          <w:szCs w:val="24"/>
        </w:rPr>
        <w:t>(“WHO | 10 facts on ageing and health,” 2017)</w:t>
      </w:r>
      <w:r w:rsidRPr="008438F4">
        <w:rPr>
          <w:rFonts w:cs="Calibri"/>
          <w:sz w:val="24"/>
          <w:szCs w:val="24"/>
        </w:rPr>
        <w:fldChar w:fldCharType="end"/>
      </w:r>
      <w:r w:rsidRPr="008438F4">
        <w:rPr>
          <w:rFonts w:cs="Calibri"/>
          <w:sz w:val="24"/>
          <w:szCs w:val="24"/>
        </w:rPr>
        <w:t xml:space="preserve">. In the United States alone, adults age 65 and older represent one of the fastest growing segments of the population, with estimates expected to reach 23.5% by 2060 </w:t>
      </w:r>
      <w:r w:rsidRPr="008438F4">
        <w:rPr>
          <w:rFonts w:cs="Calibri"/>
          <w:sz w:val="24"/>
          <w:szCs w:val="24"/>
        </w:rPr>
        <w:fldChar w:fldCharType="begin"/>
      </w:r>
      <w:r w:rsidRPr="008438F4">
        <w:rPr>
          <w:rFonts w:cs="Calibri"/>
          <w:sz w:val="24"/>
          <w:szCs w:val="24"/>
        </w:rPr>
        <w:instrText xml:space="preserve"> ADDIN ZOTERO_ITEM CSL_CITATION {"citationID":"NhdTIu82","properties":{"formattedCitation":"(Bureau, 2014; Colby &amp; Ortman, 2015)","plainCitation":"(Bureau, 2014; Colby &amp; Ortman, 2015)"},"citationItems":[{"id":197,"uris":["http://zotero.org/users/local/vDYxJ8mW/items/8ZEWJJAP"],"uri":["http://zotero.org/users/local/vDYxJ8mW/items/8ZEWJJAP"],"itemData":{"id":197,"type":"webpage","title":"An Aging Nation: The Older Population in the United States","abstract":"Report examines how the age structure of the U.S. population is expected to change over the coming decades and focuses on the older population.","URL":"http://www.census.gov/library/publications/2014/demo/p25-1140.html","shortTitle":"An Aging Nation","language":"EN-US","author":[{"family":"Bureau","given":"US Census"}],"issued":{"date-parts":[["2014"]]},"accessed":{"date-parts":[["2017",1,23]]}}},{"id":914,"uris":["http://zotero.org/users/local/vDYxJ8mW/items/3DJNZK95"],"uri":["http://zotero.org/users/local/vDYxJ8mW/items/3DJNZK95"],"itemData":{"id":914,"type":"article","title":"Projections of the Size and Composition of the U.S. Population: 2014 to 2060","publisher":"U.S. Department of Commerce Economics and Statistics Administration","URL":"https://pdfs.semanticscholar.org/09c9/ad858a60f9be2d6966ebd0bc267af5a76321.pdf","author":[{"family":"Colby","given":"Sandra"},{"family":"Ortman","given":"Jennifer"}],"issued":{"date-parts":[["2015",3]]}}}],"schema":"https://github.com/citation-style-language/schema/raw/master/csl-citation.json"} </w:instrText>
      </w:r>
      <w:r w:rsidRPr="008438F4">
        <w:rPr>
          <w:rFonts w:cs="Calibri"/>
          <w:sz w:val="24"/>
          <w:szCs w:val="24"/>
        </w:rPr>
        <w:fldChar w:fldCharType="separate"/>
      </w:r>
      <w:r w:rsidR="00AD2869" w:rsidRPr="008438F4">
        <w:rPr>
          <w:rFonts w:cs="Calibri"/>
          <w:sz w:val="24"/>
        </w:rPr>
        <w:t>(Bureau, 2014; Colby &amp; Ortman, 2015)</w:t>
      </w:r>
      <w:r w:rsidRPr="008438F4">
        <w:rPr>
          <w:rFonts w:cs="Calibri"/>
          <w:sz w:val="24"/>
          <w:szCs w:val="24"/>
        </w:rPr>
        <w:fldChar w:fldCharType="end"/>
      </w:r>
      <w:r w:rsidRPr="008438F4">
        <w:rPr>
          <w:rFonts w:cs="Calibri"/>
          <w:sz w:val="24"/>
          <w:szCs w:val="24"/>
        </w:rPr>
        <w:t xml:space="preserve">. Increasing life expectancy has contributed to these trends. Older adults are living longer as a result of advances in public health, medical care, and technology. However, longevity is often accompanied by a number of chronic health conditions. In 2012, it was estimated that approximately half of US adults have at least one major chronic condition </w:t>
      </w:r>
      <w:r w:rsidRPr="008438F4">
        <w:rPr>
          <w:rFonts w:cs="Calibri"/>
          <w:sz w:val="24"/>
          <w:szCs w:val="24"/>
        </w:rPr>
        <w:fldChar w:fldCharType="begin"/>
      </w:r>
      <w:r w:rsidRPr="008438F4">
        <w:rPr>
          <w:rFonts w:cs="Calibri"/>
          <w:sz w:val="24"/>
          <w:szCs w:val="24"/>
        </w:rPr>
        <w:instrText xml:space="preserve"> ADDIN ZOTERO_ITEM CSL_CITATION {"citationID":"1eq3ns4sln","properties":{"formattedCitation":"(Ward, Schiller, &amp; Goodman, 2014)","plainCitation":"(Ward, Schiller, &amp; Goodman, 2014)"},"citationItems":[{"id":908,"uris":["http://zotero.org/users/local/vDYxJ8mW/items/3VIISEWQ"],"uri":["http://zotero.org/users/local/vDYxJ8mW/items/3VIISEWQ"],"itemData":{"id":908,"type":"article-journal","title":"Multiple chronic conditions among US adults: a 2012 update","container-title":"Preventing Chronic Disease","page":"E62","volume":"11","source":"PubMed","abstract":"The objective of this research was to update earlier estimates of prevalence rates of single chronic conditions and multiple (&gt;2) chronic conditions (MCC) among the noninstitutionalized, civilian US adult population. Data from the 2012 National Health Interview Survey (NHIS) were used to generate estimates of MCC for US adults and by select demographic characteristics. Approximately half (117 million) of US adults have at least one of the 10 chronic conditions examined (ie, hypertension, coronary heart disease, stroke, diabetes, cancer, arthritis, hepatitis, weak or failing kidneys, current asthma, or chronic obstructive pulmonary disease [COPD]). Furthermore, 1 in 4 adults has MCC.","DOI":"10.5888/pcd11.130389","ISSN":"1545-1151","note":"PMID: 24742395\nPMCID: PMC3992293","shortTitle":"Multiple chronic conditions among US adults","journalAbbreviation":"Prev Chronic Dis","language":"eng","author":[{"family":"Ward","given":"Brian W."},{"family":"Schiller","given":"Jeannine S."},{"family":"Goodman","given":"Richard A."}],"issued":{"date-parts":[["2014",4,17]]}}}],"schema":"https://github.com/citation-style-language/schema/raw/master/csl-citation.json"} </w:instrText>
      </w:r>
      <w:r w:rsidRPr="008438F4">
        <w:rPr>
          <w:rFonts w:cs="Calibri"/>
          <w:sz w:val="24"/>
          <w:szCs w:val="24"/>
        </w:rPr>
        <w:fldChar w:fldCharType="separate"/>
      </w:r>
      <w:r w:rsidR="00AD2869" w:rsidRPr="008438F4">
        <w:rPr>
          <w:rFonts w:cs="Calibri"/>
          <w:sz w:val="24"/>
        </w:rPr>
        <w:t>(Ward, Schiller, &amp; Goodman, 2014)</w:t>
      </w:r>
      <w:r w:rsidRPr="008438F4">
        <w:rPr>
          <w:rFonts w:cs="Calibri"/>
          <w:sz w:val="24"/>
          <w:szCs w:val="24"/>
        </w:rPr>
        <w:fldChar w:fldCharType="end"/>
      </w:r>
      <w:r w:rsidRPr="008438F4">
        <w:rPr>
          <w:rFonts w:cs="Calibri"/>
          <w:sz w:val="24"/>
          <w:szCs w:val="24"/>
        </w:rPr>
        <w:t>.  This anticipated growth in the population of older adults and persons living with chronic disease has led to a rise in prevention efforts that target age-associated physical function decline and disability (Guralnik, Fried, &amp; Salive, 1996).  Additionally, public health resources have been redirected to understand ‘healthy aging’, which is defined by the US Center for Disease Control and Prevention as, “the d</w:t>
      </w:r>
      <w:r w:rsidRPr="008438F4">
        <w:rPr>
          <w:rFonts w:cs="Calibri"/>
          <w:color w:val="000000"/>
          <w:sz w:val="24"/>
          <w:szCs w:val="24"/>
          <w:shd w:val="clear" w:color="auto" w:fill="FFFFFF"/>
        </w:rPr>
        <w:t xml:space="preserve">evelopment and maintenance of optimal physical, mental and social well-being and function in older adults”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{"citationID":"1de7996lf3","properties":{"formattedCitation":"{\\rtf (\\uc0\\u8220{}Preventing Chronic Disease: January 2006: 05_0054,\\uc0\\u8221{} n.d.)}","plainCitation":"(“Preventing Chronic Disease: January 2006: 05_0054,” n.d.)"},"citationItems":[{"id":858,"uris":["http://zotero.org/users/local/vDYxJ8mW/items/9S4DEVT8"],"uri":["http://zotero.org/users/local/vDYxJ8mW/items/9S4DEVT8"],"itemData":{"id":858,"type":"webpage","title":"Preventing Chronic Disease: January 2006: 05_0054","URL":"https://www.cdc.gov/pcd/issues/2006/jan/05_0054.htm","accessed":{"date-parts":[["2017",7,27]]}}}],"schema":"https://github.com/citation-style-language/schema/raw/master/csl-citation.json"} </w:instrText>
      </w:r>
      <w:r w:rsidRPr="008438F4">
        <w:rPr>
          <w:rFonts w:cs="Calibri"/>
          <w:color w:val="000000"/>
          <w:sz w:val="24"/>
          <w:szCs w:val="24"/>
          <w:shd w:val="clear" w:color="auto" w:fill="FFFFFF"/>
        </w:rPr>
        <w:fldChar w:fldCharType="separate"/>
      </w:r>
      <w:r w:rsidR="00AD2869" w:rsidRPr="008438F4">
        <w:rPr>
          <w:rFonts w:cs="Calibri"/>
          <w:sz w:val="24"/>
          <w:szCs w:val="24"/>
        </w:rPr>
        <w:t>(“Preventing Chronic Disease: January 2006: 05_0054,” n.d.)</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Critical to this definition is the concept of function and implications for independence in the community.  </w:t>
      </w:r>
    </w:p>
    <w:p w14:paraId="0F92085A" w14:textId="77777777" w:rsidR="0099247D" w:rsidRPr="008438F4" w:rsidRDefault="0099247D" w:rsidP="00DD3B2F">
      <w:pPr>
        <w:pStyle w:val="NoSpacing"/>
        <w:spacing w:line="360" w:lineRule="auto"/>
        <w:ind w:firstLine="720"/>
        <w:jc w:val="both"/>
        <w:rPr>
          <w:rFonts w:cs="Calibri"/>
          <w:sz w:val="24"/>
          <w:szCs w:val="24"/>
        </w:rPr>
      </w:pPr>
      <w:r w:rsidRPr="008438F4">
        <w:rPr>
          <w:rFonts w:cs="Calibri"/>
          <w:sz w:val="24"/>
          <w:szCs w:val="24"/>
        </w:rPr>
        <w:t>Functional independence is recognized as a public health challenge, as maintaining independence is critical for the prevention of disability and can significantly reduce health complications (Branch et al., 1991). Decline in physical performance and subsequent impaired or reduced mobility may be preceded by fatigue (Avlund, Pedersen, &amp; Schroll, 2003; Mueller-Schotte, Bleijenberg, van der Schouw, &amp; Schuurmans, 2016). In a study of community-living adults age 70 and older, fatigue was the primary reason for restriction of activity (Gill, Desai, Gahbauer, Holford, &amp; Williams, 2001). Among middle aged and older adults, fatigue is often reported as one of the top five complaints in primary care settings (Kenter, Okkes, Oskam, &amp; Lamberts, 2003; Meng, Hale, &amp; Friedberg, 2010). Thus, fatigue is also considered to be a growing health problem, because fatigue is both an independent predictor of mortality and incident disability, and it has implications for functional limitation and utilization of social and health services (Ekmann, Petersen, Mänty, Christensen, &amp; Avlund, 2013)</w:t>
      </w:r>
    </w:p>
    <w:p w14:paraId="70573158" w14:textId="77777777" w:rsidR="0099247D" w:rsidRPr="008438F4" w:rsidRDefault="0099247D" w:rsidP="00DD3B2F">
      <w:pPr>
        <w:pStyle w:val="NoSpacing"/>
        <w:spacing w:line="360" w:lineRule="auto"/>
        <w:ind w:firstLine="720"/>
        <w:jc w:val="both"/>
        <w:rPr>
          <w:rFonts w:cs="Calibri"/>
          <w:sz w:val="24"/>
          <w:szCs w:val="24"/>
        </w:rPr>
      </w:pPr>
      <w:r w:rsidRPr="008438F4">
        <w:rPr>
          <w:rFonts w:cs="Calibri"/>
          <w:sz w:val="24"/>
          <w:szCs w:val="24"/>
        </w:rPr>
        <w:t>Many fatigue questionnaires offer information about fatigue in the context of tiredness or exhaustion, but are only limited to perceived global fatigue measures. Rather, fatigability measures can be used to better characterize fatigue in the context of daily activities that are not necessarily attributed to a state of tiredness due to sleep behaviors. The pathophysiology of perceived physical and mental fatigability has largely been understudied, but there is evidence to suggest that fatigue may have neurobiological origins (Harrington, 2012; Kluger, Krupp, &amp; Enoka, 2013; Nakagawa et al., 2016; Rocca et al., 2014; Shan et al., 2016).</w:t>
      </w:r>
    </w:p>
    <w:p w14:paraId="5C0CF634" w14:textId="77777777" w:rsidR="0099247D" w:rsidRPr="008438F4" w:rsidRDefault="0099247D" w:rsidP="00DD3B2F">
      <w:pPr>
        <w:pStyle w:val="NoSpacing"/>
        <w:spacing w:line="360" w:lineRule="auto"/>
        <w:ind w:firstLine="720"/>
        <w:jc w:val="both"/>
        <w:rPr>
          <w:rFonts w:cs="Calibri"/>
          <w:sz w:val="24"/>
          <w:szCs w:val="24"/>
        </w:rPr>
      </w:pPr>
      <w:r w:rsidRPr="008438F4">
        <w:rPr>
          <w:rFonts w:cs="Calibri"/>
          <w:sz w:val="24"/>
          <w:szCs w:val="24"/>
        </w:rPr>
        <w:t xml:space="preserve">Advances in neuroimaging technology have made it possible for researchers to explore the brain in the context of fatigability. Thus, this paper will 1) provide a review of the fatigue and fatigability literature to identify a critical gap in fatigability knowledge and 2) address this gap by examining the relationship between regional brain volume and physical and mental fatigability using cross-sectional baseline data from the Lifestyle Interventions and Independence for Elders Study collected at the University of Pittsburgh field center. </w:t>
      </w:r>
    </w:p>
    <w:p w14:paraId="784DFED5" w14:textId="77777777" w:rsidR="0099247D" w:rsidRPr="008438F4" w:rsidRDefault="0099247D" w:rsidP="0099411C">
      <w:pPr>
        <w:pStyle w:val="Heading2"/>
        <w:rPr>
          <w:rFonts w:ascii="Calibri" w:hAnsi="Calibri" w:cs="Calibri"/>
        </w:rPr>
      </w:pPr>
      <w:bookmarkStart w:id="5" w:name="_Toc499840770"/>
      <w:r w:rsidRPr="008438F4">
        <w:rPr>
          <w:rFonts w:ascii="Calibri" w:hAnsi="Calibri" w:cs="Calibri"/>
        </w:rPr>
        <w:t>FATIGUE</w:t>
      </w:r>
      <w:bookmarkEnd w:id="5"/>
    </w:p>
    <w:p w14:paraId="63361854" w14:textId="77777777" w:rsidR="0099247D" w:rsidRPr="008438F4" w:rsidRDefault="0099247D" w:rsidP="0099411C">
      <w:pPr>
        <w:pStyle w:val="Heading3"/>
        <w:rPr>
          <w:rFonts w:ascii="Calibri" w:hAnsi="Calibri" w:cs="Calibri"/>
        </w:rPr>
      </w:pPr>
      <w:bookmarkStart w:id="6" w:name="_Toc499840771"/>
      <w:r w:rsidRPr="008438F4">
        <w:rPr>
          <w:rFonts w:ascii="Calibri" w:hAnsi="Calibri" w:cs="Calibri"/>
        </w:rPr>
        <w:t>Overview</w:t>
      </w:r>
      <w:bookmarkEnd w:id="6"/>
    </w:p>
    <w:p w14:paraId="2D503E89" w14:textId="77777777" w:rsidR="0099247D" w:rsidRPr="008438F4" w:rsidRDefault="0099247D" w:rsidP="0099247D">
      <w:pPr>
        <w:pStyle w:val="ListParagraph"/>
        <w:spacing w:line="360" w:lineRule="auto"/>
        <w:ind w:left="0"/>
        <w:jc w:val="both"/>
        <w:rPr>
          <w:rFonts w:cs="Calibri"/>
          <w:sz w:val="24"/>
          <w:szCs w:val="24"/>
        </w:rPr>
      </w:pPr>
      <w:r w:rsidRPr="008438F4">
        <w:rPr>
          <w:rFonts w:cs="Calibri"/>
          <w:sz w:val="24"/>
          <w:szCs w:val="24"/>
        </w:rPr>
        <w:t xml:space="preserve">Fatigue is a chronic complaint among both young and older adults and a common reason for seeking medical care </w:t>
      </w:r>
      <w:r w:rsidRPr="008438F4">
        <w:rPr>
          <w:rFonts w:cs="Calibri"/>
          <w:sz w:val="24"/>
          <w:szCs w:val="24"/>
        </w:rPr>
        <w:fldChar w:fldCharType="begin"/>
      </w:r>
      <w:r w:rsidRPr="008438F4">
        <w:rPr>
          <w:rFonts w:cs="Calibri"/>
          <w:sz w:val="24"/>
          <w:szCs w:val="24"/>
        </w:rPr>
        <w:instrText xml:space="preserve"> ADDIN ZOTERO_ITEM CSL_CITATION {"citationID":"f1Ky6LZW","properties":{"formattedCitation":"(Kenter, Okkes, Oskam, &amp; Lamberts, 2003; Watt et al., 2000)","plainCitation":"(Kenter, Okkes, Oskam, &amp; Lamberts, 2003; Watt et al., 2000)"},"citationItems":[{"id":789,"uris":["http://zotero.org/users/local/vDYxJ8mW/items/MWQPXCFH"],"uri":["http://zotero.org/users/local/vDYxJ8mW/items/MWQPXCFH"],"itemData":{"id":789,"type":"article-journal","title":"Tiredness in Dutch family practice. Data on patients complaining of and/or diagnosed with \"tiredness\"","container-title":"Family Practice","page":"434-440","volume":"20","issue":"4","source":"PubMed","abstract":"BACKGROUND: Research including patients from the entire tiredness spectrum in family practice is needed.\nOBJECTIVES: Our aim was to provide routine family practice data on (i) relationships between the RFE (reason for encounter) and the diagnosis \"tiredness\"; (ii) duration, number of encounters and family physician's (FP's) interventions in episodes of care of tiredness; and (iii) sex/age and co-morbidity of patients diagnosed with \"tiredness\".\nMETHODS: Routine episode of care data from the Transition Project, coded comprehensively with the International Classification of Primary Care (ICPC), were used. (i) A 16 year database (1985-2000, 58 FPs, 504 145 episodes of care, 168 550 patient years) for calculating \"prior probabilities\" with (diagnostic) odds ratios. (ii) A \"basic population\" extracted from that 16 year database of patients listed for an entire 4 year period (1997-2000; n = 12 292).\nRESULTS: The RFE tiredness resulted in a variety of diagnoses, but most frequently (43%) in \"tiredness\". Most odds ratios were low or negative. Of episodes of care of tiredness, 90% started with the RFE tiredness; 72% required one encounter only, and 90% lasted &lt;6 months. In the 4 year period, 21% of patients first presented with tiredness, and 12% were diagnosed with tiredness; both groups were skewed towards women. Average co-morbidity in tired patients (16.6) was higher than in other visiting patients (10.4), and contained more tiredness-related conditions. FPs' interventions were mainly blood test, physical exam and advice; few referrals occurred.\nCONCLUSIONS: For many diagnoses, the RFE tiredness hardly contributes to the Bayesian posterior probability. FPs react differently to the RFE tiredness in cases in which they diagnose the patient with \"tiredness\" from how they react in other cases. The characteristics of ICPC and the Dutch health care system resulted in a full integration of tiredness as an RFE and as a freestanding episode of care in the context of family practice.","ISSN":"0263-2136","note":"PMID: 12876117","journalAbbreviation":"Fam Pract","language":"eng","author":[{"family":"Kenter","given":"E. G. H."},{"family":"Okkes","given":"I. M."},{"family":"Oskam","given":"S. K."},{"family":"Lamberts","given":"H."}],"issued":{"date-parts":[["2003",8]]}}},{"id":854,"uris":["http://zotero.org/users/local/vDYxJ8mW/items/CWMK873W"],"uri":["http://zotero.org/users/local/vDYxJ8mW/items/CWMK873W"],"itemData":{"id":854,"type":"article-journal","title":"Fatigue in the Danish general population. Influence of sociodemographic factors and disease","container-title":"Journal of Epidemiology and Community Health","page":"827-833","volume":"54","issue":"11","source":"PubMed","abstract":"OBJECTIVE: To measure the levels of fatigue in the general population, and to examine how disease and sociodemographic factors influence fatigue.\nDESIGN: Cross sectional questionnaire study in the Danish general population.\nSUBJECTS: A random, age stratified sample of 1608 people aged 20-77 with an equal gender distribution (response rate 67%).\nMAIN OUTCOME MEASURES: Five fatigue scales from the questionnaire Multidimensional Fatigue Inventory: General Fatigue, Physical Fatigue, Reduced Activity, Reduced Motivation and Mental Fatigue.\nRESULTS: Fatigue scores were skewed towards absence of fatigue. The General Fatigue and Physical Fatigue scales showed the highest fatigue levels while the Reduced Motivation scale showed lowest levels. Gender differences in fatigue scores were small, but the variability among women was higher-that is, more women had high scores. A multiple linear regression analysis showed that respondents of low social status and respondents with a depression had high fatigue scores on all scales, independent of other factors. Chronic somatic disease had an independent direct effect on Mental Fatigue, but for the rest of the scales, the effect of somatic disease depended on age, gender and/or whether the person was living alone. For example, General and Physical Fatigue decreased with age among healthy people, whereas scores on these scales increased with age among those with a somatic disease.\nCONCLUSIONS: Physical and mental diseases play essential parts for the level of fatigue and as modulators of the associations between sociodemographic factors and fatigue. These interactions should be taken into account in future research on fatigue and sociodemographic factors and when data from clinical studies are compared with normative data from the general population.","ISSN":"0143-005X","note":"PMID: 11027196\nPMCID: PMC1731588","journalAbbreviation":"J Epidemiol Community Health","language":"eng","author":[{"family":"Watt","given":"T."},{"family":"Groenvold","given":"M."},{"family":"Bjorner","given":"J. B."},{"family":"Noerholm","given":"V."},{"family":"Rasmussen","given":"N. A."},{"family":"Bech","given":"P."}],"issued":{"date-parts":[["2000",11]]}}}],"schema":"https://github.com/citation-style-language/schema/raw/master/csl-citation.json"} </w:instrText>
      </w:r>
      <w:r w:rsidRPr="008438F4">
        <w:rPr>
          <w:rFonts w:cs="Calibri"/>
          <w:sz w:val="24"/>
          <w:szCs w:val="24"/>
        </w:rPr>
        <w:fldChar w:fldCharType="separate"/>
      </w:r>
      <w:r w:rsidR="00AD2869" w:rsidRPr="008438F4">
        <w:rPr>
          <w:rFonts w:cs="Calibri"/>
          <w:sz w:val="24"/>
        </w:rPr>
        <w:t>(Kenter, Okkes, Oskam, &amp; Lamberts, 2003; Watt et al., 2000)</w:t>
      </w:r>
      <w:r w:rsidRPr="008438F4">
        <w:rPr>
          <w:rFonts w:cs="Calibri"/>
          <w:sz w:val="24"/>
          <w:szCs w:val="24"/>
        </w:rPr>
        <w:fldChar w:fldCharType="end"/>
      </w:r>
      <w:r w:rsidRPr="008438F4">
        <w:rPr>
          <w:rFonts w:cs="Calibri"/>
          <w:sz w:val="24"/>
          <w:szCs w:val="24"/>
        </w:rPr>
        <w:t xml:space="preserve">. Previously, fatigue has been described as a state of tiredness, strain and weakness associated with a feeling of exhaustion, and or a response to physical or psychological stress </w:t>
      </w:r>
      <w:r w:rsidRPr="008438F4">
        <w:rPr>
          <w:rFonts w:cs="Calibri"/>
          <w:sz w:val="24"/>
          <w:szCs w:val="24"/>
        </w:rPr>
        <w:fldChar w:fldCharType="begin"/>
      </w:r>
      <w:r w:rsidRPr="008438F4">
        <w:rPr>
          <w:rFonts w:cs="Calibri"/>
          <w:sz w:val="24"/>
          <w:szCs w:val="24"/>
        </w:rPr>
        <w:instrText xml:space="preserve"> ADDIN ZOTERO_ITEM CSL_CITATION {"citationID":"13v2eto9ga","properties":{"formattedCitation":"{\\rtf (Tralongo, Respini, &amp; Ferra\\uc0\\u249{}, 2003)}","plainCitation":"(Tralongo, Respini, &amp; Ferraù, 2003)"},"citationItems":[{"id":714,"uris":["http://zotero.org/users/local/vDYxJ8mW/items/TTXTP27Q"],"uri":["http://zotero.org/users/local/vDYxJ8mW/items/TTXTP27Q"],"itemData":{"id":714,"type":"article-journal","title":"Fatigue and aging","container-title":"Critical Reviews in Oncology/Hematology","collection-title":"Geriatric Oncology: Focus on Myelodepression","page":"S57-S64","volume":"48, Supplement","source":"ScienceDirect","abstract":"Fatigue is the most common chronic symptom of cancer and the symptom most likely to disrupt the patient’s activity and to cause disability.\nFatigue affects older cancer patients to the same order of magnitude as younger ones and appears to be related to different factors such as anemia, depression, and reduced neuromuscular energy production. Interestingly, some studies have suggested that the duration of fatigue may be age-related.\nIn the elderly, fatigue may cause functional dependence; functional dependence may lead to interruption of treatment, decline in quality of life and expensive home care. Available interventions include reduction of centrally acting drugs, management of anemia and metabolic abnormalities, and management of depression, treatment of sleep disorders, correction of endocrine abnormalities and realistic exercise programmes.","DOI":"10.1016/j.critrevonc.2003.07.003","ISSN":"1040-8428","journalAbbreviation":"Critical Reviews in Oncology/Hematology","author":[{"family":"Tralongo","given":"Paolo"},{"family":"Respini","given":"Daniela"},{"family":"Ferraù","given":"Francesco"}],"issued":{"date-parts":[["2003",10,15]]}}}],"schema":"https://github.com/citation-style-language/schema/raw/master/csl-citation.json"} </w:instrText>
      </w:r>
      <w:r w:rsidRPr="008438F4">
        <w:rPr>
          <w:rFonts w:cs="Calibri"/>
          <w:sz w:val="24"/>
          <w:szCs w:val="24"/>
        </w:rPr>
        <w:fldChar w:fldCharType="separate"/>
      </w:r>
      <w:r w:rsidR="00AD2869" w:rsidRPr="008438F4">
        <w:rPr>
          <w:rFonts w:cs="Calibri"/>
          <w:sz w:val="24"/>
          <w:szCs w:val="24"/>
        </w:rPr>
        <w:t>(Tralongo, Respini, &amp; Ferraù, 2003)</w:t>
      </w:r>
      <w:r w:rsidRPr="008438F4">
        <w:rPr>
          <w:rFonts w:cs="Calibri"/>
          <w:sz w:val="24"/>
          <w:szCs w:val="24"/>
        </w:rPr>
        <w:fldChar w:fldCharType="end"/>
      </w:r>
      <w:r w:rsidRPr="008438F4">
        <w:rPr>
          <w:rFonts w:cs="Calibri"/>
          <w:sz w:val="24"/>
          <w:szCs w:val="24"/>
        </w:rPr>
        <w:t xml:space="preserve">. Generally, fatigue can be acute, where feelings of fatigue are rapid and do not affect a person’s quality of life, or chronic, where feelings of fatigue are long-lasting and generalized </w:t>
      </w:r>
      <w:r w:rsidRPr="008438F4">
        <w:rPr>
          <w:rFonts w:cs="Calibri"/>
          <w:sz w:val="24"/>
          <w:szCs w:val="24"/>
        </w:rPr>
        <w:fldChar w:fldCharType="begin"/>
      </w:r>
      <w:r w:rsidRPr="008438F4">
        <w:rPr>
          <w:rFonts w:cs="Calibri"/>
          <w:sz w:val="24"/>
          <w:szCs w:val="24"/>
        </w:rPr>
        <w:instrText xml:space="preserve"> ADDIN ZOTERO_ITEM CSL_CITATION {"citationID":"of3nw6Cm","properties":{"formattedCitation":"(Shen, Barbera, &amp; Shapiro, 2006; Tralongo et al., 2003)","plainCitation":"(Shen, Barbera, &amp; Shapiro, 2006; Tralongo et al., 2003)"},"citationItems":[{"id":872,"uris":["http://zotero.org/users/local/vDYxJ8mW/items/MK6RTMU6"],"uri":["http://zotero.org/users/local/vDYxJ8mW/items/MK6RTMU6"],"itemData":{"id":872,"type":"article-journal","title":"Distinguishing sleepiness and fatigue: focus on definition and measurement","container-title":"Sleep Medicine Reviews","page":"63-76","volume":"10","issue":"1","source":"PubMed","abstract":"Sleepiness and fatigue are two interrelated, but distinct phenomena; observed in a number of psychiatric, medical and primary sleep disorders. Despite their different implications in terms of diagnosis and treatment, these two terms are often used interchangeably, or merged under the more general lay term of 'tired'. Sleepiness is multidimensional and has many causes (multidetermined) and distinguished from fatigue by a presumed impairment of the normal arousal mechanism. Despite its ubiquity, no clear consensus exits as yet as to what constitutes sleepiness. Definitions of sleepiness, to date, are at best operational definitions, conceptualized so as to produce specific assessment instruments. As a result, while a number of subjective and objective measurement tools have been developed to measure sleepiness, each only captures a limited aspect of an otherwise heterogeneous entity. Fatigue is an equally complex phenomenon, its nature captured by a number of conceptualizations and definitions. Measures of fatigue have remained subjective, with a 'gold standard' for its measurement remaining elusive. Despite a high prevalence and high degree of morbidity, fatigue has remained a relatively under appreciated symptom, from both a clinical and research point of view.","DOI":"10.1016/j.smrv.2005.05.004","ISSN":"1087-0792","note":"PMID: 16376590","shortTitle":"Distinguishing sleepiness and fatigue","journalAbbreviation":"Sleep Med Rev","language":"eng","author":[{"family":"Shen","given":"Jianhua"},{"family":"Barbera","given":"Joseph"},{"family":"Shapiro","given":"Colin M."}],"issued":{"date-parts":[["2006",2]]}}},{"id":714,"uris":["http://zotero.org/users/local/vDYxJ8mW/items/TTXTP27Q"],"uri":["http://zotero.org/users/local/vDYxJ8mW/items/TTXTP27Q"],"itemData":{"id":714,"type":"article-journal","title":"Fatigue and aging","container-title":"Critical Reviews in Oncology/Hematology","collection-title":"Geriatric Oncology: Focus on Myelodepression","page":"S57-S64","volume":"48, Supplement","source":"ScienceDirect","abstract":"Fatigue is the most common chronic symptom of cancer and the symptom most likely to disrupt the patient’s activity and to cause disability.\nFatigue affects older cancer patients to the same order of magnitude as younger ones and appears to be related to different factors such as anemia, depression, and reduced neuromuscular energy production. Interestingly, some studies have suggested that the duration of fatigue may be age-related.\nIn the elderly, fatigue may cause functional dependence; functional dependence may lead to interruption of treatment, decline in quality of life and expensive home care. Available interventions include reduction of centrally acting drugs, management of anemia and metabolic abnormalities, and management of depression, treatment of sleep disorders, correction of endocrine abnormalities and realistic exercise programmes.","DOI":"10.1016/j.critrevonc.2003.07.003","ISSN":"1040-8428","journalAbbreviation":"Critical Reviews in Oncology/Hematology","author":[{"family":"Tralongo","given":"Paolo"},{"family":"Respini","given":"Daniela"},{"family":"Ferraù","given":"Francesco"}],"issued":{"date-parts":[["2003",10,15]]}}}],"schema":"https://github.com/citation-style-language/schema/raw/master/csl-citation.json"} </w:instrText>
      </w:r>
      <w:r w:rsidRPr="008438F4">
        <w:rPr>
          <w:rFonts w:cs="Calibri"/>
          <w:sz w:val="24"/>
          <w:szCs w:val="24"/>
        </w:rPr>
        <w:fldChar w:fldCharType="separate"/>
      </w:r>
      <w:r w:rsidR="00AD2869" w:rsidRPr="008438F4">
        <w:rPr>
          <w:rFonts w:cs="Calibri"/>
          <w:sz w:val="24"/>
        </w:rPr>
        <w:t>(Shen, Barbera, &amp; Shapiro, 2006; Tralongo et al., 2003)</w:t>
      </w:r>
      <w:r w:rsidRPr="008438F4">
        <w:rPr>
          <w:rFonts w:cs="Calibri"/>
          <w:sz w:val="24"/>
          <w:szCs w:val="24"/>
        </w:rPr>
        <w:fldChar w:fldCharType="end"/>
      </w:r>
      <w:r w:rsidRPr="008438F4">
        <w:rPr>
          <w:rFonts w:cs="Calibri"/>
          <w:sz w:val="24"/>
          <w:szCs w:val="24"/>
        </w:rPr>
        <w:t xml:space="preserve">. The word, “fatigue,” is also used interchangeably with sleepiness, apathy, exhaustion, tiredness, weakness or lack of vigor.  In a clinical setting, fatigue is a symptom of tiredness related to a medical condition or a side effect of a drug or surgery. However, in many cases, the cause of fatigue is unknown. </w:t>
      </w:r>
    </w:p>
    <w:p w14:paraId="7A7BD672" w14:textId="77777777" w:rsidR="0099247D" w:rsidRPr="008438F4" w:rsidRDefault="0099247D" w:rsidP="007B600A">
      <w:pPr>
        <w:pStyle w:val="ListParagraph"/>
        <w:spacing w:line="360" w:lineRule="auto"/>
        <w:ind w:left="0" w:firstLine="720"/>
        <w:jc w:val="both"/>
        <w:rPr>
          <w:rFonts w:cs="Calibri"/>
          <w:sz w:val="24"/>
          <w:szCs w:val="24"/>
        </w:rPr>
      </w:pPr>
      <w:r w:rsidRPr="008438F4">
        <w:rPr>
          <w:rFonts w:cs="Calibri"/>
          <w:sz w:val="24"/>
          <w:szCs w:val="24"/>
        </w:rPr>
        <w:t xml:space="preserve">A previous review of the literature on fatigue highlighted that although fatigue remains a common complaint among both healthy and diseased individuals, the definition of fatigue remains under debate </w:t>
      </w:r>
      <w:r w:rsidRPr="008438F4">
        <w:rPr>
          <w:rFonts w:cs="Calibri"/>
          <w:sz w:val="24"/>
          <w:szCs w:val="24"/>
        </w:rPr>
        <w:fldChar w:fldCharType="begin"/>
      </w:r>
      <w:r w:rsidRPr="008438F4">
        <w:rPr>
          <w:rFonts w:cs="Calibri"/>
          <w:sz w:val="24"/>
          <w:szCs w:val="24"/>
        </w:rPr>
        <w:instrText xml:space="preserve"> ADDIN ZOTERO_ITEM CSL_CITATION {"citationID":"dc8iu8udl","properties":{"formattedCitation":"(Finsterer &amp; Mahjoub, 2014)","plainCitation":"(Finsterer &amp; Mahjoub, 2014)"},"citationItems":[{"id":169,"uris":["http://zotero.org/users/local/vDYxJ8mW/items/D79AVQGD"],"uri":["http://zotero.org/users/local/vDYxJ8mW/items/D79AVQGD"],"itemData":{"id":169,"type":"article-journal","title":"Fatigue in healthy and diseased individuals","container-title":"The American Journal of Hospice &amp; Palliative Care","page":"562-575","volume":"31","issue":"5","source":"PubMed","abstract":"OBJECTIVES: Although fatigue is experienced by everyone, its definition and classification remains under debate.\nMETHODS: A review of the previously published data on fatigue.\nRESULTS: Fatigue is influenced by age, gender, physical condition, type of food, latency to last meal, mental status, psychological conditions, personality type, life experience, and the health status of an individual. Fatigue may not only be a symptom but also a measurable and quantifiable dimension, also known as fatigability. Additionally, it may be classified as a condition occurring at rest or under exercise or stress, as physiologic reaction or pathologic condition, as spontaneous phenomenon or triggerable state, as resistant or irresistant to preconditioning, training, or attitude, as prominent or collateral experience, and as accessible or inaccessible to any type of treatment or intervention. Fatigue may be the sole symptom of a disease or one among others. It may be also classified as acute or chronic. Quantification of fatigability is achievable by fatigue scores, force measurement, electromyography, or other means. Fatigue and fatigability need to be delineated from conditions such as sleepiness, apathy, exhaustion, exercise intolerance, lack of vigor, weakness, inertia, or tiredness. Among neurological disorders, the prevalence of fatigue is particularly increased in multiple sclerosis, amyotrophic lateral sclerosis, Parkinson disease, traumatic brain injury, stroke, and bleeding and also in neuromuscular disorders. Fatigue may be influenced by training, mental preconditioning, or drugs.\nCONCLUSIONS: Fatigue needs to be recognized as an important condition that is not only a symptom but may also be quantified and can be modified by various measures depending on the underlying cause.","DOI":"10.1177/1049909113494748","ISSN":"1938-2715","note":"PMID: 23892338","journalAbbreviation":"Am J Hosp Palliat Care","language":"eng","author":[{"family":"Finsterer","given":"Josef"},{"family":"Mahjoub","given":"Sinda Zarrouk"}],"issued":{"date-parts":[["2014",8]]}}}],"schema":"https://github.com/citation-style-language/schema/raw/master/csl-citation.json"} </w:instrText>
      </w:r>
      <w:r w:rsidRPr="008438F4">
        <w:rPr>
          <w:rFonts w:cs="Calibri"/>
          <w:sz w:val="24"/>
          <w:szCs w:val="24"/>
        </w:rPr>
        <w:fldChar w:fldCharType="separate"/>
      </w:r>
      <w:r w:rsidR="00AD2869" w:rsidRPr="008438F4">
        <w:rPr>
          <w:rFonts w:cs="Calibri"/>
          <w:sz w:val="24"/>
        </w:rPr>
        <w:t>(Finsterer &amp; Mahjoub, 2014)</w:t>
      </w:r>
      <w:r w:rsidRPr="008438F4">
        <w:rPr>
          <w:rFonts w:cs="Calibri"/>
          <w:sz w:val="24"/>
          <w:szCs w:val="24"/>
        </w:rPr>
        <w:fldChar w:fldCharType="end"/>
      </w:r>
      <w:r w:rsidRPr="008438F4">
        <w:rPr>
          <w:rFonts w:cs="Calibri"/>
          <w:sz w:val="24"/>
          <w:szCs w:val="24"/>
        </w:rPr>
        <w:t xml:space="preserve">.  As a result, prevalence estimates are highly variable.  Various sources suggest that the prevalence of fatigue may range from 5% to as high as 68% </w:t>
      </w:r>
      <w:r w:rsidRPr="008438F4">
        <w:rPr>
          <w:rFonts w:cs="Calibri"/>
          <w:sz w:val="24"/>
          <w:szCs w:val="24"/>
        </w:rPr>
        <w:fldChar w:fldCharType="begin"/>
      </w:r>
      <w:r w:rsidRPr="008438F4">
        <w:rPr>
          <w:rFonts w:cs="Calibri"/>
          <w:sz w:val="24"/>
          <w:szCs w:val="24"/>
        </w:rPr>
        <w:instrText xml:space="preserve"> ADDIN ZOTERO_ITEM CSL_CITATION {"citationID":"Yx1u93xg","properties":{"formattedCitation":"(Alexander et al., 2010; Liao &amp; Ferrell, 2000; Moreh, Jacobs, &amp; Stessman, 2010)","plainCitation":"(Alexander et al., 2010; Liao &amp; Ferrell, 2000; Moreh, Jacobs, &amp; Stessman, 2010)"},"citationItems":[{"id":1063,"uris":["http://zotero.org/users/local/vDYxJ8mW/items/BA9QFTSU"],"uri":["http://zotero.org/users/local/vDYxJ8mW/items/BA9QFTSU"],"itemData":{"id":1063,"type":"article-journal","title":"Bedside-to-Bench Conference: Research Agenda for Idiopathic Fatigue and Aging","container-title":"Journal of the American Geriatrics Society","page":"967-975","volume":"58","issue":"5","source":"PubMed Central","abstract":"The American Geriatrics Society, with support from the National Institute on Aging and the John A. Hartford Foundation, held its fifth Bedside-to-Bench research conference, “Idiopathic Fatigue and Aging,” to provide participants with opportunities to learn about cutting-edge research developments, draft recommendations for future research, and network with colleagues and leaders in the field., Fatigue is a symptom that older persons, especially by those with chronic diseases, frequently experience. Definitions and prevalence of fatigue may vary across studies, across diseases, and even between investigators and patients. The focus of this review is on physical fatigue, recognizing that there are other related domains of fatigue (such as cognitive fatigue)., Many definitions of fatigue involve a sensation of “low” energy, suggesting that fatigue could be a disorder of energy balance. Poor energy utilization efficiency has not been considered in previous studies but is likely to be one of the most important determinants of fatigue in older individuals. Relationships between activity level, capacity for activity, a tolerable rate of activity, and a tolerable fatigue threshold or ceiling underlie a notion of fatiguability. Mechanisms probably contributing to fatigue in older adults include decline in mitochondrial function, alterations in brain neurotransmitters, oxidative stress, and inflammation. The relationships between muscle function and fatigue are complex. A number of diseases (such as cancer) are known to cause fatigue and may serve as models for how underlying impaired physiological processes contribute to fatigue, particularly those in which energy utilization may be an important factor. A further understanding of fatigue will require two key strategies: to develop and refine fatigue definitions and measurement tools and to explore underlying mechanisms using animal and human models.","DOI":"10.1111/j.1532-5415.2010.02811.x","ISSN":"0002-8614","note":"PMID: 20722821\nPMCID: PMC4540791","shortTitle":"Bedside-to-Bench Conference","journalAbbreviation":"J Am Geriatr Soc","author":[{"family":"Alexander","given":"Neil B."},{"family":"Taffet","given":"George E."},{"family":"Horne","given":"Frances McFarland"},{"family":"Eldadah","given":"Basil A."},{"family":"Ferrucci","given":"Luigi"},{"family":"Nayfield","given":"Susan"},{"family":"Studenski","given":"Stephanie"}],"issued":{"date-parts":[["2010",5]]}}},{"id":1070,"uris":["http://zotero.org/users/local/vDYxJ8mW/items/RI8R4QNF"],"uri":["http://zotero.org/users/local/vDYxJ8mW/items/RI8R4QNF"],"itemData":{"id":1070,"type":"article-journal","title":"Fatigue in an older population","container-title":"Journal of the American Geriatrics Society","page":"426-430","volume":"48","issue":"4","source":"PubMed","abstract":"OBJECTIVES: Fatigue is a common symptom that has not been studied well in the older populations. The purpose of this pilot study was to examine the epidemiology of fatigue symptoms in relation to demographic and medical characteristics of older patients in a long-term care setting.\nDESIGN: A cross-sectional interviewer-assisted survey.\nPARTICIPANTS/SETTING: A total of 199 ambulatory older residents of a single residential care facility.\nMEASUREMENTS: Along with medical and demographic characteristics, the survey included mental status (Folstein), activities of daily living (Katz and Lawton), depression (Yesavage GDS), a 3-minute walk, a 7-item pain scale, and the modified Piper Fatigue Scale.\nRESULTS: One-hundred ninety-nine (65%) of 308 potential subjects completed the study (mean age 88 years, 82% female). Of these 199 subjects, 195 (98%) reported some fatigue symptoms (median duration 44 weeks). Significant (P &lt; .0005) relationships were found between fatigue and GDS (r = 0.57), 3-minute walk (r = -0.29), Lawton IADLs (r = 0.31), pain (r = 0.36), and number of medications (r = 0.26). No significant relationships were found between fatigue and age, sex, Folstein score, or number of medical diagnoses. Multivariate regression analysis identified GDS, pain, number of medications and 3-minute walk as significant predictors of fatigue intensity (multiple R = 0.68, r2 = 0.46, P &lt; .02).\nCONCLUSIONS: Fatigue is a symptom often found among older residents of a residential facility and has important implications for quality of life. Fatigue is poorly recognized and probably undertreated in older people.","ISSN":"0002-8614","note":"PMID: 10798471","journalAbbreviation":"J Am Geriatr Soc","language":"eng","author":[{"family":"Liao","given":"S."},{"family":"Ferrell","given":"B. A."}],"issued":{"date-parts":[["2000",4]]}}},{"id":1066,"uris":["http://zotero.org/users/local/vDYxJ8mW/items/D8BPDMGH"],"uri":["http://zotero.org/users/local/vDYxJ8mW/items/D8BPDMGH"],"itemData":{"id":1066,"type":"article-journal","title":"Fatigue, function, and mortality in older adults","container-title":"The Journals of Gerontology. Series A, Biological Sciences and Medical Sciences","page":"887-895","volume":"65","issue":"8","source":"PubMed","abstract":"BACKGROUND: Although fatigue is common among the elderly people, little is known concerning its relationship with mortality and function over extended periods of time among the very old. This study evaluates the association of fatigue with health, functional status, and mortality from ages 70-88 years.\nMETHODS: Mortality data from ages 70-88 years and both health and functional status at age 70, 78, and 85 years were assessed among a representative community-dwelling cohort born 1920-1921 from the Jerusalem Longitudinal Study (1990-2008).\nRESULTS: At age 70, 78, and 85, fatigue prevalence was 29%, 53%, and 68%, respectively, with increased prevalence among women. Fatigue was associated with poorer health, function, and psychosocial parameters at all ages and greater likelihood to deteriorate in subsequent self-rated health (SRH), functional status, loneliness, depression, and physical activity level. After adjustment, fatigue at age 70 predicted poor subsequent SRH, difficulty in activities of daily living, reduced levels of physical activity, and poor sleep satisfaction, and at age 78, fatigue predicted subsequent depression. Hazard ratios for mortality among fatigued participants were significant after adjustment for numerous risk factors. The addition of physical activity level and/or depression reduced the significance of the relationship between fatigue and mortality.\nCONCLUSIONS: Fatigue among the elderly people, up to and including the oldest old, has a significant negative impact on health status, function, and mortality. Pathways of action may be related to the complex relationship of fatigue with depression and levels of physical activity.","DOI":"10.1093/gerona/glq064","ISSN":"1758-535X","note":"PMID: 20418349","journalAbbreviation":"J. Gerontol. A Biol. Sci. Med. Sci.","language":"eng","author":[{"family":"Moreh","given":"Elior"},{"family":"Jacobs","given":"Jeremy M."},{"family":"Stessman","given":"Jochanan"}],"issued":{"date-parts":[["2010",8]]}}}],"schema":"https://github.com/citation-style-language/schema/raw/master/csl-citation.json"} </w:instrText>
      </w:r>
      <w:r w:rsidRPr="008438F4">
        <w:rPr>
          <w:rFonts w:cs="Calibri"/>
          <w:sz w:val="24"/>
          <w:szCs w:val="24"/>
        </w:rPr>
        <w:fldChar w:fldCharType="separate"/>
      </w:r>
      <w:r w:rsidR="00AD2869" w:rsidRPr="008438F4">
        <w:rPr>
          <w:rFonts w:cs="Calibri"/>
          <w:sz w:val="24"/>
        </w:rPr>
        <w:t>(Alexander et al., 2010; Liao &amp; Ferrell, 2000; Moreh, Jacobs, &amp; Stessman, 2010)</w:t>
      </w:r>
      <w:r w:rsidRPr="008438F4">
        <w:rPr>
          <w:rFonts w:cs="Calibri"/>
          <w:sz w:val="24"/>
          <w:szCs w:val="24"/>
        </w:rPr>
        <w:fldChar w:fldCharType="end"/>
      </w:r>
      <w:r w:rsidRPr="008438F4">
        <w:rPr>
          <w:rFonts w:cs="Calibri"/>
          <w:sz w:val="24"/>
          <w:szCs w:val="24"/>
        </w:rPr>
        <w:t xml:space="preserve">. Variation in prevalence estimates may be attributed to differences in cutpoints used to interpret levels of fatigue, the tool used to measure fatigue, timeframe of interest (present fatigue or past fatigue), as well as the study population of interest </w:t>
      </w:r>
      <w:r w:rsidRPr="008438F4">
        <w:rPr>
          <w:rFonts w:cs="Calibri"/>
          <w:sz w:val="24"/>
          <w:szCs w:val="24"/>
        </w:rPr>
        <w:fldChar w:fldCharType="begin"/>
      </w:r>
      <w:r w:rsidRPr="008438F4">
        <w:rPr>
          <w:rFonts w:cs="Calibri"/>
          <w:sz w:val="24"/>
          <w:szCs w:val="24"/>
        </w:rPr>
        <w:instrText xml:space="preserve"> ADDIN ZOTERO_ITEM CSL_CITATION {"citationID":"2udj689gd","properties":{"formattedCitation":"(White, 2007)","plainCitation":"(White, 2007)"},"citationItems":[{"id":933,"uris":["http://zotero.org/users/local/vDYxJ8mW/items/J53NP4VQ"],"uri":["http://zotero.org/users/local/vDYxJ8mW/items/J53NP4VQ"],"itemData":{"id":933,"type":"article-journal","title":"How common is chronic fatigue syndrome; how long is a piece of string?","container-title":"Population Health Metrics","page":"6","volume":"5","source":"PubMed Central","abstract":"Commentary on, Prevalence of chronic fatigue syndrome in metropolitan, urban, and rural Georgia, William C Reeves, James F Jones, Elizabeth Maloney, Christine Heim, David C Hoaglin, Roumiana S Boneva, Marjorie Morrissey and Rebecca Devlin","DOI":"10.1186/1478-7954-5-6","ISSN":"1478-7954","note":"PMID: 17559661\nPMCID: PMC1904177","journalAbbreviation":"Popul Health Metr","author":[{"family":"White","given":"Peter D"}],"issued":{"date-parts":[["2007",6,8]]}}}],"schema":"https://github.com/citation-style-language/schema/raw/master/csl-citation.json"} </w:instrText>
      </w:r>
      <w:r w:rsidRPr="008438F4">
        <w:rPr>
          <w:rFonts w:cs="Calibri"/>
          <w:sz w:val="24"/>
          <w:szCs w:val="24"/>
        </w:rPr>
        <w:fldChar w:fldCharType="separate"/>
      </w:r>
      <w:r w:rsidR="00AD2869" w:rsidRPr="008438F4">
        <w:rPr>
          <w:rFonts w:cs="Calibri"/>
          <w:sz w:val="24"/>
        </w:rPr>
        <w:t>(White, 2007)</w:t>
      </w:r>
      <w:r w:rsidRPr="008438F4">
        <w:rPr>
          <w:rFonts w:cs="Calibri"/>
          <w:sz w:val="24"/>
          <w:szCs w:val="24"/>
        </w:rPr>
        <w:fldChar w:fldCharType="end"/>
      </w:r>
      <w:r w:rsidRPr="008438F4">
        <w:rPr>
          <w:rFonts w:cs="Calibri"/>
          <w:sz w:val="24"/>
          <w:szCs w:val="24"/>
        </w:rPr>
        <w:t xml:space="preserve">. </w:t>
      </w:r>
    </w:p>
    <w:p w14:paraId="7BDEDAF5" w14:textId="77777777" w:rsidR="0099247D" w:rsidRPr="008438F4" w:rsidRDefault="0099247D" w:rsidP="007B600A">
      <w:pPr>
        <w:pStyle w:val="Style5"/>
        <w:rPr>
          <w:rFonts w:cs="Calibri"/>
        </w:rPr>
      </w:pPr>
      <w:r w:rsidRPr="008438F4">
        <w:rPr>
          <w:rFonts w:cs="Calibri"/>
        </w:rPr>
        <w:t xml:space="preserve"> </w:t>
      </w:r>
      <w:bookmarkStart w:id="7" w:name="_Toc499840772"/>
      <w:r w:rsidRPr="008438F4">
        <w:rPr>
          <w:rFonts w:cs="Calibri"/>
        </w:rPr>
        <w:t>Risk Factors for Fatigue</w:t>
      </w:r>
      <w:bookmarkEnd w:id="7"/>
      <w:r w:rsidRPr="008438F4">
        <w:rPr>
          <w:rFonts w:cs="Calibri"/>
        </w:rPr>
        <w:t xml:space="preserve"> </w:t>
      </w:r>
    </w:p>
    <w:p w14:paraId="2F82D979" w14:textId="77777777" w:rsidR="0099247D" w:rsidRPr="008438F4" w:rsidRDefault="0099247D" w:rsidP="0099411C">
      <w:pPr>
        <w:spacing w:line="360" w:lineRule="auto"/>
        <w:ind w:firstLine="0"/>
        <w:rPr>
          <w:rFonts w:ascii="Calibri" w:hAnsi="Calibri" w:cs="Calibri"/>
        </w:rPr>
      </w:pPr>
      <w:r w:rsidRPr="008438F4">
        <w:rPr>
          <w:rFonts w:ascii="Calibri" w:hAnsi="Calibri" w:cs="Calibri"/>
        </w:rPr>
        <w:t xml:space="preserve">A multitude of individual factors may influence a person’s level of fatigue. These include age, sex and physical condition. Additionally, environmental factors such as diet, life experiences and activity level may influence whether or not a person experiences fatigue. More specifically, risk factors for fatigue have been explored in adolescents, where being female, having anxiety, depression and or conduct disorder was associated with fatigue. Additionally, older age may increase risk for fatigue </w:t>
      </w:r>
      <w:r w:rsidRPr="008438F4">
        <w:rPr>
          <w:rFonts w:ascii="Calibri" w:hAnsi="Calibri" w:cs="Calibri"/>
        </w:rPr>
        <w:fldChar w:fldCharType="begin"/>
      </w:r>
      <w:r w:rsidRPr="008438F4">
        <w:rPr>
          <w:rFonts w:ascii="Calibri" w:hAnsi="Calibri" w:cs="Calibri"/>
        </w:rPr>
        <w:instrText xml:space="preserve"> ADDIN ZOTERO_ITEM CSL_CITATION {"citationID":"27ddsqhmmb","properties":{"formattedCitation":"(Rimes et al., 2007)","plainCitation":"(Rimes et al., 2007)"},"citationItems":[{"id":876,"uris":["http://zotero.org/users/local/vDYxJ8mW/items/UBAQMPAT"],"uri":["http://zotero.org/users/local/vDYxJ8mW/items/UBAQMPAT"],"itemData":{"id":876,"type":"article-journal","title":"Incidence, prognosis, and risk factors for fatigue and chronic fatigue syndrome in adolescents: a prospective community study","container-title":"Pediatrics","page":"e603-609","volume":"119","issue":"3","source":"PubMed","abstract":"OBJECTIVE: The objective of this study was to describe the incidence, prevalence, risk factors, and prognosis of fatigue, chronic fatigue, and chronic fatigue syndrome in 11- to 15-year-olds.\nMETHODS: A random general population sample (n = 842) of British adolescents and their parents were assessed at baseline and 4 to 6 months later. The main outcomes were fatigue, chronic fatigue, and chronic fatigue syndrome, operationally defined.\nRESULTS: The incidence over 4 to 6 months was 30.3% for fatigue, 1.1% for chronic fatigue, and 0.5% for chronic fatigue syndrome. The point prevalence was 34.1% and 38.1% for fatigue, 0.4% and 1.1% for chronic fatigue, and 0.1% and 0.5% for chronic fatigue syndrome at time 1 and time 2, respectively. Of participants who were fatigued at time 1, 53% remained fatigued at time 2. The 3 cases of chronic fatigue and 1 case of chronic fatigue syndrome at time 1 had recovered by time 2. Higher risk for development of chronic fatigue at time 2 was associated with time 1 anxiety or depression, conduct disorder, and maternal distress; in multivariate analysis, baseline anxiety or depression remained a significant predictor of chronic fatigue. Increased risk for development of fatigue at time 2 was associated with time 1 anxiety or depression, conduct disorder, and older age; in multivariate analyses, these factors and female gender all were significant predictors of fatigue.\nCONCLUSIONS: The incidence rates for chronic fatigue and chronic fatigue syndrome in this adolescent sample were relatively high, but the prognosis for these conditions was good. This prospective study provides evidence for an association between emotional/behavioral problems and subsequent onset of fatigue/chronic fatigue.","DOI":"10.1542/peds.2006-2231","ISSN":"1098-4275","note":"PMID: 17332180","shortTitle":"Incidence, prognosis, and risk factors for fatigue and chronic fatigue syndrome in adolescents","journalAbbreviation":"Pediatrics","language":"eng","author":[{"family":"Rimes","given":"Katharine A."},{"family":"Goodman","given":"Robert"},{"family":"Hotopf","given":"Matthew"},{"family":"Wessely","given":"Simon"},{"family":"Meltzer","given":"Howard"},{"family":"Chalder","given":"Trudie"}],"issued":{"date-parts":[["2007",3]]}}}],"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(Rimes et al., 2007)</w:t>
      </w:r>
      <w:r w:rsidRPr="008438F4">
        <w:rPr>
          <w:rFonts w:ascii="Calibri" w:hAnsi="Calibri" w:cs="Calibri"/>
        </w:rPr>
        <w:fldChar w:fldCharType="end"/>
      </w:r>
      <w:r w:rsidRPr="008438F4">
        <w:rPr>
          <w:rFonts w:ascii="Calibri" w:hAnsi="Calibri" w:cs="Calibri"/>
        </w:rPr>
        <w:t xml:space="preserve">. In a prospective study of working adults, being overweight and being physically inactive were modifiable lifestyle factors associated with fatigue in men, and women were at an increased risk for fatigue if they were underweight (BMI&lt;18.5) </w:t>
      </w:r>
      <w:r w:rsidRPr="008438F4">
        <w:rPr>
          <w:rFonts w:ascii="Calibri" w:hAnsi="Calibri" w:cs="Calibri"/>
        </w:rPr>
        <w:fldChar w:fldCharType="begin"/>
      </w:r>
      <w:r w:rsidRPr="008438F4">
        <w:rPr>
          <w:rFonts w:ascii="Calibri" w:hAnsi="Calibri" w:cs="Calibri"/>
        </w:rPr>
        <w:instrText xml:space="preserve"> ADDIN ZOTERO_ITEM CSL_CITATION {"citationID":"HmjOd42B","properties":{"formattedCitation":"{\\rtf (B\\uc0\\u252{}ltmann et al., 2002)}","plainCitation":"(Bültmann et al., 2002)"},"citationItems":[{"id":884,"uris":["http://zotero.org/users/local/vDYxJ8mW/items/EQP9WVMV"],"uri":["http://zotero.org/users/local/vDYxJ8mW/items/EQP9WVMV"],"itemData":{"id":884,"type":"article-journal","title":"Lifestyle factors as risk factors for fatigue and psychological distress in the working population: prospective results from the Maastricht Cohort Study.","container-title":"Journal of occupational and environmental medicine","page":"116-124","volume":"44","issue":"2","source":"insights.ovid.com","abstract":"We examined potentially modifiable lifestyle factors as possible risk factors for the onset of fatigue and psychological distress after 1-year follow-up among 8833 employees who participated in the prospective Maastricht Cohort Study of \"Fatigue at Work.\" Results showed, even after adjustment for demographics, presence of disease, other lifestyle factors, psychosocial work characteristics, and psychological distress, that overweight (body mass index, 25 to 29.9) and being physically inactive during leisure time were strongly related to onset of fatigue in men, whereas underweight (body mass index, &lt; 18.5) in women increased the risk for future fatigue. In addition, the study suggests some differential effects of lifestyle factors in the onset of psychological distress. Certainly, these modifiable factors can be targeted in interventions, either on an individual or group level, to prevent or at least reduce the risk of developing fatigue and psychological distress in the working population.","ISSN":"1076-2752","note":"PMID: 11858191","shortTitle":"Lifestyle factors as risk factors for fatigue and psychological distress in the working population","journalAbbreviation":"J. Occup. Environ. Med.","language":"English","author":[{"family":"Bültmann","given":"Ute"},{"family":"Kant","given":"I. Jmert"},{"family":"Kasl","given":"Stanislav V."},{"family":"Schröer","given":"Kess A. P."},{"family":"Swaen","given":"Gerard M. H."},{"family":"Brandt","given":"Piet A.","dropping-particle":"van den"}],"issued":{"date-parts":[["2002"]]}}}],"schema":"https://github.com/citation-style-language/schema/raw/master/csl-citation.json"}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(Bültmann et al., 2002)</w:t>
      </w:r>
      <w:r w:rsidRPr="008438F4">
        <w:rPr>
          <w:rFonts w:ascii="Calibri" w:hAnsi="Calibri" w:cs="Calibri"/>
        </w:rPr>
        <w:fldChar w:fldCharType="end"/>
      </w:r>
      <w:r w:rsidRPr="008438F4">
        <w:rPr>
          <w:rFonts w:ascii="Calibri" w:hAnsi="Calibri" w:cs="Calibri"/>
        </w:rPr>
        <w:t xml:space="preserve">. Additionally, a study used the Northern Sweden MONICA population survey to investigate the associations between fatigue and age, sex, socioeconomic status, and self-reported physical activity, sitting time and self-rated health. They found that older men who are highly educated, physically active, and have less sedentary behavior are generally least likely to experience fatigue </w:t>
      </w:r>
      <w:r w:rsidRPr="008438F4">
        <w:rPr>
          <w:rFonts w:ascii="Calibri" w:hAnsi="Calibri" w:cs="Calibri"/>
        </w:rPr>
        <w:fldChar w:fldCharType="begin"/>
      </w:r>
      <w:r w:rsidRPr="008438F4">
        <w:rPr>
          <w:rFonts w:ascii="Calibri" w:hAnsi="Calibri" w:cs="Calibri"/>
        </w:rPr>
        <w:instrText xml:space="preserve"> ADDIN ZOTERO_ITEM CSL_CITATION {"citationID":"134rjidqed","properties":{"formattedCitation":"(Engberg, Segerstedt, Waller, Wennberg, &amp; Eliasson, 2017)","plainCitation":"(Engberg, Segerstedt, Waller, Wennberg, &amp; Eliasson, 2017)"},"citationItems":[{"id":936,"uris":["http://zotero.org/users/local/vDYxJ8mW/items/T266F6GP"],"uri":["http://zotero.org/users/local/vDYxJ8mW/items/T266F6GP"],"itemData":{"id":936,"type":"article-journal","title":"Fatigue in the general population- associations to age, sex, socioeconomic status, physical activity, sitting time and self-rated health: the northern Sweden MONICA study 2014","container-title":"BMC Public Health","page":"654","volume":"17","source":"BioMed Central","abstract":"Fatigue is widespread in the population and a common complaint in primary care. Little is known about prevalence of fatigue in the population and its predictors.","DOI":"10.1186/s12889-017-4623-y","ISSN":"1471-2458","shortTitle":"Fatigue in the general population- associations to age, sex, socioeconomic status, physical activity, sitting time and self-rated health","journalAbbreviation":"BMC Public Health","author":[{"family":"Engberg","given":"Isak"},{"family":"Segerstedt","given":"Johan"},{"family":"Waller","given":"Göran"},{"family":"Wennberg","given":"Patrik"},{"family":"Eliasson","given":"Mats"}],"issued":{"date-parts":[["2017",8,14]]}}}],"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(Engberg, Segerstedt, Waller, Wennberg, &amp; Eliasson, 2017)</w:t>
      </w:r>
      <w:r w:rsidRPr="008438F4">
        <w:rPr>
          <w:rFonts w:ascii="Calibri" w:hAnsi="Calibri" w:cs="Calibri"/>
        </w:rPr>
        <w:fldChar w:fldCharType="end"/>
      </w:r>
      <w:r w:rsidRPr="008438F4">
        <w:rPr>
          <w:rFonts w:ascii="Calibri" w:hAnsi="Calibri" w:cs="Calibri"/>
        </w:rPr>
        <w:t xml:space="preserve">. </w:t>
      </w:r>
    </w:p>
    <w:p w14:paraId="49DDC329" w14:textId="77777777" w:rsidR="0099247D" w:rsidRPr="008438F4" w:rsidRDefault="0099247D" w:rsidP="0099247D">
      <w:pPr>
        <w:spacing w:line="360" w:lineRule="auto"/>
        <w:rPr>
          <w:rFonts w:ascii="Calibri" w:hAnsi="Calibri" w:cs="Calibri"/>
        </w:rPr>
      </w:pPr>
      <w:r w:rsidRPr="008438F4">
        <w:rPr>
          <w:rFonts w:ascii="Calibri" w:hAnsi="Calibri" w:cs="Calibri"/>
        </w:rPr>
        <w:t xml:space="preserve">As such, epidemiologic studies of fatigue show that the risk factors for fatigue are varied and often differ depending on the population studied. For example, health status and presence of a chronic condition can influence feelings of fatigue. In patient populations with chronic diseases such as cancer, Hepatitis C, chronic pulmonary disease, hypothyroidism, and rheumatoid arthritis, fatigue symptoms are often reported </w:t>
      </w:r>
      <w:r w:rsidRPr="008438F4">
        <w:rPr>
          <w:rFonts w:ascii="Calibri" w:hAnsi="Calibri" w:cs="Calibri"/>
        </w:rPr>
        <w:fldChar w:fldCharType="begin"/>
      </w:r>
      <w:r w:rsidRPr="008438F4">
        <w:rPr>
          <w:rFonts w:ascii="Calibri" w:hAnsi="Calibri" w:cs="Calibri"/>
        </w:rPr>
        <w:instrText xml:space="preserve"> ADDIN ZOTERO_ITEM CSL_CITATION {"citationID":"w44fa8hX","properties":{"formattedCitation":"{\\rtf (Carlson et al., 2004; Feldthusen, Grimby-Ekman, Forsblad-d\\uc0\\u8217{}Elia, Jacobsson, &amp; Mannerkorpi, 2016; Gupta et al., 2013; Irshad, Mankotia, &amp; Irshad, 2013; Jonklaas et al., 2014; Poort et al., 2017)}","plainCitation":"(Carlson et al., 2004; Feldthusen, Grimby-Ekman, Forsblad-d’Elia, Jacobsson, &amp; Mannerkorpi, 2016; Gupta et al., 2013; Irshad, Mankotia, &amp; Irshad, 2013; Jonklaas et al., 2014; Poort et al., 2017)"},"citationItems":[{"id":916,"uris":["http://zotero.org/users/local/vDYxJ8mW/items/KBNI7443"],"uri":["http://zotero.org/users/local/vDYxJ8mW/items/KBNI7443"],"itemData":{"id":916,"type":"article-journal","title":"High levels of untreated distress and fatigue in cancer patients","container-title":"British Journal of Cancer","page":"2297-2304","volume":"90","issue":"12","source":"PubMed Central","DOI":"10.1038/sj.bjc.6601887","ISSN":"0007-0920","note":"PMID: 15162149\nPMCID: PMC2410292","journalAbbreviation":"Br J Cancer","author":[{"family":"Carlson","given":"L E"},{"family":"Angen","given":"M"},{"family":"Cullum","given":"J"},{"family":"Goodey","given":"E"},{"family":"Koopmans","given":"J"},{"family":"Lamont","given":"L"},{"family":"MacRae","given":"J H"},{"family":"Martin","given":"M"},{"family":"Pelletier","given":"G"},{"family":"Robinson","given":"J"},{"family":"Simpson","given":"J S A"},{"family":"Speca","given":"M"},{"family":"Tillotson","given":"L"},{"family":"Bultz","given":"B D"}],"issued":{"date-parts":[["2004",6,14]]}}},{"id":930,"uris":["http://zotero.org/users/local/vDYxJ8mW/items/Q4RU5DP7"],"uri":["http://zotero.org/users/local/vDYxJ8mW/items/Q4RU5DP7"],"itemData":{"id":930,"type":"article-journal","title":"Seasonal variations in fatigue in persons with rheumatoid arthritis: a longitudinal study","container-title":"BMC Musculoskeletal Disorders","volume":"17","source":"PubMed Central","abstract":"Background\nFatigue is a prominent symptom in persons with rheumatoid arthritis (RA). Although this symptom has been described to vary in duration and frequency little is known about fluctuations in fatigue over time and season. The aim of this study was to describe monthly and seasonal variations in fatigue, in persons with RA of working age.\n\nMethods\nSixty-five participants diagnosed with RA and aged 20–65 years were recruited from a rheumatology clinic in Sweden. The participants provided self-assessments of their fatigue at seven time points during the four seasons using a 0–100 mm visual analogue scale (VAS) and the Bristol Rheumatoid Arthritis Fatigue Multidimensional Questionnaire (BRAF-MDQ). Multiple regression analysis using mixed models was used to analyze changes in fatigue over time.\n\nResults\nThe mean ± SD of fatigue rated on the VAS was 51 ± 13, indicating substantial fatigue., Analysis of monthly variation showed statistically significant variation in fatigue ratings concerning VAS fatigue score (p &lt; 0.01) as well as the BRAF-MDQ total score and Living, Cognition (p &lt; 0.001), and Physical (p &lt; 0.05) sub-scores, but not the BRAF-MDQ Emotional sub-score. The greatest variations were seen from January to September, with higher fatigue ratings in January. The changes in VAS fatigue scores over time were considered to be of clinical importance. Analysis of seasonal variation revealed a statistically significant seasonal variation in fatigue levels, with higher fatigue values during the winter as measured by VAS fatigue score (p &lt; 0.01) as well as BRAF-MDQ total score (p &lt; 0.01) and Physical and Living sub-scores (both p &lt; 0.01). The greatest variation was seen between winter and autumn for VAS fatigue and between winter and summer for BRAF-MDQ total score and Physical and Living sub-scores. There were no statistical differences in fatigue levels, monthly or seasonal, between sexes or age groups.\n\nConclusions\nThe majority of rating scales used in this study showed fluctuations in fatigue, general and physical fatigue being significantly greater during the winter. As fatigue is a substantial symptom in many persons with RA, this information is important for rheumatology professionals when dealing with persons with RA in routine care.","URL":"http://www.ncbi.nlm.nih.gov/pmc/articles/PMC4743196/","DOI":"10.1186/s12891-016-0911-4","ISSN":"1471-2474","note":"PMID: 26846791\nPMCID: PMC4743196","shortTitle":"Seasonal variations in fatigue in persons with rheumatoid arthritis","journalAbbreviation":"BMC Musculoskelet Disord","author":[{"family":"Feldthusen","given":"Caroline"},{"family":"Grimby-Ekman","given":"Anna"},{"family":"Forsblad-d’Elia","given":"Helena"},{"family":"Jacobsson","given":"Lennart"},{"family":"Mannerkorpi","given":"Kaisa"}],"issued":{"date-parts":[["2016",2,4]]}}},{"id":925,"uris":["http://zotero.org/users/local/vDYxJ8mW/items/GZW6QFXT"],"uri":["http://zotero.org/users/local/vDYxJ8mW/items/GZW6QFXT"],"itemData":{"id":925,"type":"article-journal","title":"Guidelines for diagnosis and management of chronic obstructive pulmonary disease: Joint ICS/NCCP (I) recommendations","container-title":"Lung India : Official Organ of Indian Chest Society","page":"228-267","volume":"30","issue":"3","source":"PubMed Central","abstract":"Chronic obstructive pulmonary disease (COPD) is a major public health problem in India. Although several International guidelines for diagnosis and management of COPD are available, yet there are lot of gaps in recognition and management of COPD in India due to vast differences in availability and affordability of healthcare facilities across the country. The Indian Chest Society (ICS) and the National College of Chest Physicians (NCCP) of India have joined hands to come out with these evidence-based guidelines to help the physicians at all levels of healthcare to diagnose and manage COPD in a scientific manner. Besides the International literature, the Indian studies were specifically analyzed to arrive at simple and practical recommendations. The evidence is presented under these five headings: (a) definitions, epidemiology, and disease burden; (b) disease assessment and diagnosis; (c) pharmacologic management of stable COPD; (d) management of acute exacerbations; and (e) nonpharmacologic and preventive measures. The modified grade system was used for classifying the quality of evidence as 1, 2, 3, or usual practice point (UPP). The strength of recommendation was graded as A or B depending upon the level of evidence.","DOI":"10.4103/0970-2113.116248","ISSN":"0970-2113","note":"PMID: 24049265\nPMCID: PMC3775210","shortTitle":"Guidelines for diagnosis and management of chronic obstructive pulmonary disease","journalAbbreviation":"Lung India","author":[{"family":"Gupta","given":"Dheeraj"},{"family":"Agarwal","given":"Ritesh"},{"family":"Aggarwal","given":"Ashutosh Nath"},{"family":"Maturu","given":"V. N."},{"family":"Dhooria","given":"Sahajal"},{"family":"Prasad","given":"K. T."},{"family":"Sehgal","given":"Inderpaul S."},{"family":"Yenge","given":"Lakshmikant B."},{"family":"Jindal","given":"Aditya"},{"family":"Singh","given":"Navneet"},{"family":"Ghoshal","given":"A. G."},{"family":"Khilnani","given":"G. C."},{"family":"Samaria","given":"J. K."},{"family":"Gaur","given":"S. N."},{"family":"Behera","given":"D."}],"issued":{"date-parts":[["2013"]]}}},{"id":919,"uris":["http://zotero.org/users/local/vDYxJ8mW/items/98WT7XD2"],"uri":["http://zotero.org/users/local/vDYxJ8mW/items/98WT7XD2"],"itemData":{"id":919,"type":"article-journal","title":"An insight into the diagnosis and pathogenesis of hepatitis C virus infection","container-title":"World Journal of Gastroenterology : WJG","page":"7896-7909","volume":"19","issue":"44","source":"PubMed Central","abstract":"This review focuses on research findings in the area of diagnosis and pathogenesis of hepatitis C virus (HCV) infection over the last few decades. The information based on published literature provides an update on these two aspects of HCV. HCV infection, previously called blood transmitted non-A, non-B infection, is prevalent globally and poses a serious public health problem worldwide. The diagnosis of HCV infection has evolved from serodetection of non-specific and low avidity anti-HCV antibodies to detection of viral nucleic acid in serum using the polymerase chain reaction (PCR) technique. Current PCR assays detect viral nucleic acid with high accuracy and the exact copy number of viral particles. Moreover, multiplex assays using real-time PCR are available for identification of HCV-genotypes and their isotypes. In contrast to previous methods, the newly developed assays are not only fast and economic, but also resolve the problem of the window period as well as differentiate present from past infection. HCV is a non-cytopathic virus, thus, its pathogenesis is regulated by host immunity and metabolic changes including oxidative stress, insulin resistance and hepatic steatosis. Both innate and adaptive immunity play an important role in HCV pathogenesis. Cytotoxic lymphocytes demonstrate crucial activity during viral eradication or viral persistence and are influenced by viral proteins, HCV-quasispecies and several metabolic factors regulating liver metabolism. HCV pathogenesis is a very complex phenomenon and requires further study to determine the other factors involved.","DOI":"10.3748/wjg.v19.i44.7896","ISSN":"1007-9327","note":"PMID: 24307784\nPMCID: PMC3848138","journalAbbreviation":"World J Gastroenterol","author":[{"family":"Irshad","given":"Mohammad"},{"family":"Mankotia","given":"Dhananjay Singh"},{"family":"Irshad","given":"Khushboo"}],"issued":{"date-parts":[["2013",11,28]]}}},{"id":927,"uris":["http://zotero.org/users/local/vDYxJ8mW/items/SM9K9GTK"],"uri":["http://zotero.org/users/local/vDYxJ8mW/items/SM9K9GTK"],"itemData":{"id":927,"type":"article-journal","title":"Guidelines for the Treatment of Hypothyroidism: Prepared by the American Thyroid Association Task Force on Thyroid Hormone Replacement","container-title":"Thyroid","page":"1670-1751","volume":"24","issue":"12","source":"PubMed Central","abstract":"Background: A number of recent advances in our understanding of thyroid physiology may shed light on why some patients feel unwell while taking levothyroxine monotherapy. The purpose of this task force was to review the goals of levothyroxine therapy, the optimal prescription of conventional levothyroxine therapy, the sources of dissatisfaction with levothyroxine therapy, the evidence on treatment alternatives, and the relevant knowledge gaps. We wished to determine whether there are sufficient new data generated by well-designed studies to provide reason to pursue such therapies and change the current standard of care. This document is intended to inform clinical decision-making on thyroid hormone replacement therapy; it is not a replacement for individualized clinical judgment., Methods: Task force members identified 24 questions relevant to the treatment of hypothyroidism. The clinical literature relating to each question was then reviewed. Clinical reviews were supplemented, when relevant, with related mechanistic and bench research literature reviews, performed by our team of translational scientists. Ethics reviews were provided, when relevant, by a bioethicist. The responses to questions were formatted, when possible, in the form of a formal clinical recommendation statement. When responses were not suitable for a formal clinical recommendation, a summary response statement without a formal clinical recommendation was developed. For clinical recommendations, the supporting evidence was appraised, and the strength of each clinical recommendation was assessed, using the American College of Physicians system. The final document was organized so that each topic is introduced with a question, followed by a formal clinical recommendation. Stakeholder input was received at a national meeting, with some subsequent refinement of the clinical questions addressed in the document. Consensus was achieved for all recommendations by the task force., Results: We reviewed the following therapeutic categories: (i) levothyroxine therapy, (ii) non–levothyroxine-based thyroid hormone therapies, and (iii) use of thyroid hormone analogs. The second category included thyroid extracts, synthetic combination therapy, triiodothyronine therapy, and compounded thyroid hormones., Conclusions: We concluded that levothyroxine should remain the standard of care for treating hypothyroidism. We found no consistently strong evidence for the superiority of alternative preparations (e.g., levothyroxine–liothyronine combination therapy, or thyroid extract therapy, or others) over monotherapy with levothyroxine, in improving health outcomes. Some examples of future research needs include the development of superior biomarkers of euthyroidism to supplement thyrotropin measurements, mechanistic research on serum triiodothyronine levels (including effects of age and disease status, relationship with tissue concentrations, as well as potential therapeutic targeting), and long-term outcome clinical trials testing combination therapy or thyroid extracts (including subgroup effects). Additional research is also needed to develop thyroid hormone analogs with a favorable benefit to risk profile.","DOI":"10.1089/thy.2014.0028","ISSN":"1050-7256","note":"PMID: 25266247\nPMCID: PMC4267409","shortTitle":"Guidelines for the Treatment of Hypothyroidism","journalAbbreviation":"Thyroid","author":[{"family":"Jonklaas","given":"Jacqueline"},{"family":"Bianco","given":"Antonio C."},{"family":"Bauer","given":"Andrew J."},{"family":"Burman","given":"Kenneth D."},{"family":"Cappola","given":"Anne R."},{"family":"Celi","given":"Francesco S."},{"family":"Cooper","given":"David S."},{"family":"Kim","given":"Brian W."},{"family":"Peeters","given":"Robin P."},{"family":"Rosenthal","given":"M. Sara"},{"family":"Sawka","given":"Anna M."}],"issued":{"date-parts":[["2014",12,1]]}}},{"id":902,"uris":["http://zotero.org/users/local/vDYxJ8mW/items/TPBBX4B3"],"uri":["http://zotero.org/users/local/vDYxJ8mW/items/TPBBX4B3"],"itemData":{"id":902,"type":"article-journal","title":"Prevalence and impact of severe fatigue in adolescent and young adult cancer patients in comparison with population-based controls","container-title":"Supportive Care in Cancer: Official Journal of the Multinational Association of Supportive Care in Cancer","page":"2911-2918","volume":"25","issue":"9","source":"PubMed","abstract":"PURPOSE: The current study determined the prevalence of severe fatigue in adolescent and young adult (AYA) cancer patients (aged 18-35 years at diagnosis) consulting a multidisciplinary AYA team in comparison with gender- and age-matched population-based controls. In addition, impact of severe fatigue on quality of life and correlates of fatigue severity were examined.\nMETHODS: AYAs with cancer (n = 83) completed questionnaires including the Checklist Individual Strength (CIS-fatigue), Quality of Life (QoL)-Cancer Survivor, Hospital Anxiety and Depression Scale (reflecting psychological distress), and the Cancer Worry Scale (reflecting fear of cancer recurrence or progression).\nRESULTS: The vast majority of participants had been treated with chemotherapy (87%) and had no active treatment at the time of participation (73.5%). Prevalence of severe fatigue (CIS-fatigue score ≥35) in AYAs with cancer (48%, n = 40/83) was significantly higher in comparison with matched population-based controls (20%, n = 49/249; p &lt; .001). Severely fatigued AYAs with cancer reported lower QoL compared to non-severely fatigued AYAs with cancer (p &lt; .05). Female gender, being unemployed, higher disease stage (III-IV) at diagnosis, receiving active treatment at the time of study participation, being treated with palliative intent, having had radiotherapy, higher fear of recurrence or progression, and higher psychological distress were significantly correlated with fatigue severity (p &lt; .05).\nCONCLUSIONS: Severe fatigue based on a validated cut-off score was highly prevalent in this group of AYAs with cancer. QoL is significantly affected by severe fatigue, stressing the importance of detection and management of this symptom in those patients affected by a life-changing diagnosis of cancer in late adolescence or young adulthood.","DOI":"10.1007/s00520-017-3746-0","ISSN":"1433-7339","note":"PMID: 28528350","journalAbbreviation":"Support Care Cancer","language":"eng","author":[{"family":"Poort","given":"Hanneke"},{"family":"Kaal","given":"Suzanne E. J."},{"family":"Knoop","given":"Hans"},{"family":"Jansen","given":"Rosemarie"},{"family":"Prins","given":"Judith B."},{"family":"Manten-Horst","given":"Eveliene"},{"family":"Servaes","given":"Petra"},{"family":"Husson","given":"Olga"},{"family":"Graaf","given":"Winette T. A.","non-dropping-particle":"van der"}],"issued":{"date-parts":[["2017",9]]}}}],"schema":"https://github.com/citation-style-language/schema/raw/master/csl-citation.json"}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(Carlson et al., 2004; Feldthusen, Grimby-Ekman, Forsblad-d’Elia, Jacobsson, &amp; Mannerkorpi, 2016; Gupta et al., 2013; Irshad, Mankotia, &amp; Irshad, 2013; Jonklaas et al., 2014; Poort et al., 2017)</w:t>
      </w:r>
      <w:r w:rsidRPr="008438F4">
        <w:rPr>
          <w:rFonts w:ascii="Calibri" w:hAnsi="Calibri" w:cs="Calibri"/>
        </w:rPr>
        <w:fldChar w:fldCharType="end"/>
      </w:r>
      <w:r w:rsidRPr="008438F4">
        <w:rPr>
          <w:rFonts w:ascii="Calibri" w:hAnsi="Calibri" w:cs="Calibri"/>
        </w:rPr>
        <w:t xml:space="preserve">. Among neuropsychiatric disorders, fatigue risk is associated with Multiple Sclerosis, Amyotrophic Lateral Sclerosis, Parkinson’s Disease, depression, traumatic brain injury, and stroke </w:t>
      </w:r>
      <w:r w:rsidRPr="008438F4">
        <w:rPr>
          <w:rFonts w:ascii="Calibri" w:hAnsi="Calibri" w:cs="Calibri"/>
        </w:rPr>
        <w:fldChar w:fldCharType="begin"/>
      </w:r>
      <w:r w:rsidRPr="008438F4">
        <w:rPr>
          <w:rFonts w:ascii="Calibri" w:hAnsi="Calibri" w:cs="Calibri"/>
        </w:rPr>
        <w:instrText xml:space="preserve"> ADDIN ZOTERO_ITEM CSL_CITATION {"citationID":"27urorsfhn","properties":{"formattedCitation":"(Targum &amp; Fava, 2011)","plainCitation":"(Targum &amp; Fava, 2011)"},"citationItems":[{"id":899,"uris":["http://zotero.org/users/local/vDYxJ8mW/items/9PQKFTC4"],"uri":["http://zotero.org/users/local/vDYxJ8mW/items/9PQKFTC4"],"itemData":{"id":899,"type":"article-journal","title":"Fatigue as a Residual Symptom of Depression","container-title":"Innovations in Clinical Neuroscience","page":"40-43","volume":"8","issue":"10","source":"PubMed Central","ISSN":"2158-8333","note":"PMID: 22132370\nPMCID: PMC3225130","journalAbbreviation":"Innov Clin Neurosci","author":[{"family":"Targum","given":"Steven D."},{"family":"Fava","given":"Maurizio"}],"issued":{"date-parts":[["2011",10]]}}}],"schema":"https://github.com/citation-style-language/schema/raw/master/csl-citation.json"}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(Targum &amp; Fava, 2011)</w:t>
      </w:r>
      <w:r w:rsidRPr="008438F4">
        <w:rPr>
          <w:rFonts w:ascii="Calibri" w:hAnsi="Calibri" w:cs="Calibri"/>
        </w:rPr>
        <w:fldChar w:fldCharType="end"/>
      </w:r>
      <w:r w:rsidRPr="008438F4">
        <w:rPr>
          <w:rFonts w:ascii="Calibri" w:hAnsi="Calibri" w:cs="Calibri"/>
        </w:rPr>
        <w:t xml:space="preserve">. In a longitudinal study of working age persons with rheumatoid arthritis, higher feelings of fatigue were reported in winter months, suggesting feelings of fatigue may be driven by the body’s response to seasonal changes </w:t>
      </w:r>
      <w:r w:rsidRPr="008438F4">
        <w:rPr>
          <w:rFonts w:ascii="Calibri" w:hAnsi="Calibri" w:cs="Calibri"/>
        </w:rPr>
        <w:fldChar w:fldCharType="begin"/>
      </w:r>
      <w:r w:rsidRPr="008438F4">
        <w:rPr>
          <w:rFonts w:ascii="Calibri" w:hAnsi="Calibri" w:cs="Calibri"/>
        </w:rPr>
        <w:instrText xml:space="preserve"> ADDIN ZOTERO_ITEM CSL_CITATION {"citationID":"202955n52d","properties":{"formattedCitation":"(Feldthusen et al., 2016)","plainCitation":"(Feldthusen et al., 2016)"},"citationItems":[{"id":930,"uris":["http://zotero.org/users/local/vDYxJ8mW/items/Q4RU5DP7"],"uri":["http://zotero.org/users/local/vDYxJ8mW/items/Q4RU5DP7"],"itemData":{"id":930,"type":"article-journal","title":"Seasonal variations in fatigue in persons with rheumatoid arthritis: a longitudinal study","container-title":"BMC Musculoskeletal Disorders","volume":"17","source":"PubMed Central","abstract":"Background\nFatigue is a prominent symptom in persons with rheumatoid arthritis (RA). Although this symptom has been described to vary in duration and frequency little is known about fluctuations in fatigue over time and season. The aim of this study was to describe monthly and seasonal variations in fatigue, in persons with RA of working age.\n\nMethods\nSixty-five participants diagnosed with RA and aged 20–65 years were recruited from a rheumatology clinic in Sweden. The participants provided self-assessments of their fatigue at seven time points during the four seasons using a 0–100 mm visual analogue scale (VAS) and the Bristol Rheumatoid Arthritis Fatigue Multidimensional Questionnaire (BRAF-MDQ). Multiple regression analysis using mixed models was used to analyze changes in fatigue over time.\n\nResults\nThe mean ± SD of fatigue rated on the VAS was 51 ± 13, indicating substantial fatigue., Analysis of monthly variation showed statistically significant variation in fatigue ratings concerning VAS fatigue score (p &lt; 0.01) as well as the BRAF-MDQ total score and Living, Cognition (p &lt; 0.001), and Physical (p &lt; 0.05) sub-scores, but not the BRAF-MDQ Emotional sub-score. The greatest variations were seen from January to September, with higher fatigue ratings in January. The changes in VAS fatigue scores over time were considered to be of clinical importance. Analysis of seasonal variation revealed a statistically significant seasonal variation in fatigue levels, with higher fatigue values during the winter as measured by VAS fatigue score (p &lt; 0.01) as well as BRAF-MDQ total score (p &lt; 0.01) and Physical and Living sub-scores (both p &lt; 0.01). The greatest variation was seen between winter and autumn for VAS fatigue and between winter and summer for BRAF-MDQ total score and Physical and Living sub-scores. There were no statistical differences in fatigue levels, monthly or seasonal, between sexes or age groups.\n\nConclusions\nThe majority of rating scales used in this study showed fluctuations in fatigue, general and physical fatigue being significantly greater during the winter. As fatigue is a substantial symptom in many persons with RA, this information is important for rheumatology professionals when dealing with persons with RA in routine care.","URL":"http://www.ncbi.nlm.nih.gov/pmc/articles/PMC4743196/","DOI":"10.1186/s12891-016-0911-4","ISSN":"1471-2474","note":"PMID: 26846791\nPMCID: PMC4743196","shortTitle":"Seasonal variations in fatigue in persons with rheumatoid arthritis","journalAbbreviation":"BMC Musculoskelet Disord","author":[{"family":"Feldthusen","given":"Caroline"},{"family":"Grimby-Ekman","given":"Anna"},{"family":"Forsblad-d’Elia","given":"Helena"},{"family":"Jacobsson","given":"Lennart"},{"family":"Mannerkorpi","given":"Kaisa"}],"issued":{"date-parts":[["2016",2,4]]}}}],"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(Feldthusen et al., 2016)</w:t>
      </w:r>
      <w:r w:rsidRPr="008438F4">
        <w:rPr>
          <w:rFonts w:ascii="Calibri" w:hAnsi="Calibri" w:cs="Calibri"/>
        </w:rPr>
        <w:fldChar w:fldCharType="end"/>
      </w:r>
      <w:r w:rsidRPr="008438F4">
        <w:rPr>
          <w:rFonts w:ascii="Calibri" w:hAnsi="Calibri" w:cs="Calibri"/>
        </w:rPr>
        <w:t xml:space="preserve"> Various cancer treatments such as radiation and chemotherapy are also associated with feelings of fatigue </w:t>
      </w:r>
      <w:r w:rsidRPr="008438F4">
        <w:rPr>
          <w:rFonts w:ascii="Calibri" w:hAnsi="Calibri" w:cs="Calibri"/>
        </w:rPr>
        <w:fldChar w:fldCharType="begin"/>
      </w:r>
      <w:r w:rsidRPr="008438F4">
        <w:rPr>
          <w:rFonts w:ascii="Calibri" w:hAnsi="Calibri" w:cs="Calibri"/>
        </w:rPr>
        <w:instrText xml:space="preserve"> ADDIN ZOTERO_ITEM CSL_CITATION {"citationID":"1dc399bmu7","properties":{"formattedCitation":"(Poort et al., 2017)","plainCitation":"(Poort et al., 2017)"},"citationItems":[{"id":902,"uris":["http://zotero.org/users/local/vDYxJ8mW/items/TPBBX4B3"],"uri":["http://zotero.org/users/local/vDYxJ8mW/items/TPBBX4B3"],"itemData":{"id":902,"type":"article-journal","title":"Prevalence and impact of severe fatigue in adolescent and young adult cancer patients in comparison with population-based controls","container-title":"Supportive Care in Cancer: Official Journal of the Multinational Association of Supportive Care in Cancer","page":"2911-2918","volume":"25","issue":"9","source":"PubMed","abstract":"PURPOSE: The current study determined the prevalence of severe fatigue in adolescent and young adult (AYA) cancer patients (aged 18-35 years at diagnosis) consulting a multidisciplinary AYA team in comparison with gender- and age-matched population-based controls. In addition, impact of severe fatigue on quality of life and correlates of fatigue severity were examined.\nMETHODS: AYAs with cancer (n = 83) completed questionnaires including the Checklist Individual Strength (CIS-fatigue), Quality of Life (QoL)-Cancer Survivor, Hospital Anxiety and Depression Scale (reflecting psychological distress), and the Cancer Worry Scale (reflecting fear of cancer recurrence or progression).\nRESULTS: The vast majority of participants had been treated with chemotherapy (87%) and had no active treatment at the time of participation (73.5%). Prevalence of severe fatigue (CIS-fatigue score ≥35) in AYAs with cancer (48%, n = 40/83) was significantly higher in comparison with matched population-based controls (20%, n = 49/249; p &lt; .001). Severely fatigued AYAs with cancer reported lower QoL compared to non-severely fatigued AYAs with cancer (p &lt; .05). Female gender, being unemployed, higher disease stage (III-IV) at diagnosis, receiving active treatment at the time of study participation, being treated with palliative intent, having had radiotherapy, higher fear of recurrence or progression, and higher psychological distress were significantly correlated with fatigue severity (p &lt; .05).\nCONCLUSIONS: Severe fatigue based on a validated cut-off score was highly prevalent in this group of AYAs with cancer. QoL is significantly affected by severe fatigue, stressing the importance of detection and management of this symptom in those patients affected by a life-changing diagnosis of cancer in late adolescence or young adulthood.","DOI":"10.1007/s00520-017-3746-0","ISSN":"1433-7339","note":"PMID: 28528350","journalAbbreviation":"Support Care Cancer","language":"eng","author":[{"family":"Poort","given":"Hanneke"},{"family":"Kaal","given":"Suzanne E. J."},{"family":"Knoop","given":"Hans"},{"family":"Jansen","given":"Rosemarie"},{"family":"Prins","given":"Judith B."},{"family":"Manten-Horst","given":"Eveliene"},{"family":"Servaes","given":"Petra"},{"family":"Husson","given":"Olga"},{"family":"Graaf","given":"Winette T. A.","non-dropping-particle":"van der"}],"issued":{"date-parts":[["2017",9]]}}}],"schema":"https://github.com/citation-style-language/schema/raw/master/csl-citation.json"}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(Poort et al., 2017)</w:t>
      </w:r>
      <w:r w:rsidRPr="008438F4">
        <w:rPr>
          <w:rFonts w:ascii="Calibri" w:hAnsi="Calibri" w:cs="Calibri"/>
        </w:rPr>
        <w:fldChar w:fldCharType="end"/>
      </w:r>
      <w:r w:rsidRPr="008438F4">
        <w:rPr>
          <w:rFonts w:ascii="Calibri" w:hAnsi="Calibri" w:cs="Calibri"/>
        </w:rPr>
        <w:t xml:space="preserve">. Fatigue was also associated with illicit drug use, and it is also frequently reported as a symptom from taking medication for various conditions. </w:t>
      </w:r>
      <w:r w:rsidRPr="008438F4">
        <w:rPr>
          <w:rFonts w:ascii="Calibri" w:hAnsi="Calibri" w:cs="Calibri"/>
        </w:rPr>
        <w:fldChar w:fldCharType="begin"/>
      </w:r>
      <w:r w:rsidRPr="008438F4">
        <w:rPr>
          <w:rFonts w:ascii="Calibri" w:hAnsi="Calibri" w:cs="Calibri"/>
        </w:rPr>
        <w:instrText xml:space="preserve"> ADDIN ZOTERO_ITEM CSL_CITATION {"citationID":"1g4r25fa5n","properties":{"formattedCitation":"(Zlott &amp; Byrne, 2010)","plainCitation":"(Zlott &amp; Byrne, 2010)"},"citationItems":[{"id":905,"uris":["http://zotero.org/users/local/vDYxJ8mW/items/3FW7VANW"],"uri":["http://zotero.org/users/local/vDYxJ8mW/items/3FW7VANW"],"itemData":{"id":905,"type":"article-journal","title":"Mechanisms by which pharmacologic agents may contribute to fatigue","container-title":"PM &amp; R: the journal of injury, function, and rehabilitation","page":"451-455","volume":"2","issue":"5","source":"PubMed","abstract":"Fatigue is a common side effect of medications. This review summarizes some of the mechanisms by which drugs may cause fatigue. One major mechanism by which medications can cause fatigue is by central nervous system (CNS) depression. CNS depression can result from decreased excitatory activity, as is commonly seen with some anticholinergic agents, centrally acting alpha-agonists, and anticonvulsants. CNS depression can also result from increased inhibitory activity within the CNS, as is seen with benzodiazepines and barbiturates, which augment the effects of the inhibitory neurotransmitter, gamma-aminobutyric acid. Opioids also increase inhibitory CNS activity through their interactions with the various subtypes of opioid receptors. Acting outside of the CNS, medications may cause fatigue as a result of either a true or a functional anemia by a number of mechanisms. Bone marrow toxicity, which results in decreased hematopoiesis, is such a mechanism. This is commonly seen with antineoplastics agents, but can also be observed in association with a wide variety of medication classes, including anticonvulsants, antidepressants, and antimicrobial agents. Another way that medications can cause anemia is by increased red blood cell destruction, as is seen with immune hemolytic anemia. Additionally, medications may cause a functional anemia through alteration of the heme group within the hemoglobin molecule, as is seen in methemoglobinemia. Finally, many drugs, including placebos, cause fatigue by unknown mechanisms. In addition to causing fatigue, some medications may be used to help relieve fatigue, although this drug class is limited in number at this point in time.","DOI":"10.1016/j.pmrj.2010.04.018","ISSN":"1934-1482","note":"PMID: 20656627","journalAbbreviation":"PM R","language":"eng","author":[{"family":"Zlott","given":"Daniel A."},{"family":"Byrne","given":"Mary"}],"issued":{"date-parts":[["2010",5]]}}}],"schema":"https://github.com/citation-style-language/schema/raw/master/csl-citation.json"}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(Zlott &amp; Byrne, 2010)</w:t>
      </w:r>
      <w:r w:rsidRPr="008438F4">
        <w:rPr>
          <w:rFonts w:ascii="Calibri" w:hAnsi="Calibri" w:cs="Calibri"/>
        </w:rPr>
        <w:fldChar w:fldCharType="end"/>
      </w:r>
      <w:r w:rsidRPr="008438F4">
        <w:rPr>
          <w:rFonts w:ascii="Calibri" w:hAnsi="Calibri" w:cs="Calibri"/>
        </w:rPr>
        <w:t xml:space="preserve">. </w:t>
      </w:r>
    </w:p>
    <w:p w14:paraId="5B94CB51" w14:textId="60DA3277" w:rsidR="0099247D" w:rsidRPr="008438F4" w:rsidRDefault="0099247D" w:rsidP="0099247D">
      <w:pPr>
        <w:spacing w:line="360" w:lineRule="auto"/>
        <w:rPr>
          <w:rFonts w:ascii="Calibri" w:hAnsi="Calibri" w:cs="Calibri"/>
        </w:rPr>
      </w:pPr>
      <w:r w:rsidRPr="008438F4">
        <w:rPr>
          <w:rFonts w:ascii="Calibri" w:hAnsi="Calibri" w:cs="Calibri"/>
        </w:rPr>
        <w:t>Biomarkers of fatigue and genetic predispositions to fatigue have been explored using twin studies to assess the heritability of fatigue. A genome-wide association study (GWAS) found that significant genetic correlations were identified between tiredness and physical and mental health factors in the GWAS consortia, suggesting that tiredness or fatigue is partly heritable, but heterogeneous in nature</w:t>
      </w:r>
      <w:r w:rsidR="00091153">
        <w:rPr>
          <w:rFonts w:ascii="Calibri" w:hAnsi="Calibri" w:cs="Calibri"/>
        </w:rPr>
        <w:t xml:space="preserve"> </w:t>
      </w:r>
      <w:r w:rsidRPr="008438F4">
        <w:rPr>
          <w:rFonts w:ascii="Calibri" w:hAnsi="Calibri" w:cs="Calibri"/>
        </w:rPr>
        <w:fldChar w:fldCharType="begin"/>
      </w:r>
      <w:r w:rsidRPr="008438F4">
        <w:rPr>
          <w:rFonts w:ascii="Calibri" w:hAnsi="Calibri" w:cs="Calibri"/>
        </w:rPr>
        <w:instrText xml:space="preserve"> ADDIN ZOTERO_ITEM CSL_CITATION {"citationID":"a6bc0971f7","properties":{"formattedCitation":"(Deary et al., 2017)","plainCitation":"(Deary et al., 2017)"},"citationItems":[{"id":1080,"uris":["http://zotero.org/users/local/vDYxJ8mW/items/39P28DHW"],"uri":["http://zotero.org/users/local/vDYxJ8mW/items/39P28DHW"],"itemData":{"id":1080,"type":"article-journal","title":"Genetic contributions to self-reported tiredness","container-title":"Molecular Psychiatry","source":"www.nature.com","abstract":"Self-reported tiredness and low energy, often called fatigue, are associated with poorer physical and mental health. Twin studies have indicated that this has a heritability between 6 and 50%. In the UK Biobank sample (N=108 976), we carried out a genome-wide association study (GWAS) of responses to the question, ‘Over the last two weeks, how often have you felt tired or had little energy?’ Univariate GCTA-GREML found that the proportion of variance explained by all common single-nucleotide polymorphisms for this tiredness question was 8.4% (s.e.=0.6%). GWAS identified one genome-wide significant hit (Affymetrix id 1:64178756_C_T; P=1.36 × 10−11). Linkage disequilibrium score regression and polygenic profile score analyses were used to test for shared genetic aetiology between tiredness and up to 29 physical and mental health traits from GWAS consortia. Significant genetic correlations were identified between tiredness and body mass index (BMI), C-reactive protein, high-density lipoprotein (HDL) cholesterol, forced expiratory volume, grip strength, HbA1c, longevity, obesity, self-rated health, smoking status, triglycerides, type 2 diabetes, waist–hip ratio, attention deficit hyperactivity disorder, bipolar disorder, major depressive disorder, neuroticism, schizophrenia and verbal-numerical reasoning (absolute rg effect sizes between 0.02 and 0.78). Significant associations were identified between tiredness phenotypic scores and polygenic profile scores for BMI, HDL cholesterol, low-density lipoprotein cholesterol, coronary artery disease, C-reactive protein, HbA1c, height, obesity, smoking status, triglycerides, type 2 diabetes, waist–hip ratio, childhood cognitive ability, neuroticism, bipolar disorder, major depressive disorder and schizophrenia (standardised β’s had absolute values&lt;0.03). These results suggest that tiredness is a partly heritable, heterogeneous and complex phenomenon that is phenotypically and genetically associated with affective, cognitive, personality and physiological processes.","URL":"http://www.nature.com/mp/journal/vaop/ncurrent/full/mp20175a.html?foxtrotcallback=true","DOI":"10.1038/mp.2017.5","ISSN":"1359-4184","journalAbbreviation":"Mol Psychiatry","language":"en","author":[{"family":"Deary","given":"V."},{"family":"Hagenaars","given":"S. P."},{"family":"Harris","given":"S. E."},{"family":"Hill","given":"W. D."},{"family":"Davies","given":"G."},{"family":"Liewald","given":"D. C. M."},{"family":"McIntosh","given":"A. M."},{"family":"Gale","given":"C. R."},{"family":"Deary","given":"I. J."}],"issued":{"date-parts":[["2017",2,14]]},"accessed":{"date-parts":[["2017",9,23]]}}}],"schema":"https://github.com/citation-style-language/schema/raw/master/csl-citation.json"}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(Deary et al., 2017)</w:t>
      </w:r>
      <w:r w:rsidRPr="008438F4">
        <w:rPr>
          <w:rFonts w:ascii="Calibri" w:hAnsi="Calibri" w:cs="Calibri"/>
        </w:rPr>
        <w:fldChar w:fldCharType="end"/>
      </w:r>
      <w:r w:rsidR="00091153">
        <w:rPr>
          <w:rFonts w:ascii="Calibri" w:hAnsi="Calibri" w:cs="Calibri"/>
        </w:rPr>
        <w:t>. Based on these findings,</w:t>
      </w:r>
      <w:r w:rsidRPr="008438F4">
        <w:rPr>
          <w:rFonts w:ascii="Calibri" w:hAnsi="Calibri" w:cs="Calibri"/>
        </w:rPr>
        <w:t xml:space="preserve"> the heritability of fatigue remains a complex phenomenon associated with affective, cognitive, personality and physiological processes. </w:t>
      </w:r>
    </w:p>
    <w:p w14:paraId="7648D0F1" w14:textId="77777777" w:rsidR="0099247D" w:rsidRPr="008438F4" w:rsidRDefault="0099247D" w:rsidP="0099247D">
      <w:pPr>
        <w:spacing w:line="360" w:lineRule="auto"/>
        <w:rPr>
          <w:rFonts w:ascii="Calibri" w:hAnsi="Calibri" w:cs="Calibri"/>
        </w:rPr>
      </w:pPr>
      <w:r w:rsidRPr="008438F4">
        <w:rPr>
          <w:rFonts w:ascii="Calibri" w:hAnsi="Calibri" w:cs="Calibri"/>
        </w:rPr>
        <w:t xml:space="preserve">In summary, risk factors for fatigue may be both inherent and environmental, and known modifiable risk factors are </w:t>
      </w:r>
      <w:r w:rsidRPr="008438F4">
        <w:rPr>
          <w:rFonts w:ascii="Calibri" w:hAnsi="Calibri" w:cs="Calibri"/>
        </w:rPr>
        <w:fldChar w:fldCharType="begin"/>
      </w:r>
      <w:r w:rsidRPr="008438F4">
        <w:rPr>
          <w:rFonts w:ascii="Calibri" w:hAnsi="Calibri" w:cs="Calibri"/>
        </w:rPr>
        <w:instrText xml:space="preserve"> ADDIN ZOTERO_ITEM CSL_CITATION {"citationID":"ml69i6ilv","properties":{"formattedCitation":"(Targum &amp; Fava, 2011)","plainCitation":"(Targum &amp; Fava, 2011)"},"citationItems":[{"id":899,"uris":["http://zotero.org/users/local/vDYxJ8mW/items/9PQKFTC4"],"uri":["http://zotero.org/users/local/vDYxJ8mW/items/9PQKFTC4"],"itemData":{"id":899,"type":"article-journal","title":"Fatigue as a Residual Symptom of Depression","container-title":"Innovations in Clinical Neuroscience","page":"40-43","volume":"8","issue":"10","source":"PubMed Central","ISSN":"2158-8333","note":"PMID: 22132370\nPMCID: PMC3225130","journalAbbreviation":"Innov Clin Neurosci","author":[{"family":"Targum","given":"Steven D."},{"family":"Fava","given":"Maurizio"}],"issued":{"date-parts":[["2011",10]]}}}],"schema":"https://github.com/citation-style-language/schema/raw/master/csl-citation.json"} </w:instrText>
      </w:r>
      <w:r w:rsidRPr="008438F4">
        <w:rPr>
          <w:rFonts w:ascii="Calibri" w:hAnsi="Calibri" w:cs="Calibri"/>
        </w:rPr>
        <w:fldChar w:fldCharType="end"/>
      </w:r>
      <w:r w:rsidR="00AD2869" w:rsidRPr="008438F4">
        <w:rPr>
          <w:rFonts w:ascii="Calibri" w:hAnsi="Calibri" w:cs="Calibri"/>
        </w:rPr>
        <w:t>(Targum &amp; Fava, 2011)</w:t>
      </w:r>
      <w:r w:rsidRPr="008438F4">
        <w:rPr>
          <w:rFonts w:ascii="Calibri" w:hAnsi="Calibri" w:cs="Calibri"/>
        </w:rPr>
        <w:t>presently targets for intervention to reduce fatigue in the general population.</w:t>
      </w:r>
    </w:p>
    <w:p w14:paraId="6284AAAE" w14:textId="77777777" w:rsidR="0099247D" w:rsidRPr="008438F4" w:rsidRDefault="0099247D" w:rsidP="007B600A">
      <w:pPr>
        <w:pStyle w:val="Style6"/>
        <w:rPr>
          <w:rFonts w:cs="Calibri"/>
        </w:rPr>
      </w:pPr>
      <w:bookmarkStart w:id="8" w:name="_Toc499840773"/>
      <w:r w:rsidRPr="008438F4">
        <w:rPr>
          <w:rFonts w:cs="Calibri"/>
        </w:rPr>
        <w:t>Fatigue and Aging</w:t>
      </w:r>
      <w:bookmarkEnd w:id="8"/>
      <w:r w:rsidRPr="008438F4">
        <w:rPr>
          <w:rFonts w:cs="Calibri"/>
        </w:rPr>
        <w:t xml:space="preserve"> </w:t>
      </w:r>
    </w:p>
    <w:p w14:paraId="1694BC3D" w14:textId="77777777" w:rsidR="0099247D" w:rsidRPr="008438F4" w:rsidRDefault="0099247D" w:rsidP="0099411C">
      <w:pPr>
        <w:spacing w:line="360" w:lineRule="auto"/>
        <w:ind w:firstLine="0"/>
        <w:rPr>
          <w:rFonts w:ascii="Calibri" w:hAnsi="Calibri" w:cs="Calibri"/>
        </w:rPr>
      </w:pPr>
      <w:r w:rsidRPr="008438F4">
        <w:rPr>
          <w:rFonts w:ascii="Calibri" w:hAnsi="Calibri" w:cs="Calibri"/>
        </w:rPr>
        <w:t xml:space="preserve">Fatigue is considered to be a growing topic in the field of aging research, as feelings of fatigue in mid-life may be an early marker of age-related decline in health </w:t>
      </w:r>
      <w:r w:rsidRPr="008438F4">
        <w:rPr>
          <w:rFonts w:ascii="Calibri" w:hAnsi="Calibri" w:cs="Calibri"/>
        </w:rPr>
        <w:fldChar w:fldCharType="begin"/>
      </w:r>
      <w:r w:rsidRPr="008438F4">
        <w:rPr>
          <w:rFonts w:ascii="Calibri" w:hAnsi="Calibri" w:cs="Calibri"/>
        </w:rPr>
        <w:instrText xml:space="preserve"> ADDIN ZOTERO_ITEM CSL_CITATION {"citationID":"1i9joroq7l","properties":{"formattedCitation":"(Kirsten Avlund, 2010)","plainCitation":"(Kirsten Avlund, 2010)"},"citationItems":[{"id":856,"uris":["http://zotero.org/users/local/vDYxJ8mW/items/BSZGXG7D"],"uri":["http://zotero.org/users/local/vDYxJ8mW/items/BSZGXG7D"],"itemData":{"id":856,"type":"article-journal","title":"Fatigue in older adults: an early indicator of the aging process?","container-title":"Aging Clinical and Experimental Research","page":"100-115","volume":"22","issue":"2","source":"PubMed","abstract":"The aim of this paper is to give an overview of research on fatigue in older adults, with a focus on fatigue as an early indicator of the aging process. Fatigue is a strong predictor of functional limitations, disability, mortality, and other adverse outcomes in young-old and old-old populations, between men and women, and in different geographic localities. Several biological, physiological and social explanations are proposed: fatigue may be seen not only as a self-reported indicator of frailty, defined as a physiologic state of increased vulnerability to stressors, which results from decreased physiologic reserves and even dysregulation of multiple physiologic systems, but also this state may be accelerated because of the cumulative impact of social, mental and biological factors throughout life.","ISSN":"1594-0667","note":"PMID: 20440097","shortTitle":"Fatigue in older adults","journalAbbreviation":"Aging Clin Exp Res","language":"eng","author":[{"family":"Avlund","given":"Kirsten"}],"issued":{"date-parts":[["2010",4]]}}}],"schema":"https://github.com/citation-style-language/schema/raw/master/csl-citation.json"}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(Kirsten Avlund, 2010)</w:t>
      </w:r>
      <w:r w:rsidRPr="008438F4">
        <w:rPr>
          <w:rFonts w:ascii="Calibri" w:hAnsi="Calibri" w:cs="Calibri"/>
        </w:rPr>
        <w:fldChar w:fldCharType="end"/>
      </w:r>
      <w:r w:rsidRPr="008438F4">
        <w:rPr>
          <w:rFonts w:ascii="Calibri" w:hAnsi="Calibri" w:cs="Calibri"/>
        </w:rPr>
        <w:t xml:space="preserve">. Among middle age and older adults, fatigue is often reported as one of the top five complaints in a primary care setting </w:t>
      </w:r>
      <w:r w:rsidRPr="008438F4">
        <w:rPr>
          <w:rFonts w:ascii="Calibri" w:hAnsi="Calibri" w:cs="Calibri"/>
        </w:rPr>
        <w:fldChar w:fldCharType="begin"/>
      </w:r>
      <w:r w:rsidRPr="008438F4">
        <w:rPr>
          <w:rFonts w:ascii="Calibri" w:hAnsi="Calibri" w:cs="Calibri"/>
        </w:rPr>
        <w:instrText xml:space="preserve"> ADDIN ZOTERO_ITEM CSL_CITATION {"citationID":"121s8ke1sv","properties":{"formattedCitation":"(Kenter et al., 2003; Meng, Hale, &amp; Friedberg, 2010)","plainCitation":"(Kenter et al., 2003; Meng, Hale, &amp; Friedberg, 2010)"},"citationItems":[{"id":789,"uris":["http://zotero.org/users/local/vDYxJ8mW/items/MWQPXCFH"],"uri":["http://zotero.org/users/local/vDYxJ8mW/items/MWQPXCFH"],"itemData":{"id":789,"type":"article-journal","title":"Tiredness in Dutch family practice. Data on patients complaining of and/or diagnosed with \"tiredness\"","container-title":"Family Practice","page":"434-440","volume":"20","issue":"4","source":"PubMed","abstract":"BACKGROUND: Research including patients from the entire tiredness spectrum in family practice is needed.\nOBJECTIVES: Our aim was to provide routine family practice data on (i) relationships between the RFE (reason for encounter) and the diagnosis \"tiredness\"; (ii) duration, number of encounters and family physician's (FP's) interventions in episodes of care of tiredness; and (iii) sex/age and co-morbidity of patients diagnosed with \"tiredness\".\nMETHODS: Routine episode of care data from the Transition Project, coded comprehensively with the International Classification of Primary Care (ICPC), were used. (i) A 16 year database (1985-2000, 58 FPs, 504 145 episodes of care, 168 550 patient years) for calculating \"prior probabilities\" with (diagnostic) odds ratios. (ii) A \"basic population\" extracted from that 16 year database of patients listed for an entire 4 year period (1997-2000; n = 12 292).\nRESULTS: The RFE tiredness resulted in a variety of diagnoses, but most frequently (43%) in \"tiredness\". Most odds ratios were low or negative. Of episodes of care of tiredness, 90% started with the RFE tiredness; 72% required one encounter only, and 90% lasted &lt;6 months. In the 4 year period, 21% of patients first presented with tiredness, and 12% were diagnosed with tiredness; both groups were skewed towards women. Average co-morbidity in tired patients (16.6) was higher than in other visiting patients (10.4), and contained more tiredness-related conditions. FPs' interventions were mainly blood test, physical exam and advice; few referrals occurred.\nCONCLUSIONS: For many diagnoses, the RFE tiredness hardly contributes to the Bayesian posterior probability. FPs react differently to the RFE tiredness in cases in which they diagnose the patient with \"tiredness\" from how they react in other cases. The characteristics of ICPC and the Dutch health care system resulted in a full integration of tiredness as an RFE and as a freestanding episode of care in the context of family practice.","ISSN":"0263-2136","note":"PMID: 12876117","journalAbbreviation":"Fam Pract","language":"eng","author":[{"family":"Kenter","given":"E. G. H."},{"family":"Okkes","given":"I. M."},{"family":"Oskam","given":"S. K."},{"family":"Lamberts","given":"H."}],"issued":{"date-parts":[["2003",8]]}}},{"id":441,"uris":["http://zotero.org/users/local/vDYxJ8mW/items/EDZQNM2D"],"uri":["http://zotero.org/users/local/vDYxJ8mW/items/EDZQNM2D"],"itemData":{"id":441,"type":"article-journal","title":"Prevalence and Predictors of Fatigue Among Middle-Aged and Older Adults: Evidence from the Health and Retirement Study","container-title":"Journal of the American Geriatrics Society","page":"2033-2034","volume":"58","issue":"10","source":"PubMed Central","DOI":"10.1111/j.1532-5415.2010.03088.x","ISSN":"0002-8614","note":"PMID: 20929479\nPMCID: PMC2981161","shortTitle":"Prevalence and Predictors of Fatigue Among Middle-Aged and Older Adults","journalAbbreviation":"J Am Geriatr Soc","author":[{"family":"Meng","given":"Hongdao"},{"family":"Hale","given":"Lauren"},{"family":"Friedberg","given":"Fred"}],"issued":{"date-parts":[["2010",10]]}}}],"schema":"https://github.com/citation-style-language/schema/raw/master/csl-citation.json"}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(Kenter et al., 2003; Meng, Hale, &amp; Friedberg, 2010)</w:t>
      </w:r>
      <w:r w:rsidRPr="008438F4">
        <w:rPr>
          <w:rFonts w:ascii="Calibri" w:hAnsi="Calibri" w:cs="Calibri"/>
        </w:rPr>
        <w:fldChar w:fldCharType="end"/>
      </w:r>
      <w:r w:rsidRPr="008438F4">
        <w:rPr>
          <w:rFonts w:ascii="Calibri" w:hAnsi="Calibri" w:cs="Calibri"/>
        </w:rPr>
        <w:t xml:space="preserve">. The Health and Retirement Study reported that prevalence of fatigue in older adults was approximately 31.2% among those that are community-dwelling </w:t>
      </w:r>
      <w:r w:rsidRPr="008438F4">
        <w:rPr>
          <w:rFonts w:ascii="Calibri" w:hAnsi="Calibri" w:cs="Calibri"/>
        </w:rPr>
        <w:fldChar w:fldCharType="begin"/>
      </w:r>
      <w:r w:rsidRPr="008438F4">
        <w:rPr>
          <w:rFonts w:ascii="Calibri" w:hAnsi="Calibri" w:cs="Calibri"/>
        </w:rPr>
        <w:instrText xml:space="preserve"> ADDIN ZOTERO_ITEM CSL_CITATION {"citationID":"o9adg07rf","properties":{"formattedCitation":"(Meng et al., 2010)","plainCitation":"(Meng et al., 2010)"},"citationItems":[{"id":441,"uris":["http://zotero.org/users/local/vDYxJ8mW/items/EDZQNM2D"],"uri":["http://zotero.org/users/local/vDYxJ8mW/items/EDZQNM2D"],"itemData":{"id":441,"type":"article-journal","title":"Prevalence and Predictors of Fatigue Among Middle-Aged and Older Adults: Evidence from the Health and Retirement Study","container-title":"Journal of the American Geriatrics Society","page":"2033-2034","volume":"58","issue":"10","source":"PubMed Central","DOI":"10.1111/j.1532-5415.2010.03088.x","ISSN":"0002-8614","note":"PMID: 20929479\nPMCID: PMC2981161","shortTitle":"Prevalence and Predictors of Fatigue Among Middle-Aged and Older Adults","journalAbbreviation":"J Am Geriatr Soc","author":[{"family":"Meng","given":"Hongdao"},{"family":"Hale","given":"Lauren"},{"family":"Friedberg","given":"Fred"}],"issued":{"date-parts":[["2010",10]]}}}],"schema":"https://github.com/citation-style-language/schema/raw/master/csl-citation.json"}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(Meng et al., 2010)</w:t>
      </w:r>
      <w:r w:rsidRPr="008438F4">
        <w:rPr>
          <w:rFonts w:ascii="Calibri" w:hAnsi="Calibri" w:cs="Calibri"/>
        </w:rPr>
        <w:fldChar w:fldCharType="end"/>
      </w:r>
      <w:r w:rsidRPr="008438F4">
        <w:rPr>
          <w:rFonts w:ascii="Calibri" w:hAnsi="Calibri" w:cs="Calibri"/>
        </w:rPr>
        <w:t xml:space="preserve">. A comparison of these reports to prevalence reported for the general population suggests that older adults may share one of the highest burdens of fatigue. However, the lack of consistency in fatigue measures has made it difficult to distinguish the true burden of fatigue in older adults. </w:t>
      </w:r>
    </w:p>
    <w:p w14:paraId="630640A2" w14:textId="3F7EDF5F" w:rsidR="0099247D" w:rsidRPr="008438F4" w:rsidRDefault="0099247D" w:rsidP="0099247D">
      <w:pPr>
        <w:spacing w:line="360" w:lineRule="auto"/>
        <w:rPr>
          <w:rFonts w:ascii="Calibri" w:hAnsi="Calibri" w:cs="Calibri"/>
        </w:rPr>
      </w:pPr>
      <w:r w:rsidRPr="008438F4">
        <w:rPr>
          <w:rFonts w:ascii="Calibri" w:hAnsi="Calibri" w:cs="Calibri"/>
        </w:rPr>
        <w:t xml:space="preserve">Of primary concern in older adults is the implication of fatigue in functional independence. Functional limitation can prevent individuals from seeking preventative services in a timely manner, increasing the risk for additional health problems in the future </w:t>
      </w:r>
      <w:r w:rsidRPr="008438F4">
        <w:rPr>
          <w:rFonts w:ascii="Calibri" w:hAnsi="Calibri" w:cs="Calibri"/>
        </w:rPr>
        <w:fldChar w:fldCharType="begin"/>
      </w:r>
      <w:r w:rsidRPr="008438F4">
        <w:rPr>
          <w:rFonts w:ascii="Calibri" w:hAnsi="Calibri" w:cs="Calibri"/>
        </w:rPr>
        <w:instrText xml:space="preserve"> ADDIN ZOTERO_ITEM CSL_CITATION {"citationID":"12cfei25j7","properties":{"formattedCitation":"(Fitzpatrick, Powe, Cooper, Ives, &amp; Robbins, 2004)","plainCitation":"(Fitzpatrick, Powe, Cooper, Ives, &amp; Robbins, 2004)"},"citationItems":[{"id":867,"uris":["http://zotero.org/users/local/vDYxJ8mW/items/VPU3S556"],"uri":["http://zotero.org/users/local/vDYxJ8mW/items/VPU3S556"],"itemData":{"id":867,"type":"article-journal","title":"Barriers to health care access among the elderly and who perceives them","container-title":"American Journal of Public Health","page":"1788-1794","volume":"94","issue":"10","source":"PubMed","abstract":"OBJECTIVES: We evaluated self-perceived access to health care in a cohort of Medicare beneficiaries.\nMETHODS: We identified patterns of use and barriers to health care from self-administered questionnaires collected during the 1993-1994 annual examination of the Cardiovascular Health Study.\nRESULTS: The questionnaires were completed by 4889 (91.1%) participants, with a mean age of 76.0 years. The most common barriers to seeing a physician were the doctor's lack of responsiveness to patient concerns, medical bills, transportation, and street safety. Low income, no supplemental insurance, older age, and female gender were independently related to perceptions of barriers. Race was not significant after adjustment for other factors.\nCONCLUSIONS: Psychological and physical barriers affect access to care among the elderly; these may be influenced by poverty more than by race.","ISSN":"0090-0036","note":"PMID: 15451751\nPMCID: PMC1448535","journalAbbreviation":"Am J Public Health","language":"eng","author":[{"family":"Fitzpatrick","given":"Annette L."},{"family":"Powe","given":"Neil R."},{"family":"Cooper","given":"Lawton S."},{"family":"Ives","given":"Diane G."},{"family":"Robbins","given":"John A."}],"issued":{"date-parts":[["2004",10]]}}}],"schema":"https://github.com/citation-style-language/schema/raw/master/csl-citation.json"}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(Fitzpatrick, Powe, Cooper, Ives, &amp; Robbins, 2004)</w:t>
      </w:r>
      <w:r w:rsidRPr="008438F4">
        <w:rPr>
          <w:rFonts w:ascii="Calibri" w:hAnsi="Calibri" w:cs="Calibri"/>
        </w:rPr>
        <w:fldChar w:fldCharType="end"/>
      </w:r>
      <w:r w:rsidRPr="008438F4">
        <w:rPr>
          <w:rFonts w:ascii="Calibri" w:hAnsi="Calibri" w:cs="Calibri"/>
        </w:rPr>
        <w:t xml:space="preserve">. </w:t>
      </w:r>
    </w:p>
    <w:p w14:paraId="01EA63D7" w14:textId="77777777" w:rsidR="0099247D" w:rsidRPr="008438F4" w:rsidRDefault="0099247D" w:rsidP="0099247D">
      <w:pPr>
        <w:spacing w:line="360" w:lineRule="auto"/>
        <w:rPr>
          <w:rFonts w:ascii="Calibri" w:hAnsi="Calibri" w:cs="Calibri"/>
        </w:rPr>
      </w:pPr>
      <w:r w:rsidRPr="008438F4">
        <w:rPr>
          <w:rFonts w:ascii="Calibri" w:hAnsi="Calibri" w:cs="Calibri"/>
        </w:rPr>
        <w:t xml:space="preserve">Mobility decline is recognized as an increasing problem in older adults. In a study of adults age 70 and older, fatigue was the primary reason for restriction of physical activity and mobility  </w:t>
      </w:r>
      <w:r w:rsidRPr="008438F4">
        <w:rPr>
          <w:rFonts w:ascii="Calibri" w:hAnsi="Calibri" w:cs="Calibri"/>
        </w:rPr>
        <w:fldChar w:fldCharType="begin"/>
      </w:r>
      <w:r w:rsidRPr="008438F4">
        <w:rPr>
          <w:rFonts w:ascii="Calibri" w:hAnsi="Calibri" w:cs="Calibri"/>
        </w:rPr>
        <w:instrText xml:space="preserve"> ADDIN ZOTERO_ITEM CSL_CITATION {"citationID":"tc8eiom3a","properties":{"formattedCitation":"(Gill, Desai, Gahbauer, Holford, &amp; Williams, 2001)","plainCitation":"(Gill, Desai, Gahbauer, Holford, &amp; Williams, 2001)"},"citationItems":[{"id":439,"uris":["http://zotero.org/users/local/vDYxJ8mW/items/53S2EEM3"],"uri":["http://zotero.org/users/local/vDYxJ8mW/items/53S2EEM3"],"itemData":{"id":439,"type":"article-journal","title":"Restricted activity among community-living older persons: incidence, precipitants, and health care utilization","container-title":"Annals of Internal Medicine","page":"313-321","volume":"135","issue":"5","source":"PubMed","abstract":"BACKGROUND: Restricted activity is a potentially important indicator of health and functional status. Yet, relatively little is known about the incidence, precipitants, or health care utilization associated with restricted activity among older persons.\nOBJECTIVE: To more accurately estimate the rate of restricted activity among community-living older persons, to identify the health-related and non-health-related problems that lead to restricted activity, and to determine whether restricted activity is associated with increased health care utilization.\nDESIGN: Prospective cohort study.\nSETTING: New Haven, Connecticut.\nPARTICIPANTS: 754 nondisabled members of a large health plan, 70 years of age or older, who were categorized according to their risk for disability (low, intermediate, or high).\nMEASUREMENTS: Occurrence of restricted activity (defined as having stayed in bed for at least half a day or having cut down on one's usual activities because of an illness, injury, or another problem), problems leading to restricted activity, and health care utilization were ascertained during monthly telephone interviews for up to 2 years.\nRESULTS: In median follow-up of 15 months, 76.6% of participants reported restricted activity during at least 1 month and 39.3% reported restricted activity during 2 consecutive months. The rates of restricted activity per 100 person-months were 19.0 episodes for all participants and 16.9, 27.3, and 22.7 episodes for participants at low, intermediate, and high risk for disability, respectively. Of the 24 prespecified health-related and non-health-related problems, the rates per 100 person-months of restricted activity ranged from 0.1 episode for \"problem with alcohol\" to 65.5 episodes for \"been fatigued.\" On average, participants identified 4.5 different problems as a cause for their restricted activity. Health care utilization was substantially greater during months with restricted activity than months without restricted activity. The corresponding rates per 100 person-months were 63.8 and 45.1 for physician office visits, 12.5 and 1.0 for emergency department visits, 14.1 and 0.3 for hospital admissions, and 67.6 and 45.1 for any health care utilization (P &lt; 0.001 for each pairwise comparison).\nCONCLUSIONS: Restricted activity is common among community-living older persons, regardless of risk for disability, and it is usually attributable to several concurrent health-related problems. Although restricted activity is associated with a substantial increase in health care utilization, older persons with restricted activity often do not seek medical attention.","ISSN":"0003-4819","note":"PMID: 11529694","shortTitle":"Restricted activity among community-living older persons","journalAbbreviation":"Ann. Intern. Med.","language":"eng","author":[{"family":"Gill","given":"T. M."},{"family":"Desai","given":"M. M."},{"family":"Gahbauer","given":"E. A."},{"family":"Holford","given":"T. R."},{"family":"Williams","given":"C. S."}],"issued":{"date-parts":[["2001",9,4]]}}}],"schema":"https://github.com/citation-style-language/schema/raw/master/csl-citation.json"}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(Gill, Desai, Gahbauer, Holford, &amp; Williams, 2001)</w:t>
      </w:r>
      <w:r w:rsidRPr="008438F4">
        <w:rPr>
          <w:rFonts w:ascii="Calibri" w:hAnsi="Calibri" w:cs="Calibri"/>
        </w:rPr>
        <w:fldChar w:fldCharType="end"/>
      </w:r>
      <w:r w:rsidRPr="008438F4">
        <w:rPr>
          <w:rFonts w:ascii="Calibri" w:hAnsi="Calibri" w:cs="Calibri"/>
        </w:rPr>
        <w:t xml:space="preserve">.  In many cases, fatigue symptoms may be an indicator of an undiagnosed condition, but in many reports fatigue cannot be attributed to other underlying health abnormalities. The concern lies in these cases, where many adults are subject to feelings of unexplained fatigue, which have implications for mobility decline and loss of functional independence. Sedentary lifestyle, poorer functional performance and higher levels of disability have been strongly associated with depressive symptoms in both younger and older adults </w:t>
      </w:r>
      <w:r w:rsidRPr="008438F4">
        <w:rPr>
          <w:rFonts w:ascii="Calibri" w:hAnsi="Calibri" w:cs="Calibri"/>
        </w:rPr>
        <w:fldChar w:fldCharType="begin"/>
      </w:r>
      <w:r w:rsidRPr="008438F4">
        <w:rPr>
          <w:rFonts w:ascii="Calibri" w:hAnsi="Calibri" w:cs="Calibri"/>
        </w:rPr>
        <w:instrText xml:space="preserve"> ADDIN ZOTERO_ITEM CSL_CITATION {"citationID":"O2RjTiFp","properties":{"formattedCitation":"{\\rtf (M\\uc0\\u228{}nty, Rantanen, Era, &amp; Avlund, 2014)}","plainCitation":"(Mänty, Rantanen, Era, &amp; Avlund, 2014)"},"citationItems":[{"id":778,"uris":["http://zotero.org/users/local/vDYxJ8mW/items/3XEWDTTB"],"uri":["http://zotero.org/users/local/vDYxJ8mW/items/3XEWDTTB"],"itemData":{"id":778,"type":"article-journal","title":"Fatigue and Depressive Symptoms in Older People","container-title":"Journal of Applied Gerontology","page":"505-514","volume":"33","issue":"4","source":"SAGE Journals","abstract":"Fatigue is considered an important indicator of aging-related declines in health and functional abilities. Previous studies have indicated strong associations between fatigue and depressive symptoms among younger populations and in patient groups with specific diseases. However, it is not known how different measures of fatigue are associated with depressive symptoms among general older populations. The purpose of this study is to describe the prevalence of depressive symptoms among community-dwelling older adults reporting mobility-related or general feelings fatigue. The study population consisted of 75-year-old community-living individuals (n = 561). Both, mobility-related and general fatigue, were associated in a stepwise relationship with depressive symptoms: a higher level of fatigue was related to higher level of depressive symptoms. Especially major general fatigue was strongly associated with high level of depressive symptoms. It is important for professionals of the field to be aware of the associations between different measures of fatigue and depressive symptoms.","DOI":"10.1177/0733464812454011","ISSN":"0733-4648","journalAbbreviation":"Journal of Applied Gerontology","language":"en","author":[{"family":"Mänty","given":"Minna"},{"family":"Rantanen","given":"Taina"},{"family":"Era","given":"Pertti"},{"family":"Avlund","given":"Kirsten"}],"issued":{"date-parts":[["2014",6,1]]}}}],"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(Mänty, Rantanen, Era, &amp; Avlund, 2014)</w:t>
      </w:r>
      <w:r w:rsidRPr="008438F4">
        <w:rPr>
          <w:rFonts w:ascii="Calibri" w:hAnsi="Calibri" w:cs="Calibri"/>
        </w:rPr>
        <w:fldChar w:fldCharType="end"/>
      </w:r>
      <w:r w:rsidRPr="008438F4">
        <w:rPr>
          <w:rFonts w:ascii="Calibri" w:hAnsi="Calibri" w:cs="Calibri"/>
        </w:rPr>
        <w:t>. High quality of life is often compromised as individuals with limitations in older age experience additional challenges in the community due to deficits in mobility.</w:t>
      </w:r>
    </w:p>
    <w:p w14:paraId="1804F28B" w14:textId="77777777" w:rsidR="0099247D" w:rsidRPr="008438F4" w:rsidRDefault="0099247D" w:rsidP="0099411C">
      <w:pPr>
        <w:pStyle w:val="Heading2"/>
        <w:rPr>
          <w:rFonts w:ascii="Calibri" w:hAnsi="Calibri" w:cs="Calibri"/>
        </w:rPr>
      </w:pPr>
      <w:bookmarkStart w:id="9" w:name="_Toc499840774"/>
      <w:r w:rsidRPr="008438F4">
        <w:rPr>
          <w:rFonts w:ascii="Calibri" w:hAnsi="Calibri" w:cs="Calibri"/>
        </w:rPr>
        <w:t>FATIGABILITY</w:t>
      </w:r>
      <w:bookmarkEnd w:id="9"/>
    </w:p>
    <w:p w14:paraId="10D98443" w14:textId="77777777" w:rsidR="0099247D" w:rsidRPr="008438F4" w:rsidRDefault="0099247D" w:rsidP="0099411C">
      <w:pPr>
        <w:pStyle w:val="Heading3"/>
        <w:rPr>
          <w:rFonts w:ascii="Calibri" w:hAnsi="Calibri" w:cs="Calibri"/>
        </w:rPr>
      </w:pPr>
      <w:r w:rsidRPr="008438F4">
        <w:rPr>
          <w:rFonts w:ascii="Calibri" w:hAnsi="Calibri" w:cs="Calibri"/>
        </w:rPr>
        <w:t xml:space="preserve"> </w:t>
      </w:r>
      <w:bookmarkStart w:id="10" w:name="_Toc499840775"/>
      <w:r w:rsidRPr="008438F4">
        <w:rPr>
          <w:rFonts w:ascii="Calibri" w:hAnsi="Calibri" w:cs="Calibri"/>
        </w:rPr>
        <w:t>Overview</w:t>
      </w:r>
      <w:bookmarkEnd w:id="10"/>
    </w:p>
    <w:p w14:paraId="03B3A695"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The term fatigability has emerged in the literature to describe fatigue in a measurable and quantifiable dimension. Measures of global perceived fatigue typically describe a person’s whole body experience of fatigue, but fatigability can be used to understand fatigue as a whole-person construct in which fatigue is anchored to a defined activity at a fixed intensity and duration </w:t>
      </w:r>
      <w:r w:rsidRPr="008438F4">
        <w:rPr>
          <w:rFonts w:cs="Calibri"/>
          <w:sz w:val="24"/>
          <w:szCs w:val="24"/>
        </w:rPr>
        <w:fldChar w:fldCharType="begin"/>
      </w:r>
      <w:r w:rsidRPr="008438F4">
        <w:rPr>
          <w:rFonts w:cs="Calibri"/>
          <w:sz w:val="24"/>
          <w:szCs w:val="24"/>
        </w:rPr>
        <w:instrText xml:space="preserve"> ADDIN ZOTERO_ITEM CSL_CITATION {"citationID":"g97q59al0","properties":{"formattedCitation":"(Eldadah, 2010)","plainCitation":"(Eldadah, 2010)"},"citationItems":[{"id":299,"uris":["http://zotero.org/users/local/vDYxJ8mW/items/EW7EG9KR"],"uri":["http://zotero.org/users/local/vDYxJ8mW/items/EW7EG9KR"],"itemData":{"id":299,"type":"article-journal","title":"Fatigue and Fatigability in Older Adults","container-title":"PM&amp;R","page":"406-413","volume":"2","issue":"5","source":"ScienceDirect","abstract":"Fatigue is believed to be a common complaint among older adults; however, multiple studies of self-reported fatigue across the lifespan have found this may not be the case. To explain this paradox, this article considers “fatigability”–a phenotype characterized by the relationship between an individual's perceived fatigue and the activity level with which the fatigue is associated. Fatigability may be measured by combining self-report measures of fatigue with performance of physical or cognitive activities, provided that the work of the activity is known or can be standardized. Doing so prevents self-pacing and allows meaningful comparisons across subjects and between studies. Increased fatigability with aging may arise from a variety of factors including age-related changes in energy production or utilization, and inflammatory mechanisms. A few published intervention studies have targeted fatigue in older adults, though none have examined fatigability specifically. Because fatigue may represent a physiologic warning system, future clinical studies may benefit from a focus on fatigability, where both symptoms and function are considered.","DOI":"10.1016/j.pmrj.2010.03.022","ISSN":"1934-1482","journalAbbreviation":"PM&amp;R","author":[{"family":"Eldadah","given":"Basil A."}],"issued":{"date-parts":[["2010",5]]}}}],"schema":"https://github.com/citation-style-language/schema/raw/master/csl-citation.json"} </w:instrText>
      </w:r>
      <w:r w:rsidRPr="008438F4">
        <w:rPr>
          <w:rFonts w:cs="Calibri"/>
          <w:sz w:val="24"/>
          <w:szCs w:val="24"/>
        </w:rPr>
        <w:fldChar w:fldCharType="separate"/>
      </w:r>
      <w:r w:rsidR="00AD2869" w:rsidRPr="008438F4">
        <w:rPr>
          <w:rFonts w:cs="Calibri"/>
          <w:sz w:val="24"/>
        </w:rPr>
        <w:t>(Eldadah, 2010)</w:t>
      </w:r>
      <w:r w:rsidRPr="008438F4">
        <w:rPr>
          <w:rFonts w:cs="Calibri"/>
          <w:sz w:val="24"/>
          <w:szCs w:val="24"/>
        </w:rPr>
        <w:fldChar w:fldCharType="end"/>
      </w:r>
      <w:r w:rsidRPr="008438F4">
        <w:rPr>
          <w:rFonts w:cs="Calibri"/>
          <w:sz w:val="24"/>
          <w:szCs w:val="24"/>
        </w:rPr>
        <w:t xml:space="preserve">. An individual’s fatigability is their susceptibility to fatigue, which may be perceived or performance based. Accordingly, fatigability measures can be both subjective and objective in nature. The relationship between subjective and objective measures of fatigability are presented in </w:t>
      </w:r>
      <w:r w:rsidRPr="008438F4">
        <w:rPr>
          <w:rFonts w:cs="Calibri"/>
          <w:b/>
          <w:sz w:val="24"/>
          <w:szCs w:val="24"/>
        </w:rPr>
        <w:t>Figure 1.</w:t>
      </w:r>
      <w:r w:rsidRPr="008438F4">
        <w:rPr>
          <w:rFonts w:cs="Calibri"/>
          <w:sz w:val="24"/>
          <w:szCs w:val="24"/>
        </w:rPr>
        <w:t xml:space="preserve"> </w:t>
      </w:r>
    </w:p>
    <w:p w14:paraId="1E0A4400" w14:textId="77777777" w:rsidR="0099247D" w:rsidRPr="008438F4" w:rsidRDefault="0099247D" w:rsidP="0099247D">
      <w:pPr>
        <w:pStyle w:val="NoSpacing"/>
        <w:spacing w:line="360" w:lineRule="auto"/>
        <w:jc w:val="both"/>
        <w:rPr>
          <w:rFonts w:cs="Calibri"/>
          <w:sz w:val="24"/>
          <w:szCs w:val="24"/>
        </w:rPr>
      </w:pPr>
    </w:p>
    <w:p w14:paraId="0ADF6B60" w14:textId="667C696C" w:rsidR="00BD74FA" w:rsidRPr="008438F4" w:rsidRDefault="00806E0D" w:rsidP="00BD74FA">
      <w:pPr>
        <w:pStyle w:val="NoSpacing"/>
        <w:keepNext/>
        <w:spacing w:line="360" w:lineRule="auto"/>
        <w:ind w:left="-180"/>
        <w:jc w:val="both"/>
        <w:rPr>
          <w:rFonts w:cs="Calibri"/>
        </w:rPr>
      </w:pPr>
      <w:r>
        <w:rPr>
          <w:rFonts w:cs="Calibri"/>
          <w:noProof/>
          <w:sz w:val="24"/>
          <w:szCs w:val="24"/>
        </w:rPr>
        <w:drawing>
          <wp:inline distT="0" distB="0" distL="0" distR="0" wp14:anchorId="24E289F6" wp14:editId="66766137">
            <wp:extent cx="6439535" cy="2150110"/>
            <wp:effectExtent l="0" t="0" r="12065"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353" t="13478" r="3551" b="29398"/>
                    <a:stretch>
                      <a:fillRect/>
                    </a:stretch>
                  </pic:blipFill>
                  <pic:spPr bwMode="auto">
                    <a:xfrm>
                      <a:off x="0" y="0"/>
                      <a:ext cx="6439535" cy="2150110"/>
                    </a:xfrm>
                    <a:prstGeom prst="rect">
                      <a:avLst/>
                    </a:prstGeom>
                    <a:noFill/>
                    <a:ln>
                      <a:noFill/>
                    </a:ln>
                  </pic:spPr>
                </pic:pic>
              </a:graphicData>
            </a:graphic>
          </wp:inline>
        </w:drawing>
      </w:r>
    </w:p>
    <w:p w14:paraId="3826FE45" w14:textId="554604A6" w:rsidR="0099247D" w:rsidRPr="008438F4" w:rsidRDefault="00BD74FA" w:rsidP="00BD74FA">
      <w:pPr>
        <w:pStyle w:val="Caption"/>
        <w:ind w:firstLine="0"/>
        <w:jc w:val="center"/>
        <w:rPr>
          <w:rFonts w:ascii="Calibri" w:hAnsi="Calibri" w:cs="Calibri"/>
          <w:sz w:val="24"/>
          <w:szCs w:val="24"/>
        </w:rPr>
      </w:pPr>
      <w:bookmarkStart w:id="11" w:name="_Toc497999645"/>
      <w:r w:rsidRPr="008438F4">
        <w:rPr>
          <w:rFonts w:ascii="Calibri" w:hAnsi="Calibri" w:cs="Calibri"/>
        </w:rPr>
        <w:t xml:space="preserve">Figure </w:t>
      </w:r>
      <w:r w:rsidRPr="008438F4">
        <w:rPr>
          <w:rFonts w:ascii="Calibri" w:hAnsi="Calibri" w:cs="Calibri"/>
        </w:rPr>
        <w:fldChar w:fldCharType="begin"/>
      </w:r>
      <w:r w:rsidRPr="008438F4">
        <w:rPr>
          <w:rFonts w:ascii="Calibri" w:hAnsi="Calibri" w:cs="Calibri"/>
        </w:rPr>
        <w:instrText xml:space="preserve"> SEQ Figure \* ARABIC </w:instrText>
      </w:r>
      <w:r w:rsidRPr="008438F4">
        <w:rPr>
          <w:rFonts w:ascii="Calibri" w:hAnsi="Calibri" w:cs="Calibri"/>
        </w:rPr>
        <w:fldChar w:fldCharType="separate"/>
      </w:r>
      <w:r w:rsidR="003B7E02">
        <w:rPr>
          <w:rFonts w:ascii="Calibri" w:hAnsi="Calibri" w:cs="Calibri"/>
          <w:noProof/>
        </w:rPr>
        <w:t>1</w:t>
      </w:r>
      <w:r w:rsidRPr="008438F4">
        <w:rPr>
          <w:rFonts w:ascii="Calibri" w:hAnsi="Calibri" w:cs="Calibri"/>
        </w:rPr>
        <w:fldChar w:fldCharType="end"/>
      </w:r>
      <w:r w:rsidRPr="008438F4">
        <w:rPr>
          <w:rFonts w:ascii="Calibri" w:hAnsi="Calibri" w:cs="Calibri"/>
        </w:rPr>
        <w:t>. Fatigability Diagram</w:t>
      </w:r>
      <w:bookmarkEnd w:id="11"/>
    </w:p>
    <w:p w14:paraId="4AF55FFA" w14:textId="77777777" w:rsidR="0099247D" w:rsidRPr="008438F4" w:rsidRDefault="0099247D" w:rsidP="00C041A2">
      <w:pPr>
        <w:pStyle w:val="Heading3"/>
        <w:rPr>
          <w:rFonts w:ascii="Calibri" w:hAnsi="Calibri" w:cs="Calibri"/>
        </w:rPr>
      </w:pPr>
      <w:bookmarkStart w:id="12" w:name="_Toc499840776"/>
      <w:r w:rsidRPr="008438F4">
        <w:rPr>
          <w:rFonts w:ascii="Calibri" w:hAnsi="Calibri" w:cs="Calibri"/>
        </w:rPr>
        <w:t>Subjective vs. Objective Fatigability</w:t>
      </w:r>
      <w:bookmarkEnd w:id="12"/>
      <w:r w:rsidRPr="008438F4">
        <w:rPr>
          <w:rFonts w:ascii="Calibri" w:hAnsi="Calibri" w:cs="Calibri"/>
        </w:rPr>
        <w:t xml:space="preserve"> </w:t>
      </w:r>
    </w:p>
    <w:p w14:paraId="426FDB87"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Subjective fatigability is best defined as, “a phenotype characterized by the relationship between self-reported fatigue and level of activity with which the fatigue is associated” </w:t>
      </w:r>
      <w:r w:rsidRPr="008438F4">
        <w:rPr>
          <w:rFonts w:cs="Calibri"/>
          <w:sz w:val="24"/>
          <w:szCs w:val="24"/>
        </w:rPr>
        <w:fldChar w:fldCharType="begin"/>
      </w:r>
      <w:r w:rsidRPr="008438F4">
        <w:rPr>
          <w:rFonts w:cs="Calibri"/>
          <w:sz w:val="24"/>
          <w:szCs w:val="24"/>
        </w:rPr>
        <w:instrText xml:space="preserve"> ADDIN ZOTERO_ITEM CSL_CITATION {"citationID":"ncpcnpnY","properties":{"formattedCitation":"(Eldadah, 2010)","plainCitation":"(Eldadah, 2010)"},"citationItems":[{"id":299,"uris":["http://zotero.org/users/local/vDYxJ8mW/items/EW7EG9KR"],"uri":["http://zotero.org/users/local/vDYxJ8mW/items/EW7EG9KR"],"itemData":{"id":299,"type":"article-journal","title":"Fatigue and Fatigability in Older Adults","container-title":"PM&amp;R","page":"406-413","volume":"2","issue":"5","source":"ScienceDirect","abstract":"Fatigue is believed to be a common complaint among older adults; however, multiple studies of self-reported fatigue across the lifespan have found this may not be the case. To explain this paradox, this article considers “fatigability”–a phenotype characterized by the relationship between an individual's perceived fatigue and the activity level with which the fatigue is associated. Fatigability may be measured by combining self-report measures of fatigue with performance of physical or cognitive activities, provided that the work of the activity is known or can be standardized. Doing so prevents self-pacing and allows meaningful comparisons across subjects and between studies. Increased fatigability with aging may arise from a variety of factors including age-related changes in energy production or utilization, and inflammatory mechanisms. A few published intervention studies have targeted fatigue in older adults, though none have examined fatigability specifically. Because fatigue may represent a physiologic warning system, future clinical studies may benefit from a focus on fatigability, where both symptoms and function are considered.","DOI":"10.1016/j.pmrj.2010.03.022","ISSN":"1934-1482","journalAbbreviation":"PM&amp;R","author":[{"family":"Eldadah","given":"Basil A."}],"issued":{"date-parts":[["2010",5]]}}}],"schema":"https://github.com/citation-style-language/schema/raw/master/csl-citation.json"} </w:instrText>
      </w:r>
      <w:r w:rsidRPr="008438F4">
        <w:rPr>
          <w:rFonts w:cs="Calibri"/>
          <w:sz w:val="24"/>
          <w:szCs w:val="24"/>
        </w:rPr>
        <w:fldChar w:fldCharType="separate"/>
      </w:r>
      <w:r w:rsidR="00AD2869" w:rsidRPr="008438F4">
        <w:rPr>
          <w:rFonts w:cs="Calibri"/>
          <w:sz w:val="24"/>
        </w:rPr>
        <w:t>(Eldadah, 2010)</w:t>
      </w:r>
      <w:r w:rsidRPr="008438F4">
        <w:rPr>
          <w:rFonts w:cs="Calibri"/>
          <w:sz w:val="24"/>
          <w:szCs w:val="24"/>
        </w:rPr>
        <w:fldChar w:fldCharType="end"/>
      </w:r>
      <w:r w:rsidRPr="008438F4">
        <w:rPr>
          <w:rFonts w:cs="Calibri"/>
          <w:sz w:val="24"/>
          <w:szCs w:val="24"/>
        </w:rPr>
        <w:t xml:space="preserve">. Generally, subjective fatigue can also be interpreted as perceived fatigability. Perceived fatigability is a subjective measure of fatigue that captures an individual’s opinion of how fatigued they would imagine they would feel in the context of a specific task.  Individuals with experience performing specific activities may have already experienced feelings of fatigue that influence their response. Thus, subjective fatigability is based on an opinion response about feelings of fatigue </w:t>
      </w:r>
      <w:r w:rsidRPr="008438F4">
        <w:rPr>
          <w:rFonts w:cs="Calibri"/>
          <w:i/>
          <w:sz w:val="24"/>
          <w:szCs w:val="24"/>
        </w:rPr>
        <w:t>without performing</w:t>
      </w:r>
      <w:r w:rsidRPr="008438F4">
        <w:rPr>
          <w:rFonts w:cs="Calibri"/>
          <w:sz w:val="24"/>
          <w:szCs w:val="24"/>
        </w:rPr>
        <w:t xml:space="preserve"> an activity to objectively measure physical or mental functioning. </w:t>
      </w:r>
    </w:p>
    <w:p w14:paraId="58459E7C" w14:textId="77777777" w:rsidR="0099247D" w:rsidRPr="008438F4" w:rsidRDefault="0099247D" w:rsidP="00BD74FA">
      <w:pPr>
        <w:pStyle w:val="NoSpacing"/>
        <w:spacing w:line="360" w:lineRule="auto"/>
        <w:ind w:firstLine="720"/>
        <w:jc w:val="both"/>
        <w:rPr>
          <w:rFonts w:cs="Calibri"/>
          <w:sz w:val="24"/>
          <w:szCs w:val="24"/>
        </w:rPr>
      </w:pPr>
      <w:r w:rsidRPr="008438F4">
        <w:rPr>
          <w:rFonts w:cs="Calibri"/>
          <w:sz w:val="24"/>
          <w:szCs w:val="24"/>
        </w:rPr>
        <w:t>Objective fatigability can be thought of as performance fatigability. Performance fatigability can be measured after an individual completes a specific physical or mental task. For example, a measurement of performance deterioration after a standardized walking distance of 400m can be used to objectively measure an individual’s physical fatigability</w:t>
      </w:r>
      <w:r w:rsidRPr="008438F4">
        <w:rPr>
          <w:rFonts w:cs="Calibri"/>
          <w:sz w:val="24"/>
          <w:szCs w:val="24"/>
        </w:rPr>
        <w:fldChar w:fldCharType="begin"/>
      </w:r>
      <w:r w:rsidRPr="008438F4">
        <w:rPr>
          <w:rFonts w:cs="Calibri"/>
          <w:sz w:val="24"/>
          <w:szCs w:val="24"/>
        </w:rPr>
        <w:instrText xml:space="preserve"> ADDIN ZOTERO_ITEM CSL_CITATION {"citationID":"27jvd61mc1","properties":{"formattedCitation":"(Simonsick, Schrack, Glynn, &amp; Ferrucci, 2014)","plainCitation":"(Simonsick, Schrack, Glynn, &amp; Ferrucci, 2014)"},"citationItems":[{"id":1083,"uris":["http://zotero.org/users/local/vDYxJ8mW/items/C2AE8HPX"],"uri":["http://zotero.org/users/local/vDYxJ8mW/items/C2AE8HPX"],"itemData":{"id":1083,"type":"article-journal","title":"Assessing Fatigability in Mobility-Intact Older Adults","container-title":"Journal of the American Geriatrics Society","page":"347-351","volume":"62","issue":"2","source":"PubMed Central","abstract":"OBJECTIVES\nEvaluate criterion validity of two measures of fatigability defined as performance deterioration or perceived effort to perform a standardized task.\n\nDESIGN\nCross-sectional analysis of data from the Baltimore Longitudinal Study of Aging (BLSA).\n\nSETTING\nNational Institute on Aging, Intramural Research Program, Clinical Research Unit, Baltimore, Maryland.\n\nPARTICIPANTS\nSix hundred five men (53.7%) and women (aged 65–97) participating in the BLSA eligible for endurance walk testing without a walking aid.\n\nMEASUREMENTS\nFatigability was assessed using (1) completion status and lap times from a 400m-walk performed “as quickly as possible” and (2) perceived exertion rating using the Borg scale (range 6–20) following 5 minutes of treadmill walking at 1.5mph (0.67m/s). Criterion measures include self-report of tiredness, level of weakness and energy in past month and walking ability and objective measures of usual and fast gait speed, time to complete 10 chair stands and grip strength. Co-variates include age, race, sex, obesity, smoking status and walking activity.\n\nRESULTS\nAmong mobility intact older persons, 23% exhibited performance deterioration (i.e., slowed or stopped) during the 400m-walk and1/3 reported more than very light exertion following a 5-minute slow walk. Slowing was strongly associated with self-reported fatigue and walking ability, but weakly associated with performance-based mobility measures. High perceived exertion was associated with tiredness and weakness and reported and observed mobility deficits.\n\nCONCLUSION\nSlowing down may have low sensitivity for identifying fatigability in older persons, but ascertaining perceived exertion during a defined workload shows promise. In seemingly healthy, motivated individuals, fatigue and fatigability were common and may impact socially meaningful mobility behaviors. Assessment of fatigability in well-elderly examinations may help identify threats to independent functioning earlier in the decline process.","DOI":"10.1111/jgs.12638","ISSN":"0002-8614","note":"PMID: 24417536\nPMCID: PMC3947865","journalAbbreviation":"J Am Geriatr Soc","author":[{"family":"Simonsick","given":"Eleanor M."},{"family":"Schrack","given":"Jennifer A."},{"family":"Glynn","given":"Nancy W."},{"family":"Ferrucci","given":"Luigi"}],"issued":{"date-parts":[["2014",2]]}}}],"schema":"https://github.com/citation-style-language/schema/raw/master/csl-citation.json"} </w:instrText>
      </w:r>
      <w:r w:rsidRPr="008438F4">
        <w:rPr>
          <w:rFonts w:cs="Calibri"/>
          <w:sz w:val="24"/>
          <w:szCs w:val="24"/>
        </w:rPr>
        <w:fldChar w:fldCharType="separate"/>
      </w:r>
      <w:r w:rsidR="00AD2869" w:rsidRPr="008438F4">
        <w:rPr>
          <w:rFonts w:cs="Calibri"/>
          <w:sz w:val="24"/>
        </w:rPr>
        <w:t>(Simonsick, Schrack, Glynn, &amp; Ferrucci, 2014)</w:t>
      </w:r>
      <w:r w:rsidRPr="008438F4">
        <w:rPr>
          <w:rFonts w:cs="Calibri"/>
          <w:sz w:val="24"/>
          <w:szCs w:val="24"/>
        </w:rPr>
        <w:fldChar w:fldCharType="end"/>
      </w:r>
      <w:r w:rsidRPr="008438F4">
        <w:rPr>
          <w:rFonts w:cs="Calibri"/>
          <w:sz w:val="24"/>
          <w:szCs w:val="24"/>
        </w:rPr>
        <w:t xml:space="preserve">. Additionally, perceived exertion after completing a five minute treadmill walk is an example of how a person’s fatigue can be objectively measured by </w:t>
      </w:r>
      <w:r w:rsidRPr="008438F4">
        <w:rPr>
          <w:rFonts w:cs="Calibri"/>
          <w:i/>
          <w:sz w:val="24"/>
          <w:szCs w:val="24"/>
        </w:rPr>
        <w:t>performing</w:t>
      </w:r>
      <w:r w:rsidRPr="008438F4">
        <w:rPr>
          <w:rFonts w:cs="Calibri"/>
          <w:sz w:val="24"/>
          <w:szCs w:val="24"/>
        </w:rPr>
        <w:t xml:space="preserve"> an activity</w:t>
      </w:r>
      <w:r w:rsidRPr="008438F4">
        <w:rPr>
          <w:rFonts w:cs="Calibri"/>
          <w:sz w:val="24"/>
          <w:szCs w:val="24"/>
        </w:rPr>
        <w:fldChar w:fldCharType="begin"/>
      </w:r>
      <w:r w:rsidRPr="008438F4">
        <w:rPr>
          <w:rFonts w:cs="Calibri"/>
          <w:sz w:val="24"/>
          <w:szCs w:val="24"/>
        </w:rPr>
        <w:instrText xml:space="preserve"> ADDIN ZOTERO_ITEM CSL_CITATION {"citationID":"2qh596snk9","properties":{"formattedCitation":"(Simonsick et al., 2014)","plainCitation":"(Simonsick et al., 2014)"},"citationItems":[{"id":1083,"uris":["http://zotero.org/users/local/vDYxJ8mW/items/C2AE8HPX"],"uri":["http://zotero.org/users/local/vDYxJ8mW/items/C2AE8HPX"],"itemData":{"id":1083,"type":"article-journal","title":"Assessing Fatigability in Mobility-Intact Older Adults","container-title":"Journal of the American Geriatrics Society","page":"347-351","volume":"62","issue":"2","source":"PubMed Central","abstract":"OBJECTIVES\nEvaluate criterion validity of two measures of fatigability defined as performance deterioration or perceived effort to perform a standardized task.\n\nDESIGN\nCross-sectional analysis of data from the Baltimore Longitudinal Study of Aging (BLSA).\n\nSETTING\nNational Institute on Aging, Intramural Research Program, Clinical Research Unit, Baltimore, Maryland.\n\nPARTICIPANTS\nSix hundred five men (53.7%) and women (aged 65–97) participating in the BLSA eligible for endurance walk testing without a walking aid.\n\nMEASUREMENTS\nFatigability was assessed using (1) completion status and lap times from a 400m-walk performed “as quickly as possible” and (2) perceived exertion rating using the Borg scale (range 6–20) following 5 minutes of treadmill walking at 1.5mph (0.67m/s). Criterion measures include self-report of tiredness, level of weakness and energy in past month and walking ability and objective measures of usual and fast gait speed, time to complete 10 chair stands and grip strength. Co-variates include age, race, sex, obesity, smoking status and walking activity.\n\nRESULTS\nAmong mobility intact older persons, 23% exhibited performance deterioration (i.e., slowed or stopped) during the 400m-walk and1/3 reported more than very light exertion following a 5-minute slow walk. Slowing was strongly associated with self-reported fatigue and walking ability, but weakly associated with performance-based mobility measures. High perceived exertion was associated with tiredness and weakness and reported and observed mobility deficits.\n\nCONCLUSION\nSlowing down may have low sensitivity for identifying fatigability in older persons, but ascertaining perceived exertion during a defined workload shows promise. In seemingly healthy, motivated individuals, fatigue and fatigability were common and may impact socially meaningful mobility behaviors. Assessment of fatigability in well-elderly examinations may help identify threats to independent functioning earlier in the decline process.","DOI":"10.1111/jgs.12638","ISSN":"0002-8614","note":"PMID: 24417536\nPMCID: PMC3947865","journalAbbreviation":"J Am Geriatr Soc","author":[{"family":"Simonsick","given":"Eleanor M."},{"family":"Schrack","given":"Jennifer A."},{"family":"Glynn","given":"Nancy W."},{"family":"Ferrucci","given":"Luigi"}],"issued":{"date-parts":[["2014",2]]}}}],"schema":"https://github.com/citation-style-language/schema/raw/master/csl-citation.json"} </w:instrText>
      </w:r>
      <w:r w:rsidRPr="008438F4">
        <w:rPr>
          <w:rFonts w:cs="Calibri"/>
          <w:sz w:val="24"/>
          <w:szCs w:val="24"/>
        </w:rPr>
        <w:fldChar w:fldCharType="separate"/>
      </w:r>
      <w:r w:rsidR="00AD2869" w:rsidRPr="008438F4">
        <w:rPr>
          <w:rFonts w:cs="Calibri"/>
          <w:sz w:val="24"/>
        </w:rPr>
        <w:t>(Simonsick et al., 2014)</w:t>
      </w:r>
      <w:r w:rsidRPr="008438F4">
        <w:rPr>
          <w:rFonts w:cs="Calibri"/>
          <w:sz w:val="24"/>
          <w:szCs w:val="24"/>
        </w:rPr>
        <w:fldChar w:fldCharType="end"/>
      </w:r>
      <w:r w:rsidRPr="008438F4">
        <w:rPr>
          <w:rFonts w:cs="Calibri"/>
          <w:sz w:val="24"/>
          <w:szCs w:val="24"/>
        </w:rPr>
        <w:t xml:space="preserve">. </w:t>
      </w:r>
    </w:p>
    <w:p w14:paraId="01DDF017" w14:textId="77777777" w:rsidR="0099247D" w:rsidRPr="008438F4" w:rsidRDefault="0099247D" w:rsidP="00BD74FA">
      <w:pPr>
        <w:pStyle w:val="Heading3"/>
        <w:rPr>
          <w:rFonts w:ascii="Calibri" w:hAnsi="Calibri" w:cs="Calibri"/>
        </w:rPr>
      </w:pPr>
      <w:bookmarkStart w:id="13" w:name="_Toc499840777"/>
      <w:r w:rsidRPr="008438F4">
        <w:rPr>
          <w:rFonts w:ascii="Calibri" w:hAnsi="Calibri" w:cs="Calibri"/>
        </w:rPr>
        <w:t>Physical vs. Mental Fatigability</w:t>
      </w:r>
      <w:bookmarkEnd w:id="13"/>
      <w:r w:rsidRPr="008438F4">
        <w:rPr>
          <w:rFonts w:ascii="Calibri" w:hAnsi="Calibri" w:cs="Calibri"/>
        </w:rPr>
        <w:t xml:space="preserve"> </w:t>
      </w:r>
    </w:p>
    <w:p w14:paraId="3A504B31"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Physical fatigability encompasses the body’s susceptibility to fatigue related to activities that involve physical movement. Mental fatigability is a measure of the body’s susceptibility to fatigue related to physical and mental activities that engage cognitive function. It can be measured by asking participants to engage in mental or cognitive activities and to rate their level of fatigue during a task or after imagining the task. As subjective measures, both physical and mental fatigability can capture feelings of fatigue a person would perceive they would feel directly after completing a specific task. Objective tools of physical and mental fatigue measure feelings of fatigue during or after a person completes, performs, or engages in a physical or mental task.</w:t>
      </w:r>
    </w:p>
    <w:p w14:paraId="3561706B" w14:textId="77777777" w:rsidR="0099247D" w:rsidRPr="008438F4" w:rsidRDefault="0099247D" w:rsidP="00BD74FA">
      <w:pPr>
        <w:pStyle w:val="Heading2"/>
        <w:rPr>
          <w:rFonts w:ascii="Calibri" w:hAnsi="Calibri" w:cs="Calibri"/>
        </w:rPr>
      </w:pPr>
      <w:bookmarkStart w:id="14" w:name="_Toc499840778"/>
      <w:r w:rsidRPr="008438F4">
        <w:rPr>
          <w:rFonts w:ascii="Calibri" w:hAnsi="Calibri" w:cs="Calibri"/>
        </w:rPr>
        <w:t>FATIGABILITY VS. FATIGUE</w:t>
      </w:r>
      <w:bookmarkEnd w:id="14"/>
    </w:p>
    <w:p w14:paraId="76228CA3"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A review of the literature indicates that there are a multitude of assessments used to capture fatigue and fatigability in older adults. In the following sections, the assessments used in the LIFE study to measure fatigue and fatigability will be described and critiqued. To summarize, a justification for the measure used to investigate the neural correlates of fatigue will be provided. </w:t>
      </w:r>
    </w:p>
    <w:p w14:paraId="267A4C44" w14:textId="77777777" w:rsidR="0099247D" w:rsidRPr="008438F4" w:rsidRDefault="0099247D" w:rsidP="00BD74FA">
      <w:pPr>
        <w:pStyle w:val="Heading3"/>
        <w:rPr>
          <w:rFonts w:ascii="Calibri" w:hAnsi="Calibri" w:cs="Calibri"/>
        </w:rPr>
      </w:pPr>
      <w:bookmarkStart w:id="15" w:name="_Toc499840779"/>
      <w:r w:rsidRPr="008438F4">
        <w:rPr>
          <w:rFonts w:ascii="Calibri" w:hAnsi="Calibri" w:cs="Calibri"/>
        </w:rPr>
        <w:t>Measures of Fatigue</w:t>
      </w:r>
      <w:bookmarkEnd w:id="15"/>
    </w:p>
    <w:p w14:paraId="3CCC9AB4" w14:textId="77777777" w:rsidR="0099247D" w:rsidRPr="00883AD4" w:rsidRDefault="0099247D" w:rsidP="0099247D">
      <w:pPr>
        <w:pStyle w:val="NoSpacing"/>
        <w:spacing w:line="360" w:lineRule="auto"/>
        <w:jc w:val="both"/>
        <w:rPr>
          <w:rFonts w:cs="Calibri"/>
          <w:sz w:val="24"/>
          <w:szCs w:val="24"/>
        </w:rPr>
      </w:pPr>
      <w:r w:rsidRPr="008438F4">
        <w:rPr>
          <w:rFonts w:cs="Calibri"/>
          <w:sz w:val="24"/>
          <w:szCs w:val="24"/>
        </w:rPr>
        <w:t xml:space="preserve">Fatigue measures generally capture perceived global fatigue. These subjective measures of fatigue can be used to assess global fatigue across whole populations. Generally, fatigue instruments are simple in nature and can be completed by self-report in a few minutes making them highly utilized in aging studies. Fatigue is commonly measured using various questionnaires including the Modified Exercise-Induced Feelings Inventory (MEFI), which is a 6-item scale with each item scored at 0-5 (Rejeski, Reboussin, Dunn, King, &amp; Sallis, 1999). Additionally, perceived global fatigue can be measured using two questions from the Center for Epidemiologic Studies Depression (CES-D) Scale “I felt that everything is an effort,” and “I could not get going”(Radloff, 1977).  Higher fatigue is categorized as those who answered “some”, “moderate” or “most of the time” and lower fatigue was agreement with the response “rarely or </w:t>
      </w:r>
      <w:r w:rsidRPr="00883AD4">
        <w:rPr>
          <w:rFonts w:cs="Calibri"/>
          <w:sz w:val="24"/>
          <w:szCs w:val="24"/>
        </w:rPr>
        <w:t xml:space="preserve">none of the time.” </w:t>
      </w:r>
    </w:p>
    <w:p w14:paraId="5A0B81E6" w14:textId="4A6FC0E9" w:rsidR="00C535DA" w:rsidRDefault="00F12729" w:rsidP="005931B5">
      <w:pPr>
        <w:pStyle w:val="NoSpacing"/>
        <w:spacing w:line="360" w:lineRule="auto"/>
        <w:ind w:firstLine="720"/>
        <w:jc w:val="both"/>
        <w:rPr>
          <w:rFonts w:cs="Calibri"/>
          <w:sz w:val="24"/>
          <w:szCs w:val="24"/>
        </w:rPr>
      </w:pPr>
      <w:r w:rsidRPr="00883AD4">
        <w:rPr>
          <w:rFonts w:cs="Calibri"/>
          <w:sz w:val="24"/>
          <w:szCs w:val="24"/>
        </w:rPr>
        <w:t>The Avlund Mobility-Tiredness scale was an early measure of fatigue associated with cardiovascular diseases, musculoskeletal pain, various medications, walking speed, and depressive symptoms</w:t>
      </w:r>
      <w:r w:rsidR="00883AD4">
        <w:rPr>
          <w:rFonts w:cs="Calibri"/>
          <w:sz w:val="24"/>
          <w:szCs w:val="24"/>
        </w:rPr>
        <w:fldChar w:fldCharType="begin"/>
      </w:r>
      <w:r w:rsidR="00883AD4">
        <w:rPr>
          <w:rFonts w:cs="Calibri"/>
          <w:sz w:val="24"/>
          <w:szCs w:val="24"/>
        </w:rPr>
        <w:instrText xml:space="preserve"> ADDIN ZOTERO_ITEM CSL_CITATION {"citationID":"a1dc9ssd1lo","properties":{"formattedCitation":"{\\rtf (Fieo, Mortensen, Rantanen, &amp; Avlund, 2013; M\\uc0\\u228{}nty et al., 2012)}","plainCitation":"(Fieo, Mortensen, Rantanen, &amp; Avlund, 2013; Mänty et al., 2012)"},"citationItems":[{"id":1374,"uris":["http://zotero.org/users/local/vDYxJ8mW/items/ZRSMEXXA"],"uri":["http://zotero.org/users/local/vDYxJ8mW/items/ZRSMEXXA"],"itemData":{"id":1374,"type":"article-journal","title":"Improving a measure of mobility-related fatigue (the mobility-tiredness scale) by establishing item intensity","container-title":"Journal of the American Geriatrics Society","page":"429-433","volume":"61","issue":"3","source":"PubMed","abstract":"OBJECTIVES: To improve the construct validity of self-reported fatigue by establishing a formal hierarchy of scale items and to determine whether such a hierarchy could be maintained across time (aged 75-80), sex, and nationality.\nDESIGN: Cohort study.\nSETTING: Two Nordic urban locations: Jyväskylä, Finland, and Glostrup, Denmark.\nPARTICIPANTS: Baseline (1989/90) consisted of a random sample of citizens of Finland or Denmark born in 1914 (n = 837). At 5-year follow-up, excluding those lost to follow-up and with baseline disability resulted in a sample of n = 690.\nMEASUREMENTS: The Mobility-Tiredness (Mob-T) Scale is a six-item scale that requires subjects to self-report on whether they become tired performing mobility-related tasks. Employing item response theory, an attempt was made to enhance construct validity by confirming a hierarchy of mobility-related fatigue.\nRESULTS: A formal hierarchy of fatigue tasks, maintained across time, was established using the revised Mob-T Scale. At age 75, the scalability statistics were a homogeneity coefficient (H) of 0.80, Ha T of 3.9% and an H(T) value of 0.66. The corresponding figures at age 80 were 0.75, 6.9% and 0.59. The property of invariant item ordering was maintained across subgroups based on sex and nationality.\nCONCLUSION: Establishing a formal hierarchy at age 75 allowed which tasks were most debilitating to be identified more clearly and the individual's \"distance\" from these tasks to be gauged. Because it was possible to confirm that the item hierarchy was maintained across time (aged 75-80), researchers or clinicians can be more confident that performance over time is the result of real change and has less to do with measurement error.","DOI":"10.1111/jgs.12122","ISSN":"1532-5415","note":"PMID: 23452001\nPMCID: PMC4047030","journalAbbreviation":"J Am Geriatr Soc","language":"eng","author":[{"family":"Fieo","given":"Robert A."},{"family":"Mortensen","given":"Erik L."},{"family":"Rantanen","given":"Taina"},{"family":"Avlund","given":"Kirsten"}],"issued":{"date-parts":[["2013",3]]}}},{"id":1169,"uris":["http://zotero.org/users/local/vDYxJ8mW/items/435C6J36"],"uri":["http://zotero.org/users/local/vDYxJ8mW/items/435C6J36"],"itemData":{"id":1169,"type":"article-journal","title":"Mobility-Related Fatigue, Walking Speed, and Muscle Strength in Older People","container-title":"The Journals of Gerontology: Series A","page":"523-529","volume":"67A","issue":"5","source":"academic.oup.com","abstract":"Background.Fatigue is an important early marker of functional decline among older people, but the mechanisms underlying this association are not fully understood. The purpose of the present study was to examine the association between mobility-related fatigue and walking speed and to test the degree to which muscle strength accounts for this association.Methods.The study is based on baseline (n = 523) and 5-year follow-up data (n = 292) from a cohort of 75-year-old persons. Standardized assessments include self-report measures of mobility-related fatigue (score range 0–6) and medical history, as well as performance-based assessment of walking speed and maximal isometric strength of knee extension, body extension, and handgrip.Results.In the cross-sectional baseline analysis, one unit increase in fatigue score was associated with 0.03 m/s (β = −.03, p &amp;lt; .001) and 0.05 m/s (β = −.05, p &amp;lt; .001) slower maximum walking speed among women and men, respectively, while adjusting for important covariates. Among women, muscle strength accounted up to 21% and among men up to 24% for the association. In the prospective analysis, fatigue at baseline was predictive of change in walking speed among men (β = −.04, p &amp;lt; .001) but not among women (β = −.005, p = .64). Among men, muscle strength accounted up to 15% for the association between baseline fatigue and change in maximum walking speed.Conclusions.Mobility-related fatigue is associated with slower walking speed in older adults. The results suggest that muscle strength is one of the underlying factors explaining this association.","DOI":"10.1093/gerona/glr183","ISSN":"1079-5006","journalAbbreviation":"J Gerontol A Biol Sci Med Sci","author":[{"family":"Mänty","given":"Minna"},{"family":"Leon","given":"Mendes","dropping-particle":"de"},{"family":"F","given":"Carlos"},{"family":"Rantanen","given":"Taina"},{"family":"Era","given":"Pertti"},{"family":"Pedersen","given":"Agnes N."},{"family":"Ekmann","given":"Anette"},{"family":"Schroll","given":"Marianne"},{"family":"Avlund","given":"Kirsten"}],"issued":{"date-parts":[["2012",5,1]]}}}],"schema":"https://github.com/citation-style-language/schema/raw/master/csl-citation.json"} </w:instrText>
      </w:r>
      <w:r w:rsidR="00883AD4">
        <w:rPr>
          <w:rFonts w:cs="Calibri"/>
          <w:sz w:val="24"/>
          <w:szCs w:val="24"/>
        </w:rPr>
        <w:fldChar w:fldCharType="separate"/>
      </w:r>
      <w:r w:rsidR="00883AD4" w:rsidRPr="00883AD4">
        <w:rPr>
          <w:rFonts w:cs="Calibri"/>
          <w:sz w:val="24"/>
          <w:szCs w:val="24"/>
        </w:rPr>
        <w:t>(Fieo, Mortensen, Rantanen, &amp; Avlund, 2013; Mänty et al., 2012)</w:t>
      </w:r>
      <w:r w:rsidR="00883AD4">
        <w:rPr>
          <w:rFonts w:cs="Calibri"/>
          <w:sz w:val="24"/>
          <w:szCs w:val="24"/>
        </w:rPr>
        <w:fldChar w:fldCharType="end"/>
      </w:r>
      <w:r w:rsidR="00883AD4">
        <w:rPr>
          <w:rFonts w:cs="Calibri"/>
          <w:sz w:val="24"/>
          <w:szCs w:val="24"/>
        </w:rPr>
        <w:t xml:space="preserve">. This six-item scale requires subjects to self-report on whether they become tired performing mobility-related tasks. </w:t>
      </w:r>
      <w:r w:rsidR="0027658F" w:rsidRPr="00883AD4">
        <w:rPr>
          <w:rFonts w:cs="Calibri"/>
          <w:sz w:val="24"/>
          <w:szCs w:val="24"/>
        </w:rPr>
        <w:t xml:space="preserve">However, a major disadvantage with this scale is that intensity and duration are not taken into consideration. </w:t>
      </w:r>
      <w:r w:rsidR="00C535DA">
        <w:rPr>
          <w:rFonts w:cs="Calibri"/>
          <w:sz w:val="24"/>
          <w:szCs w:val="24"/>
        </w:rPr>
        <w:t xml:space="preserve">In order to understand the pathophysiological mechanisms of fatigue, intensity and duration must be taken into consideration. Inclusion of both intensity and duration associated with mobility tasks in measurement tools of fatigability allows for a more accurate characterization of fatigability associated with fatigue-inducing task. </w:t>
      </w:r>
    </w:p>
    <w:p w14:paraId="3E4A14C2" w14:textId="78CC14FA" w:rsidR="0027658F" w:rsidRPr="00883AD4" w:rsidRDefault="0027658F" w:rsidP="005931B5">
      <w:pPr>
        <w:pStyle w:val="NoSpacing"/>
        <w:spacing w:line="360" w:lineRule="auto"/>
        <w:ind w:firstLine="720"/>
        <w:jc w:val="both"/>
        <w:rPr>
          <w:rFonts w:cs="Calibri"/>
          <w:sz w:val="24"/>
          <w:szCs w:val="24"/>
        </w:rPr>
      </w:pPr>
      <w:r w:rsidRPr="00883AD4">
        <w:rPr>
          <w:rFonts w:cs="Calibri"/>
          <w:sz w:val="24"/>
          <w:szCs w:val="24"/>
        </w:rPr>
        <w:t xml:space="preserve">Alternatively, the Situational Fatigue Scale </w:t>
      </w:r>
      <w:r w:rsidR="009239EE" w:rsidRPr="00883AD4">
        <w:rPr>
          <w:rFonts w:cs="Calibri"/>
          <w:sz w:val="24"/>
          <w:szCs w:val="24"/>
        </w:rPr>
        <w:t>has previously been used to measure fatigability</w:t>
      </w:r>
      <w:r w:rsidR="00883AD4">
        <w:rPr>
          <w:rFonts w:cs="Calibri"/>
          <w:sz w:val="24"/>
          <w:szCs w:val="24"/>
        </w:rPr>
        <w:t xml:space="preserve"> </w:t>
      </w:r>
      <w:r w:rsidR="00883AD4" w:rsidRPr="00883AD4">
        <w:rPr>
          <w:rFonts w:cs="Calibri"/>
          <w:sz w:val="24"/>
          <w:szCs w:val="24"/>
        </w:rPr>
        <w:fldChar w:fldCharType="begin"/>
      </w:r>
      <w:r w:rsidR="00883AD4" w:rsidRPr="00883AD4">
        <w:rPr>
          <w:rFonts w:cs="Calibri"/>
          <w:sz w:val="24"/>
          <w:szCs w:val="24"/>
        </w:rPr>
        <w:instrText xml:space="preserve"> ADDIN ZOTERO_ITEM CSL_CITATION {"citationID":"a119pp0q8e9","properties":{"formattedCitation":"(Yang &amp; Wu, 2005)","plainCitation":"(Yang &amp; Wu, 2005)"},"citationItems":[{"id":1372,"uris":["http://zotero.org/users/local/vDYxJ8mW/items/HJVASQHU"],"uri":["http://zotero.org/users/local/vDYxJ8mW/items/HJVASQHU"],"itemData":{"id":1372,"type":"article-journal","title":"The situational fatigue scale: a different approach to measuring fatigue","container-title":"Quality of Life Research: An International Journal of Quality of Life Aspects of Treatment, Care and Rehabilitation","page":"1357-1362","volume":"14","issue":"5","source":"PubMed","abstract":"Fatigue can be defined as a subjective state of an imbalance in the availability of inner resources needed to perform physical or mental activities. The level of fatigue is determined not only by the availability of inner resources but also by the demands of the activities performed. Most conventional fatigue scales require subjects to rate their level of fatigue without specifying the situation. In the present study, we constructed a subjective rating scale, the Situational Fatigue Scale (SFS), with which subjects estimated their level of fatigue in specific activities of daily life. We administered the SFS, along with the Fatigue Assessment Instrument (FAI) to 96 outpatients in a family-medicine clinic and to 62 college students to assess the psychometric properties of the SFS. Principle component analysis revealed two underlying factors: physical fatigue and mental fatigue. SFS scores were significantly correlated with several FAI scores and differentiated patients complaining of fatigue from those who did not. The SFS also showed good internal consistency and test-retest reliability. These results suggest that the SFS could be a useful tool to measure a different dimension of the broad concept of fatigue.","ISSN":"0962-9343","note":"PMID: 16047510","shortTitle":"The situational fatigue scale","journalAbbreviation":"Qual Life Res","language":"eng","author":[{"family":"Yang","given":"Chien-Ming"},{"family":"Wu","given":"Chih-Hsing"}],"issued":{"date-parts":[["2005",6]]}}}],"schema":"https://github.com/citation-style-language/schema/raw/master/csl-citation.json"} </w:instrText>
      </w:r>
      <w:r w:rsidR="00883AD4" w:rsidRPr="00883AD4">
        <w:rPr>
          <w:rFonts w:cs="Calibri"/>
          <w:sz w:val="24"/>
          <w:szCs w:val="24"/>
        </w:rPr>
        <w:fldChar w:fldCharType="separate"/>
      </w:r>
      <w:r w:rsidR="00883AD4" w:rsidRPr="00883AD4">
        <w:rPr>
          <w:rFonts w:cs="Calibri"/>
          <w:sz w:val="24"/>
          <w:szCs w:val="24"/>
        </w:rPr>
        <w:t>(Yang &amp; Wu, 2005)</w:t>
      </w:r>
      <w:r w:rsidR="00883AD4" w:rsidRPr="00883AD4">
        <w:rPr>
          <w:rFonts w:cs="Calibri"/>
          <w:sz w:val="24"/>
          <w:szCs w:val="24"/>
        </w:rPr>
        <w:fldChar w:fldCharType="end"/>
      </w:r>
      <w:r w:rsidR="009239EE" w:rsidRPr="00883AD4">
        <w:rPr>
          <w:rFonts w:cs="Calibri"/>
          <w:sz w:val="24"/>
          <w:szCs w:val="24"/>
        </w:rPr>
        <w:t xml:space="preserve">. </w:t>
      </w:r>
      <w:r w:rsidR="00C535DA">
        <w:rPr>
          <w:rFonts w:cs="Calibri"/>
          <w:sz w:val="24"/>
          <w:szCs w:val="24"/>
        </w:rPr>
        <w:t xml:space="preserve">This scale is valid, but it was only </w:t>
      </w:r>
      <w:r w:rsidR="009239EE" w:rsidRPr="00883AD4">
        <w:rPr>
          <w:rFonts w:cs="Calibri"/>
          <w:sz w:val="24"/>
          <w:szCs w:val="24"/>
        </w:rPr>
        <w:t>validated in a younger sample of adults (mean age=31.1</w:t>
      </w:r>
      <w:r w:rsidR="00C535DA">
        <w:rPr>
          <w:rFonts w:cs="Calibri"/>
          <w:sz w:val="24"/>
          <w:szCs w:val="24"/>
        </w:rPr>
        <w:t>), suggesting</w:t>
      </w:r>
      <w:r w:rsidR="009239EE" w:rsidRPr="00883AD4">
        <w:rPr>
          <w:rFonts w:cs="Calibri"/>
          <w:sz w:val="24"/>
          <w:szCs w:val="24"/>
        </w:rPr>
        <w:t xml:space="preserve"> that it may not be appropriate to use in an older adult population. Also, activities were not normalized to an intensity level and self-pacing could not be accounted for. Additionally, this 13 item scale included activities not as common for older adults, limiting the application of this measurement tool.  </w:t>
      </w:r>
    </w:p>
    <w:p w14:paraId="12B7944A" w14:textId="3616566E" w:rsidR="0099247D" w:rsidRPr="008438F4" w:rsidRDefault="0099247D" w:rsidP="00BD74FA">
      <w:pPr>
        <w:pStyle w:val="NoSpacing"/>
        <w:spacing w:line="360" w:lineRule="auto"/>
        <w:ind w:firstLine="720"/>
        <w:jc w:val="both"/>
        <w:rPr>
          <w:rFonts w:cs="Calibri"/>
          <w:sz w:val="24"/>
          <w:szCs w:val="24"/>
        </w:rPr>
      </w:pPr>
      <w:r w:rsidRPr="00883AD4">
        <w:rPr>
          <w:rFonts w:cs="Calibri"/>
          <w:sz w:val="24"/>
          <w:szCs w:val="24"/>
        </w:rPr>
        <w:t xml:space="preserve">Although these measures explore global fatigue, they do not account for self-pacing. Previous studies have shown that human adults walk at a characteristic speed, but preferred walking speed is related to perception of effort </w:t>
      </w:r>
      <w:r w:rsidRPr="00883AD4">
        <w:rPr>
          <w:rFonts w:cs="Calibri"/>
          <w:sz w:val="24"/>
          <w:szCs w:val="24"/>
        </w:rPr>
        <w:fldChar w:fldCharType="begin"/>
      </w:r>
      <w:r w:rsidRPr="00883AD4">
        <w:rPr>
          <w:rFonts w:cs="Calibri"/>
          <w:sz w:val="24"/>
          <w:szCs w:val="24"/>
        </w:rPr>
        <w:instrText xml:space="preserve"> ADDIN ZOTERO_ITEM CSL_CITATION {"citationID":"1frjaq28kr","properties":{"formattedCitation":"(Willis, Ganley, &amp; Herman, 2005)","plainCitation":"(Willis, Ganley, &amp; Herman, 2005)"},"citationItems":[{"id":1122,"uris":["http://zotero.org/users/local/vDYxJ8mW/items/R56HVSA6"],"uri":["http://zotero.org/users/local/vDYxJ8mW/items/R56HVSA6"],"itemData":{"id":1122,"type":"article-journal","title":"Fuel oxidation during human walking","container-title":"Metabolism: Clinical and Experimental","page":"793-799","volume":"54","issue":"6","source":"PubMed","abstract":"Human adults walk at a characteristic speed, but the mechanisms responsible for this ubiquitous and reproducible behavior remain unknown. In this study, preferred walking speed (PWS) was 4.7 +/- 0.1 km h -1 in 12 overnight-fasted adults, mean age 30.0 +/- 2.6 years. Indirect calorimetry was used to measure fuel oxidation during level treadmill walking from 3.2 to 7.2 km h -1 progressively increased at increments of 0.8 km h -1 and 10.0-min intervals. Corroborating many previous reports, the O2 cost of transport (mL O2 kg -1 km -1 ) was numerically lowest at 4.8 km h -1 , near PWS, but was not significantly different than 5.6 km h -1 . The impact of walking speed on the fuel selection of skeletal muscle was much more dramatic. At speeds less than or equal to PWS, muscle carbohydrate (CHO) oxidation rates were quite low, in the range that could be matched by gluconeogenesis. Above 4.8 km h -1 , CHO oxidation rate increased abruptly and tracked the perception of effort (RPE). Stepwise linear regression revealed that CHO oxidation explained 70% of the variance in RPE, and speed provided an additional 4%. In contrast, the other variables included in the analysis, fat oxidation rate, heart rate, and O2 cost of transport, contributed no additional explained variance in RPE. We conclude that PWS is just below a threshold speed, above which CHO oxidation abruptly increases. The central nervous system may be guided by the perception of effort in selecting a PWS that minimizes dependence on CHO oxidation. We further conclude that skeletal muscle metabolic control is an important factor to be taken into account by the central nervous system motor control of human locomotion.","DOI":"10.1016/j.metabol.2005.01.024","ISSN":"0026-0495","note":"PMID: 15931617","journalAbbreviation":"Metab. Clin. Exp.","language":"eng","author":[{"family":"Willis","given":"Wayne T."},{"family":"Ganley","given":"Kathleen J."},{"family":"Herman","given":"Richard M."}],"issued":{"date-parts":[["2005",6]]}}}],"schema":"https://github.com/citation-style-language/schema/raw/master/csl-citation.json"} </w:instrText>
      </w:r>
      <w:r w:rsidRPr="00883AD4">
        <w:rPr>
          <w:rFonts w:cs="Calibri"/>
          <w:sz w:val="24"/>
          <w:szCs w:val="24"/>
        </w:rPr>
        <w:fldChar w:fldCharType="separate"/>
      </w:r>
      <w:r w:rsidR="00AD2869" w:rsidRPr="00883AD4">
        <w:rPr>
          <w:rFonts w:cs="Calibri"/>
          <w:sz w:val="24"/>
          <w:szCs w:val="24"/>
        </w:rPr>
        <w:t>(Willis, Ganley, &amp; Herman, 2005)</w:t>
      </w:r>
      <w:r w:rsidRPr="00883AD4">
        <w:rPr>
          <w:rFonts w:cs="Calibri"/>
          <w:sz w:val="24"/>
          <w:szCs w:val="24"/>
        </w:rPr>
        <w:fldChar w:fldCharType="end"/>
      </w:r>
      <w:r w:rsidRPr="00883AD4">
        <w:rPr>
          <w:rFonts w:cs="Calibri"/>
          <w:sz w:val="24"/>
          <w:szCs w:val="24"/>
        </w:rPr>
        <w:t xml:space="preserve">.  In order to reduce fatigue or avoid fatigue, older adults may alter the amount of energy they exert when they complete certain tasks. In other words, older adults may engage in self-pacing </w:t>
      </w:r>
      <w:r w:rsidRPr="00883AD4">
        <w:rPr>
          <w:rFonts w:cs="Calibri"/>
          <w:sz w:val="24"/>
          <w:szCs w:val="24"/>
        </w:rPr>
        <w:fldChar w:fldCharType="begin"/>
      </w:r>
      <w:r w:rsidRPr="00883AD4">
        <w:rPr>
          <w:rFonts w:cs="Calibri"/>
          <w:sz w:val="24"/>
          <w:szCs w:val="24"/>
        </w:rPr>
        <w:instrText xml:space="preserve"> ADDIN ZOTERO_ITEM CSL_CITATION {"citationID":"1nj1sglh9q","properties":{"formattedCitation":"(Eldadah, 2010)","plainCitation":"(Eldadah, 2010)"},"citationItems":[{"id":299,"uris":["http://zotero.org/users/local/vDYxJ8mW/items/EW7EG9KR"],"uri":["http://zotero.org/users/local/vDYxJ8mW/items/EW7EG9KR"],"itemData":{"id":299,"type":"article-journal","title":"Fatigue and Fatigability in Older Adults","container-title":"PM&amp;R","page":"406-413","volume":"2","issue":"5","source":"ScienceDirect","abstract":"Fatigue is believed to be a common complaint among older adults; however, multiple studies of self-reported fatigue across the lifespan have found this may not be the case. To explain this paradox, this article considers “fatigability”–a phenotype characterized by the relationship between an individual's perceived fatigue and the activity level with which the fatigue is associated. Fatigability may be measured by combining self-report measures of fatigue with performance of physical or cognitive activities, provided that the work of the activity is known or can be standardized. Doing so prevents self-pacing and allows meaningful comparisons across subjects and between studies. Increased fatigability with aging may arise from a variety of factors including age-related changes in energy production or utilization, and inflammatory mechanisms. A few published intervention studies have targeted fatigue in older adults, though none have examined fatigability specifically. Because fatigue may represent a physiologic warning system, future clinical studies may benefit from a focus on fatigability, where both symptoms and function are considered.","DOI":"10.1016/j.pmrj.2010.03.022","ISSN":"1934-1482","journalAbbreviation":"PM&amp;R","author":[{"family":"Eldadah","given":"Basil A."}],"issued":{"date-parts":[["2010",5]]}}}],"schema":"https://github.com/citation-style-language/schema/raw/master/csl-citation.json"} </w:instrText>
      </w:r>
      <w:r w:rsidRPr="00883AD4">
        <w:rPr>
          <w:rFonts w:cs="Calibri"/>
          <w:sz w:val="24"/>
          <w:szCs w:val="24"/>
        </w:rPr>
        <w:fldChar w:fldCharType="separate"/>
      </w:r>
      <w:r w:rsidR="00AD2869" w:rsidRPr="00883AD4">
        <w:rPr>
          <w:rFonts w:cs="Calibri"/>
          <w:sz w:val="24"/>
          <w:szCs w:val="24"/>
        </w:rPr>
        <w:t>(Eldadah, 2010)</w:t>
      </w:r>
      <w:r w:rsidRPr="00883AD4">
        <w:rPr>
          <w:rFonts w:cs="Calibri"/>
          <w:sz w:val="24"/>
          <w:szCs w:val="24"/>
        </w:rPr>
        <w:fldChar w:fldCharType="end"/>
      </w:r>
      <w:r w:rsidRPr="00883AD4">
        <w:rPr>
          <w:rFonts w:cs="Calibri"/>
          <w:sz w:val="24"/>
          <w:szCs w:val="24"/>
        </w:rPr>
        <w:t>.  For example, when faced with a challenging task that requires effort, older adults may slow down or shorten the task duration to reduce or avoid fatigue. This may be done to maintain a tolerable effort while completing various activities</w:t>
      </w:r>
      <w:r w:rsidRPr="008438F4">
        <w:rPr>
          <w:rFonts w:cs="Calibri"/>
          <w:sz w:val="24"/>
          <w:szCs w:val="24"/>
        </w:rPr>
        <w:t>, where activities are paced according to an individual’s perception of their own fatigue while performing tasks. Fatigue measures cannot account for self-pacing, because they do not generally ask about intensity or duration of tasks, which may alter perception of fatigability.</w:t>
      </w:r>
      <w:r w:rsidR="00C535DA">
        <w:rPr>
          <w:rFonts w:cs="Calibri"/>
          <w:sz w:val="24"/>
          <w:szCs w:val="24"/>
        </w:rPr>
        <w:t xml:space="preserve"> Additionally, fatigue measures are limited to use in younger adult populations, as many of the scales have not been validated in an older adult population nor do they include activities commonly performed by older adults.</w:t>
      </w:r>
      <w:r w:rsidRPr="008438F4">
        <w:rPr>
          <w:rFonts w:cs="Calibri"/>
          <w:sz w:val="24"/>
          <w:szCs w:val="24"/>
        </w:rPr>
        <w:t xml:space="preserve"> Generally, fatigability may be better at distinguishing fatigue in relationship to intensity or duration of tasks and identify common activities that may prevent or dissuade an older adult from engaging in physically or mentally demanding tasks. </w:t>
      </w:r>
    </w:p>
    <w:p w14:paraId="27C09448" w14:textId="77777777" w:rsidR="0099247D" w:rsidRPr="008438F4" w:rsidRDefault="0099247D" w:rsidP="00BD74FA">
      <w:pPr>
        <w:pStyle w:val="Heading3"/>
        <w:rPr>
          <w:rFonts w:ascii="Calibri" w:hAnsi="Calibri" w:cs="Calibri"/>
        </w:rPr>
      </w:pPr>
      <w:bookmarkStart w:id="16" w:name="_Toc499840780"/>
      <w:r w:rsidRPr="008438F4">
        <w:rPr>
          <w:rFonts w:ascii="Calibri" w:hAnsi="Calibri" w:cs="Calibri"/>
        </w:rPr>
        <w:t xml:space="preserve">Measures of Fatigability </w:t>
      </w:r>
      <w:bookmarkEnd w:id="16"/>
    </w:p>
    <w:p w14:paraId="3688A36B" w14:textId="2E63D6EF" w:rsidR="002443FE" w:rsidRDefault="00AC5D2C" w:rsidP="002443FE">
      <w:pPr>
        <w:pStyle w:val="Noindent"/>
        <w:spacing w:line="360" w:lineRule="auto"/>
        <w:rPr>
          <w:rFonts w:ascii="Calibri" w:hAnsi="Calibri" w:cs="Calibri"/>
        </w:rPr>
      </w:pPr>
      <w:r w:rsidRPr="008438F4">
        <w:rPr>
          <w:rFonts w:ascii="Calibri" w:hAnsi="Calibri" w:cs="Calibri"/>
        </w:rPr>
        <w:t xml:space="preserve">There </w:t>
      </w:r>
      <w:r w:rsidR="00F12729">
        <w:rPr>
          <w:rFonts w:ascii="Calibri" w:hAnsi="Calibri" w:cs="Calibri"/>
        </w:rPr>
        <w:t xml:space="preserve">currently </w:t>
      </w:r>
      <w:r w:rsidRPr="008438F4">
        <w:rPr>
          <w:rFonts w:ascii="Calibri" w:hAnsi="Calibri" w:cs="Calibri"/>
        </w:rPr>
        <w:t>exist</w:t>
      </w:r>
      <w:r w:rsidR="00F12729">
        <w:rPr>
          <w:rFonts w:ascii="Calibri" w:hAnsi="Calibri" w:cs="Calibri"/>
        </w:rPr>
        <w:t>s</w:t>
      </w:r>
      <w:r w:rsidRPr="008438F4">
        <w:rPr>
          <w:rFonts w:ascii="Calibri" w:hAnsi="Calibri" w:cs="Calibri"/>
        </w:rPr>
        <w:t xml:space="preserve"> a few different tools to measure fatigability</w:t>
      </w:r>
      <w:r w:rsidR="00F12729">
        <w:rPr>
          <w:rFonts w:ascii="Calibri" w:hAnsi="Calibri" w:cs="Calibri"/>
        </w:rPr>
        <w:t>, both performance and perceived</w:t>
      </w:r>
      <w:r w:rsidRPr="008438F4">
        <w:rPr>
          <w:rFonts w:ascii="Calibri" w:hAnsi="Calibri" w:cs="Calibri"/>
        </w:rPr>
        <w:t xml:space="preserve">. </w:t>
      </w:r>
      <w:r w:rsidR="007C28BE">
        <w:rPr>
          <w:rFonts w:ascii="Calibri" w:hAnsi="Calibri" w:cs="Calibri"/>
        </w:rPr>
        <w:t>Fatigability</w:t>
      </w:r>
      <w:r w:rsidR="007C28BE" w:rsidRPr="008438F4">
        <w:rPr>
          <w:rFonts w:ascii="Calibri" w:hAnsi="Calibri" w:cs="Calibri"/>
        </w:rPr>
        <w:t xml:space="preserve"> can be classified as </w:t>
      </w:r>
      <w:r w:rsidR="002443FE">
        <w:rPr>
          <w:rFonts w:ascii="Calibri" w:hAnsi="Calibri" w:cs="Calibri"/>
        </w:rPr>
        <w:t xml:space="preserve">a </w:t>
      </w:r>
      <w:r w:rsidR="007C28BE" w:rsidRPr="008438F4">
        <w:rPr>
          <w:rFonts w:ascii="Calibri" w:hAnsi="Calibri" w:cs="Calibri"/>
        </w:rPr>
        <w:t>performance or pe</w:t>
      </w:r>
      <w:r w:rsidR="007C28BE">
        <w:rPr>
          <w:rFonts w:ascii="Calibri" w:hAnsi="Calibri" w:cs="Calibri"/>
        </w:rPr>
        <w:t>rceived measure</w:t>
      </w:r>
      <w:r w:rsidR="007C28BE" w:rsidRPr="008438F4">
        <w:rPr>
          <w:rFonts w:ascii="Calibri" w:hAnsi="Calibri" w:cs="Calibri"/>
        </w:rPr>
        <w:t>. Pe</w:t>
      </w:r>
      <w:r w:rsidR="007C28BE">
        <w:rPr>
          <w:rFonts w:ascii="Calibri" w:hAnsi="Calibri" w:cs="Calibri"/>
        </w:rPr>
        <w:t>rformance fatigability captur</w:t>
      </w:r>
      <w:r w:rsidR="007C28BE" w:rsidRPr="008438F4">
        <w:rPr>
          <w:rFonts w:ascii="Calibri" w:hAnsi="Calibri" w:cs="Calibri"/>
        </w:rPr>
        <w:t>e</w:t>
      </w:r>
      <w:r w:rsidR="007C28BE">
        <w:rPr>
          <w:rFonts w:ascii="Calibri" w:hAnsi="Calibri" w:cs="Calibri"/>
        </w:rPr>
        <w:t>s</w:t>
      </w:r>
      <w:r w:rsidR="007C28BE" w:rsidRPr="008438F4">
        <w:rPr>
          <w:rFonts w:ascii="Calibri" w:hAnsi="Calibri" w:cs="Calibri"/>
        </w:rPr>
        <w:t xml:space="preserve"> a decrement in performance due to tiredness</w:t>
      </w:r>
      <w:r w:rsidR="002443FE">
        <w:rPr>
          <w:rFonts w:ascii="Calibri" w:hAnsi="Calibri" w:cs="Calibri"/>
        </w:rPr>
        <w:t xml:space="preserve"> (simonsick 2014)</w:t>
      </w:r>
      <w:r w:rsidR="007C28BE" w:rsidRPr="008438F4">
        <w:rPr>
          <w:rFonts w:ascii="Calibri" w:hAnsi="Calibri" w:cs="Calibri"/>
        </w:rPr>
        <w:t>. This is typically measured during a standardized physical task. Performance measures may capture a fatiguing task alone, such as performance deterioration during a fast-paced 400m walk</w:t>
      </w:r>
      <w:r w:rsidR="007C28BE">
        <w:rPr>
          <w:rFonts w:ascii="Calibri" w:hAnsi="Calibri" w:cs="Calibri"/>
        </w:rPr>
        <w:t xml:space="preserve"> (simonsick 2014)</w:t>
      </w:r>
      <w:r w:rsidR="007C28BE" w:rsidRPr="008438F4">
        <w:rPr>
          <w:rFonts w:ascii="Calibri" w:hAnsi="Calibri" w:cs="Calibri"/>
        </w:rPr>
        <w:t xml:space="preserve"> or may measure a fatiguing task followed by a probe task</w:t>
      </w:r>
      <w:r w:rsidR="002443FE">
        <w:rPr>
          <w:rFonts w:ascii="Calibri" w:hAnsi="Calibri" w:cs="Calibri"/>
        </w:rPr>
        <w:t>, i.e.,</w:t>
      </w:r>
      <w:r w:rsidR="002443FE" w:rsidRPr="002443FE">
        <w:rPr>
          <w:rFonts w:ascii="Calibri" w:hAnsi="Calibri" w:cs="Calibri"/>
        </w:rPr>
        <w:t xml:space="preserve"> self-reporte</w:t>
      </w:r>
      <w:r w:rsidR="002443FE">
        <w:rPr>
          <w:rFonts w:ascii="Calibri" w:hAnsi="Calibri" w:cs="Calibri"/>
        </w:rPr>
        <w:t>d fatigue and demand are</w:t>
      </w:r>
      <w:r w:rsidR="002443FE" w:rsidRPr="002443FE">
        <w:rPr>
          <w:rFonts w:ascii="Calibri" w:hAnsi="Calibri" w:cs="Calibri"/>
        </w:rPr>
        <w:t xml:space="preserve"> measured in separate instruments.</w:t>
      </w:r>
      <w:r w:rsidR="007C28BE" w:rsidRPr="008438F4">
        <w:rPr>
          <w:rFonts w:ascii="Calibri" w:hAnsi="Calibri" w:cs="Calibri"/>
        </w:rPr>
        <w:fldChar w:fldCharType="begin"/>
      </w:r>
      <w:r w:rsidR="007C28BE" w:rsidRPr="008438F4">
        <w:rPr>
          <w:rFonts w:ascii="Calibri" w:hAnsi="Calibri" w:cs="Calibri"/>
        </w:rPr>
        <w:instrText xml:space="preserve"> ADDIN ZOTERO_ITEM CSL_CITATION {"citationID":"XoJ7Q0z8","properties":{"formattedCitation":"(Schnelle et al., 2012; Simonsick et al., 2014)","plainCitation":"(Schnelle et al., 2012; Simonsick et al., 2014)"},"citationItems":[{"id":227,"uris":["http://zotero.org/users/local/vDYxJ8mW/items/QQP5VWA2"],"uri":["http://zotero.org/users/local/vDYxJ8mW/items/QQP5VWA2"],"itemData":{"id":227,"type":"article-journal","title":"Evaluation of Two Fatigability Severity Measures in Elderly Subjects","container-title":"Journal of the American Geriatrics Society","page":"1527-1533","volume":"60","issue":"8","source":"PubMed Central","abstract":"Objectives\nTo document the stability, concurrent validity and clinical correlates of two fatigability severity measures as recommended by the American Geriatrics Society.\n\nDesign\nDescriptive, cross-sectional.\n\nSetting\nTwo independent-living and one community senior centers.\n\nParticipants\n43 volunteers, average age 85 ± 6 years.\n\nMeasurements\nPerceived fatigability severity was quantified by directly asking subjects to report change in energy following a standardized 10-minute walk at self-selected pace. Performance fatigability severity was defined as a ratio of change in walking speed and total distance walked. The walk test was repeated within two weeks to assess stability. Total daily physical activity (PA) was measured over seven consecutive days using waist-worn accelerometer. Frailty was measured with the VES13 interview scale and gait speed was measured using standardized 25-feet walk test.\n\nResults\nThe perceived and performance fatigability severity measures were significantly correlated (r=.94, p&lt;01) and stable over two assessments (r= .82 and .85, respectively p&lt;.01). Both fatigability severity measures were significantly correlated with PA level (r=−.42 and −.44, respectively p&lt;.05), frailty (r=.47 and .53, respectively p&lt;.01) and gait speed (r= −.45 and −.54 respectively, p&lt;.01.).\n\nConclusion\nThe methodology described in this study permits the calculation of two highly correlated fatigability severity scores, which summarize the relationship of a person’s change in self-reported tiredness or change in physical performance to concurrently measured PA. The fatigability severity scores are reproducible and correlated with clinical measures predictive of decline. The methods used to quantify fatigability severity can be implemented during a brief assessment (&lt; 15 minutes) and should be useful in the design and evaluation of interventions to increase PA in older adults at risk for functional decline.","DOI":"10.1111/j.1532-5415.2012.04062.x","ISSN":"0002-8614","note":"PMID: 22860899\nPMCID: PMC3419324","journalAbbreviation":"J Am Geriatr Soc","author":[{"family":"Schnelle","given":"John F."},{"family":"Buchowski","given":"Maciej S."},{"family":"Ikizler","given":"T. Alp"},{"family":"Durkin","given":"Daniel W."},{"family":"Beuscher","given":"Linda"},{"family":"Simmons","given":"Sandra F."}],"issued":{"date-parts":[["2012",8]]}}},{"id":1083,"uris":["http://zotero.org/users/local/vDYxJ8mW/items/C2AE8HPX"],"uri":["http://zotero.org/users/local/vDYxJ8mW/items/C2AE8HPX"],"itemData":{"id":1083,"type":"article-journal","title":"Assessing Fatigability in Mobility-Intact Older Adults","container-title":"Journal of the American Geriatrics Society","page":"347-351","volume":"62","issue":"2","source":"PubMed Central","abstract":"OBJECTIVES\nEvaluate criterion validity of two measures of fatigability defined as performance deterioration or perceived effort to perform a standardized task.\n\nDESIGN\nCross-sectional analysis of data from the Baltimore Longitudinal Study of Aging (BLSA).\n\nSETTING\nNational Institute on Aging, Intramural Research Program, Clinical Research Unit, Baltimore, Maryland.\n\nPARTICIPANTS\nSix hundred five men (53.7%) and women (aged 65–97) participating in the BLSA eligible for endurance walk testing without a walking aid.\n\nMEASUREMENTS\nFatigability was assessed using (1) completion status and lap times from a 400m-walk performed “as quickly as possible” and (2) perceived exertion rating using the Borg scale (range 6–20) following 5 minutes of treadmill walking at 1.5mph (0.67m/s). Criterion measures include self-report of tiredness, level of weakness and energy in past month and walking ability and objective measures of usual and fast gait speed, time to complete 10 chair stands and grip strength. Co-variates include age, race, sex, obesity, smoking status and walking activity.\n\nRESULTS\nAmong mobility intact older persons, 23% exhibited performance deterioration (i.e., slowed or stopped) during the 400m-walk and1/3 reported more than very light exertion following a 5-minute slow walk. Slowing was strongly associated with self-reported fatigue and walking ability, but weakly associated with performance-based mobility measures. High perceived exertion was associated with tiredness and weakness and reported and observed mobility deficits.\n\nCONCLUSION\nSlowing down may have low sensitivity for identifying fatigability in older persons, but ascertaining perceived exertion during a defined workload shows promise. In seemingly healthy, motivated individuals, fatigue and fatigability were common and may impact socially meaningful mobility behaviors. Assessment of fatigability in well-elderly examinations may help identify threats to independent functioning earlier in the decline process.","DOI":"10.1111/jgs.12638","ISSN":"0002-8614","note":"PMID: 24417536\nPMCID: PMC3947865","journalAbbreviation":"J Am Geriatr Soc","author":[{"family":"Simonsick","given":"Eleanor M."},{"family":"Schrack","given":"Jennifer A."},{"family":"Glynn","given":"Nancy W."},{"family":"Ferrucci","given":"Luigi"}],"issued":{"date-parts":[["2014",2]]}}}],"schema":"https://github.com/citation-style-language/schema/raw/master/csl-citation.json"} </w:instrText>
      </w:r>
      <w:r w:rsidR="007C28BE" w:rsidRPr="008438F4">
        <w:rPr>
          <w:rFonts w:ascii="Calibri" w:hAnsi="Calibri" w:cs="Calibri"/>
        </w:rPr>
        <w:fldChar w:fldCharType="separate"/>
      </w:r>
      <w:r w:rsidR="007C28BE" w:rsidRPr="008438F4">
        <w:rPr>
          <w:rFonts w:ascii="Calibri" w:hAnsi="Calibri" w:cs="Calibri"/>
        </w:rPr>
        <w:t>(Schnelle et a</w:t>
      </w:r>
      <w:r w:rsidR="007C28BE">
        <w:rPr>
          <w:rFonts w:ascii="Calibri" w:hAnsi="Calibri" w:cs="Calibri"/>
        </w:rPr>
        <w:t>l., 2012;</w:t>
      </w:r>
      <w:r w:rsidR="007C28BE" w:rsidRPr="008438F4">
        <w:rPr>
          <w:rFonts w:ascii="Calibri" w:hAnsi="Calibri" w:cs="Calibri"/>
        </w:rPr>
        <w:t>)</w:t>
      </w:r>
      <w:r w:rsidR="007C28BE" w:rsidRPr="008438F4">
        <w:rPr>
          <w:rFonts w:ascii="Calibri" w:hAnsi="Calibri" w:cs="Calibri"/>
        </w:rPr>
        <w:fldChar w:fldCharType="end"/>
      </w:r>
      <w:r w:rsidR="007C28BE">
        <w:rPr>
          <w:rFonts w:ascii="Calibri" w:hAnsi="Calibri" w:cs="Calibri"/>
        </w:rPr>
        <w:t>. Further</w:t>
      </w:r>
      <w:r w:rsidR="007C28BE" w:rsidRPr="008438F4">
        <w:rPr>
          <w:rFonts w:ascii="Calibri" w:hAnsi="Calibri" w:cs="Calibri"/>
        </w:rPr>
        <w:t xml:space="preserve">, perceived fatigability measures capture fatigability characteristics based on an individual’s self-report feeling of tiredness as a function of the duration and intensity of a demanding task or activity. Examples of perceived fatigability measures include perceived exertion, which measures self-reported fatigue while objectively measuring demand during a five minute treadmill test plus rate of perceived effort </w:t>
      </w:r>
      <w:r w:rsidR="007C28BE" w:rsidRPr="008438F4">
        <w:rPr>
          <w:rFonts w:ascii="Calibri" w:hAnsi="Calibri" w:cs="Calibri"/>
        </w:rPr>
        <w:fldChar w:fldCharType="begin"/>
      </w:r>
      <w:r w:rsidR="007C28BE" w:rsidRPr="008438F4">
        <w:rPr>
          <w:rFonts w:ascii="Calibri" w:hAnsi="Calibri" w:cs="Calibri"/>
        </w:rPr>
        <w:instrText xml:space="preserve"> ADDIN ZOTERO_ITEM CSL_CITATION {"citationID":"avlhmib8hs","properties":{"formattedCitation":"(Simonsick et al., 2014)","plainCitation":"(Simonsick et al., 2014)"},"citationItems":[{"id":1083,"uris":["http://zotero.org/users/local/vDYxJ8mW/items/C2AE8HPX"],"uri":["http://zotero.org/users/local/vDYxJ8mW/items/C2AE8HPX"],"itemData":{"id":1083,"type":"article-journal","title":"Assessing Fatigability in Mobility-Intact Older Adults","container-title":"Journal of the American Geriatrics Society","page":"347-351","volume":"62","issue":"2","source":"PubMed Central","abstract":"OBJECTIVES\nEvaluate criterion validity of two measures of fatigability defined as performance deterioration or perceived effort to perform a standardized task.\n\nDESIGN\nCross-sectional analysis of data from the Baltimore Longitudinal Study of Aging (BLSA).\n\nSETTING\nNational Institute on Aging, Intramural Research Program, Clinical Research Unit, Baltimore, Maryland.\n\nPARTICIPANTS\nSix hundred five men (53.7%) and women (aged 65–97) participating in the BLSA eligible for endurance walk testing without a walking aid.\n\nMEASUREMENTS\nFatigability was assessed using (1) completion status and lap times from a 400m-walk performed “as quickly as possible” and (2) perceived exertion rating using the Borg scale (range 6–20) following 5 minutes of treadmill walking at 1.5mph (0.67m/s). Criterion measures include self-report of tiredness, level of weakness and energy in past month and walking ability and objective measures of usual and fast gait speed, time to complete 10 chair stands and grip strength. Co-variates include age, race, sex, obesity, smoking status and walking activity.\n\nRESULTS\nAmong mobility intact older persons, 23% exhibited performance deterioration (i.e., slowed or stopped) during the 400m-walk and1/3 reported more than very light exertion following a 5-minute slow walk. Slowing was strongly associated with self-reported fatigue and walking ability, but weakly associated with performance-based mobility measures. High perceived exertion was associated with tiredness and weakness and reported and observed mobility deficits.\n\nCONCLUSION\nSlowing down may have low sensitivity for identifying fatigability in older persons, but ascertaining perceived exertion during a defined workload shows promise. In seemingly healthy, motivated individuals, fatigue and fatigability were common and may impact socially meaningful mobility behaviors. Assessment of fatigability in well-elderly examinations may help identify threats to independent functioning earlier in the decline process.","DOI":"10.1111/jgs.12638","ISSN":"0002-8614","note":"PMID: 24417536\nPMCID: PMC3947865","journalAbbreviation":"J Am Geriatr Soc","author":[{"family":"Simonsick","given":"Eleanor M."},{"family":"Schrack","given":"Jennifer A."},{"family":"Glynn","given":"Nancy W."},{"family":"Ferrucci","given":"Luigi"}],"issued":{"date-parts":[["2014",2]]}}}],"schema":"https://github.com/citation-style-language/schema/raw/master/csl-citation.json"} </w:instrText>
      </w:r>
      <w:r w:rsidR="007C28BE" w:rsidRPr="008438F4">
        <w:rPr>
          <w:rFonts w:ascii="Calibri" w:hAnsi="Calibri" w:cs="Calibri"/>
        </w:rPr>
        <w:fldChar w:fldCharType="separate"/>
      </w:r>
      <w:r w:rsidR="007C28BE" w:rsidRPr="008438F4">
        <w:rPr>
          <w:rFonts w:ascii="Calibri" w:hAnsi="Calibri" w:cs="Calibri"/>
        </w:rPr>
        <w:t>(Simonsick et al., 2014)</w:t>
      </w:r>
      <w:r w:rsidR="007C28BE" w:rsidRPr="008438F4">
        <w:rPr>
          <w:rFonts w:ascii="Calibri" w:hAnsi="Calibri" w:cs="Calibri"/>
        </w:rPr>
        <w:fldChar w:fldCharType="end"/>
      </w:r>
      <w:r w:rsidR="007C28BE" w:rsidRPr="008438F4">
        <w:rPr>
          <w:rFonts w:ascii="Calibri" w:hAnsi="Calibri" w:cs="Calibri"/>
        </w:rPr>
        <w:t>.</w:t>
      </w:r>
      <w:r w:rsidR="007C28BE">
        <w:rPr>
          <w:rFonts w:ascii="Calibri" w:hAnsi="Calibri" w:cs="Calibri"/>
        </w:rPr>
        <w:t xml:space="preserve">  </w:t>
      </w:r>
      <w:r w:rsidR="007C28BE" w:rsidRPr="007C28BE">
        <w:rPr>
          <w:rFonts w:ascii="Calibri" w:hAnsi="Calibri" w:cs="Calibri"/>
        </w:rPr>
        <w:t xml:space="preserve">However, one disadvantage of </w:t>
      </w:r>
      <w:r w:rsidR="007C28BE">
        <w:rPr>
          <w:rFonts w:ascii="Calibri" w:hAnsi="Calibri" w:cs="Calibri"/>
        </w:rPr>
        <w:t xml:space="preserve">these </w:t>
      </w:r>
      <w:r w:rsidR="007C28BE" w:rsidRPr="007C28BE">
        <w:rPr>
          <w:rFonts w:ascii="Calibri" w:hAnsi="Calibri" w:cs="Calibri"/>
        </w:rPr>
        <w:t>performance-based fatigability measures in research settings is that it is not always feasible for individuals to complete performance tasks</w:t>
      </w:r>
      <w:r w:rsidR="007C28BE">
        <w:rPr>
          <w:rFonts w:ascii="Calibri" w:hAnsi="Calibri" w:cs="Calibri"/>
        </w:rPr>
        <w:t xml:space="preserve"> due to low resources or remote data collection.</w:t>
      </w:r>
    </w:p>
    <w:p w14:paraId="0941F5CA" w14:textId="2EC3551A" w:rsidR="00AC5D2C" w:rsidRPr="008438F4" w:rsidRDefault="002443FE" w:rsidP="00C535DA">
      <w:pPr>
        <w:pStyle w:val="Noindent"/>
        <w:spacing w:line="360" w:lineRule="auto"/>
        <w:ind w:firstLine="720"/>
        <w:rPr>
          <w:rFonts w:ascii="Calibri" w:hAnsi="Calibri" w:cs="Calibri"/>
        </w:rPr>
      </w:pPr>
      <w:r w:rsidRPr="002443FE">
        <w:rPr>
          <w:rFonts w:ascii="Calibri" w:hAnsi="Calibri" w:cs="Calibri"/>
        </w:rPr>
        <w:t>The Pittsburgh Fatiga</w:t>
      </w:r>
      <w:r>
        <w:rPr>
          <w:rFonts w:ascii="Calibri" w:hAnsi="Calibri" w:cs="Calibri"/>
        </w:rPr>
        <w:t xml:space="preserve">bility Scale </w:t>
      </w:r>
      <w:r w:rsidRPr="002443FE">
        <w:rPr>
          <w:rFonts w:ascii="Calibri" w:hAnsi="Calibri" w:cs="Calibri"/>
        </w:rPr>
        <w:t>measure</w:t>
      </w:r>
      <w:r>
        <w:rPr>
          <w:rFonts w:ascii="Calibri" w:hAnsi="Calibri" w:cs="Calibri"/>
        </w:rPr>
        <w:t>s</w:t>
      </w:r>
      <w:r w:rsidRPr="002443FE">
        <w:rPr>
          <w:rFonts w:ascii="Calibri" w:hAnsi="Calibri" w:cs="Calibri"/>
        </w:rPr>
        <w:t xml:space="preserve"> self-reported fatigue and demand using a single instrument</w:t>
      </w:r>
      <w:r w:rsidR="00D83E2E">
        <w:rPr>
          <w:rFonts w:ascii="Calibri" w:hAnsi="Calibri" w:cs="Calibri"/>
        </w:rPr>
        <w:t xml:space="preserve"> </w:t>
      </w:r>
      <w:r w:rsidR="00BA46D0">
        <w:rPr>
          <w:rFonts w:ascii="Calibri" w:hAnsi="Calibri" w:cs="Calibri"/>
        </w:rPr>
        <w:fldChar w:fldCharType="begin"/>
      </w:r>
      <w:r w:rsidR="00BA46D0">
        <w:rPr>
          <w:rFonts w:ascii="Calibri" w:hAnsi="Calibri" w:cs="Calibri"/>
        </w:rPr>
        <w:instrText xml:space="preserve"> ADDIN ZOTERO_ITEM CSL_CITATION {"citationID":"ar49o0ljei","properties":{"formattedCitation":"(Glynn et al., 2014)","plainCitation":"(Glynn et al., 2014)"},"citationItems":[{"id":57,"uris":["http://zotero.org/users/local/vDYxJ8mW/items/EUQ4I4NU"],"uri":["http://zotero.org/users/local/vDYxJ8mW/items/EUQ4I4NU"],"itemData":{"id":57,"type":"article-journal","title":"The Pittsburgh Fatigability scale for older adults: development and validation","container-title":"Journal of the American Geriatrics Society","page":"130-135","volume":"63","issue":"1","source":"PubMed","abstract":"OBJECTIVES: To describe the development of the Pittsburgh Fatigability Scale (PFS) and establish its reliability and concurrent and convergent validity against performance measures.\nDESIGN: Cross-sectional.\nSETTING: University of Pittsburgh, Pittsburgh, Pennsylvania.\nPARTICIPANTS: Scale development sample: 1,013 individuals aged 60 and older from two registries; validation sample: 483 adults aged 60 and older from the Baltimore Longitudinal Study of Aging (BLSA).\nMEASUREMENTS: The scale development sample and BLSA participants self-administered an initial 26-item perceived fatigability scale. BLSA participants also completed measures of performance fatigability (perceived exertion from a standard treadmill task and performance deterioration from a fast-paced long-distance corridor walk), a 6-m usual-paced corridor walk, and five timed chair stands.\nRESULTS: Principal components analysis with varimax rotation reduced the 26-item scale to the 10-item PFS. The PFS showed strong internal consistency (Cronbach's alpha 0.88) and excellent test-retest reliability (intraclass correlation 0.86). In the validation sample, PFS scores, adjusted for age, sex, and race, were greater for those with high performance fatigability, slow gait speed, worse physical function, and lower fitness, with differences between high and low fatigability ranging from 3.2 to 5.1 points (P &lt; .001).\nCONCLUSION: The 10-item PFS physical fatigability score is a valid and reliable measure of perceived fatigability in older adults and can serve as an adjunct to performance-based fatigability measures for identifying older adults at risk of mobility limitation in clinical and research settings.","DOI":"10.1111/jgs.13191","ISSN":"1532-5415","note":"PMID: 25556993\nPMCID: PMC4971882","shortTitle":"The Pittsburgh Fatigability scale for older adults","journalAbbreviation":"J Am Geriatr Soc","language":"eng","author":[{"family":"Glynn","given":"Nancy W."},{"family":"Santanasto","given":"Adam J."},{"family":"Simonsick","given":"Eleanor M."},{"family":"Boudreau","given":"Robert M."},{"family":"Beach","given":"Scott R."},{"family":"Schulz","given":"Richard"},{"family":"Newman","given":"Anne B."}],"issued":{"date-parts":[["2014"]]}}}],"schema":"https://github.com/citation-style-language/schema/raw/master/csl-citation.json"} </w:instrText>
      </w:r>
      <w:r w:rsidR="00BA46D0">
        <w:rPr>
          <w:rFonts w:ascii="Calibri" w:hAnsi="Calibri" w:cs="Calibri"/>
        </w:rPr>
        <w:fldChar w:fldCharType="separate"/>
      </w:r>
      <w:r w:rsidR="00BA46D0" w:rsidRPr="00BA46D0">
        <w:rPr>
          <w:rFonts w:ascii="Calibri" w:hAnsi="Calibri" w:cs="Calibri"/>
        </w:rPr>
        <w:t>(Glynn et al., 2014)</w:t>
      </w:r>
      <w:r w:rsidR="00BA46D0">
        <w:rPr>
          <w:rFonts w:ascii="Calibri" w:hAnsi="Calibri" w:cs="Calibri"/>
        </w:rPr>
        <w:fldChar w:fldCharType="end"/>
      </w:r>
      <w:r w:rsidR="00BA46D0">
        <w:rPr>
          <w:rFonts w:ascii="Calibri" w:hAnsi="Calibri" w:cs="Calibri"/>
        </w:rPr>
        <w:t xml:space="preserve">. </w:t>
      </w:r>
      <w:r w:rsidR="00AC5D2C" w:rsidRPr="008438F4">
        <w:rPr>
          <w:rFonts w:ascii="Calibri" w:hAnsi="Calibri" w:cs="Calibri"/>
        </w:rPr>
        <w:t>The PFS has been used to assess fatigability in older adults and has previously demonstrated that high performance fatigability was associated with slow gait speed, worse physical function and lower fitness</w:t>
      </w:r>
      <w:r w:rsidR="00D83E2E">
        <w:rPr>
          <w:rFonts w:ascii="Calibri" w:hAnsi="Calibri" w:cs="Calibri"/>
        </w:rPr>
        <w:t xml:space="preserve"> </w:t>
      </w:r>
      <w:r w:rsidR="00D83E2E">
        <w:rPr>
          <w:rFonts w:ascii="Calibri" w:hAnsi="Calibri" w:cs="Calibri"/>
        </w:rPr>
        <w:fldChar w:fldCharType="begin"/>
      </w:r>
      <w:r w:rsidR="00D83E2E">
        <w:rPr>
          <w:rFonts w:ascii="Calibri" w:hAnsi="Calibri" w:cs="Calibri"/>
        </w:rPr>
        <w:instrText xml:space="preserve"> ADDIN ZOTERO_ITEM CSL_CITATION {"citationID":"a22fo8ds9o6","properties":{"formattedCitation":"(Glynn et al., 2014)","plainCitation":"(Glynn et al., 2014)"},"citationItems":[{"id":57,"uris":["http://zotero.org/users/local/vDYxJ8mW/items/EUQ4I4NU"],"uri":["http://zotero.org/users/local/vDYxJ8mW/items/EUQ4I4NU"],"itemData":{"id":57,"type":"article-journal","title":"The Pittsburgh Fatigability scale for older adults: development and validation","container-title":"Journal of the American Geriatrics Society","page":"130-135","volume":"63","issue":"1","source":"PubMed","abstract":"OBJECTIVES: To describe the development of the Pittsburgh Fatigability Scale (PFS) and establish its reliability and concurrent and convergent validity against performance measures.\nDESIGN: Cross-sectional.\nSETTING: University of Pittsburgh, Pittsburgh, Pennsylvania.\nPARTICIPANTS: Scale development sample: 1,013 individuals aged 60 and older from two registries; validation sample: 483 adults aged 60 and older from the Baltimore Longitudinal Study of Aging (BLSA).\nMEASUREMENTS: The scale development sample and BLSA participants self-administered an initial 26-item perceived fatigability scale. BLSA participants also completed measures of performance fatigability (perceived exertion from a standard treadmill task and performance deterioration from a fast-paced long-distance corridor walk), a 6-m usual-paced corridor walk, and five timed chair stands.\nRESULTS: Principal components analysis with varimax rotation reduced the 26-item scale to the 10-item PFS. The PFS showed strong internal consistency (Cronbach's alpha 0.88) and excellent test-retest reliability (intraclass correlation 0.86). In the validation sample, PFS scores, adjusted for age, sex, and race, were greater for those with high performance fatigability, slow gait speed, worse physical function, and lower fitness, with differences between high and low fatigability ranging from 3.2 to 5.1 points (P &lt; .001).\nCONCLUSION: The 10-item PFS physical fatigability score is a valid and reliable measure of perceived fatigability in older adults and can serve as an adjunct to performance-based fatigability measures for identifying older adults at risk of mobility limitation in clinical and research settings.","DOI":"10.1111/jgs.13191","ISSN":"1532-5415","note":"PMID: 25556993\nPMCID: PMC4971882","shortTitle":"The Pittsburgh Fatigability scale for older adults","journalAbbreviation":"J Am Geriatr Soc","language":"eng","author":[{"family":"Glynn","given":"Nancy W."},{"family":"Santanasto","given":"Adam J."},{"family":"Simonsick","given":"Eleanor M."},{"family":"Boudreau","given":"Robert M."},{"family":"Beach","given":"Scott R."},{"family":"Schulz","given":"Richard"},{"family":"Newman","given":"Anne B."}],"issued":{"date-parts":[["2014"]]}}}],"schema":"https://github.com/citation-style-language/schema/raw/master/csl-citation.json"} </w:instrText>
      </w:r>
      <w:r w:rsidR="00D83E2E">
        <w:rPr>
          <w:rFonts w:ascii="Calibri" w:hAnsi="Calibri" w:cs="Calibri"/>
        </w:rPr>
        <w:fldChar w:fldCharType="separate"/>
      </w:r>
      <w:r w:rsidR="00D83E2E" w:rsidRPr="00D83E2E">
        <w:rPr>
          <w:rFonts w:ascii="Calibri" w:hAnsi="Calibri" w:cs="Calibri"/>
        </w:rPr>
        <w:t>(Glynn et al., 2014)</w:t>
      </w:r>
      <w:r w:rsidR="00D83E2E">
        <w:rPr>
          <w:rFonts w:ascii="Calibri" w:hAnsi="Calibri" w:cs="Calibri"/>
        </w:rPr>
        <w:fldChar w:fldCharType="end"/>
      </w:r>
      <w:r w:rsidR="00D83E2E">
        <w:rPr>
          <w:rFonts w:ascii="Calibri" w:hAnsi="Calibri" w:cs="Calibri"/>
        </w:rPr>
        <w:t xml:space="preserve">. </w:t>
      </w:r>
      <w:r w:rsidR="00AC5D2C" w:rsidRPr="008438F4">
        <w:rPr>
          <w:rFonts w:ascii="Calibri" w:hAnsi="Calibri" w:cs="Calibri"/>
        </w:rPr>
        <w:t xml:space="preserve">This scale asks individuals to rate both the physical and mental fatigue they would expect or imagine they would feel after completing a certain activity. The activities used in this questionnaire target the normal day to day activities in which older adults engage. The assessment can be completed in a few minutes, and also provides researchers information about whether or not an individual engaged in a specific activity in the last month. The PFS is not only reliable and valid for measuring perceived fatigability, but it can also serve as an adjunct for performance-based fatigability measures.  A major strength of using this scale in a geriatric population is that it includes activities that are relevant or commonly performed by older adults, where measures like the Situational Fatigue Scale has only been validated in ages 18 to 60. It also normalizes all the activities to a specific intensity and duration, and can be practically performed in a clinical setting, administered over the phone, or mailed out as a questionnaire making it a relatively simple and inexpensive tool to assess fatigability in older adults. Unlike the fatigue measures described, the PFS directs an individual to only think about physical and mental fatigue in the context of the activity mentioned. Thus, the response collected elucidates which activities are related to physical and mental fatigability, and subsequently the activities that are most demanding and limiting physically and mentally for a specific individual. </w:t>
      </w:r>
      <w:r w:rsidRPr="002443FE">
        <w:rPr>
          <w:rFonts w:ascii="Calibri" w:hAnsi="Calibri" w:cs="Calibri"/>
        </w:rPr>
        <w:t>Th</w:t>
      </w:r>
      <w:r>
        <w:rPr>
          <w:rFonts w:ascii="Calibri" w:hAnsi="Calibri" w:cs="Calibri"/>
        </w:rPr>
        <w:t xml:space="preserve">us, the </w:t>
      </w:r>
      <w:r w:rsidRPr="002443FE">
        <w:rPr>
          <w:rFonts w:ascii="Calibri" w:hAnsi="Calibri" w:cs="Calibri"/>
        </w:rPr>
        <w:t xml:space="preserve">Pittsburgh Fatigability Scale (PFS) was developed to overcome weaknesses of perceived global fatigue measures and can also be used in the absence of performance tasks as it has been validated against objective measures of fatigability like the 400 meter walk and five minute treadmill walk </w:t>
      </w:r>
      <w:r w:rsidR="00D83E2E">
        <w:rPr>
          <w:rFonts w:ascii="Calibri" w:hAnsi="Calibri" w:cs="Calibri"/>
        </w:rPr>
        <w:fldChar w:fldCharType="begin"/>
      </w:r>
      <w:r w:rsidR="00D83E2E">
        <w:rPr>
          <w:rFonts w:ascii="Calibri" w:hAnsi="Calibri" w:cs="Calibri"/>
        </w:rPr>
        <w:instrText xml:space="preserve"> ADDIN ZOTERO_ITEM CSL_CITATION {"citationID":"ahf8ln7kbm","properties":{"formattedCitation":"(Glynn et al., 2014; Simonsick et al., 2014)","plainCitation":"(Glynn et al., 2014; Simonsick et al., 2014)"},"citationItems":[{"id":57,"uris":["http://zotero.org/users/local/vDYxJ8mW/items/EUQ4I4NU"],"uri":["http://zotero.org/users/local/vDYxJ8mW/items/EUQ4I4NU"],"itemData":{"id":57,"type":"article-journal","title":"The Pittsburgh Fatigability scale for older adults: development and validation","container-title":"Journal of the American Geriatrics Society","page":"130-135","volume":"63","issue":"1","source":"PubMed","abstract":"OBJECTIVES: To describe the development of the Pittsburgh Fatigability Scale (PFS) and establish its reliability and concurrent and convergent validity against performance measures.\nDESIGN: Cross-sectional.\nSETTING: University of Pittsburgh, Pittsburgh, Pennsylvania.\nPARTICIPANTS: Scale development sample: 1,013 individuals aged 60 and older from two registries; validation sample: 483 adults aged 60 and older from the Baltimore Longitudinal Study of Aging (BLSA).\nMEASUREMENTS: The scale development sample and BLSA participants self-administered an initial 26-item perceived fatigability scale. BLSA participants also completed measures of performance fatigability (perceived exertion from a standard treadmill task and performance deterioration from a fast-paced long-distance corridor walk), a 6-m usual-paced corridor walk, and five timed chair stands.\nRESULTS: Principal components analysis with varimax rotation reduced the 26-item scale to the 10-item PFS. The PFS showed strong internal consistency (Cronbach's alpha 0.88) and excellent test-retest reliability (intraclass correlation 0.86). In the validation sample, PFS scores, adjusted for age, sex, and race, were greater for those with high performance fatigability, slow gait speed, worse physical function, and lower fitness, with differences between high and low fatigability ranging from 3.2 to 5.1 points (P &lt; .001).\nCONCLUSION: The 10-item PFS physical fatigability score is a valid and reliable measure of perceived fatigability in older adults and can serve as an adjunct to performance-based fatigability measures for identifying older adults at risk of mobility limitation in clinical and research settings.","DOI":"10.1111/jgs.13191","ISSN":"1532-5415","note":"PMID: 25556993\nPMCID: PMC4971882","shortTitle":"The Pittsburgh Fatigability scale for older adults","journalAbbreviation":"J Am Geriatr Soc","language":"eng","author":[{"family":"Glynn","given":"Nancy W."},{"family":"Santanasto","given":"Adam J."},{"family":"Simonsick","given":"Eleanor M."},{"family":"Boudreau","given":"Robert M."},{"family":"Beach","given":"Scott R."},{"family":"Schulz","given":"Richard"},{"family":"Newman","given":"Anne B."}],"issued":{"date-parts":[["2014"]]}}},{"id":1083,"uris":["http://zotero.org/users/local/vDYxJ8mW/items/C2AE8HPX"],"uri":["http://zotero.org/users/local/vDYxJ8mW/items/C2AE8HPX"],"itemData":{"id":1083,"type":"article-journal","title":"Assessing Fatigability in Mobility-Intact Older Adults","container-title":"Journal of the American Geriatrics Society","page":"347-351","volume":"62","issue":"2","source":"PubMed Central","abstract":"OBJECTIVES\nEvaluate criterion validity of two measures of fatigability defined as performance deterioration or perceived effort to perform a standardized task.\n\nDESIGN\nCross-sectional analysis of data from the Baltimore Longitudinal Study of Aging (BLSA).\n\nSETTING\nNational Institute on Aging, Intramural Research Program, Clinical Research Unit, Baltimore, Maryland.\n\nPARTICIPANTS\nSix hundred five men (53.7%) and women (aged 65–97) participating in the BLSA eligible for endurance walk testing without a walking aid.\n\nMEASUREMENTS\nFatigability was assessed using (1) completion status and lap times from a 400m-walk performed “as quickly as possible” and (2) perceived exertion rating using the Borg scale (range 6–20) following 5 minutes of treadmill walking at 1.5mph (0.67m/s). Criterion measures include self-report of tiredness, level of weakness and energy in past month and walking ability and objective measures of usual and fast gait speed, time to complete 10 chair stands and grip strength. Co-variates include age, race, sex, obesity, smoking status and walking activity.\n\nRESULTS\nAmong mobility intact older persons, 23% exhibited performance deterioration (i.e., slowed or stopped) during the 400m-walk and1/3 reported more than very light exertion following a 5-minute slow walk. Slowing was strongly associated with self-reported fatigue and walking ability, but weakly associated with performance-based mobility measures. High perceived exertion was associated with tiredness and weakness and reported and observed mobility deficits.\n\nCONCLUSION\nSlowing down may have low sensitivity for identifying fatigability in older persons, but ascertaining perceived exertion during a defined workload shows promise. In seemingly healthy, motivated individuals, fatigue and fatigability were common and may impact socially meaningful mobility behaviors. Assessment of fatigability in well-elderly examinations may help identify threats to independent functioning earlier in the decline process.","DOI":"10.1111/jgs.12638","ISSN":"0002-8614","note":"PMID: 24417536\nPMCID: PMC3947865","journalAbbreviation":"J Am Geriatr Soc","author":[{"family":"Simonsick","given":"Eleanor M."},{"family":"Schrack","given":"Jennifer A."},{"family":"Glynn","given":"Nancy W."},{"family":"Ferrucci","given":"Luigi"}],"issued":{"date-parts":[["2014",2]]}}}],"schema":"https://github.com/citation-style-language/schema/raw/master/csl-citation.json"} </w:instrText>
      </w:r>
      <w:r w:rsidR="00D83E2E">
        <w:rPr>
          <w:rFonts w:ascii="Calibri" w:hAnsi="Calibri" w:cs="Calibri"/>
        </w:rPr>
        <w:fldChar w:fldCharType="separate"/>
      </w:r>
      <w:r w:rsidR="00D83E2E" w:rsidRPr="00D83E2E">
        <w:rPr>
          <w:rFonts w:ascii="Calibri" w:hAnsi="Calibri" w:cs="Calibri"/>
        </w:rPr>
        <w:t>(Glynn et al., 2014; Simonsick et al., 2014)</w:t>
      </w:r>
      <w:r w:rsidR="00D83E2E">
        <w:rPr>
          <w:rFonts w:ascii="Calibri" w:hAnsi="Calibri" w:cs="Calibri"/>
        </w:rPr>
        <w:fldChar w:fldCharType="end"/>
      </w:r>
      <w:r w:rsidR="00D83E2E">
        <w:rPr>
          <w:rFonts w:ascii="Calibri" w:hAnsi="Calibri" w:cs="Calibri"/>
        </w:rPr>
        <w:t xml:space="preserve">. </w:t>
      </w:r>
    </w:p>
    <w:p w14:paraId="427EFB6F" w14:textId="42B5D65B" w:rsidR="00AC5D2C" w:rsidRPr="008438F4" w:rsidRDefault="00AC5D2C" w:rsidP="00D82CAB">
      <w:pPr>
        <w:pStyle w:val="Noindent"/>
        <w:spacing w:line="360" w:lineRule="auto"/>
        <w:rPr>
          <w:rFonts w:ascii="Calibri" w:hAnsi="Calibri" w:cs="Calibri"/>
        </w:rPr>
      </w:pPr>
      <w:r w:rsidRPr="008438F4">
        <w:rPr>
          <w:rFonts w:ascii="Calibri" w:hAnsi="Calibri" w:cs="Calibri"/>
        </w:rPr>
        <w:tab/>
      </w:r>
      <w:r w:rsidR="002443FE">
        <w:rPr>
          <w:rFonts w:ascii="Calibri" w:hAnsi="Calibri" w:cs="Calibri"/>
        </w:rPr>
        <w:t>In summary, i</w:t>
      </w:r>
      <w:r w:rsidRPr="008438F4">
        <w:rPr>
          <w:rFonts w:ascii="Calibri" w:hAnsi="Calibri" w:cs="Calibri"/>
        </w:rPr>
        <w:t>t is important to highlight that for some measures of fatigability, fatigability is defined as fatigue in relation to a defined activity of a specific intensity or duration. Others define fatigability as a change in performance deterioration. Despite the variability in the definitions, fatigability has recently been adopted as a new concept in the geriatric literature. For example, a recent review of fatigability measures highlights fatigability as i</w:t>
      </w:r>
      <w:r w:rsidR="00D82CAB" w:rsidRPr="008438F4">
        <w:rPr>
          <w:rFonts w:ascii="Calibri" w:hAnsi="Calibri" w:cs="Calibri"/>
        </w:rPr>
        <w:t xml:space="preserve">t relates to clinical outcomes </w:t>
      </w:r>
      <w:r w:rsidR="00D82CAB" w:rsidRPr="008438F4">
        <w:rPr>
          <w:rFonts w:ascii="Calibri" w:hAnsi="Calibri" w:cs="Calibri"/>
        </w:rPr>
        <w:fldChar w:fldCharType="begin"/>
      </w:r>
      <w:r w:rsidR="00D82CAB" w:rsidRPr="008438F4">
        <w:rPr>
          <w:rFonts w:ascii="Calibri" w:hAnsi="Calibri" w:cs="Calibri"/>
        </w:rPr>
        <w:instrText xml:space="preserve"> ADDIN ZOTERO_ITEM CSL_CITATION {"citationID":"aogdu23rqp","properties":{"formattedCitation":"(Kim et al., 2017)","plainCitation":"(Kim et al., 2017)"},"citationItems":[{"id":1118,"uris":["http://zotero.org/users/local/vDYxJ8mW/items/5PW6QMHX"],"uri":["http://zotero.org/users/local/vDYxJ8mW/items/5PW6QMHX"],"itemData":{"id":1118,"type":"article-journal","title":"Evaluation of fatigability measurement: Integrative review","container-title":"Geriatric Nursing","volume":"0","issue":"0","source":"www.gnjournal.com","abstract":"&lt;h2&gt;Abstract&lt;/h2&gt;&lt;p&gt;Fatigability is defined as the extent of fatigue in the context of activity and differs from the term used in exercise literature to describe muscle endurance characteristics. Many fatigability measures are available, but no studies have thoroughly evaluated them for adequate incorporation of fatigability concepts. This integrative review provides an overall assessment of existing fatigability measures and then evaluates each in depth. A database search and hand search produced 14 studies for review. Fatigability measurement took three forms: self-reported fatigability, perceived fatigability (self-reported fatigue following a defined performance test), and performance fatigability (performance deterioration). Of 17 measures identified, validity and/or reliability was reported for six (35.3%), and no measure was used in more than one study. Fatigability measures have been correlated with clinical measures, indicating that fatigability should be measured during routine clinical health screening. Refinement of measures and additional fatigability data collection will improve understanding and treatment of fatigue.&lt;/p&gt;","URL":"http://www.gnjournal.com/article/S0197-4572(17)30130-1/abstract","DOI":"10.1016/j.gerinurse.2017.05.014","ISSN":"0197-4572, 1528-3984","note":"PMID: 28666548, 28666548","shortTitle":"Evaluation of fatigability measurement","journalAbbreviation":"Geriatric Nursing","language":"English","author":[{"family":"Kim","given":"Inah"},{"family":"Hacker","given":"Eileen"},{"family":"Ferrans","given":"Carol Estwing"},{"family":"Horswill","given":"Craig"},{"family":"Park","given":"Chang"},{"family":"Kapella","given":"Mary"}],"issued":{"date-parts":[["2017",6,27]]},"accessed":{"date-parts":[["2017",9,25]]}}}],"schema":"https://github.com/citation-style-language/schema/raw/master/csl-citation.json"} </w:instrText>
      </w:r>
      <w:r w:rsidR="00D82CAB" w:rsidRPr="008438F4">
        <w:rPr>
          <w:rFonts w:ascii="Calibri" w:hAnsi="Calibri" w:cs="Calibri"/>
        </w:rPr>
        <w:fldChar w:fldCharType="separate"/>
      </w:r>
      <w:r w:rsidR="00D82CAB" w:rsidRPr="008438F4">
        <w:rPr>
          <w:rFonts w:ascii="Calibri" w:hAnsi="Calibri" w:cs="Calibri"/>
        </w:rPr>
        <w:t>(Kim et al., 2017)</w:t>
      </w:r>
      <w:r w:rsidR="00D82CAB" w:rsidRPr="008438F4">
        <w:rPr>
          <w:rFonts w:ascii="Calibri" w:hAnsi="Calibri" w:cs="Calibri"/>
        </w:rPr>
        <w:fldChar w:fldCharType="end"/>
      </w:r>
      <w:r w:rsidR="00D82CAB" w:rsidRPr="008438F4">
        <w:rPr>
          <w:rFonts w:ascii="Calibri" w:hAnsi="Calibri" w:cs="Calibri"/>
        </w:rPr>
        <w:t xml:space="preserve">. </w:t>
      </w:r>
      <w:r w:rsidRPr="008438F4">
        <w:rPr>
          <w:rFonts w:ascii="Calibri" w:hAnsi="Calibri" w:cs="Calibri"/>
        </w:rPr>
        <w:t>A cross-sectional study on performance fatigability found that severity of perceived fatigability was correlated with greater oxygen consumption, lower physical activity, low walking distance and higher severity of performance fatigability (Barbosa et al., 2016). Another study found that performance and perceived fatigability severity were associated with physical activity related expenditure</w:t>
      </w:r>
      <w:r w:rsidR="00D82CAB" w:rsidRPr="008438F4">
        <w:rPr>
          <w:rFonts w:ascii="Calibri" w:hAnsi="Calibri" w:cs="Calibri"/>
        </w:rPr>
        <w:t xml:space="preserve"> </w:t>
      </w:r>
      <w:r w:rsidR="00D82CAB" w:rsidRPr="008438F4">
        <w:rPr>
          <w:rFonts w:ascii="Calibri" w:hAnsi="Calibri" w:cs="Calibri"/>
        </w:rPr>
        <w:fldChar w:fldCharType="begin"/>
      </w:r>
      <w:r w:rsidR="00D82CAB" w:rsidRPr="008438F4">
        <w:rPr>
          <w:rFonts w:ascii="Calibri" w:hAnsi="Calibri" w:cs="Calibri"/>
        </w:rPr>
        <w:instrText xml:space="preserve"> ADDIN ZOTERO_ITEM CSL_CITATION {"citationID":"a21mpr9i6ll","properties":{"formattedCitation":"(Buchowski et al., 2013)","plainCitation":"(Buchowski et al., 2013)"},"citationItems":[{"id":1178,"uris":["http://zotero.org/users/local/vDYxJ8mW/items/I82VDRIB"],"uri":["http://zotero.org/users/local/vDYxJ8mW/items/I82VDRIB"],"itemData":{"id":1178,"type":"article-journal","title":"Fatigability as a function of physical activity energy expenditure in older adults","container-title":"AGE","page":"179-187","volume":"35","issue":"1","source":"link.springer.com","abstract":"Increased fatigue is a predictor of morbidity and mortality in older adults. Fatigability defines a change in performance or self-reported fatigue in response to physical activity (PA). However, the relationship of fatigability to PA-related energy expenditure (PAEE) is unknown. Changes in performance, fatigue, and energy expenditure were measured simultaneously in 17 adults (11 females, 74–94 years old) performing eight standardized PA tasks with various energy expenditure requirements in a whole-room indirect calorimeter. Change in performance was objectively measured using a PA movement monitor and change in fatigue was self-reported on a seven-point scale for each task. Performance and perceived fatigability severity scores were calculated as a ratio of change in performance and fatigue, respectively, and PAEE. We found that change in both objective performance and self-reported fatigue were associated with energy expenditure (Spearman rho = −0.72 and −0.68, respectively, p &lt; 0.001) on a task requiring relatively high level of energy expenditure. The performance and perceived fatigability severity scores were significantly correlated (rho = 0.77, p &lt; 0.001) on this task. In summary, results of this proof of concept pilot study show that both perceived and performance fatigability severity scores are related to PAEE-induced fatigue on a task requiring relatively high level of energy expenditure. We conclude that fatigability severity is a valid measure of PAEE-induced fatigue in older adults.","DOI":"10.1007/s11357-011-9338-x","ISSN":"0161-9152, 1574-4647","journalAbbreviation":"AGE","language":"en","author":[{"family":"Buchowski","given":"Maciej S."},{"family":"Simmons","given":"Sandra F."},{"family":"Whitaker","given":"Lauren E."},{"family":"Powers","given":"James"},{"family":"Beuscher","given":"Linda"},{"family":"Choi","given":"Leena"},{"family":"Ikizler","given":"T. Alp"},{"family":"Chen","given":"Kong"},{"family":"Shnelle","given":"John F."}],"issued":{"date-parts":[["2013",2,1]]}}}],"schema":"https://github.com/citation-style-language/schema/raw/master/csl-citation.json"} </w:instrText>
      </w:r>
      <w:r w:rsidR="00D82CAB" w:rsidRPr="008438F4">
        <w:rPr>
          <w:rFonts w:ascii="Calibri" w:hAnsi="Calibri" w:cs="Calibri"/>
        </w:rPr>
        <w:fldChar w:fldCharType="separate"/>
      </w:r>
      <w:r w:rsidR="00D82CAB" w:rsidRPr="008438F4">
        <w:rPr>
          <w:rFonts w:ascii="Calibri" w:hAnsi="Calibri" w:cs="Calibri"/>
        </w:rPr>
        <w:t>(Buchowski et al., 2013)</w:t>
      </w:r>
      <w:r w:rsidR="00D82CAB" w:rsidRPr="008438F4">
        <w:rPr>
          <w:rFonts w:ascii="Calibri" w:hAnsi="Calibri" w:cs="Calibri"/>
        </w:rPr>
        <w:fldChar w:fldCharType="end"/>
      </w:r>
      <w:r w:rsidR="00D82CAB" w:rsidRPr="008438F4">
        <w:rPr>
          <w:rFonts w:ascii="Calibri" w:hAnsi="Calibri" w:cs="Calibri"/>
        </w:rPr>
        <w:t xml:space="preserve">. </w:t>
      </w:r>
      <w:r w:rsidRPr="008438F4">
        <w:rPr>
          <w:rFonts w:ascii="Calibri" w:hAnsi="Calibri" w:cs="Calibri"/>
        </w:rPr>
        <w:t>Perceived exertion and performance fatigability measures have also been associated with tiredness, weakness and reported and observed mobility deficits</w:t>
      </w:r>
      <w:r w:rsidR="00D82CAB" w:rsidRPr="008438F4">
        <w:rPr>
          <w:rFonts w:ascii="Calibri" w:hAnsi="Calibri" w:cs="Calibri"/>
        </w:rPr>
        <w:t xml:space="preserve"> </w:t>
      </w:r>
      <w:r w:rsidR="00D82CAB" w:rsidRPr="008438F4">
        <w:rPr>
          <w:rFonts w:ascii="Calibri" w:hAnsi="Calibri" w:cs="Calibri"/>
        </w:rPr>
        <w:fldChar w:fldCharType="begin"/>
      </w:r>
      <w:r w:rsidR="00D82CAB" w:rsidRPr="008438F4">
        <w:rPr>
          <w:rFonts w:ascii="Calibri" w:hAnsi="Calibri" w:cs="Calibri"/>
        </w:rPr>
        <w:instrText xml:space="preserve"> ADDIN ZOTERO_ITEM CSL_CITATION {"citationID":"afr7lnc58v","properties":{"formattedCitation":"(Simonsick et al., 2016)","plainCitation":"(Simonsick et al., 2016)"},"citationItems":[{"id":1126,"uris":["http://zotero.org/users/local/vDYxJ8mW/items/RFRI6XJB"],"uri":["http://zotero.org/users/local/vDYxJ8mW/items/RFRI6XJB"],"itemData":{"id":1126,"type":"article-journal","title":"Fatigued, but Not Frail: Perceived Fatigability as a Marker of Impending Decline in Mobility-Intact Older Adults","container-title":"Journal of the American Geriatrics Society","page":"1287-1292","volume":"64","issue":"6","source":"PubMed","abstract":"OBJECTIVES: To evaluate perceived fatigability as a predictor of meaningful functional decline in non-mobility-limited older adults.\nDESIGN: Longitudinal analysis of data from the Baltimore Longitudinal Study of Aging (BLSA).\nSETTING: National Institute on Aging, Clinical Research Unit, Baltimore, Maryland.\nPARTICIPANTS: Men and women aged 60 to 89 participating in the BLSA with concurrent perceived fatigability and functional assessments and follow-up functional assessment within 1 to 3 years (N = 540).\nMEASUREMENTS: Perceived fatigability was ascertained using the Borg rating of perceived exertion (RPE) after 5 minutes of treadmill walking at 1.5 miles per hour. Functional assessments included usual and fast gait speed, the Health, Aging and Body Composition physical performance battery (HABC PPB) and reported walking ability. Reported tiredness and energy level were examined as complementary predictors. Covariates included age, age squared, race, follow-up time, and baseline function. Meaningful decline was defined as 0.05 m/s per year for usual gait speed, 0.07 m/s per year for fast gait speed, 0.12 points/year for HABC PPB, and 1 point for walking ability index.\nRESULTS: Over a mean 2.1 years, 20-31% of participants declined across functional assessments. Fatigability was associated with a 13-19% greater likelihood of meaningful decline in all measures (P = .002- .02) per 1-unit RPE increase. After considering tiredness and energy level separately, findings were essentially unchanged, and neither was associated with gait speed or physical performance decline. In contrast, each separately predicted decline in reported walking ability independent of fatigability (P = .03 and P &lt; .001, respectively).\nCONCLUSION: Routine assessment of fatigability may help identify older persons vulnerable to greater-than-expected functional decline.","DOI":"10.1111/jgs.14138","ISSN":"1532-5415","note":"PMID: 27253228\nPMCID: PMC4914474","shortTitle":"Fatigued, but Not Frail","journalAbbreviation":"J Am Geriatr Soc","language":"eng","author":[{"family":"Simonsick","given":"Eleanor M."},{"family":"Glynn","given":"Nancy W."},{"family":"Jerome","given":"Gerald J."},{"family":"Shardell","given":"Michelle"},{"family":"Schrack","given":"Jennifer A."},{"family":"Ferrucci","given":"Luigi"}],"issued":{"date-parts":[["2016",6]]}}}],"schema":"https://github.com/citation-style-language/schema/raw/master/csl-citation.json"} </w:instrText>
      </w:r>
      <w:r w:rsidR="00D82CAB" w:rsidRPr="008438F4">
        <w:rPr>
          <w:rFonts w:ascii="Calibri" w:hAnsi="Calibri" w:cs="Calibri"/>
        </w:rPr>
        <w:fldChar w:fldCharType="separate"/>
      </w:r>
      <w:r w:rsidR="00D82CAB" w:rsidRPr="008438F4">
        <w:rPr>
          <w:rFonts w:ascii="Calibri" w:hAnsi="Calibri" w:cs="Calibri"/>
        </w:rPr>
        <w:t>(Simonsick et al., 2016)</w:t>
      </w:r>
      <w:r w:rsidR="00D82CAB" w:rsidRPr="008438F4">
        <w:rPr>
          <w:rFonts w:ascii="Calibri" w:hAnsi="Calibri" w:cs="Calibri"/>
        </w:rPr>
        <w:fldChar w:fldCharType="end"/>
      </w:r>
      <w:r w:rsidR="00D82CAB" w:rsidRPr="008438F4">
        <w:rPr>
          <w:rFonts w:ascii="Calibri" w:hAnsi="Calibri" w:cs="Calibri"/>
        </w:rPr>
        <w:t xml:space="preserve">. </w:t>
      </w:r>
      <w:r w:rsidRPr="008438F4">
        <w:rPr>
          <w:rFonts w:ascii="Calibri" w:hAnsi="Calibri" w:cs="Calibri"/>
        </w:rPr>
        <w:t xml:space="preserve">These findings highlight </w:t>
      </w:r>
      <w:r w:rsidR="00D82CAB" w:rsidRPr="008438F4">
        <w:rPr>
          <w:rFonts w:ascii="Calibri" w:hAnsi="Calibri" w:cs="Calibri"/>
        </w:rPr>
        <w:t>that</w:t>
      </w:r>
      <w:r w:rsidRPr="008438F4">
        <w:rPr>
          <w:rFonts w:ascii="Calibri" w:hAnsi="Calibri" w:cs="Calibri"/>
        </w:rPr>
        <w:t xml:space="preserve"> fatigability measures may have stronger implications for clinical outcomes than fatigue measures alone.</w:t>
      </w:r>
    </w:p>
    <w:p w14:paraId="1C809BE1" w14:textId="77777777" w:rsidR="0099247D" w:rsidRPr="008438F4" w:rsidRDefault="0099247D" w:rsidP="00BD74FA">
      <w:pPr>
        <w:pStyle w:val="Heading3"/>
        <w:rPr>
          <w:rFonts w:ascii="Calibri" w:hAnsi="Calibri" w:cs="Calibri"/>
        </w:rPr>
      </w:pPr>
      <w:bookmarkStart w:id="17" w:name="_Toc499840781"/>
      <w:r w:rsidRPr="008438F4">
        <w:rPr>
          <w:rFonts w:ascii="Calibri" w:hAnsi="Calibri" w:cs="Calibri"/>
        </w:rPr>
        <w:t>Justification</w:t>
      </w:r>
      <w:bookmarkEnd w:id="17"/>
    </w:p>
    <w:p w14:paraId="0CE8D651"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Fatigability measures may better capture fitness and health status than other measures of fatigue. Fatigability measures have been studied in the context of mobility and fitness, and the findings from these studies support the continued use of fatigability measures over traditional fatigue measures. Among older adults in the Baltimore Longitudinal Study of Aging (BLSA), fatigability was associated with almost a 20% greater likelihood of meaningful decline in usual and faster gait speed, physical performance, and reported walking ability </w:t>
      </w:r>
      <w:r w:rsidRPr="008438F4">
        <w:rPr>
          <w:rFonts w:cs="Calibri"/>
          <w:sz w:val="24"/>
          <w:szCs w:val="24"/>
        </w:rPr>
        <w:fldChar w:fldCharType="begin"/>
      </w:r>
      <w:r w:rsidR="00AC5D2C" w:rsidRPr="008438F4">
        <w:rPr>
          <w:rFonts w:cs="Calibri"/>
          <w:sz w:val="24"/>
          <w:szCs w:val="24"/>
        </w:rPr>
        <w:instrText xml:space="preserve"> ADDIN ZOTERO_ITEM CSL_CITATION {"citationID":"j7sc5cl7u","properties":{"formattedCitation":"(Simonsick et al., 2016)","plainCitation":"(Simonsick et al., 2016)"},"citationItems":[{"id":1126,"uris":["http://zotero.org/users/local/vDYxJ8mW/items/RFRI6XJB"],"uri":["http://zotero.org/users/local/vDYxJ8mW/items/RFRI6XJB"],"itemData":{"id":1126,"type":"article-journal","title":"Fatigued, but Not Frail: Perceived Fatigability as a Marker of Impending Decline in Mobility-Intact Older Adults","container-title":"Journal of the American Geriatrics Society","page":"1287-1292","volume":"64","issue":"6","source":"PubMed","abstract":"OBJECTIVES: To evaluate perceived fatigability as a predictor of meaningful functional decline in non-mobility-limited older adults.\nDESIGN: Longitudinal analysis of data from the Baltimore Longitudinal Study of Aging (BLSA).\nSETTING: National Institute on Aging, Clinical Research Unit, Baltimore, Maryland.\nPARTICIPANTS: Men and women aged 60 to 89 participating in the BLSA with concurrent perceived fatigability and functional assessments and follow-up functional assessment within 1 to 3 years (N = 540).\nMEASUREMENTS: Perceived fatigability was ascertained using the Borg rating of perceived exertion (RPE) after 5 minutes of treadmill walking at 1.5 miles per hour. Functional assessments included usual and fast gait speed, the Health, Aging and Body Composition physical performance battery (HABC PPB) and reported walking ability. Reported tiredness and energy level were examined as complementary predictors. Covariates included age, age squared, race, follow-up time, and baseline function. Meaningful decline was defined as 0.05 m/s per year for usual gait speed, 0.07 m/s per year for fast gait speed, 0.12 points/year for HABC PPB, and 1 point for walking ability index.\nRESULTS: Over a mean 2.1 years, 20-31% of participants declined across functional assessments. Fatigability was associated with a 13-19% greater likelihood of meaningful decline in all measures (P = .002- .02) per 1-unit RPE increase. After considering tiredness and energy level separately, findings were essentially unchanged, and neither was associated with gait speed or physical performance decline. In contrast, each separately predicted decline in reported walking ability independent of fatigability (P = .03 and P &lt; .001, respectively).\nCONCLUSION: Routine assessment of fatigability may help identify older persons vulnerable to greater-than-expected functional decline.","DOI":"10.1111/jgs.14138","ISSN":"1532-5415","note":"PMID: 27253228\nPMCID: PMC4914474","shortTitle":"Fatigued, but Not Frail","journalAbbreviation":"J Am Geriatr Soc","language":"eng","author":[{"family":"Simonsick","given":"Eleanor M."},{"family":"Glynn","given":"Nancy W."},{"family":"Jerome","given":"Gerald J."},{"family":"Shardell","given":"Michelle"},{"family":"Schrack","given":"Jennifer A."},{"family":"Ferrucci","given":"Luigi"}],"issued":{"date-parts":[["2016",6]]}}}],"schema":"https://github.com/citation-style-language/schema/raw/master/csl-citation.json"} </w:instrText>
      </w:r>
      <w:r w:rsidRPr="008438F4">
        <w:rPr>
          <w:rFonts w:cs="Calibri"/>
          <w:sz w:val="24"/>
          <w:szCs w:val="24"/>
        </w:rPr>
        <w:fldChar w:fldCharType="separate"/>
      </w:r>
      <w:r w:rsidR="00AC5D2C" w:rsidRPr="008438F4">
        <w:rPr>
          <w:rFonts w:cs="Calibri"/>
          <w:sz w:val="24"/>
        </w:rPr>
        <w:t>(Simonsick et al., 2016)</w:t>
      </w:r>
      <w:r w:rsidRPr="008438F4">
        <w:rPr>
          <w:rFonts w:cs="Calibri"/>
          <w:sz w:val="24"/>
          <w:szCs w:val="24"/>
        </w:rPr>
        <w:fldChar w:fldCharType="end"/>
      </w:r>
      <w:r w:rsidRPr="008438F4">
        <w:rPr>
          <w:rFonts w:cs="Calibri"/>
          <w:sz w:val="24"/>
          <w:szCs w:val="24"/>
        </w:rPr>
        <w:t xml:space="preserve">. Additionally, slow walking was associated with greater fatigability in older adults </w:t>
      </w:r>
      <w:r w:rsidRPr="008438F4">
        <w:rPr>
          <w:rFonts w:cs="Calibri"/>
          <w:sz w:val="24"/>
          <w:szCs w:val="24"/>
        </w:rPr>
        <w:fldChar w:fldCharType="begin"/>
      </w:r>
      <w:r w:rsidR="00AC5D2C" w:rsidRPr="008438F4">
        <w:rPr>
          <w:rFonts w:cs="Calibri"/>
          <w:sz w:val="24"/>
          <w:szCs w:val="24"/>
        </w:rPr>
        <w:instrText xml:space="preserve"> ADDIN ZOTERO_ITEM CSL_CITATION {"citationID":"gs20bsf62","properties":{"formattedCitation":"(Richardson, Glynn, Ferrucci, &amp; Mackey, 2015)","plainCitation":"(Richardson, Glynn, Ferrucci, &amp; Mackey, 2015)"},"citationItems":[{"id":55,"uris":["http://zotero.org/users/local/vDYxJ8mW/items/EMI2N8ZG"],"uri":["http://zotero.org/users/local/vDYxJ8mW/items/EMI2N8ZG"],"itemData":{"id":55,"type":"article-journal","title":"Walking energetics, fatigability, and fatigue in older adults: the study of energy and aging pilot","container-title":"The Journals of Gerontology. Series A, Biological Sciences and Medical Sciences","page":"487-494","volume":"70","issue":"4","source":"PubMed","abstract":"BACKGROUND: Slow gait speed increases morbidity and mortality in older adults. We examined how preferred gait speed is associated with energetic requirements of walking, fatigability, and fatigue.\nMETHODS: Older adults (n = 36, 70-89 years) were categorized as slow or fast walkers based on median 400-m gait speed. We measured VO2peak by graded treadmill exercise test and VO2 during 5-minute treadmill walking tests at standard (0.72 m/s) and preferred gait speeds. Fatigability was assessed with the Situational Fatigue Scale and the Borg rating of perceived exertion at the end of walking tests. Fatigue was assessed by questionnaire.\nRESULTS: Preferred gait speed over 400 m (range: 0.75-1.58 m/s) averaged 1.34 m/s for fast walkers versus 1.05 m/s for slow walkers (p &lt; .001). VO2peak was 26% lower (18.5 vs 25.1ml/kg/min, p = .001) in slow walkers than fast walkers. To walk at 0.72 m/s, slow walkers used a larger percentage of VO2peak (59% vs 42%, p &lt; .001). To walk at preferred gait speed, slow walkers used more energy per unit distance (0.211 vs 0.186ml/kg/m, p = .047). Slow walkers reported higher rating of perceived exertion during walking and greater overall fatigability on the Situational Fatigue Scale, but no differences in fatigue.\nCONCLUSIONS: Slow walking was associated with reduced aerobic capacity, greater energetic cost of walking, and greater fatigability. Interventions to improve aerobic capacity or decrease energetic cost of walking may prevent slowing of gait speed and promote mobility in older adults.","DOI":"10.1093/gerona/glu146","ISSN":"1758-535X","note":"PMID: 25190069\nPMCID: PMC4447797","shortTitle":"Walking energetics, fatigability, and fatigue in older adults","journalAbbreviation":"J. Gerontol. A Biol. Sci. Med. Sci.","language":"eng","author":[{"family":"Richardson","given":"Catherine A."},{"family":"Glynn","given":"Nancy W."},{"family":"Ferrucci","given":"Luigi G."},{"family":"Mackey","given":"Dawn C."}],"issued":{"date-parts":[["2015",4]]}}}],"schema":"https://github.com/citation-style-language/schema/raw/master/csl-citation.json"} </w:instrText>
      </w:r>
      <w:r w:rsidRPr="008438F4">
        <w:rPr>
          <w:rFonts w:cs="Calibri"/>
          <w:sz w:val="24"/>
          <w:szCs w:val="24"/>
        </w:rPr>
        <w:fldChar w:fldCharType="separate"/>
      </w:r>
      <w:r w:rsidR="00AC5D2C" w:rsidRPr="008438F4">
        <w:rPr>
          <w:rFonts w:cs="Calibri"/>
          <w:sz w:val="24"/>
        </w:rPr>
        <w:t>(Richardson, Glynn, Ferrucci, &amp; Mackey, 2015)</w:t>
      </w:r>
      <w:r w:rsidRPr="008438F4">
        <w:rPr>
          <w:rFonts w:cs="Calibri"/>
          <w:sz w:val="24"/>
          <w:szCs w:val="24"/>
        </w:rPr>
        <w:fldChar w:fldCharType="end"/>
      </w:r>
      <w:r w:rsidRPr="008438F4">
        <w:rPr>
          <w:rFonts w:cs="Calibri"/>
          <w:sz w:val="24"/>
          <w:szCs w:val="24"/>
        </w:rPr>
        <w:t xml:space="preserve">. Fatigability was significantly associated with a number of measures that assess individual mobility and fitness. In all cases, fatigability was associated with poorer performance measures. </w:t>
      </w:r>
    </w:p>
    <w:p w14:paraId="5B729127" w14:textId="2543FA8E" w:rsidR="0099247D" w:rsidRPr="008438F4" w:rsidRDefault="0099247D" w:rsidP="00BD74FA">
      <w:pPr>
        <w:pStyle w:val="NoSpacing"/>
        <w:spacing w:line="360" w:lineRule="auto"/>
        <w:ind w:firstLine="720"/>
        <w:jc w:val="both"/>
        <w:rPr>
          <w:rFonts w:cs="Calibri"/>
          <w:sz w:val="24"/>
          <w:szCs w:val="24"/>
        </w:rPr>
      </w:pPr>
      <w:r w:rsidRPr="008438F4">
        <w:rPr>
          <w:rFonts w:cs="Calibri"/>
          <w:sz w:val="24"/>
          <w:szCs w:val="24"/>
        </w:rPr>
        <w:t xml:space="preserve">Generally, measures of perceived global fatigue only measure general feelings of fatigue, which may not </w:t>
      </w:r>
      <w:r w:rsidR="009B55ED">
        <w:rPr>
          <w:rFonts w:cs="Calibri"/>
          <w:sz w:val="24"/>
          <w:szCs w:val="24"/>
        </w:rPr>
        <w:t>completely</w:t>
      </w:r>
      <w:r w:rsidR="009B55ED" w:rsidRPr="008438F4">
        <w:rPr>
          <w:rFonts w:cs="Calibri"/>
          <w:sz w:val="24"/>
          <w:szCs w:val="24"/>
        </w:rPr>
        <w:t xml:space="preserve"> </w:t>
      </w:r>
      <w:r w:rsidRPr="008438F4">
        <w:rPr>
          <w:rFonts w:cs="Calibri"/>
          <w:sz w:val="24"/>
          <w:szCs w:val="24"/>
        </w:rPr>
        <w:t xml:space="preserve">reflect an individual’s perception of the level of fatigue they may feel while completing different activities. For example, an individual’s perceived global fatigue may be low (no fatigue), but if asked to complete an activity at a specific intensity and duration, his or her perception of their fatigue may change based on the activity described. Objective measures of fatigability offer insight into how an individual’s feelings of fatigue limit them in everyday life. The PFS has previously been validated against objective measures of fatigability, and thus, the PFS can accomplish this task. Also, the level of fatigue that a person perceives </w:t>
      </w:r>
      <w:r w:rsidR="009B55ED">
        <w:rPr>
          <w:rFonts w:cs="Calibri"/>
          <w:sz w:val="24"/>
          <w:szCs w:val="24"/>
        </w:rPr>
        <w:t>she or he</w:t>
      </w:r>
      <w:r w:rsidR="009B55ED" w:rsidRPr="008438F4">
        <w:rPr>
          <w:rFonts w:cs="Calibri"/>
          <w:sz w:val="24"/>
          <w:szCs w:val="24"/>
        </w:rPr>
        <w:t xml:space="preserve"> </w:t>
      </w:r>
      <w:r w:rsidRPr="008438F4">
        <w:rPr>
          <w:rFonts w:cs="Calibri"/>
          <w:sz w:val="24"/>
          <w:szCs w:val="24"/>
        </w:rPr>
        <w:t xml:space="preserve">would feel accompanied with a workload may be indicative of a different fatigue response compared to questions that relate to a person’s overall state of tiredness, which may be interpreted as a measure of sleep. A self-reported rating of fatigability allows determination of a score of susceptibility to feelings of fatigue that are linked back to feelings or behaviors toward completion of a specific task. Hence, fatigability measures can allow researchers to understand fatigue as it relates to specific activities that are engaging both physically and mentally for </w:t>
      </w:r>
      <w:r w:rsidR="009B55ED">
        <w:rPr>
          <w:rFonts w:cs="Calibri"/>
          <w:sz w:val="24"/>
          <w:szCs w:val="24"/>
        </w:rPr>
        <w:t xml:space="preserve">a </w:t>
      </w:r>
      <w:r w:rsidRPr="008438F4">
        <w:rPr>
          <w:rFonts w:cs="Calibri"/>
          <w:sz w:val="24"/>
          <w:szCs w:val="24"/>
        </w:rPr>
        <w:t xml:space="preserve">defined age group. Thus, </w:t>
      </w:r>
      <w:r w:rsidRPr="008438F4">
        <w:rPr>
          <w:rFonts w:cs="Calibri"/>
          <w:sz w:val="24"/>
          <w:szCs w:val="24"/>
          <w:u w:val="single"/>
        </w:rPr>
        <w:t xml:space="preserve">we contend that fatigability measures should be used to investigate the underlying mechanisms </w:t>
      </w:r>
      <w:r w:rsidR="009B55ED">
        <w:rPr>
          <w:rFonts w:cs="Calibri"/>
          <w:sz w:val="24"/>
          <w:szCs w:val="24"/>
          <w:u w:val="single"/>
        </w:rPr>
        <w:t>of</w:t>
      </w:r>
      <w:r w:rsidR="009B55ED" w:rsidRPr="008438F4">
        <w:rPr>
          <w:rFonts w:cs="Calibri"/>
          <w:sz w:val="24"/>
          <w:szCs w:val="24"/>
          <w:u w:val="single"/>
        </w:rPr>
        <w:t xml:space="preserve"> </w:t>
      </w:r>
      <w:r w:rsidRPr="008438F4">
        <w:rPr>
          <w:rFonts w:cs="Calibri"/>
          <w:sz w:val="24"/>
          <w:szCs w:val="24"/>
          <w:u w:val="single"/>
        </w:rPr>
        <w:t>perception of fatigue, due to the strong implications for mobility and fitness outcomes in older adults.</w:t>
      </w:r>
      <w:r w:rsidRPr="008438F4">
        <w:rPr>
          <w:rFonts w:cs="Calibri"/>
          <w:sz w:val="24"/>
          <w:szCs w:val="24"/>
        </w:rPr>
        <w:t xml:space="preserve"> </w:t>
      </w:r>
    </w:p>
    <w:p w14:paraId="55377A0E" w14:textId="77777777" w:rsidR="0099247D" w:rsidRPr="008438F4" w:rsidRDefault="0099247D" w:rsidP="00BD74FA">
      <w:pPr>
        <w:pStyle w:val="Heading2"/>
        <w:rPr>
          <w:rFonts w:ascii="Calibri" w:hAnsi="Calibri" w:cs="Calibri"/>
        </w:rPr>
      </w:pPr>
      <w:bookmarkStart w:id="18" w:name="_Toc499840782"/>
      <w:r w:rsidRPr="008438F4">
        <w:rPr>
          <w:rFonts w:ascii="Calibri" w:hAnsi="Calibri" w:cs="Calibri"/>
        </w:rPr>
        <w:t>PATHOPHYSIOLOGY OF FATIGABILITY</w:t>
      </w:r>
      <w:bookmarkEnd w:id="18"/>
    </w:p>
    <w:p w14:paraId="4C5252B6"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In many older adults, feelings of fatigue are not accompanied by other chronic conditions. There are no specific biological markers of fatigue that explain the common complaint reported by older adults. However, there is growing evidence to support that the origins of perceived fatigability are tied to the central nervous system, specifically the brain. The following sections outline and describe the main theories for the pathophysiology of perceived physical and mental fatigability.</w:t>
      </w:r>
    </w:p>
    <w:p w14:paraId="0D3BF1FA" w14:textId="77777777" w:rsidR="0099247D" w:rsidRPr="008438F4" w:rsidRDefault="0099247D" w:rsidP="00BD74FA">
      <w:pPr>
        <w:pStyle w:val="Heading3"/>
        <w:rPr>
          <w:rFonts w:ascii="Calibri" w:hAnsi="Calibri" w:cs="Calibri"/>
        </w:rPr>
      </w:pPr>
      <w:bookmarkStart w:id="19" w:name="_Toc499840783"/>
      <w:r w:rsidRPr="008438F4">
        <w:rPr>
          <w:rFonts w:ascii="Calibri" w:hAnsi="Calibri" w:cs="Calibri"/>
        </w:rPr>
        <w:t>Motivation Theory</w:t>
      </w:r>
      <w:bookmarkEnd w:id="19"/>
      <w:r w:rsidRPr="008438F4">
        <w:rPr>
          <w:rFonts w:ascii="Calibri" w:hAnsi="Calibri" w:cs="Calibri"/>
        </w:rPr>
        <w:t xml:space="preserve"> </w:t>
      </w:r>
    </w:p>
    <w:p w14:paraId="4FBEBFD6" w14:textId="02C41CF4" w:rsidR="0099247D" w:rsidRPr="008438F4" w:rsidRDefault="0099247D" w:rsidP="0099247D">
      <w:pPr>
        <w:pStyle w:val="NoSpacing"/>
        <w:spacing w:line="360" w:lineRule="auto"/>
        <w:jc w:val="both"/>
        <w:rPr>
          <w:rFonts w:cs="Calibri"/>
          <w:sz w:val="24"/>
          <w:szCs w:val="24"/>
        </w:rPr>
      </w:pPr>
      <w:r w:rsidRPr="008438F4">
        <w:rPr>
          <w:rFonts w:cs="Calibri"/>
          <w:sz w:val="24"/>
          <w:szCs w:val="24"/>
        </w:rPr>
        <w:t>There is growing evidence to support the central nervous system play</w:t>
      </w:r>
      <w:r w:rsidR="009B55ED">
        <w:rPr>
          <w:rFonts w:cs="Calibri"/>
          <w:sz w:val="24"/>
          <w:szCs w:val="24"/>
        </w:rPr>
        <w:t>ing</w:t>
      </w:r>
      <w:r w:rsidRPr="008438F4">
        <w:rPr>
          <w:rFonts w:cs="Calibri"/>
          <w:sz w:val="24"/>
          <w:szCs w:val="24"/>
        </w:rPr>
        <w:t xml:space="preserve"> a vital role in perception of fatigue, where the brain guides decision-making and effort while completing specific tasks (Roerink, van der Schaaf, Dinarell</w:t>
      </w:r>
      <w:r w:rsidR="00A2704C">
        <w:rPr>
          <w:rFonts w:cs="Calibri"/>
          <w:sz w:val="24"/>
          <w:szCs w:val="24"/>
        </w:rPr>
        <w:t xml:space="preserve">o, Knoop, &amp; van der Meer, 2017). </w:t>
      </w:r>
      <w:r w:rsidRPr="008438F4">
        <w:rPr>
          <w:rFonts w:cs="Calibri"/>
          <w:sz w:val="24"/>
          <w:szCs w:val="24"/>
        </w:rPr>
        <w:t xml:space="preserve">Perception of fatigue related to completion of certain tasks may be influenced by how motivated an individual is as they complete a specific task.  Alternatively, motivational behavior related to the completion of specific tasks may be related to how an individual adapts to fatiguing tasks, which may influence their perception of their own fatigue (“A motivational control theory of cognitive fatigue”). </w:t>
      </w:r>
    </w:p>
    <w:p w14:paraId="63D26189" w14:textId="77777777" w:rsidR="0099247D" w:rsidRPr="008438F4" w:rsidRDefault="0099247D" w:rsidP="0099247D">
      <w:pPr>
        <w:pStyle w:val="NoSpacing"/>
        <w:spacing w:line="360" w:lineRule="auto"/>
        <w:jc w:val="both"/>
        <w:rPr>
          <w:rFonts w:cs="Calibri"/>
          <w:sz w:val="24"/>
          <w:szCs w:val="24"/>
        </w:rPr>
      </w:pPr>
    </w:p>
    <w:p w14:paraId="18F4BB16" w14:textId="77777777" w:rsidR="0099247D" w:rsidRPr="008438F4" w:rsidRDefault="0099247D" w:rsidP="00BD74FA">
      <w:pPr>
        <w:pStyle w:val="Heading3"/>
        <w:rPr>
          <w:rFonts w:ascii="Calibri" w:hAnsi="Calibri" w:cs="Calibri"/>
        </w:rPr>
      </w:pPr>
      <w:bookmarkStart w:id="20" w:name="_Toc499840784"/>
      <w:r w:rsidRPr="008438F4">
        <w:rPr>
          <w:rFonts w:ascii="Calibri" w:hAnsi="Calibri" w:cs="Calibri"/>
        </w:rPr>
        <w:t>Energy Theory</w:t>
      </w:r>
      <w:bookmarkEnd w:id="20"/>
      <w:r w:rsidRPr="008438F4">
        <w:rPr>
          <w:rFonts w:ascii="Calibri" w:hAnsi="Calibri" w:cs="Calibri"/>
        </w:rPr>
        <w:t xml:space="preserve"> </w:t>
      </w:r>
    </w:p>
    <w:p w14:paraId="7FB9E732" w14:textId="674BF8F9" w:rsidR="0099247D" w:rsidRPr="008438F4" w:rsidRDefault="0099247D" w:rsidP="0099247D">
      <w:pPr>
        <w:pStyle w:val="NoSpacing"/>
        <w:spacing w:line="360" w:lineRule="auto"/>
        <w:jc w:val="both"/>
        <w:rPr>
          <w:rFonts w:cs="Calibri"/>
          <w:b/>
          <w:sz w:val="24"/>
          <w:szCs w:val="24"/>
        </w:rPr>
      </w:pPr>
      <w:r w:rsidRPr="008438F4">
        <w:rPr>
          <w:rFonts w:cs="Calibri"/>
          <w:sz w:val="24"/>
          <w:szCs w:val="24"/>
        </w:rPr>
        <w:t xml:space="preserve">Feelings of fatigue are theorized to be attributed to a shift in the production and utilization of Adenosine triphosphate (ATP). The relationship between utilization of energy and fatigue outcomes may be related to both brain function and muscle fatigability. First, </w:t>
      </w:r>
      <w:r w:rsidR="009B55ED">
        <w:rPr>
          <w:rFonts w:cs="Calibri"/>
          <w:sz w:val="24"/>
          <w:szCs w:val="24"/>
        </w:rPr>
        <w:t>changes</w:t>
      </w:r>
      <w:r w:rsidR="009B55ED" w:rsidRPr="008438F4">
        <w:rPr>
          <w:rFonts w:cs="Calibri"/>
          <w:sz w:val="24"/>
          <w:szCs w:val="24"/>
        </w:rPr>
        <w:t xml:space="preserve"> </w:t>
      </w:r>
      <w:r w:rsidRPr="008438F4">
        <w:rPr>
          <w:rFonts w:cs="Calibri"/>
          <w:sz w:val="24"/>
          <w:szCs w:val="24"/>
        </w:rPr>
        <w:t xml:space="preserve">in cognitive neuro-circuitry </w:t>
      </w:r>
      <w:r w:rsidR="009B55ED">
        <w:rPr>
          <w:rFonts w:cs="Calibri"/>
          <w:sz w:val="24"/>
          <w:szCs w:val="24"/>
        </w:rPr>
        <w:t>related to</w:t>
      </w:r>
      <w:r w:rsidR="009B55ED" w:rsidRPr="008438F4">
        <w:rPr>
          <w:rFonts w:cs="Calibri"/>
          <w:sz w:val="24"/>
          <w:szCs w:val="24"/>
        </w:rPr>
        <w:t xml:space="preserve"> </w:t>
      </w:r>
      <w:r w:rsidRPr="008438F4">
        <w:rPr>
          <w:rFonts w:cs="Calibri"/>
          <w:sz w:val="24"/>
          <w:szCs w:val="24"/>
        </w:rPr>
        <w:t xml:space="preserve">brain atrophy may contribute to age related sensory deficits </w:t>
      </w:r>
      <w:r w:rsidRPr="008438F4">
        <w:rPr>
          <w:rFonts w:cs="Calibri"/>
          <w:sz w:val="24"/>
          <w:szCs w:val="24"/>
        </w:rPr>
        <w:fldChar w:fldCharType="begin"/>
      </w:r>
      <w:r w:rsidRPr="008438F4">
        <w:rPr>
          <w:rFonts w:cs="Calibri"/>
          <w:sz w:val="24"/>
          <w:szCs w:val="24"/>
        </w:rPr>
        <w:instrText xml:space="preserve"> ADDIN ZOTERO_ITEM CSL_CITATION {"citationID":"1rvu1k7njl","properties":{"formattedCitation":"(Eldadah, 2010)","plainCitation":"(Eldadah, 2010)"},"citationItems":[{"id":299,"uris":["http://zotero.org/users/local/vDYxJ8mW/items/EW7EG9KR"],"uri":["http://zotero.org/users/local/vDYxJ8mW/items/EW7EG9KR"],"itemData":{"id":299,"type":"article-journal","title":"Fatigue and Fatigability in Older Adults","container-title":"PM&amp;R","page":"406-413","volume":"2","issue":"5","source":"ScienceDirect","abstract":"Fatigue is believed to be a common complaint among older adults; however, multiple studies of self-reported fatigue across the lifespan have found this may not be the case. To explain this paradox, this article considers “fatigability”–a phenotype characterized by the relationship between an individual's perceived fatigue and the activity level with which the fatigue is associated. Fatigability may be measured by combining self-report measures of fatigue with performance of physical or cognitive activities, provided that the work of the activity is known or can be standardized. Doing so prevents self-pacing and allows meaningful comparisons across subjects and between studies. Increased fatigability with aging may arise from a variety of factors including age-related changes in energy production or utilization, and inflammatory mechanisms. A few published intervention studies have targeted fatigue in older adults, though none have examined fatigability specifically. Because fatigue may represent a physiologic warning system, future clinical studies may benefit from a focus on fatigability, where both symptoms and function are considered.","DOI":"10.1016/j.pmrj.2010.03.022","ISSN":"1934-1482","journalAbbreviation":"PM&amp;R","author":[{"family":"Eldadah","given":"Basil A."}],"issued":{"date-parts":[["2010",5]]}}}],"schema":"https://github.com/citation-style-language/schema/raw/master/csl-citation.json"} </w:instrText>
      </w:r>
      <w:r w:rsidRPr="008438F4">
        <w:rPr>
          <w:rFonts w:cs="Calibri"/>
          <w:sz w:val="24"/>
          <w:szCs w:val="24"/>
        </w:rPr>
        <w:fldChar w:fldCharType="separate"/>
      </w:r>
      <w:r w:rsidR="00AD2869" w:rsidRPr="008438F4">
        <w:rPr>
          <w:rFonts w:cs="Calibri"/>
          <w:sz w:val="24"/>
        </w:rPr>
        <w:t>(Eldadah, 2010)</w:t>
      </w:r>
      <w:r w:rsidRPr="008438F4">
        <w:rPr>
          <w:rFonts w:cs="Calibri"/>
          <w:sz w:val="24"/>
          <w:szCs w:val="24"/>
        </w:rPr>
        <w:fldChar w:fldCharType="end"/>
      </w:r>
      <w:r w:rsidRPr="008438F4">
        <w:rPr>
          <w:rFonts w:cs="Calibri"/>
          <w:sz w:val="24"/>
          <w:szCs w:val="24"/>
        </w:rPr>
        <w:t xml:space="preserve">. Thus, metabolic costs and </w:t>
      </w:r>
      <w:r w:rsidR="00436BBC">
        <w:rPr>
          <w:rFonts w:cs="Calibri"/>
          <w:sz w:val="24"/>
          <w:szCs w:val="24"/>
        </w:rPr>
        <w:t>reduced</w:t>
      </w:r>
      <w:r w:rsidR="00436BBC" w:rsidRPr="008438F4">
        <w:rPr>
          <w:rFonts w:cs="Calibri"/>
          <w:sz w:val="24"/>
          <w:szCs w:val="24"/>
        </w:rPr>
        <w:t xml:space="preserve"> </w:t>
      </w:r>
      <w:r w:rsidRPr="008438F4">
        <w:rPr>
          <w:rFonts w:cs="Calibri"/>
          <w:sz w:val="24"/>
          <w:szCs w:val="24"/>
        </w:rPr>
        <w:t xml:space="preserve">executive function and cognitive control have implications for greater brain functional activity to compensate for brain changes. Increased cognitive demand on certain brain regions may have implications for perceived fatigability. Alternatively, capacity for oxidative phosphorylation in quadriceps among older adults was associated with higher fatigability, which suggests that a shift in skeletal muscle mitochondrial energy production may </w:t>
      </w:r>
      <w:r w:rsidR="00436BBC">
        <w:rPr>
          <w:rFonts w:cs="Calibri"/>
          <w:sz w:val="24"/>
          <w:szCs w:val="24"/>
        </w:rPr>
        <w:t xml:space="preserve">also </w:t>
      </w:r>
      <w:r w:rsidRPr="008438F4">
        <w:rPr>
          <w:rFonts w:cs="Calibri"/>
          <w:sz w:val="24"/>
          <w:szCs w:val="24"/>
        </w:rPr>
        <w:t xml:space="preserve">play a role in fatigability in older adults </w:t>
      </w:r>
      <w:r w:rsidRPr="008438F4">
        <w:rPr>
          <w:rFonts w:cs="Calibri"/>
          <w:sz w:val="24"/>
          <w:szCs w:val="24"/>
        </w:rPr>
        <w:fldChar w:fldCharType="begin"/>
      </w:r>
      <w:r w:rsidRPr="008438F4">
        <w:rPr>
          <w:rFonts w:cs="Calibri"/>
          <w:sz w:val="24"/>
          <w:szCs w:val="24"/>
        </w:rPr>
        <w:instrText xml:space="preserve"> ADDIN ZOTERO_ITEM CSL_CITATION {"citationID":"1bjepodbnr","properties":{"formattedCitation":"(Santanasto et al., 2015)","plainCitation":"(Santanasto et al., 2015)"},"citationItems":[{"id":1086,"uris":["http://zotero.org/users/local/vDYxJ8mW/items/XP4DPT9E"],"uri":["http://zotero.org/users/local/vDYxJ8mW/items/XP4DPT9E"],"itemData":{"id":1086,"type":"article-journal","title":"Skeletal Muscle Mitochondrial Function and Fatigability in Older Adults","container-title":"The Journals of Gerontology. Series A, Biological Sciences and Medical Sciences","page":"1379-1385","volume":"70","issue":"11","source":"PubMed","abstract":"BACKGROUND: Fatigability increases while the capacity for mitochondrial energy production tends to decrease significantly with age. Thus, diminished mitochondrial function may contribute to higher levels of fatigability in older adults.\nMETHODS: The relationship between fatigability and skeletal muscle mitochondrial function was examined in 30 participants aged 78.5 ± 5.0 years (47% female, 93% white), with a body mass index of 25.9 ± 2.7 kg/m(2) and usual gait-speed of 1.2 ± 0.2 m/s. Fatigability was defined using rating of perceived exertion (6-20 point Borg scale) after a 5-minute treadmill walk at 0.72 m/s. Phosphocreatine recovery in the quadriceps was measured using (31)P magnetic resonance spectroscopy and images of the quadriceps were captured to calculate quadriceps volume. ATPmax (mM ATP/s) and oxidative capacity of the quadriceps (ATPmax·Quadriceps volume) were calculated. Peak aerobic capacity (VO2peak) was measured using a modified Balke protocol.\nRESULTS: ATPmax·Quadriceps volume was associated with VO2peak and was 162.61mM ATP·mL/s lower (p = .03) in those with high (rating of perceived exertion ≥10) versus low (rating of perceived exertion ≤9) fatigability. Participants with high fatigability required a significantly higher proportion of VO2peak to walk at 0.72 m/s compared with those with low fatigability (58.7 ± 19.4% vs 44.9 ± 13.2%, p &lt; .05). After adjustment for age and sex, higher ATPmax was associated with lower odds of having high fatigability (odds ratio: 0.34, 95% CI: 0.11-1.01, p = .05).\nCONCLUSIONS: Lower capacity for oxidative phosphorylation in the quadriceps, perhaps by contributing to lower VO2peak, is associated with higher fatigability in older adults.","DOI":"10.1093/gerona/glu134","ISSN":"1758-535X","note":"PMID: 25167867\nPMCID: PMC4612379","journalAbbreviation":"J. Gerontol. A Biol. Sci. Med. Sci.","language":"eng","author":[{"family":"Santanasto","given":"Adam J."},{"family":"Glynn","given":"Nancy W."},{"family":"Jubrias","given":"Sharon A."},{"family":"Conley","given":"Kevin E."},{"family":"Boudreau","given":"Robert M."},{"family":"Amati","given":"Francesca"},{"family":"Mackey","given":"Dawn C."},{"family":"Simonsick","given":"Eleanor M."},{"family":"Strotmeyer","given":"Elsa S."},{"family":"Coen","given":"Paul M."},{"family":"Goodpaster","given":"Bret H."},{"family":"Newman","given":"Anne B."}],"issued":{"date-parts":[["2015",11]]}}}],"schema":"https://github.com/citation-style-language/schema/raw/master/csl-citation.json"} </w:instrText>
      </w:r>
      <w:r w:rsidRPr="008438F4">
        <w:rPr>
          <w:rFonts w:cs="Calibri"/>
          <w:sz w:val="24"/>
          <w:szCs w:val="24"/>
        </w:rPr>
        <w:fldChar w:fldCharType="separate"/>
      </w:r>
      <w:r w:rsidR="00AD2869" w:rsidRPr="008438F4">
        <w:rPr>
          <w:rFonts w:cs="Calibri"/>
          <w:sz w:val="24"/>
        </w:rPr>
        <w:t>(Santanasto et al., 2015)</w:t>
      </w:r>
      <w:r w:rsidRPr="008438F4">
        <w:rPr>
          <w:rFonts w:cs="Calibri"/>
          <w:sz w:val="24"/>
          <w:szCs w:val="24"/>
        </w:rPr>
        <w:fldChar w:fldCharType="end"/>
      </w:r>
      <w:r w:rsidRPr="008438F4">
        <w:rPr>
          <w:rFonts w:cs="Calibri"/>
          <w:sz w:val="24"/>
          <w:szCs w:val="24"/>
        </w:rPr>
        <w:t xml:space="preserve">. </w:t>
      </w:r>
    </w:p>
    <w:p w14:paraId="19E76FD0" w14:textId="77777777" w:rsidR="0099247D" w:rsidRPr="008438F4" w:rsidRDefault="0099247D" w:rsidP="00BD74FA">
      <w:pPr>
        <w:pStyle w:val="Heading3"/>
        <w:rPr>
          <w:rFonts w:ascii="Calibri" w:hAnsi="Calibri" w:cs="Calibri"/>
        </w:rPr>
      </w:pPr>
      <w:bookmarkStart w:id="21" w:name="_Toc499840785"/>
      <w:r w:rsidRPr="008438F4">
        <w:rPr>
          <w:rFonts w:ascii="Calibri" w:hAnsi="Calibri" w:cs="Calibri"/>
        </w:rPr>
        <w:t>Immune Activation Theory</w:t>
      </w:r>
      <w:bookmarkEnd w:id="21"/>
    </w:p>
    <w:p w14:paraId="5EB941C6"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In older adults, high levels of fatigue and fatigability may also be attributed to suppression of a neural drive from the circadian clock </w:t>
      </w:r>
      <w:r w:rsidRPr="008438F4">
        <w:rPr>
          <w:rFonts w:cs="Calibri"/>
          <w:sz w:val="24"/>
          <w:szCs w:val="24"/>
        </w:rPr>
        <w:fldChar w:fldCharType="begin"/>
      </w:r>
      <w:r w:rsidRPr="008438F4">
        <w:rPr>
          <w:rFonts w:cs="Calibri"/>
          <w:sz w:val="24"/>
          <w:szCs w:val="24"/>
        </w:rPr>
        <w:instrText xml:space="preserve"> ADDIN ZOTERO_ITEM CSL_CITATION {"citationID":"15v54meekd","properties":{"formattedCitation":"(Harrington, 2012)","plainCitation":"(Harrington, 2012)"},"citationItems":[{"id":258,"uris":["http://zotero.org/users/local/vDYxJ8mW/items/4XPIK6BE"],"uri":["http://zotero.org/users/local/vDYxJ8mW/items/4XPIK6BE"],"itemData":{"id":258,"type":"article-journal","title":"Neurobiological studies of fatigue","container-title":"Progress in neurobiology","page":"93-105","volume":"99","issue":"2","source":"PubMed Central","abstract":"Fatigue is a symptom associated with many disorders, is especially common in women and in older adults, and can have a huge negative influence on quality of life. Although most past research on fatigue uses human subjects instead of animal models, the use of appropriate animal models has recently begun to advance our understanding of the neurobiology of fatigue. In this review, results from animal models using immunological, developmental, or physical approaches to study fatigue are described and compared. Common across these animal models is that fatigue arises when a stimulus induces activation of microglia and/or increased cytokines and chemokines in the brain. Neurobiological studies implicate structures in the ascending arousal system, sleep executive control areas, and areas important in reward. In addition, the supracshiasmatic nucleus clearly plays an important role in homeostatic regulation of the neural network mediating fatigue. This nucleus responds to cytokines, shows decreased amplitude firing rate output in models of fatigue, and responds to exercise, one of our few treatments for fatigue. This is a young field but very important as the symptom of fatigue is common across many disorders and we do not have effective treatments.","DOI":"10.1016/j.pneurobio.2012.07.004","ISSN":"0301-0082","note":"PMID: 22841649\nPMCID: PMC3479364","journalAbbreviation":"Prog Neurobiol","author":[{"family":"Harrington","given":"Mary E."}],"issued":{"date-parts":[["2012",11]]}}}],"schema":"https://github.com/citation-style-language/schema/raw/master/csl-citation.json"} </w:instrText>
      </w:r>
      <w:r w:rsidRPr="008438F4">
        <w:rPr>
          <w:rFonts w:cs="Calibri"/>
          <w:sz w:val="24"/>
          <w:szCs w:val="24"/>
        </w:rPr>
        <w:fldChar w:fldCharType="separate"/>
      </w:r>
      <w:r w:rsidR="00AD2869" w:rsidRPr="008438F4">
        <w:rPr>
          <w:rFonts w:cs="Calibri"/>
          <w:sz w:val="24"/>
        </w:rPr>
        <w:t>(Harrington, 2012)</w:t>
      </w:r>
      <w:r w:rsidRPr="008438F4">
        <w:rPr>
          <w:rFonts w:cs="Calibri"/>
          <w:sz w:val="24"/>
          <w:szCs w:val="24"/>
        </w:rPr>
        <w:fldChar w:fldCharType="end"/>
      </w:r>
      <w:r w:rsidRPr="008438F4">
        <w:rPr>
          <w:rFonts w:cs="Calibri"/>
          <w:sz w:val="24"/>
          <w:szCs w:val="24"/>
        </w:rPr>
        <w:t xml:space="preserve">. Healthy older adults may spend more time awake during a night’s sleep compared to younger adults. Brain regions that express circadian rhythms in neural activity may have impaired or altered function with a loss of such synchrony. These features may impact metabolism and immune system function.  Such changes in the body may lead to reduced energy levels and impaired concentration which is often accompanied by fatigue and fatigability. However, it is unknown if age-related sleep disruption derives from circadian or homeostatic sleep regulation, and thus if age-related sleep disruption is the cause of fatigability in older adults </w:t>
      </w:r>
      <w:r w:rsidRPr="008438F4">
        <w:rPr>
          <w:rFonts w:cs="Calibri"/>
          <w:sz w:val="24"/>
          <w:szCs w:val="24"/>
        </w:rPr>
        <w:fldChar w:fldCharType="begin"/>
      </w:r>
      <w:r w:rsidRPr="008438F4">
        <w:rPr>
          <w:rFonts w:cs="Calibri"/>
          <w:sz w:val="24"/>
          <w:szCs w:val="24"/>
        </w:rPr>
        <w:instrText xml:space="preserve"> ADDIN ZOTERO_ITEM CSL_CITATION {"citationID":"1qm04bt3ej","properties":{"formattedCitation":"(Schmidt, Peigneux, &amp; Cajochen, 2012)","plainCitation":"(Schmidt, Peigneux, &amp; Cajochen, 2012)"},"citationItems":[{"id":893,"uris":["http://zotero.org/users/local/vDYxJ8mW/items/W9KAFMEM"],"uri":["http://zotero.org/users/local/vDYxJ8mW/items/W9KAFMEM"],"itemData":{"id":893,"type":"article-journal","title":"Age-Related Changes in Sleep and Circadian Rhythms: Impact on Cognitive Performance and Underlying Neuroanatomical Networks","container-title":"Frontiers in Neurology","volume":"3","source":"PubMed Central","abstract":"Circadian and homeostatic sleep-wake regulatory processes interact in a fine tuned manner to modulate human cognitive performance. Dampening of the circadian alertness signal and attenuated deterioration of psychomotor vigilance in response to elevated sleep pressure with aging change this interaction pattern. As evidenced by neuroimaging studies, both homeostatic sleep pressure and circadian sleep-wake promotion impact on cognition-related cortical and arousal-promoting subcortical brain regions including the thalamus, the anterior hypothalamus, and the brainstem locus coeruleus (LC). However, how age-related changes in circadian and homeostatic processes impact on the cerebral activity subtending waking performance remains largely unexplored. Post-mortem studies point to neuronal degeneration in the SCN and age-related modifications in the arousal-promoting LC. Alongside, cortical frontal brain areas are particularly susceptible both to aging and misalignment between circadian and homeostatic processes. In this perspective, we summarize and discuss here the potential neuroanatomical networks underlying age-related changes in circadian and homeostatic modulation of waking performance, ranging from basic arousal to higher order cognitive behaviors.","URL":"http://www.ncbi.nlm.nih.gov/pmc/articles/PMC3405459/","DOI":"10.3389/fneur.2012.00118","ISSN":"1664-2295","note":"PMID: 22855682\nPMCID: PMC3405459","shortTitle":"Age-Related Changes in Sleep and Circadian Rhythms","journalAbbreviation":"Front Neurol","author":[{"family":"Schmidt","given":"Christina"},{"family":"Peigneux","given":"Philippe"},{"family":"Cajochen","given":"Christian"}],"issued":{"date-parts":[["2012",7,26]]}}}],"schema":"https://github.com/citation-style-language/schema/raw/master/csl-citation.json"} </w:instrText>
      </w:r>
      <w:r w:rsidRPr="008438F4">
        <w:rPr>
          <w:rFonts w:cs="Calibri"/>
          <w:sz w:val="24"/>
          <w:szCs w:val="24"/>
        </w:rPr>
        <w:fldChar w:fldCharType="separate"/>
      </w:r>
      <w:r w:rsidR="00AD2869" w:rsidRPr="008438F4">
        <w:rPr>
          <w:rFonts w:cs="Calibri"/>
          <w:sz w:val="24"/>
        </w:rPr>
        <w:t>(Schmidt, Peigneux, &amp; Cajochen, 2012)</w:t>
      </w:r>
      <w:r w:rsidRPr="008438F4">
        <w:rPr>
          <w:rFonts w:cs="Calibri"/>
          <w:sz w:val="24"/>
          <w:szCs w:val="24"/>
        </w:rPr>
        <w:fldChar w:fldCharType="end"/>
      </w:r>
      <w:r w:rsidRPr="008438F4">
        <w:rPr>
          <w:rFonts w:cs="Calibri"/>
          <w:sz w:val="24"/>
          <w:szCs w:val="24"/>
        </w:rPr>
        <w:t xml:space="preserve">. It is postulated that circadian rhythms that influence cognitive function are weakened in older healthy adults, which may contribute to observed fatigability. </w:t>
      </w:r>
    </w:p>
    <w:p w14:paraId="041D2026" w14:textId="77777777" w:rsidR="0099247D" w:rsidRPr="008438F4" w:rsidRDefault="0099247D" w:rsidP="00BD74FA">
      <w:pPr>
        <w:pStyle w:val="Heading3"/>
        <w:rPr>
          <w:rFonts w:ascii="Calibri" w:hAnsi="Calibri" w:cs="Calibri"/>
        </w:rPr>
      </w:pPr>
      <w:bookmarkStart w:id="22" w:name="_Toc499840786"/>
      <w:r w:rsidRPr="008438F4">
        <w:rPr>
          <w:rFonts w:ascii="Calibri" w:hAnsi="Calibri" w:cs="Calibri"/>
        </w:rPr>
        <w:t>Pharmacologic Agent Theory</w:t>
      </w:r>
      <w:bookmarkEnd w:id="22"/>
      <w:r w:rsidRPr="008438F4">
        <w:rPr>
          <w:rFonts w:ascii="Calibri" w:hAnsi="Calibri" w:cs="Calibri"/>
        </w:rPr>
        <w:t xml:space="preserve"> </w:t>
      </w:r>
    </w:p>
    <w:p w14:paraId="6C6715C3" w14:textId="689B57B9"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Fatigue can also be a side effect </w:t>
      </w:r>
      <w:r w:rsidR="00436BBC">
        <w:rPr>
          <w:rFonts w:cs="Calibri"/>
          <w:sz w:val="24"/>
          <w:szCs w:val="24"/>
        </w:rPr>
        <w:t xml:space="preserve">of some </w:t>
      </w:r>
      <w:r w:rsidRPr="008438F4">
        <w:rPr>
          <w:rFonts w:cs="Calibri"/>
          <w:sz w:val="24"/>
          <w:szCs w:val="24"/>
        </w:rPr>
        <w:t>medication</w:t>
      </w:r>
      <w:r w:rsidR="00436BBC">
        <w:rPr>
          <w:rFonts w:cs="Calibri"/>
          <w:sz w:val="24"/>
          <w:szCs w:val="24"/>
        </w:rPr>
        <w:t>s</w:t>
      </w:r>
      <w:r w:rsidRPr="008438F4">
        <w:rPr>
          <w:rFonts w:cs="Calibri"/>
          <w:sz w:val="24"/>
          <w:szCs w:val="24"/>
        </w:rPr>
        <w:t xml:space="preserve"> </w:t>
      </w:r>
      <w:r w:rsidRPr="008438F4">
        <w:rPr>
          <w:rFonts w:cs="Calibri"/>
          <w:sz w:val="24"/>
          <w:szCs w:val="24"/>
        </w:rPr>
        <w:fldChar w:fldCharType="begin"/>
      </w:r>
      <w:r w:rsidRPr="008438F4">
        <w:rPr>
          <w:rFonts w:cs="Calibri"/>
          <w:sz w:val="24"/>
          <w:szCs w:val="24"/>
        </w:rPr>
        <w:instrText xml:space="preserve"> ADDIN ZOTERO_ITEM CSL_CITATION {"citationID":"oqld4akd5","properties":{"formattedCitation":"(Zlott &amp; Byrne, 2010)","plainCitation":"(Zlott &amp; Byrne, 2010)"},"citationItems":[{"id":905,"uris":["http://zotero.org/users/local/vDYxJ8mW/items/3FW7VANW"],"uri":["http://zotero.org/users/local/vDYxJ8mW/items/3FW7VANW"],"itemData":{"id":905,"type":"article-journal","title":"Mechanisms by which pharmacologic agents may contribute to fatigue","container-title":"PM &amp; R: the journal of injury, function, and rehabilitation","page":"451-455","volume":"2","issue":"5","source":"PubMed","abstract":"Fatigue is a common side effect of medications. This review summarizes some of the mechanisms by which drugs may cause fatigue. One major mechanism by which medications can cause fatigue is by central nervous system (CNS) depression. CNS depression can result from decreased excitatory activity, as is commonly seen with some anticholinergic agents, centrally acting alpha-agonists, and anticonvulsants. CNS depression can also result from increased inhibitory activity within the CNS, as is seen with benzodiazepines and barbiturates, which augment the effects of the inhibitory neurotransmitter, gamma-aminobutyric acid. Opioids also increase inhibitory CNS activity through their interactions with the various subtypes of opioid receptors. Acting outside of the CNS, medications may cause fatigue as a result of either a true or a functional anemia by a number of mechanisms. Bone marrow toxicity, which results in decreased hematopoiesis, is such a mechanism. This is commonly seen with antineoplastics agents, but can also be observed in association with a wide variety of medication classes, including anticonvulsants, antidepressants, and antimicrobial agents. Another way that medications can cause anemia is by increased red blood cell destruction, as is seen with immune hemolytic anemia. Additionally, medications may cause a functional anemia through alteration of the heme group within the hemoglobin molecule, as is seen in methemoglobinemia. Finally, many drugs, including placebos, cause fatigue by unknown mechanisms. In addition to causing fatigue, some medications may be used to help relieve fatigue, although this drug class is limited in number at this point in time.","DOI":"10.1016/j.pmrj.2010.04.018","ISSN":"1934-1482","note":"PMID: 20656627","journalAbbreviation":"PM R","language":"eng","author":[{"family":"Zlott","given":"Daniel A."},{"family":"Byrne","given":"Mary"}],"issued":{"date-parts":[["2010",5]]}}}],"schema":"https://github.com/citation-style-language/schema/raw/master/csl-citation.json"} </w:instrText>
      </w:r>
      <w:r w:rsidRPr="008438F4">
        <w:rPr>
          <w:rFonts w:cs="Calibri"/>
          <w:sz w:val="24"/>
          <w:szCs w:val="24"/>
        </w:rPr>
        <w:fldChar w:fldCharType="separate"/>
      </w:r>
      <w:r w:rsidR="00AD2869" w:rsidRPr="008438F4">
        <w:rPr>
          <w:rFonts w:cs="Calibri"/>
          <w:sz w:val="24"/>
        </w:rPr>
        <w:t>(Zlott &amp; Byrne, 2010)</w:t>
      </w:r>
      <w:r w:rsidRPr="008438F4">
        <w:rPr>
          <w:rFonts w:cs="Calibri"/>
          <w:sz w:val="24"/>
          <w:szCs w:val="24"/>
        </w:rPr>
        <w:fldChar w:fldCharType="end"/>
      </w:r>
      <w:r w:rsidRPr="008438F4">
        <w:rPr>
          <w:rFonts w:cs="Calibri"/>
          <w:sz w:val="24"/>
          <w:szCs w:val="24"/>
        </w:rPr>
        <w:t xml:space="preserve">. This theory is based on a disturbance of excitatory activity in the central nervous system that can manifest as depression and result in fatigue-like symptoms. While the pathophysiological mechanisms of fatigability are not completely understood, the implications of medication on subsequent feelings of fatigue are apparent. However, these findings are interpreted with caution, because the mechanistic pathways are not well-defined. Additionally, opioid use may contribute to excitatory mechanisms that may contribute to fatigability through similar pathways. Many drugs, including placebo drugs, have been reported to cause fatigue where other drugs are known to relieve feelings of fatigue through unknown pathways. </w:t>
      </w:r>
    </w:p>
    <w:p w14:paraId="49BAD060" w14:textId="77777777" w:rsidR="0099247D" w:rsidRPr="008438F4" w:rsidRDefault="0099247D" w:rsidP="00BD74FA">
      <w:pPr>
        <w:pStyle w:val="Heading3"/>
        <w:rPr>
          <w:rFonts w:ascii="Calibri" w:hAnsi="Calibri" w:cs="Calibri"/>
        </w:rPr>
      </w:pPr>
      <w:bookmarkStart w:id="23" w:name="_Toc499840787"/>
      <w:r w:rsidRPr="008438F4">
        <w:rPr>
          <w:rFonts w:ascii="Calibri" w:hAnsi="Calibri" w:cs="Calibri"/>
        </w:rPr>
        <w:t>Environment vs. Genetic Theory</w:t>
      </w:r>
      <w:bookmarkEnd w:id="23"/>
    </w:p>
    <w:p w14:paraId="1ED8DA81" w14:textId="79FF4D9D" w:rsidR="0099247D" w:rsidRPr="008438F4" w:rsidRDefault="0099247D" w:rsidP="0099247D">
      <w:pPr>
        <w:pStyle w:val="NoSpacing"/>
        <w:spacing w:line="360" w:lineRule="auto"/>
        <w:jc w:val="both"/>
        <w:rPr>
          <w:rFonts w:cs="Calibri"/>
          <w:b/>
          <w:sz w:val="24"/>
          <w:szCs w:val="24"/>
        </w:rPr>
      </w:pPr>
      <w:r w:rsidRPr="008438F4">
        <w:rPr>
          <w:rFonts w:cs="Calibri"/>
          <w:sz w:val="24"/>
          <w:szCs w:val="24"/>
        </w:rPr>
        <w:t>Lifestyle decisions, including diet, exercise, and environmental influences like stress may contribute to an individual’s perceived physical and m</w:t>
      </w:r>
      <w:r w:rsidR="00990685">
        <w:rPr>
          <w:rFonts w:cs="Calibri"/>
          <w:sz w:val="24"/>
          <w:szCs w:val="24"/>
        </w:rPr>
        <w:t>ental fatigability. Additionally,</w:t>
      </w:r>
      <w:r w:rsidRPr="008438F4">
        <w:rPr>
          <w:rFonts w:cs="Calibri"/>
          <w:sz w:val="24"/>
          <w:szCs w:val="24"/>
        </w:rPr>
        <w:t xml:space="preserve"> age and sex are individual factors that may influence fatigability status (Finsterer &amp; Mahjoub, 2014). A review of the genetics and epigenetics of fatigue reported that fatigue may be associated with altered functioning in the hypothalamic-pituitary-adrenal axis, the serotonergic system and infectious agents. However, there is not a clearly defined fatigue phenotype </w:t>
      </w:r>
      <w:r w:rsidRPr="008438F4">
        <w:rPr>
          <w:rFonts w:cs="Calibri"/>
          <w:sz w:val="24"/>
          <w:szCs w:val="24"/>
        </w:rPr>
        <w:fldChar w:fldCharType="begin"/>
      </w:r>
      <w:r w:rsidRPr="008438F4">
        <w:rPr>
          <w:rFonts w:cs="Calibri"/>
          <w:sz w:val="24"/>
          <w:szCs w:val="24"/>
        </w:rPr>
        <w:instrText xml:space="preserve"> ADDIN ZOTERO_ITEM CSL_CITATION {"citationID":"158baj072o","properties":{"formattedCitation":"{\\rtf (Landmark-H\\uc0\\u248{}yvik et al., 2010)}","plainCitation":"(Landmark-Høyvik et al., 2010)"},"citationItems":[{"id":887,"uris":["http://zotero.org/users/local/vDYxJ8mW/items/GP36V939"],"uri":["http://zotero.org/users/local/vDYxJ8mW/items/GP36V939"],"itemData":{"id":887,"type":"article-journal","title":"The genetics and epigenetics of fatigue","container-title":"PM &amp; R: the journal of injury, function, and rehabilitation","page":"456-465","volume":"2","issue":"5","source":"PubMed","abstract":"Fatigue is a common symptom and includes both physical and mental components. It can be associated with a variety of different syndromes and diseases, but in many cases is not associated with other comorbid conditions. Most humans have experienced acute fatigue in relation to different stressors. Acute fatigue typically decreases as the effect of the triggering factor is reduced and a normal homeostatic balance is restored. Fatigue that persists for 6 months or more is termed chronic fatigue. Chronic fatigue (CF) in combination with a minimum of 4 of 8 symptoms and the absence of diseases that could explain these symptoms, constitute the case definition for chronic fatigue syndrome. In spite of its prevalence, the biology of fatigue is relatively poorly understood and biological markers have not yet been identified. This literature search was performed in PubMed to identify research on the genetics and epigenetics of fatigue. Publications were included if fatigue was a major topic and the topic was combined with genetic and/or epigenetic measurements in adult humans. A total of 40 publications were identified. Although altered functioning in the hypothalamic-pituitary-adrenal axis, the serotonergic system, and associations with infectious agents have been identified, the search for genetic or epigenetic markers of fatigue, either in the context of CF or chronic fatigue syndrome (CFS) has been relatively unproductive or, in the case of epigenetics, nonexistent. Although several studies, both hypothesis-testing and hypothesis-generating, have been performed to search for biomarkers, they have mostly been underpowered, restricted by the heterogeneity of the phenotype, or limited by an unsystematic study design. To be able to confirm the hypothesis that risk for, or levels of, fatigue are influenced by the genetic or epigenetic background of an individual, studies need to be based on larger sample sizes with a more clearly defined phenotype. Studies need to focus not only on the influence of a single aspect such as single nucleotide polymorphisms (SNPs) or differential gene expression on disease risk or state, but also on the systems biology behind the disease in combination with information on environmental influences and validation of findings in functional studies.","DOI":"10.1016/j.pmrj.2010.04.003","ISSN":"1934-1482","note":"PMID: 20656628","journalAbbreviation":"PM R","language":"eng","author":[{"family":"Landmark-Høyvik","given":"Hege"},{"family":"Reinertsen","given":"Kristin V."},{"family":"Loge","given":"Jon H."},{"family":"Kristensen","given":"Vessela N."},{"family":"Dumeaux","given":"Vanessa"},{"family":"Fosså","given":"Sophie D."},{"family":"Børresen-Dale","given":"Anne-Lise"},{"family":"Edvardsen","given":"Hege"}],"issued":{"date-parts":[["2010",5]]}}}],"schema":"https://github.com/citation-style-language/schema/raw/master/csl-citation.json"} </w:instrText>
      </w:r>
      <w:r w:rsidRPr="008438F4">
        <w:rPr>
          <w:rFonts w:cs="Calibri"/>
          <w:sz w:val="24"/>
          <w:szCs w:val="24"/>
        </w:rPr>
        <w:fldChar w:fldCharType="separate"/>
      </w:r>
      <w:r w:rsidR="00AD2869" w:rsidRPr="008438F4">
        <w:rPr>
          <w:rFonts w:cs="Calibri"/>
          <w:sz w:val="24"/>
          <w:szCs w:val="24"/>
        </w:rPr>
        <w:t>(Landmark-Høyvik et al., 2010)</w:t>
      </w:r>
      <w:r w:rsidRPr="008438F4">
        <w:rPr>
          <w:rFonts w:cs="Calibri"/>
          <w:sz w:val="24"/>
          <w:szCs w:val="24"/>
        </w:rPr>
        <w:fldChar w:fldCharType="end"/>
      </w:r>
      <w:r w:rsidRPr="008438F4">
        <w:rPr>
          <w:rFonts w:cs="Calibri"/>
          <w:sz w:val="24"/>
          <w:szCs w:val="24"/>
        </w:rPr>
        <w:t xml:space="preserve">. A more recent study investigated the genetics of tiredness linking a number of inherited factors to self-reported tiredness or fatigue </w:t>
      </w:r>
      <w:r w:rsidRPr="008438F4">
        <w:rPr>
          <w:rFonts w:cs="Calibri"/>
          <w:sz w:val="24"/>
          <w:szCs w:val="24"/>
        </w:rPr>
        <w:fldChar w:fldCharType="begin"/>
      </w:r>
      <w:r w:rsidRPr="008438F4">
        <w:rPr>
          <w:rFonts w:cs="Calibri"/>
          <w:sz w:val="24"/>
          <w:szCs w:val="24"/>
        </w:rPr>
        <w:instrText xml:space="preserve"> ADDIN ZOTERO_ITEM CSL_CITATION {"citationID":"1kks6nre9q","properties":{"formattedCitation":"(Deary et al., 2017)","plainCitation":"(Deary et al., 2017)"},"citationItems":[{"id":1080,"uris":["http://zotero.org/users/local/vDYxJ8mW/items/39P28DHW"],"uri":["http://zotero.org/users/local/vDYxJ8mW/items/39P28DHW"],"itemData":{"id":1080,"type":"article-journal","title":"Genetic contributions to self-reported tiredness","container-title":"Molecular Psychiatry","source":"www.nature.com","abstract":"Self-reported tiredness and low energy, often called fatigue, are associated with poorer physical and mental health. Twin studies have indicated that this has a heritability between 6 and 50%. In the UK Biobank sample (N=108 976), we carried out a genome-wide association study (GWAS) of responses to the question, ‘Over the last two weeks, how often have you felt tired or had little energy?’ Univariate GCTA-GREML found that the proportion of variance explained by all common single-nucleotide polymorphisms for this tiredness question was 8.4% (s.e.=0.6%). GWAS identified one genome-wide significant hit (Affymetrix id 1:64178756_C_T; P=1.36 × 10−11). Linkage disequilibrium score regression and polygenic profile score analyses were used to test for shared genetic aetiology between tiredness and up to 29 physical and mental health traits from GWAS consortia. Significant genetic correlations were identified between tiredness and body mass index (BMI), C-reactive protein, high-density lipoprotein (HDL) cholesterol, forced expiratory volume, grip strength, HbA1c, longevity, obesity, self-rated health, smoking status, triglycerides, type 2 diabetes, waist–hip ratio, attention deficit hyperactivity disorder, bipolar disorder, major depressive disorder, neuroticism, schizophrenia and verbal-numerical reasoning (absolute rg effect sizes between 0.02 and 0.78). Significant associations were identified between tiredness phenotypic scores and polygenic profile scores for BMI, HDL cholesterol, low-density lipoprotein cholesterol, coronary artery disease, C-reactive protein, HbA1c, height, obesity, smoking status, triglycerides, type 2 diabetes, waist–hip ratio, childhood cognitive ability, neuroticism, bipolar disorder, major depressive disorder and schizophrenia (standardised β’s had absolute values&lt;0.03). These results suggest that tiredness is a partly heritable, heterogeneous and complex phenomenon that is phenotypically and genetically associated with affective, cognitive, personality and physiological processes.","URL":"http://www.nature.com/mp/journal/vaop/ncurrent/full/mp20175a.html?foxtrotcallback=true","DOI":"10.1038/mp.2017.5","ISSN":"1359-4184","journalAbbreviation":"Mol Psychiatry","language":"en","author":[{"family":"Deary","given":"V."},{"family":"Hagenaars","given":"S. P."},{"family":"Harris","given":"S. E."},{"family":"Hill","given":"W. D."},{"family":"Davies","given":"G."},{"family":"Liewald","given":"D. C. M."},{"family":"McIntosh","given":"A. M."},{"family":"Gale","given":"C. R."},{"family":"Deary","given":"I. J."}],"issued":{"date-parts":[["2017",2,14]]},"accessed":{"date-parts":[["2017",9,23]]}}}],"schema":"https://github.com/citation-style-language/schema/raw/master/csl-citation.json"} </w:instrText>
      </w:r>
      <w:r w:rsidRPr="008438F4">
        <w:rPr>
          <w:rFonts w:cs="Calibri"/>
          <w:sz w:val="24"/>
          <w:szCs w:val="24"/>
        </w:rPr>
        <w:fldChar w:fldCharType="separate"/>
      </w:r>
      <w:r w:rsidR="00AD2869" w:rsidRPr="008438F4">
        <w:rPr>
          <w:rFonts w:cs="Calibri"/>
          <w:sz w:val="24"/>
        </w:rPr>
        <w:t>(Deary et al., 2017)</w:t>
      </w:r>
      <w:r w:rsidRPr="008438F4">
        <w:rPr>
          <w:rFonts w:cs="Calibri"/>
          <w:sz w:val="24"/>
          <w:szCs w:val="24"/>
        </w:rPr>
        <w:fldChar w:fldCharType="end"/>
      </w:r>
      <w:r w:rsidRPr="008438F4">
        <w:rPr>
          <w:rFonts w:cs="Calibri"/>
          <w:sz w:val="24"/>
          <w:szCs w:val="24"/>
        </w:rPr>
        <w:t xml:space="preserve">. Thus, there is increasing evidence to support that fatigability may have an inheritance component that is highly heterogeneous. As such, it is presumed that both environmental and genetic components contribute to perceived fatigability, but there is a lack of clarity in the pathophysiology of fatigability, and thus it is not certain which factor contributes most to the fatigability pathway. </w:t>
      </w:r>
    </w:p>
    <w:p w14:paraId="2F557F71" w14:textId="77777777" w:rsidR="0099247D" w:rsidRPr="008438F4" w:rsidRDefault="0099247D" w:rsidP="00BD74FA">
      <w:pPr>
        <w:pStyle w:val="Heading2"/>
        <w:rPr>
          <w:rFonts w:ascii="Calibri" w:hAnsi="Calibri" w:cs="Calibri"/>
        </w:rPr>
      </w:pPr>
      <w:bookmarkStart w:id="24" w:name="_Toc499840788"/>
      <w:r w:rsidRPr="008438F4">
        <w:rPr>
          <w:rFonts w:ascii="Calibri" w:hAnsi="Calibri" w:cs="Calibri"/>
        </w:rPr>
        <w:t>BRAIN AND AGING</w:t>
      </w:r>
      <w:bookmarkEnd w:id="24"/>
    </w:p>
    <w:p w14:paraId="7E06D87B" w14:textId="56B82EF3"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Aging influences brain size, cognition and vasculature </w:t>
      </w:r>
      <w:r w:rsidRPr="008438F4">
        <w:rPr>
          <w:rFonts w:cs="Calibri"/>
          <w:sz w:val="24"/>
          <w:szCs w:val="24"/>
        </w:rPr>
        <w:fldChar w:fldCharType="begin"/>
      </w:r>
      <w:r w:rsidRPr="008438F4">
        <w:rPr>
          <w:rFonts w:cs="Calibri"/>
          <w:sz w:val="24"/>
          <w:szCs w:val="24"/>
        </w:rPr>
        <w:instrText xml:space="preserve"> ADDIN ZOTERO_ITEM CSL_CITATION {"citationID":"cduktnvbv","properties":{"formattedCitation":"(Peters, 2006)","plainCitation":"(Peters, 2006)"},"citationItems":[{"id":896,"uris":["http://zotero.org/users/local/vDYxJ8mW/items/7PV2WFJM"],"uri":["http://zotero.org/users/local/vDYxJ8mW/items/7PV2WFJM"],"itemData":{"id":896,"type":"article-journal","title":"Ageing and the brain","container-title":"Postgraduate Medical Journal","page":"84-88","volume":"82","issue":"964","source":"PubMed Central","abstract":"Ageing causes changes to the brain size, vasculature, and cognition. The brain shrinks with increasing age and there are changes at all levels from molecules to morphology. Incidence of stroke, white matter lesions, and dementia also rise with age, as does level of memory impairment and there are changes in levels of neurotransmitters and hormones. Protective factors that reduce cardiovascular risk, namely regular exercise, a healthy diet, and low to moderate alcohol intake, seem to aid the ageing brain as does increased cognitive effort in the form of education or occupational attainment. A healthy life both physically and mentally may be the best defence against the changes of an ageing brain. Additional measures to prevent cardiovascular disease may also be important.","DOI":"10.1136/pgmj.2005.036665","ISSN":"0032-5473","note":"PMID: 16461469\nPMCID: PMC2596698","journalAbbreviation":"Postgrad Med J","author":[{"family":"Peters","given":"R"}],"issued":{"date-parts":[["2006",2]]}}}],"schema":"https://github.com/citation-style-language/schema/raw/master/csl-citation.json"} </w:instrText>
      </w:r>
      <w:r w:rsidRPr="008438F4">
        <w:rPr>
          <w:rFonts w:cs="Calibri"/>
          <w:sz w:val="24"/>
          <w:szCs w:val="24"/>
        </w:rPr>
        <w:fldChar w:fldCharType="separate"/>
      </w:r>
      <w:r w:rsidR="00AD2869" w:rsidRPr="008438F4">
        <w:rPr>
          <w:rFonts w:cs="Calibri"/>
          <w:sz w:val="24"/>
        </w:rPr>
        <w:t>(Peters, 2006)</w:t>
      </w:r>
      <w:r w:rsidRPr="008438F4">
        <w:rPr>
          <w:rFonts w:cs="Calibri"/>
          <w:sz w:val="24"/>
          <w:szCs w:val="24"/>
        </w:rPr>
        <w:fldChar w:fldCharType="end"/>
      </w:r>
      <w:r w:rsidRPr="008438F4">
        <w:rPr>
          <w:rFonts w:cs="Calibri"/>
          <w:sz w:val="24"/>
          <w:szCs w:val="24"/>
        </w:rPr>
        <w:t>. Over the life-course, both white and grey matter exhibit different patterns, and where</w:t>
      </w:r>
      <w:r w:rsidRPr="008438F4">
        <w:rPr>
          <w:rStyle w:val="CommentReference"/>
          <w:rFonts w:cs="Calibri"/>
        </w:rPr>
        <w:t xml:space="preserve"> </w:t>
      </w:r>
      <w:r w:rsidRPr="00990685">
        <w:rPr>
          <w:rStyle w:val="CommentReference"/>
          <w:rFonts w:cs="Calibri"/>
          <w:sz w:val="24"/>
          <w:szCs w:val="24"/>
        </w:rPr>
        <w:t>w</w:t>
      </w:r>
      <w:r w:rsidRPr="008438F4">
        <w:rPr>
          <w:rFonts w:cs="Calibri"/>
          <w:sz w:val="24"/>
          <w:szCs w:val="24"/>
        </w:rPr>
        <w:t xml:space="preserve">hite matter </w:t>
      </w:r>
      <w:r w:rsidR="00436BBC">
        <w:rPr>
          <w:rFonts w:cs="Calibri"/>
          <w:sz w:val="24"/>
          <w:szCs w:val="24"/>
        </w:rPr>
        <w:t xml:space="preserve">deteriorates </w:t>
      </w:r>
      <w:r w:rsidRPr="008438F4">
        <w:rPr>
          <w:rFonts w:cs="Calibri"/>
          <w:sz w:val="24"/>
          <w:szCs w:val="24"/>
        </w:rPr>
        <w:t xml:space="preserve">faster </w:t>
      </w:r>
      <w:r w:rsidR="00436BBC">
        <w:rPr>
          <w:rFonts w:cs="Calibri"/>
          <w:sz w:val="24"/>
          <w:szCs w:val="24"/>
        </w:rPr>
        <w:t xml:space="preserve">with </w:t>
      </w:r>
      <w:r w:rsidRPr="008438F4">
        <w:rPr>
          <w:rFonts w:cs="Calibri"/>
          <w:sz w:val="24"/>
          <w:szCs w:val="24"/>
        </w:rPr>
        <w:t xml:space="preserve">age than grey matter </w:t>
      </w:r>
      <w:r w:rsidRPr="008438F4">
        <w:rPr>
          <w:rFonts w:cs="Calibri"/>
          <w:sz w:val="24"/>
          <w:szCs w:val="24"/>
        </w:rPr>
        <w:fldChar w:fldCharType="begin"/>
      </w:r>
      <w:r w:rsidRPr="008438F4">
        <w:rPr>
          <w:rFonts w:cs="Calibri"/>
          <w:sz w:val="24"/>
          <w:szCs w:val="24"/>
        </w:rPr>
        <w:instrText xml:space="preserve"> ADDIN ZOTERO_ITEM CSL_CITATION {"citationID":"BB2z1Con","properties":{"formattedCitation":"(Giorgio et al., 2010; Gunning-Dixon, Brickman, Cheng, &amp; Alexopoulos, 2009)","plainCitation":"(Giorgio et al., 2010; Gunning-Dixon, Brickman, Cheng, &amp; Alexopoulos, 2009)"},"citationItems":[{"id":1091,"uris":["http://zotero.org/users/local/vDYxJ8mW/items/9IEJKDZX"],"uri":["http://zotero.org/users/local/vDYxJ8mW/items/9IEJKDZX"],"itemData":{"id":1091,"type":"article-journal","title":"Age-related changes in grey and white matter structure throughout adulthood","container-title":"NeuroImage","page":"943-951","volume":"51","issue":"3","source":"ScienceDirect","abstract":"Normal ageing is associated with gradual brain atrophy. Determining spatial and temporal patterns of change can help shed light on underlying mechanisms. Neuroimaging provides various measures of brain structure that can be used to assess such age-related change but studies to date have typically considered single imaging measures. Although there is consensus on the notion that brain structure deteriorates with age, evidence on the precise time course and spatial distribution of changes is mixed. We assessed grey matter (GM) and white matter (WM) structure in a group of 66 adults aged between 23 and 81. Multimodal imaging measures included voxel-based morphometry (VBM)-style analysis of GM and WM volume and diffusion tensor imaging (DTI) metrics of WM microstructure. We found widespread reductions in GM volume from middle age onwards but earlier reductions in GM were detected in frontal cortex. Widespread age-related deterioration in WM microstructure was detected from young adulthood onwards. WM decline was detected earlier and more sensitively using DTI-based measures of microstructure than using markers of WM volume derived from conventional T1-weighted imaging.","DOI":"10.1016/j.neuroimage.2010.03.004","ISSN":"1053-8119","journalAbbreviation":"NeuroImage","author":[{"family":"Giorgio","given":"Antonio"},{"family":"Santelli","given":"Luca"},{"family":"Tomassini","given":"Valentina"},{"family":"Bosnell","given":"Rose"},{"family":"Smith","given":"Steve"},{"family":"De Stefano","given":"Nicola"},{"family":"Johansen-Berg","given":"Heidi"}],"issued":{"date-parts":[["2010",7,1]]}}},{"id":1088,"uris":["http://zotero.org/users/local/vDYxJ8mW/items/Z22T86KC"],"uri":["http://zotero.org/users/local/vDYxJ8mW/items/Z22T86KC"],"itemData":{"id":1088,"type":"article-journal","title":"Aging of Cerebral White Matter: A Review of MRI Findings","container-title":"International journal of geriatric psychiatry","page":"109-117","volume":"24","issue":"2","source":"PubMed Central","abstract":"Background\nCerebral aging is a complex and heterogeneous process that is associated with a high degree of inter-individual variability. Structural magnetic resonance imaging (MRI) can be used to identify and quantify non-disease-related aging of the cerebral white matter.\n\nMethods\nThe present article reviews the findings from several MRI techniques, including morphometric approaches, study of white matter hyperintensities, diffusion tensor imaging, and magnetization transfer imaging that have been used to examine aging of the cerebral white matter. Furthermore, the relationship of MRI indices of white matter integrity to age-related cognitive declines is reported.\n\nResults\nA general pattern of age-related preservation and decline emerges indicating that the prefrontal white matter is most susceptible to the influence of age. Studies that combine MRI with cognitive measures suggest that such age-related reductions in white matter integrity may produce a disconnection state that underlies some of the age-related performance declines in age-sensitive cognitive domains.\n\nConclusions\nWhite matter aging may contribute to a disconnection state that is associated with declines in episodic memory, executive functions, and information processing speed.","DOI":"10.1002/gps.2087","ISSN":"0885-6230","note":"PMID: 18637641\nPMCID: PMC2631089","shortTitle":"Aging of Cerebral White Matter","journalAbbreviation":"Int J Geriatr Psychiatry","author":[{"family":"Gunning-Dixon","given":"Faith M."},{"family":"Brickman","given":"Adam M."},{"family":"Cheng","given":"Janice C."},{"family":"Alexopoulos","given":"George S."}],"issued":{"date-parts":[["2009",2]]}}}],"schema":"https://github.com/citation-style-language/schema/raw/master/csl-citation.json"} </w:instrText>
      </w:r>
      <w:r w:rsidRPr="008438F4">
        <w:rPr>
          <w:rFonts w:cs="Calibri"/>
          <w:sz w:val="24"/>
          <w:szCs w:val="24"/>
        </w:rPr>
        <w:fldChar w:fldCharType="separate"/>
      </w:r>
      <w:r w:rsidR="00AD2869" w:rsidRPr="008438F4">
        <w:rPr>
          <w:rFonts w:cs="Calibri"/>
          <w:sz w:val="24"/>
        </w:rPr>
        <w:t>(Giorgio et al., 2010; Gunning-Dixon, Brickman, Cheng, &amp; Alexopoulos, 2009)</w:t>
      </w:r>
      <w:r w:rsidRPr="008438F4">
        <w:rPr>
          <w:rFonts w:cs="Calibri"/>
          <w:sz w:val="24"/>
          <w:szCs w:val="24"/>
        </w:rPr>
        <w:fldChar w:fldCharType="end"/>
      </w:r>
      <w:r w:rsidRPr="008438F4">
        <w:rPr>
          <w:rFonts w:cs="Calibri"/>
          <w:sz w:val="24"/>
          <w:szCs w:val="24"/>
        </w:rPr>
        <w:t xml:space="preserve">. Loss of grey matter </w:t>
      </w:r>
      <w:r w:rsidR="00436BBC">
        <w:rPr>
          <w:rFonts w:cs="Calibri"/>
          <w:sz w:val="24"/>
          <w:szCs w:val="24"/>
        </w:rPr>
        <w:t xml:space="preserve">volume </w:t>
      </w:r>
      <w:r w:rsidRPr="008438F4">
        <w:rPr>
          <w:rFonts w:cs="Calibri"/>
          <w:sz w:val="24"/>
          <w:szCs w:val="24"/>
        </w:rPr>
        <w:t>and white matter integrity over time is associated with greater cognitive decline</w:t>
      </w:r>
      <w:r w:rsidR="00436BBC">
        <w:rPr>
          <w:rFonts w:cs="Calibri"/>
          <w:sz w:val="24"/>
          <w:szCs w:val="24"/>
        </w:rPr>
        <w:t xml:space="preserve"> </w:t>
      </w:r>
      <w:r w:rsidRPr="008438F4">
        <w:rPr>
          <w:rFonts w:cs="Calibri"/>
          <w:sz w:val="24"/>
          <w:szCs w:val="24"/>
        </w:rPr>
        <w:fldChar w:fldCharType="begin"/>
      </w:r>
      <w:r w:rsidRPr="008438F4">
        <w:rPr>
          <w:rFonts w:cs="Calibri"/>
          <w:sz w:val="24"/>
          <w:szCs w:val="24"/>
        </w:rPr>
        <w:instrText xml:space="preserve"> ADDIN ZOTERO_ITEM CSL_CITATION {"citationID":"WY0wfwN5","properties":{"formattedCitation":"(Debette &amp; Markus, 2010; Karas et al., 2004)","plainCitation":"(Debette &amp; Markus, 2010; Karas et al., 2004)"},"citationItems":[{"id":1094,"uris":["http://zotero.org/users/local/vDYxJ8mW/items/8FPWEJKJ"],"uri":["http://zotero.org/users/local/vDYxJ8mW/items/8FPWEJKJ"],"itemData":{"id":1094,"type":"article-journal","title":"The clinical importance of white matter hyperintensities on brain magnetic resonance imaging: systematic review and meta-analysis","container-title":"The BMJ","volume":"341","source":"PubMed Central","abstract":"Objectives To review the evidence for an association of white matter hyperintensities with risk of stroke, cognitive decline, dementia, and death., Design Systematic review and meta-analysis., Data sources PubMed from 1966 to 23 November 2009., Study selection Prospective longitudinal studies that used magnetic resonance imaging and assessed the impact of white matter hyperintensities on risk of incident stroke, cognitive decline, dementia, and death, and, for the meta-analysis, studies that provided risk estimates for a categorical measure of white matter hyperintensities, assessing the impact of these lesions on risk of stroke, dementia, and death., Data extraction Population studied, duration of follow-up, method used to measure white matter hyperintensities, definition of the outcome, and measure of the association of white matter hyperintensities with the outcome., Data synthesis 46 longitudinal studies evaluated the association of white matter hyperintensities with risk of stroke (n=12), cognitive decline (n=19), dementia (n=17), and death (n=10). 22 studies could be included in a meta-analysis (nine of stroke, nine of dementia, eight of death). White matter hyperintensities were associated with an increased risk of stroke (hazard ratio 3.3, 95% confidence interval 2.6 to 4.4), dementia (1.9, 1.3 to 2.8), and death (2.0, 1.6 to 2.7). An association of white matter hyperintensities with a faster decline in global cognitive performance, executive function, and processing speed was also suggested., Conclusion White matter hyperintensities predict an increased risk of stroke, dementia, and death. Therefore white matter hyperintensities indicate an increased risk of cerebrovascular events when identified as part of diagnostic investigations, and support their use as an intermediate marker in a research setting. Their discovery should prompt detailed screening for risk factors of stroke and dementia.","URL":"http://www.ncbi.nlm.nih.gov/pmc/articles/PMC2910261/","DOI":"10.1136/bmj.c3666","ISSN":"0959-8138","note":"PMID: 20660506\nPMCID: PMC2910261","shortTitle":"The clinical importance of white matter hyperintensities on brain magnetic resonance imaging","journalAbbreviation":"BMJ","author":[{"family":"Debette","given":"Stéphanie"},{"family":"Markus","given":"H S"}],"issued":{"date-parts":[["2010",7,26]]}}},{"id":1096,"uris":["http://zotero.org/users/local/vDYxJ8mW/items/CTZU3RP2"],"uri":["http://zotero.org/users/local/vDYxJ8mW/items/CTZU3RP2"],"itemData":{"id":1096,"type":"article-journal","title":"Global and local gray matter loss in mild cognitive impairment and Alzheimer's disease","container-title":"NeuroImage","page":"708-716","volume":"23","issue":"2","source":"PubMed","abstract":"PURPOSE: Mild cognitive impairment (MCI) is thought to be the prodromal phase to Alzheimer's disease (AD). We analyzed patterns of gray matter (GM) loss to examine what characterizes MCI and what determines the difference with AD.\nMATERIALS AND METHODS: Thirty-three subjects with AD, 14 normal elderly controls (NCLR), and 22 amnestic MCI subjects were included and underwent brain MR imaging. Global GM volume was assessed using segmentation and local GM volume was assessed using voxel-based morphometry (VBM); VBM was optimized for template mismatch and statistical mass.\nRESULTS: AD subjects had significantly (12.3%) lower mean global GM volume when compared to controls (517 +/- 58 vs. 590 +/- 52 ml; P &lt; 0.001). Global GM volume in the MCI group (552 +/- 52) was intermediate between these two: 6.2% lower than AD and 6.5% higher than the controls but not significantly different from either group. VBM showed that subjects with MCI had significant local reductions in gray matter in the medial temporal lobe (MTL), the insula, and thalamus compared to NCLR subjects. By contrast, when compared to subjects with AD, MCI subjects had more GM in the parietal association areas and the anterior and the posterior cingulate.\nCONCLUSION: GM loss in the MTL characterizes MCI, while GM loss in the parietal and cingulate cortices might be a feature of AD.","DOI":"10.1016/j.neuroimage.2004.07.006","ISSN":"1053-8119","note":"PMID: 15488420","journalAbbreviation":"Neuroimage","language":"eng","author":[{"family":"Karas","given":"G. B."},{"family":"Scheltens","given":"P."},{"family":"Rombouts","given":"S. a. R. B."},{"family":"Visser","given":"P. J."},{"family":"Schijndel","given":"R. A.","non-dropping-particle":"van"},{"family":"Fox","given":"N. C."},{"family":"Barkhof","given":"F."}],"issued":{"date-parts":[["2004",10]]}}}],"schema":"https://github.com/citation-style-language/schema/raw/master/csl-citation.json"} </w:instrText>
      </w:r>
      <w:r w:rsidRPr="008438F4">
        <w:rPr>
          <w:rFonts w:cs="Calibri"/>
          <w:sz w:val="24"/>
          <w:szCs w:val="24"/>
        </w:rPr>
        <w:fldChar w:fldCharType="separate"/>
      </w:r>
      <w:r w:rsidR="00AD2869" w:rsidRPr="008438F4">
        <w:rPr>
          <w:rFonts w:cs="Calibri"/>
          <w:sz w:val="24"/>
        </w:rPr>
        <w:t>(Debette &amp; Markus, 2010; Karas et al., 2004)</w:t>
      </w:r>
      <w:r w:rsidRPr="008438F4">
        <w:rPr>
          <w:rFonts w:cs="Calibri"/>
          <w:sz w:val="24"/>
          <w:szCs w:val="24"/>
        </w:rPr>
        <w:fldChar w:fldCharType="end"/>
      </w:r>
      <w:r w:rsidRPr="008438F4">
        <w:rPr>
          <w:rFonts w:cs="Calibri"/>
          <w:sz w:val="24"/>
          <w:szCs w:val="24"/>
        </w:rPr>
        <w:t xml:space="preserve">. It has been shown that healthy lifestyle factors such as </w:t>
      </w:r>
      <w:r w:rsidR="00436BBC">
        <w:rPr>
          <w:rFonts w:cs="Calibri"/>
          <w:sz w:val="24"/>
          <w:szCs w:val="24"/>
        </w:rPr>
        <w:t xml:space="preserve">physical </w:t>
      </w:r>
      <w:r w:rsidRPr="008438F4">
        <w:rPr>
          <w:rFonts w:cs="Calibri"/>
          <w:sz w:val="24"/>
          <w:szCs w:val="24"/>
        </w:rPr>
        <w:t>exercise, healthy diet, and low to moderate alcohol intake can be protective against cognitive decline</w:t>
      </w:r>
      <w:r w:rsidR="00436BBC">
        <w:rPr>
          <w:rFonts w:cs="Calibri"/>
          <w:sz w:val="24"/>
          <w:szCs w:val="24"/>
        </w:rPr>
        <w:t xml:space="preserve"> </w:t>
      </w:r>
      <w:r w:rsidRPr="008438F4">
        <w:rPr>
          <w:rFonts w:cs="Calibri"/>
          <w:sz w:val="24"/>
          <w:szCs w:val="24"/>
        </w:rPr>
        <w:fldChar w:fldCharType="begin"/>
      </w:r>
      <w:r w:rsidRPr="008438F4">
        <w:rPr>
          <w:rFonts w:cs="Calibri"/>
          <w:sz w:val="24"/>
          <w:szCs w:val="24"/>
        </w:rPr>
        <w:instrText xml:space="preserve"> ADDIN ZOTERO_ITEM CSL_CITATION {"citationID":"Ip7NLoIK","properties":{"formattedCitation":"{\\rtf (Marques-Aleixo, Oliveira, Moreira, Magalh\\uc0\\u227{}es, &amp; Ascens\\uc0\\u227{}o, 2012; Masley et al., 2017; Oleson et al., 2017)}","plainCitation":"(Marques-Aleixo, Oliveira, Moreira, Magalhães, &amp; Ascensão, 2012; Masley et al., 2017; Oleson et al., 2017)"},"citationItems":[{"id":1098,"uris":["http://zotero.org/users/local/vDYxJ8mW/items/CHKEKJH5"],"uri":["http://zotero.org/users/local/vDYxJ8mW/items/CHKEKJH5"],"itemData":{"id":1098,"type":"article-journal","title":"Physical exercise as a possible strategy for brain protection: evidence from mitochondrial-mediated mechanisms","container-title":"Progress in Neurobiology","page":"149-162","volume":"99","issue":"2","source":"PubMed","abstract":"Aging and neurodegenerative conditions such as Alzheimer and Parkinson diseases are characterized by tissue and mitochondrial changes that compromise brain function. Alterations can include increased reactive oxygen species production and impaired antioxidant capacity with a consequent increase in oxidative damage, mitochondrial dysfunction that compromises brain ATP production, and ultimately increased apoptotic signaling and neuronal death. Among several non-pharmacological strategies to prevent brain degeneration, physical exercise is a surprisingly effective strategy, which antagonizes brain tissue and mitochondrial dysfunction. The present review aims to discuss the role of physical exercise in the modulation of the mechanisms involved in neuroprotection including the activation of signaling pathways underlying brain protection.","DOI":"10.1016/j.pneurobio.2012.08.002","ISSN":"1873-5118","note":"PMID: 22940590","shortTitle":"Physical exercise as a possible strategy for brain protection","journalAbbreviation":"Prog. Neurobiol.","language":"eng","author":[{"family":"Marques-Aleixo","given":"Inês"},{"family":"Oliveira","given":"Paulo J."},{"family":"Moreira","given":"Paula I."},{"family":"Magalhães","given":"José"},{"family":"Ascensão","given":"António"}],"issued":{"date-parts":[["2012",11]]}}},{"id":1102,"uris":["http://zotero.org/users/local/vDYxJ8mW/items/KCRDH6PR"],"uri":["http://zotero.org/users/local/vDYxJ8mW/items/KCRDH6PR"],"itemData":{"id":1102,"type":"article-journal","title":"Lifestyle Markers Predict Cognitive Function","container-title":"Journal of the American College of Nutrition","page":"1-7","source":"PubMed","abstract":"OBJECTIVE: Rates of mild cognitive impairment and Alzheimer's disease are increasing rapidly. None of the current treatment regimens for Alzheimer's disease are effective in arresting progression. Lifestyle choices may prevent cognitive decline. This study aims to clarify which factors best predict cognitive function.\nMETHODS: This was a prospective cross-sectional analysis of 799 men and women undergoing health and cognitive testing every 1 to 3 years at an outpatient center. This study utilizes data collected from the first patient visit. Participant ages were 18 to 88 (mean = 50.7) years and the sample was 26.6% female and 73.4% male.\nOUTCOME MEASURES: Measurements were made of body composition, fasting laboratory and anthropometric measures, strength and aerobic fitness, nutrient and dietary intake, and carotid intimal media thickness (IMT). Each participant was tested with a computerized neurocognitive test battery. Cognitive outcomes were assessed in bivariate analyses using t-tests and correlation coefficients and in multivariable analysis (controlling for age) using multiple linear regression.\nRESULTS: The initial bivariate analyses showed better Neurocognitive Index (NCI) scores with lower age, greater fitness scores (push-up strength, VO2max, and exercise duration during treadmill testing), and lower fasting glucose levels. Better cognitive flexibility scores were also noted with younger age, lower systolic blood pressure, lower body fat, lower carotid IMT scores, greater fitness, and higher alcohol intake. After controlling for age, factors that remained associated with better NCI scores include no tobacco use, lower fasting glucose levels, and better fitness (aerobic and strength). Higher cognitive flexibility scores remained associated with greater aerobic and strength fitness, lower body fat, and higher intake of alcohol.\nCONCLUSIONS: Modifiable biomarkers that impact cognitive performance favorably include greater aerobic fitness and strength, lower blood sugar levels, greater alcohol intake, lower body fat, and avoidance of tobacco. Further studies are warranted to study whether modifying these lifestyle factors improves cognitive function and slows cognitive decline.","DOI":"10.1080/07315724.2017.1336128","ISSN":"1541-1087","note":"PMID: 28910193","journalAbbreviation":"J Am Coll Nutr","language":"eng","author":[{"family":"Masley","given":"Steven C."},{"family":"Roetzheim","given":"Richard"},{"family":"Clayton","given":"Gwendolyn"},{"family":"Presby","given":"Angela"},{"family":"Sundberg","given":"Kelley"},{"family":"Masley","given":"Lucas V."}],"issued":{"date-parts":[["2017",9,14]]}}},{"id":1100,"uris":["http://zotero.org/users/local/vDYxJ8mW/items/9ZPCGWCX"],"uri":["http://zotero.org/users/local/vDYxJ8mW/items/9ZPCGWCX"],"itemData":{"id":1100,"type":"article-journal","title":"Nutrient intake and cerebral metabolism in healthy middle-aged adults: Implications for cognitive aging","container-title":"Nutritional Neuroscience","page":"489-496","volume":"20","issue":"8","source":"PubMed","abstract":"OBJECTIVES: Growing evidence suggests dietary factors influence cognition, but the effects of nutrient intake on cerebral metabolism in adults are currently unknown. The present study investigated the relationship between major macronutrient intake (fat, carbohydrate, and protein) and cerebral neurochemical profiles in middle-aged adults.\nMETHODS: Thirty-six adults recorded dietary intake for 3 days prior to completing cognitive testing and a proton magnetic resonance spectroscopy ((1)H-MRS) scan. (1)H-MRS of occipitoparietal gray matter was used to assess glutamate (Glu), N-acetyl-aspartate (NAA), choline (Cho), and myo-inositol (mI) relative to creatine (Cr) levels.\nRESULTS: Regression analyses revealed that high intake of polyunsaturated fatty acids (PUFAs) was associated with lower cerebral Glu/Cr (P = 0.005), and high intake of saturated fat (SFA) was associated with poorer memory function (P = 0.030) independent of age, sex, education, estimated intelligence, total caloric intake, and body mass index.\nDISCUSSION: In midlife, greater PUFA intake (ω-3 and ω-6) may be associated with lower cerebral glutamate, potentially indicating more efficient cellular reuptake of glutamate. SFA intake, on the other hand, was linked with poorer memory performance. These results suggest that dietary fat intake modification may be an important intervention target for the prevention of cognitive decline.","DOI":"10.1080/1028415X.2016.1186341","ISSN":"1476-8305","note":"PMID: 27237189","shortTitle":"Nutrient intake and cerebral metabolism in healthy middle-aged adults","journalAbbreviation":"Nutr Neurosci","language":"eng","author":[{"family":"Oleson","given":"Stephanie"},{"family":"Gonzales","given":"Mitzi M."},{"family":"Tarumi","given":"Takashi"},{"family":"Davis","given":"Jaimie N."},{"family":"Cassill","given":"Carolyn K."},{"family":"Tanaka","given":"Hirofumi"},{"family":"Haley","given":"Andreana P."}],"issued":{"date-parts":[["2017",10]]}}}],"schema":"https://github.com/citation-style-language/schema/raw/master/csl-citation.json"} </w:instrText>
      </w:r>
      <w:r w:rsidRPr="008438F4">
        <w:rPr>
          <w:rFonts w:cs="Calibri"/>
          <w:sz w:val="24"/>
          <w:szCs w:val="24"/>
        </w:rPr>
        <w:fldChar w:fldCharType="separate"/>
      </w:r>
      <w:r w:rsidR="00AD2869" w:rsidRPr="008438F4">
        <w:rPr>
          <w:rFonts w:cs="Calibri"/>
          <w:sz w:val="24"/>
          <w:szCs w:val="24"/>
        </w:rPr>
        <w:t>(Marques-Aleixo, Oliveira, Moreira, Magalhães, &amp; Ascensão, 2012; Masley et al., 2017; Oleson et al., 2017)</w:t>
      </w:r>
      <w:r w:rsidRPr="008438F4">
        <w:rPr>
          <w:rFonts w:cs="Calibri"/>
          <w:sz w:val="24"/>
          <w:szCs w:val="24"/>
        </w:rPr>
        <w:fldChar w:fldCharType="end"/>
      </w:r>
      <w:r w:rsidRPr="008438F4">
        <w:rPr>
          <w:rFonts w:cs="Calibri"/>
          <w:sz w:val="24"/>
          <w:szCs w:val="24"/>
        </w:rPr>
        <w:t xml:space="preserve">. </w:t>
      </w:r>
    </w:p>
    <w:p w14:paraId="67ABEB61" w14:textId="72EE0C3F" w:rsidR="0099247D" w:rsidRPr="008438F4" w:rsidRDefault="0099247D" w:rsidP="00BD74FA">
      <w:pPr>
        <w:pStyle w:val="NoSpacing"/>
        <w:spacing w:line="360" w:lineRule="auto"/>
        <w:ind w:firstLine="720"/>
        <w:jc w:val="both"/>
        <w:rPr>
          <w:rFonts w:cs="Calibri"/>
          <w:sz w:val="24"/>
          <w:szCs w:val="24"/>
        </w:rPr>
      </w:pPr>
      <w:r w:rsidRPr="008438F4">
        <w:rPr>
          <w:rFonts w:cs="Calibri"/>
          <w:sz w:val="24"/>
          <w:szCs w:val="24"/>
        </w:rPr>
        <w:t>Based on what is known about the aging brain, it appears that the rate of brain changes, and many of the processes involved with these biological changes are unknown. Thus, in order to fully conceptualize fatigability in the context of the brain, neuroimaging can be u</w:t>
      </w:r>
      <w:r w:rsidR="00436BBC">
        <w:rPr>
          <w:rFonts w:cs="Calibri"/>
          <w:sz w:val="24"/>
          <w:szCs w:val="24"/>
        </w:rPr>
        <w:t>s</w:t>
      </w:r>
      <w:r w:rsidRPr="008438F4">
        <w:rPr>
          <w:rFonts w:cs="Calibri"/>
          <w:sz w:val="24"/>
          <w:szCs w:val="24"/>
        </w:rPr>
        <w:t xml:space="preserve">ed to identify potential neural correlates of fatigability in cases where deterioration is most abundant or non-existent in various regions of interest. </w:t>
      </w:r>
    </w:p>
    <w:p w14:paraId="4971DC74" w14:textId="77777777" w:rsidR="0099247D" w:rsidRPr="008438F4" w:rsidRDefault="0099247D" w:rsidP="0099247D">
      <w:pPr>
        <w:pStyle w:val="NoSpacing"/>
        <w:spacing w:line="360" w:lineRule="auto"/>
        <w:jc w:val="both"/>
        <w:rPr>
          <w:rFonts w:cs="Calibri"/>
          <w:sz w:val="24"/>
          <w:szCs w:val="24"/>
        </w:rPr>
      </w:pPr>
    </w:p>
    <w:p w14:paraId="30231D6B" w14:textId="6AFA0870" w:rsidR="00BD74FA" w:rsidRPr="008438F4" w:rsidRDefault="00806E0D" w:rsidP="00BD74FA">
      <w:pPr>
        <w:keepNext/>
        <w:jc w:val="center"/>
        <w:rPr>
          <w:rFonts w:ascii="Calibri" w:hAnsi="Calibri" w:cs="Calibri"/>
        </w:rPr>
      </w:pPr>
      <w:r>
        <w:rPr>
          <w:rFonts w:ascii="Calibri" w:hAnsi="Calibri" w:cs="Calibri"/>
          <w:noProof/>
        </w:rPr>
        <w:drawing>
          <wp:inline distT="0" distB="0" distL="0" distR="0" wp14:anchorId="21D35EB0" wp14:editId="4B3FD5CD">
            <wp:extent cx="5184775" cy="264604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775" cy="2646045"/>
                    </a:xfrm>
                    <a:prstGeom prst="rect">
                      <a:avLst/>
                    </a:prstGeom>
                    <a:noFill/>
                    <a:ln>
                      <a:noFill/>
                    </a:ln>
                  </pic:spPr>
                </pic:pic>
              </a:graphicData>
            </a:graphic>
          </wp:inline>
        </w:drawing>
      </w:r>
    </w:p>
    <w:p w14:paraId="4E2C4C17" w14:textId="5837E87B" w:rsidR="0099247D" w:rsidRPr="008438F4" w:rsidRDefault="00BD74FA" w:rsidP="00BD74FA">
      <w:pPr>
        <w:pStyle w:val="Caption"/>
        <w:jc w:val="center"/>
        <w:rPr>
          <w:rFonts w:ascii="Calibri" w:hAnsi="Calibri" w:cs="Calibri"/>
        </w:rPr>
      </w:pPr>
      <w:bookmarkStart w:id="25" w:name="_Toc497999646"/>
      <w:r w:rsidRPr="008438F4">
        <w:rPr>
          <w:rFonts w:ascii="Calibri" w:hAnsi="Calibri" w:cs="Calibri"/>
        </w:rPr>
        <w:t xml:space="preserve">Figure </w:t>
      </w:r>
      <w:r w:rsidRPr="008438F4">
        <w:rPr>
          <w:rFonts w:ascii="Calibri" w:hAnsi="Calibri" w:cs="Calibri"/>
        </w:rPr>
        <w:fldChar w:fldCharType="begin"/>
      </w:r>
      <w:r w:rsidRPr="008438F4">
        <w:rPr>
          <w:rFonts w:ascii="Calibri" w:hAnsi="Calibri" w:cs="Calibri"/>
        </w:rPr>
        <w:instrText xml:space="preserve"> SEQ Figure \* ARABIC </w:instrText>
      </w:r>
      <w:r w:rsidRPr="008438F4">
        <w:rPr>
          <w:rFonts w:ascii="Calibri" w:hAnsi="Calibri" w:cs="Calibri"/>
        </w:rPr>
        <w:fldChar w:fldCharType="separate"/>
      </w:r>
      <w:r w:rsidR="003B7E02">
        <w:rPr>
          <w:rFonts w:ascii="Calibri" w:hAnsi="Calibri" w:cs="Calibri"/>
          <w:noProof/>
        </w:rPr>
        <w:t>2</w:t>
      </w:r>
      <w:r w:rsidRPr="008438F4">
        <w:rPr>
          <w:rFonts w:ascii="Calibri" w:hAnsi="Calibri" w:cs="Calibri"/>
        </w:rPr>
        <w:fldChar w:fldCharType="end"/>
      </w:r>
      <w:r w:rsidRPr="008438F4">
        <w:rPr>
          <w:rFonts w:ascii="Calibri" w:hAnsi="Calibri" w:cs="Calibri"/>
        </w:rPr>
        <w:t>. Conceptual Model of Fatigability and Brain Health</w:t>
      </w:r>
      <w:bookmarkEnd w:id="25"/>
    </w:p>
    <w:p w14:paraId="146FED5E" w14:textId="77777777" w:rsidR="00BD74FA" w:rsidRPr="008438F4" w:rsidRDefault="00BD74FA" w:rsidP="0099247D">
      <w:pPr>
        <w:rPr>
          <w:rFonts w:ascii="Calibri" w:hAnsi="Calibri" w:cs="Calibri"/>
          <w:b/>
        </w:rPr>
      </w:pPr>
    </w:p>
    <w:p w14:paraId="24F1EEEA" w14:textId="77777777" w:rsidR="0099247D" w:rsidRPr="008438F4" w:rsidRDefault="0099247D" w:rsidP="001F2D4C">
      <w:pPr>
        <w:pStyle w:val="Style8"/>
        <w:rPr>
          <w:rFonts w:cs="Calibri"/>
        </w:rPr>
      </w:pPr>
      <w:bookmarkStart w:id="26" w:name="_Toc499840789"/>
      <w:r w:rsidRPr="008438F4">
        <w:rPr>
          <w:rFonts w:cs="Calibri"/>
        </w:rPr>
        <w:t>NEUROEPIDEMIOLOGY</w:t>
      </w:r>
      <w:bookmarkEnd w:id="26"/>
      <w:r w:rsidRPr="008438F4">
        <w:rPr>
          <w:rFonts w:cs="Calibri"/>
        </w:rPr>
        <w:t xml:space="preserve"> </w:t>
      </w:r>
    </w:p>
    <w:p w14:paraId="70675096" w14:textId="77777777" w:rsidR="0099247D" w:rsidRPr="008438F4" w:rsidRDefault="0099247D" w:rsidP="001F2D4C">
      <w:pPr>
        <w:pStyle w:val="Style9"/>
        <w:rPr>
          <w:rFonts w:cs="Calibri"/>
        </w:rPr>
      </w:pPr>
      <w:bookmarkStart w:id="27" w:name="_Toc499840790"/>
      <w:r w:rsidRPr="008438F4">
        <w:rPr>
          <w:rFonts w:cs="Calibri"/>
        </w:rPr>
        <w:t>Population Neuroscience</w:t>
      </w:r>
      <w:bookmarkEnd w:id="27"/>
    </w:p>
    <w:p w14:paraId="52031931" w14:textId="05932CB0" w:rsidR="001C3099" w:rsidRDefault="001C3099" w:rsidP="0099247D">
      <w:pPr>
        <w:pStyle w:val="NoSpacing"/>
        <w:spacing w:line="360" w:lineRule="auto"/>
        <w:jc w:val="both"/>
        <w:rPr>
          <w:rFonts w:cs="Calibri"/>
          <w:sz w:val="24"/>
          <w:szCs w:val="24"/>
        </w:rPr>
      </w:pPr>
      <w:r>
        <w:rPr>
          <w:rFonts w:cs="Calibri"/>
          <w:sz w:val="24"/>
          <w:szCs w:val="24"/>
        </w:rPr>
        <w:t>The population neurosc</w:t>
      </w:r>
      <w:r w:rsidR="0094400F">
        <w:rPr>
          <w:rFonts w:cs="Calibri"/>
          <w:sz w:val="24"/>
          <w:szCs w:val="24"/>
        </w:rPr>
        <w:t xml:space="preserve">ience approach has been adopted in neuroepidemiologic research to answer </w:t>
      </w:r>
      <w:r>
        <w:rPr>
          <w:rFonts w:cs="Calibri"/>
          <w:sz w:val="24"/>
          <w:szCs w:val="24"/>
        </w:rPr>
        <w:t>research questions</w:t>
      </w:r>
      <w:r w:rsidR="0094400F">
        <w:rPr>
          <w:rFonts w:cs="Calibri"/>
          <w:sz w:val="24"/>
          <w:szCs w:val="24"/>
        </w:rPr>
        <w:t xml:space="preserve"> that add to the </w:t>
      </w:r>
      <w:r>
        <w:rPr>
          <w:rFonts w:cs="Calibri"/>
          <w:sz w:val="24"/>
          <w:szCs w:val="24"/>
        </w:rPr>
        <w:t>map of complex relationships between neuro-psychological processes and behavioral outcomes</w:t>
      </w:r>
      <w:r w:rsidR="0094400F">
        <w:rPr>
          <w:rFonts w:cs="Calibri"/>
          <w:sz w:val="24"/>
          <w:szCs w:val="24"/>
        </w:rPr>
        <w:t xml:space="preserve"> at a population level.</w:t>
      </w:r>
      <w:r>
        <w:rPr>
          <w:rFonts w:cs="Calibri"/>
          <w:sz w:val="24"/>
          <w:szCs w:val="24"/>
        </w:rPr>
        <w:t xml:space="preserve"> Data</w:t>
      </w:r>
      <w:r w:rsidR="0099247D" w:rsidRPr="008438F4">
        <w:rPr>
          <w:rFonts w:cs="Calibri"/>
          <w:sz w:val="24"/>
          <w:szCs w:val="24"/>
        </w:rPr>
        <w:t xml:space="preserve"> </w:t>
      </w:r>
      <w:r>
        <w:rPr>
          <w:rFonts w:cs="Calibri"/>
          <w:sz w:val="24"/>
          <w:szCs w:val="24"/>
        </w:rPr>
        <w:t xml:space="preserve">collected using neuroimaging techniques, </w:t>
      </w:r>
      <w:r w:rsidR="0099247D" w:rsidRPr="008438F4">
        <w:rPr>
          <w:rFonts w:cs="Calibri"/>
          <w:sz w:val="24"/>
          <w:szCs w:val="24"/>
        </w:rPr>
        <w:t xml:space="preserve">such as magnetic resonance </w:t>
      </w:r>
      <w:r w:rsidRPr="008438F4">
        <w:rPr>
          <w:rFonts w:cs="Calibri"/>
          <w:sz w:val="24"/>
          <w:szCs w:val="24"/>
        </w:rPr>
        <w:t>imaging</w:t>
      </w:r>
      <w:r>
        <w:rPr>
          <w:rFonts w:cs="Calibri"/>
          <w:sz w:val="24"/>
          <w:szCs w:val="24"/>
        </w:rPr>
        <w:t>,</w:t>
      </w:r>
      <w:r w:rsidRPr="008438F4">
        <w:rPr>
          <w:rFonts w:cs="Calibri"/>
          <w:sz w:val="24"/>
          <w:szCs w:val="24"/>
        </w:rPr>
        <w:t xml:space="preserve"> </w:t>
      </w:r>
      <w:r>
        <w:rPr>
          <w:rFonts w:cs="Calibri"/>
          <w:sz w:val="24"/>
          <w:szCs w:val="24"/>
        </w:rPr>
        <w:t xml:space="preserve">have been used </w:t>
      </w:r>
      <w:r w:rsidR="0099247D" w:rsidRPr="008438F4">
        <w:rPr>
          <w:rFonts w:cs="Calibri"/>
          <w:sz w:val="24"/>
          <w:szCs w:val="24"/>
        </w:rPr>
        <w:t xml:space="preserve">to assess structural and functional properties of the human </w:t>
      </w:r>
      <w:r w:rsidR="0094400F">
        <w:rPr>
          <w:rFonts w:cs="Calibri"/>
          <w:sz w:val="24"/>
          <w:szCs w:val="24"/>
        </w:rPr>
        <w:t xml:space="preserve">brain in </w:t>
      </w:r>
      <w:r>
        <w:rPr>
          <w:rFonts w:cs="Calibri"/>
          <w:sz w:val="24"/>
          <w:szCs w:val="24"/>
        </w:rPr>
        <w:t xml:space="preserve">epidemiology studies. </w:t>
      </w:r>
      <w:r w:rsidR="0099247D" w:rsidRPr="008438F4">
        <w:rPr>
          <w:rFonts w:cs="Calibri"/>
          <w:sz w:val="24"/>
          <w:szCs w:val="24"/>
        </w:rPr>
        <w:t xml:space="preserve">Comparison of inter-individual variations of brain anatomy is critical for understanding the brain among both the healthy and sick. Heterogeneity in research samples allows researchers to assess a number of variables across diverse groups to uncover trends to drive future neuroscience research. </w:t>
      </w:r>
      <w:r>
        <w:rPr>
          <w:rFonts w:cs="Calibri"/>
          <w:sz w:val="24"/>
          <w:szCs w:val="24"/>
        </w:rPr>
        <w:t>This approach</w:t>
      </w:r>
      <w:r w:rsidR="0094400F">
        <w:rPr>
          <w:rFonts w:cs="Calibri"/>
          <w:sz w:val="24"/>
          <w:szCs w:val="24"/>
        </w:rPr>
        <w:t xml:space="preserve"> to neuroepidemiologic research</w:t>
      </w:r>
      <w:r>
        <w:rPr>
          <w:rFonts w:cs="Calibri"/>
          <w:sz w:val="24"/>
          <w:szCs w:val="24"/>
        </w:rPr>
        <w:t xml:space="preserve"> may </w:t>
      </w:r>
      <w:r w:rsidR="0094400F">
        <w:rPr>
          <w:rFonts w:cs="Calibri"/>
          <w:sz w:val="24"/>
          <w:szCs w:val="24"/>
        </w:rPr>
        <w:t xml:space="preserve">help </w:t>
      </w:r>
      <w:r>
        <w:rPr>
          <w:rFonts w:cs="Calibri"/>
          <w:sz w:val="24"/>
          <w:szCs w:val="24"/>
        </w:rPr>
        <w:t>lay the foundation for personalized preventativ</w:t>
      </w:r>
      <w:r w:rsidR="0094400F">
        <w:rPr>
          <w:rFonts w:cs="Calibri"/>
          <w:sz w:val="24"/>
          <w:szCs w:val="24"/>
        </w:rPr>
        <w:t>e medicine, and subsequently reduce</w:t>
      </w:r>
      <w:r>
        <w:rPr>
          <w:rFonts w:cs="Calibri"/>
          <w:sz w:val="24"/>
          <w:szCs w:val="24"/>
        </w:rPr>
        <w:t xml:space="preserve"> the burden </w:t>
      </w:r>
      <w:r w:rsidR="0094400F">
        <w:rPr>
          <w:rFonts w:cs="Calibri"/>
          <w:sz w:val="24"/>
          <w:szCs w:val="24"/>
        </w:rPr>
        <w:t xml:space="preserve">of poor brain health and cognitive decline. </w:t>
      </w:r>
    </w:p>
    <w:p w14:paraId="6EB70A0D" w14:textId="77777777" w:rsidR="0099247D" w:rsidRPr="008438F4" w:rsidRDefault="0099247D" w:rsidP="001F2D4C">
      <w:pPr>
        <w:pStyle w:val="Heading4"/>
        <w:rPr>
          <w:rFonts w:ascii="Calibri" w:hAnsi="Calibri" w:cs="Calibri"/>
        </w:rPr>
      </w:pPr>
      <w:bookmarkStart w:id="28" w:name="_Toc499840791"/>
      <w:r w:rsidRPr="008438F4">
        <w:rPr>
          <w:rFonts w:ascii="Calibri" w:hAnsi="Calibri" w:cs="Calibri"/>
        </w:rPr>
        <w:t>Magnetic Resonance Imaging (MRI)</w:t>
      </w:r>
      <w:bookmarkEnd w:id="28"/>
      <w:r w:rsidRPr="008438F4">
        <w:rPr>
          <w:rFonts w:ascii="Calibri" w:hAnsi="Calibri" w:cs="Calibri"/>
        </w:rPr>
        <w:t xml:space="preserve"> </w:t>
      </w:r>
    </w:p>
    <w:p w14:paraId="7F098BB5" w14:textId="77777777" w:rsidR="0099247D" w:rsidRPr="00F36434" w:rsidRDefault="0099247D" w:rsidP="0099247D">
      <w:pPr>
        <w:pStyle w:val="NoSpacing"/>
        <w:spacing w:line="360" w:lineRule="auto"/>
        <w:jc w:val="both"/>
        <w:rPr>
          <w:rFonts w:cs="Calibri"/>
          <w:sz w:val="24"/>
          <w:szCs w:val="24"/>
        </w:rPr>
      </w:pPr>
      <w:r w:rsidRPr="008438F4">
        <w:rPr>
          <w:rFonts w:cs="Calibri"/>
          <w:sz w:val="24"/>
          <w:szCs w:val="24"/>
        </w:rPr>
        <w:t xml:space="preserve">Magnetic Resonance Imaging can be used to study the brain in the context of fatigability. In a strong magnetic field, atom nuclei absorb and pulse radiofrequency energy. This energy is emitted as radio waves and are constructed using computerized software </w:t>
      </w:r>
      <w:r w:rsidRPr="008438F4">
        <w:rPr>
          <w:rFonts w:cs="Calibri"/>
          <w:sz w:val="24"/>
          <w:szCs w:val="24"/>
        </w:rPr>
        <w:fldChar w:fldCharType="begin"/>
      </w:r>
      <w:r w:rsidRPr="008438F4">
        <w:rPr>
          <w:rFonts w:cs="Calibri"/>
          <w:sz w:val="24"/>
          <w:szCs w:val="24"/>
        </w:rPr>
        <w:instrText xml:space="preserve"> ADDIN ZOTERO_ITEM CSL_CITATION {"citationID":"r57s4i1uq","properties":{"formattedCitation":"{\\rtf (\\uc0\\u8220{}Magnetic Resonance Imaging - MeSH - NCBI,\\uc0\\u8221{} n.d.)}","plainCitation":"(“Magnetic Resonance Imaging - MeSH - NCBI,” n.d.)"},"citationItems":[{"id":869,"uris":["http://zotero.org/users/local/vDYxJ8mW/items/N2RRTRAJ"],"uri":["http://zotero.org/users/local/vDYxJ8mW/items/N2RRTRAJ"],"itemData":{"id":869,"type":"webpage","title":"Magnetic Resonance Imaging - MeSH - NCBI","URL":"https://www.ncbi.nlm.nih.gov/mesh/68008279","accessed":{"date-parts":[["2017",7,27]]}}}],"schema":"https://github.com/citation-style-language/schema/raw/master/csl-citation.json"} </w:instrText>
      </w:r>
      <w:r w:rsidRPr="008438F4">
        <w:rPr>
          <w:rFonts w:cs="Calibri"/>
          <w:sz w:val="24"/>
          <w:szCs w:val="24"/>
        </w:rPr>
        <w:fldChar w:fldCharType="separate"/>
      </w:r>
      <w:r w:rsidR="00AD2869" w:rsidRPr="008438F4">
        <w:rPr>
          <w:rFonts w:cs="Calibri"/>
          <w:sz w:val="24"/>
          <w:szCs w:val="24"/>
        </w:rPr>
        <w:t>(“Magnetic Resonance Imaging - MeSH - NCBI,” n.d.)</w:t>
      </w:r>
      <w:r w:rsidRPr="008438F4">
        <w:rPr>
          <w:rFonts w:cs="Calibri"/>
          <w:sz w:val="24"/>
          <w:szCs w:val="24"/>
        </w:rPr>
        <w:fldChar w:fldCharType="end"/>
      </w:r>
      <w:r w:rsidRPr="008438F4">
        <w:rPr>
          <w:rFonts w:cs="Calibri"/>
          <w:sz w:val="24"/>
          <w:szCs w:val="24"/>
        </w:rPr>
        <w:t xml:space="preserve">. In the context of neurobiology and population neuroscience, MRI is referred to as the key phenotyping tool, and the instrumentation can run several scans of the brain to assess a number of structural and functional properties </w:t>
      </w:r>
      <w:r w:rsidRPr="008438F4">
        <w:rPr>
          <w:rFonts w:cs="Calibri"/>
          <w:sz w:val="24"/>
          <w:szCs w:val="24"/>
        </w:rPr>
        <w:fldChar w:fldCharType="begin"/>
      </w:r>
      <w:r w:rsidRPr="008438F4">
        <w:rPr>
          <w:rFonts w:cs="Calibri"/>
          <w:sz w:val="24"/>
          <w:szCs w:val="24"/>
        </w:rPr>
        <w:instrText xml:space="preserve"> ADDIN ZOTERO_ITEM CSL_CITATION {"citationID":"ehdj1i7h6","properties":{"formattedCitation":"(Shen et al., 2006)","plainCitation":"(Shen et al., 2006)"},"citationItems":[{"id":872,"uris":["http://zotero.org/users/local/vDYxJ8mW/items/MK6RTMU6"],"uri":["http://zotero.org/users/local/vDYxJ8mW/items/MK6RTMU6"],"itemData":{"id":872,"type":"article-journal","title":"Distinguishing sleepiness and fatigue: focus on definition and measurement","container-title":"Sleep Medicine Reviews","page":"63-76","volume":"10","issue":"1","source":"PubMed","abstract":"Sleepiness and fatigue are two interrelated, but distinct phenomena; observed in a number of psychiatric, medical and primary sleep disorders. Despite their different implications in terms of diagnosis and treatment, these two terms are often used interchangeably, or merged under the more general lay term of 'tired'. Sleepiness is multidimensional and has many causes (multidetermined) and distinguished from fatigue by a presumed impairment of the normal arousal mechanism. Despite its ubiquity, no clear consensus exits as yet as to what constitutes sleepiness. Definitions of sleepiness, to date, are at best operational definitions, conceptualized so as to produce specific assessment instruments. As a result, while a number of subjective and objective measurement tools have been developed to measure sleepiness, each only captures a limited aspect of an otherwise heterogeneous entity. Fatigue is an equally complex phenomenon, its nature captured by a number of conceptualizations and definitions. Measures of fatigue have remained subjective, with a 'gold standard' for its measurement remaining elusive. Despite a high prevalence and high degree of morbidity, fatigue has remained a relatively under appreciated symptom, from both a clinical and research point of view.","DOI":"10.1016/j.smrv.2005.05.004","ISSN":"1087-0792","note":"PMID: 16376590","shortTitle":"Distinguishing sleepiness and fatigue","journalAbbreviation":"Sleep Med Rev","language":"eng","author":[{"family":"Shen","given":"Jianhua"},{"family":"Barbera","given":"Joseph"},{"family":"Shapiro","given":"Colin M."}],"issued":{"date-parts":[["2006",2]]}}}],"schema":"https://github.com/citation-style-language/schema/raw/master/csl-citation.json"} </w:instrText>
      </w:r>
      <w:r w:rsidRPr="008438F4">
        <w:rPr>
          <w:rFonts w:cs="Calibri"/>
          <w:sz w:val="24"/>
          <w:szCs w:val="24"/>
        </w:rPr>
        <w:fldChar w:fldCharType="separate"/>
      </w:r>
      <w:r w:rsidR="00AD2869" w:rsidRPr="008438F4">
        <w:rPr>
          <w:rFonts w:cs="Calibri"/>
          <w:sz w:val="24"/>
        </w:rPr>
        <w:t>(Shen et al., 2006)</w:t>
      </w:r>
      <w:r w:rsidRPr="008438F4">
        <w:rPr>
          <w:rFonts w:cs="Calibri"/>
          <w:sz w:val="24"/>
          <w:szCs w:val="24"/>
        </w:rPr>
        <w:fldChar w:fldCharType="end"/>
      </w:r>
      <w:r w:rsidRPr="008438F4">
        <w:rPr>
          <w:rFonts w:cs="Calibri"/>
          <w:sz w:val="24"/>
          <w:szCs w:val="24"/>
        </w:rPr>
        <w:t>. Due to the widespread availability of MR scanners, and the noninvasive nature of the MRI scan, this neuroimaging modality is often used in neurobiology research at the population level. In the present study, 7T MRI scanners were used to capture whole brain, gray matter and white matter volume. This technology offers a highly detailed</w:t>
      </w:r>
      <w:r w:rsidRPr="008438F4">
        <w:rPr>
          <w:rFonts w:cs="Calibri"/>
          <w:sz w:val="24"/>
          <w:szCs w:val="24"/>
          <w:lang w:val="en"/>
        </w:rPr>
        <w:t xml:space="preserve"> superior soft tissue contrast and has a molecular imaging capability that makes it a particularly novel instrument for studying the neural correlates of fatigability.</w:t>
      </w:r>
      <w:r w:rsidRPr="008438F4">
        <w:rPr>
          <w:rFonts w:cs="Calibri"/>
          <w:sz w:val="24"/>
          <w:lang w:val="en"/>
        </w:rPr>
        <w:t xml:space="preserve"> </w:t>
      </w:r>
    </w:p>
    <w:p w14:paraId="2C4189AE" w14:textId="77777777" w:rsidR="0099247D" w:rsidRPr="008438F4" w:rsidRDefault="0099247D" w:rsidP="0099247D">
      <w:pPr>
        <w:pStyle w:val="NoSpacing"/>
        <w:spacing w:line="360" w:lineRule="auto"/>
        <w:jc w:val="both"/>
        <w:rPr>
          <w:rFonts w:cs="Calibri"/>
          <w:sz w:val="24"/>
          <w:szCs w:val="24"/>
        </w:rPr>
      </w:pPr>
    </w:p>
    <w:p w14:paraId="694B937A" w14:textId="77777777" w:rsidR="0099247D" w:rsidRPr="008438F4" w:rsidRDefault="0099247D" w:rsidP="001F2D4C">
      <w:pPr>
        <w:pStyle w:val="Heading4"/>
        <w:rPr>
          <w:rFonts w:ascii="Calibri" w:hAnsi="Calibri" w:cs="Calibri"/>
        </w:rPr>
      </w:pPr>
      <w:bookmarkStart w:id="29" w:name="_Toc499840792"/>
      <w:r w:rsidRPr="008438F4">
        <w:rPr>
          <w:rFonts w:ascii="Calibri" w:hAnsi="Calibri" w:cs="Calibri"/>
        </w:rPr>
        <w:t>Grey Matter</w:t>
      </w:r>
      <w:bookmarkEnd w:id="29"/>
      <w:r w:rsidRPr="008438F4">
        <w:rPr>
          <w:rFonts w:ascii="Calibri" w:hAnsi="Calibri" w:cs="Calibri"/>
        </w:rPr>
        <w:t xml:space="preserve"> </w:t>
      </w:r>
    </w:p>
    <w:p w14:paraId="1365A32A"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MRI technology is useful for imaging grey matter volume to examine structural regions of interest of the brain. Grey Matter is a component of the central nervous system and is typically darker in color than white matter. It is composed primarily of neuronal cell bodies, and is distinctly different from white matter, because it contains fewer myelinated nerve fibers. </w:t>
      </w:r>
    </w:p>
    <w:p w14:paraId="3D312EB1" w14:textId="77777777" w:rsidR="0099247D" w:rsidRPr="008438F4" w:rsidRDefault="0099247D" w:rsidP="001F2D4C">
      <w:pPr>
        <w:pStyle w:val="Heading4"/>
        <w:rPr>
          <w:rFonts w:ascii="Calibri" w:hAnsi="Calibri" w:cs="Calibri"/>
        </w:rPr>
      </w:pPr>
      <w:bookmarkStart w:id="30" w:name="_Toc499840793"/>
      <w:r w:rsidRPr="008438F4">
        <w:rPr>
          <w:rFonts w:ascii="Calibri" w:hAnsi="Calibri" w:cs="Calibri"/>
        </w:rPr>
        <w:t>White Matter</w:t>
      </w:r>
      <w:bookmarkEnd w:id="30"/>
    </w:p>
    <w:p w14:paraId="22D90B21" w14:textId="35482DF8"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White matter consists of nerve fibers and myelin. It serves many different functions, ranging from insulation of the axon to connecting nerve cells. Acceleration of electrical impulse conduction takes place in the white matter, which has been shown to be crucial for normal cognitive function. These white-matter fiber tracts connect cortical regions in the brain. </w:t>
      </w:r>
    </w:p>
    <w:p w14:paraId="7B8CA7C2" w14:textId="77777777" w:rsidR="0099247D" w:rsidRPr="008438F4" w:rsidRDefault="0099247D" w:rsidP="001F2D4C">
      <w:pPr>
        <w:pStyle w:val="Heading2"/>
        <w:rPr>
          <w:rFonts w:ascii="Calibri" w:hAnsi="Calibri" w:cs="Calibri"/>
        </w:rPr>
      </w:pPr>
      <w:bookmarkStart w:id="31" w:name="_Toc499840794"/>
      <w:r w:rsidRPr="008438F4">
        <w:rPr>
          <w:rFonts w:ascii="Calibri" w:hAnsi="Calibri" w:cs="Calibri"/>
        </w:rPr>
        <w:t>PREVIOUS RESEARCH</w:t>
      </w:r>
      <w:bookmarkEnd w:id="31"/>
    </w:p>
    <w:p w14:paraId="5E0CB536" w14:textId="77777777" w:rsidR="006C5223" w:rsidRPr="008438F4" w:rsidRDefault="006C5223" w:rsidP="006C5223">
      <w:pPr>
        <w:pStyle w:val="NoSpacing"/>
        <w:spacing w:line="360" w:lineRule="auto"/>
        <w:jc w:val="both"/>
        <w:rPr>
          <w:rFonts w:cs="Calibri"/>
          <w:sz w:val="24"/>
          <w:szCs w:val="24"/>
        </w:rPr>
      </w:pPr>
      <w:r w:rsidRPr="008438F4">
        <w:rPr>
          <w:rFonts w:cs="Calibri"/>
          <w:sz w:val="24"/>
          <w:szCs w:val="24"/>
        </w:rPr>
        <w:t xml:space="preserve">There is considerable evidence to suggest that fatigability may have neurobiological origins, and as such, a number of studies have been carried out to observe neural correlates of fatigue in animal models, populations with specific diseases, as well as in healthy, younger adults. </w:t>
      </w:r>
      <w:r w:rsidRPr="008438F4">
        <w:rPr>
          <w:rFonts w:cs="Calibri"/>
          <w:color w:val="000000"/>
          <w:sz w:val="24"/>
          <w:szCs w:val="24"/>
          <w:shd w:val="clear" w:color="auto" w:fill="FFFFFF"/>
        </w:rPr>
        <w:t>Neural correlates of fatigue have traditionally been investigated among patients who present with a secondary medical condition and studies are starting to investigate fatigue in a relatively health</w:t>
      </w:r>
      <w:r w:rsidR="007301BC">
        <w:rPr>
          <w:rFonts w:cs="Calibri"/>
          <w:color w:val="000000"/>
          <w:sz w:val="24"/>
          <w:szCs w:val="24"/>
          <w:shd w:val="clear" w:color="auto" w:fill="FFFFFF"/>
        </w:rPr>
        <w:t>y</w:t>
      </w:r>
      <w:r w:rsidRPr="008438F4">
        <w:rPr>
          <w:rFonts w:cs="Calibri"/>
          <w:color w:val="000000"/>
          <w:sz w:val="24"/>
          <w:szCs w:val="24"/>
          <w:shd w:val="clear" w:color="auto" w:fill="FFFFFF"/>
        </w:rPr>
        <w:t xml:space="preserve"> population. </w:t>
      </w:r>
      <w:r w:rsidRPr="008438F4">
        <w:rPr>
          <w:rFonts w:cs="Calibri"/>
          <w:sz w:val="24"/>
          <w:szCs w:val="24"/>
        </w:rPr>
        <w:t xml:space="preserve">Potential neural correlates of fatigue have been identified for Parkinson’s disease, traumatic brain injury, stroke and multiple sclerosis, but there is little consensus on specific brain regions associated with fatigue (Harrington, 2012; Kluger, Krupp, &amp; Enoka, 2013; Nakagawa et al., 2016; Rocca et al., 2014; Shan et al., 2016). </w:t>
      </w:r>
    </w:p>
    <w:p w14:paraId="2890BCA6" w14:textId="77777777" w:rsidR="006C5223" w:rsidRPr="008438F4" w:rsidRDefault="006C5223" w:rsidP="0099247D">
      <w:pPr>
        <w:pStyle w:val="NoSpacing"/>
        <w:spacing w:line="360" w:lineRule="auto"/>
        <w:jc w:val="both"/>
        <w:rPr>
          <w:rFonts w:cs="Calibri"/>
        </w:rPr>
      </w:pPr>
      <w:r w:rsidRPr="008438F4">
        <w:rPr>
          <w:rFonts w:cs="Calibri"/>
          <w:sz w:val="24"/>
          <w:szCs w:val="24"/>
        </w:rPr>
        <w:tab/>
      </w:r>
      <w:r w:rsidR="0099247D" w:rsidRPr="008438F4">
        <w:rPr>
          <w:rFonts w:cs="Calibri"/>
          <w:sz w:val="24"/>
          <w:szCs w:val="24"/>
        </w:rPr>
        <w:t xml:space="preserve">The normal aging process is associated with atrophy of cortical brain regions, but specific regions associated with fatigability in older adults are presently unknown (Fjell et al., 2009; Raz, Gunning-Dixon, Head, Dupuis, &amp; Acker, 1998; Scahill et al., 2003). It is plausible that changes in whole brain atrophy may be related to fatigability, and as such, whole brain volume may be considered as a potential neural correlate of fatigability.  Based on previous literature, and what is known about the functional networks in the brain, the following regions of interest have been highlighted as potential neural correlates of fatigability: the amygdala, caudate, cingulate, middle frontal gyrus, orbitofrontal cortex, medial superior frontal gyrus, hippocampus, putamen, and thalamus. </w:t>
      </w:r>
    </w:p>
    <w:p w14:paraId="53A1F296" w14:textId="349AA2D0" w:rsidR="0099247D" w:rsidRPr="008438F4" w:rsidRDefault="0099247D" w:rsidP="006C5223">
      <w:pPr>
        <w:pStyle w:val="NoSpacing"/>
        <w:spacing w:line="360" w:lineRule="auto"/>
        <w:ind w:firstLine="720"/>
        <w:jc w:val="both"/>
        <w:rPr>
          <w:rFonts w:cs="Calibri"/>
          <w:sz w:val="24"/>
          <w:szCs w:val="24"/>
        </w:rPr>
      </w:pPr>
      <w:r w:rsidRPr="008438F4">
        <w:rPr>
          <w:rFonts w:cs="Calibri"/>
          <w:sz w:val="24"/>
          <w:szCs w:val="24"/>
        </w:rPr>
        <w:t xml:space="preserve">The amygdala is a part of the neural circuitry for emotion and </w:t>
      </w:r>
      <w:r w:rsidRPr="008438F4">
        <w:rPr>
          <w:rFonts w:cs="Calibri"/>
          <w:color w:val="000000"/>
          <w:sz w:val="24"/>
          <w:szCs w:val="24"/>
          <w:shd w:val="clear" w:color="auto" w:fill="FFFFFF"/>
        </w:rPr>
        <w:t>emotional learning through a reward or aversive event</w:t>
      </w:r>
      <w:r w:rsidR="004A072B">
        <w:rPr>
          <w:rFonts w:cs="Calibri"/>
          <w:color w:val="000000"/>
          <w:sz w:val="24"/>
          <w:szCs w:val="24"/>
          <w:shd w:val="clear" w:color="auto" w:fill="FFFFFF"/>
        </w:rPr>
        <w:t xml:space="preserve">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{"citationID":"8uugsauo1","properties":{"formattedCitation":"(Gallagher &amp; Chiba, 1996)","plainCitation":"(Gallagher &amp; Chiba, 1996)"},"citationItems":[{"id":1111,"uris":["http://zotero.org/users/local/vDYxJ8mW/items/PBPFHWTC"],"uri":["http://zotero.org/users/local/vDYxJ8mW/items/PBPFHWTC"],"itemData":{"id":1111,"type":"article-journal","title":"The amygdala and emotion","container-title":"Current Opinion in Neurobiology","page":"221-227","volume":"6","issue":"2","source":"PubMed","abstract":"The amygdala complex has long been known as part of the neural circuitry critical for emotion. Beyond its role in emotional reactivity, studies of animal models and patients with amygdala damage demonstrate its importance in emotional learning, whereby cues acquire significance through association with rewarding or aversive events. Although its function in associative learning has become well established, other recent research has advanced the concept that the amygdala regulates additional cognitive processes, such as memory or attention. For example, a correspondence in the function of the amygdala has recently been shown in the modulation of memory in humans and laboratory animals. The use of animal models has progressively defined the circuitry for these functions within the amygdala and its interconnections with other brain systems, including pathways through which the amygdala modulates memory and regulates attention. These various lines of research are progressively advancing our understanding of the amygdala's role in providing linkages between affect and cognition.","ISSN":"0959-4388","note":"PMID: 8725964","journalAbbreviation":"Curr. Opin. Neurobiol.","language":"eng","author":[{"family":"Gallagher","given":"M."},{"family":"Chiba","given":"A. A."}],"issued":{"date-parts":[["1996",4]]}}}],"schema":"https://github.com/citation-style-language/schema/raw/master/csl-citation.json"} </w:instrText>
      </w:r>
      <w:r w:rsidRPr="008438F4">
        <w:rPr>
          <w:rFonts w:cs="Calibri"/>
          <w:color w:val="000000"/>
          <w:sz w:val="24"/>
          <w:szCs w:val="24"/>
          <w:shd w:val="clear" w:color="auto" w:fill="FFFFFF"/>
        </w:rPr>
        <w:fldChar w:fldCharType="separate"/>
      </w:r>
      <w:r w:rsidR="00AD2869" w:rsidRPr="008438F4">
        <w:rPr>
          <w:rFonts w:cs="Calibri"/>
          <w:sz w:val="24"/>
        </w:rPr>
        <w:t>(Gallagher &amp; Chiba, 1996)</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w:t>
      </w:r>
      <w:r w:rsidRPr="008438F4">
        <w:rPr>
          <w:rFonts w:cs="Calibri"/>
          <w:color w:val="000000"/>
          <w:sz w:val="20"/>
          <w:szCs w:val="20"/>
          <w:shd w:val="clear" w:color="auto" w:fill="FFFFFF"/>
        </w:rPr>
        <w:t xml:space="preserve"> </w:t>
      </w:r>
      <w:r w:rsidRPr="008438F4">
        <w:rPr>
          <w:rFonts w:cs="Calibri"/>
          <w:color w:val="000000"/>
          <w:sz w:val="24"/>
          <w:szCs w:val="24"/>
          <w:shd w:val="clear" w:color="auto" w:fill="FFFFFF"/>
        </w:rPr>
        <w:t xml:space="preserve">It is postulated that emotional learning may have an impact on behavioral motivation, and consequently may be related to subjective fatigability. </w:t>
      </w:r>
      <w:r w:rsidRPr="008438F4">
        <w:rPr>
          <w:rFonts w:cs="Calibri"/>
          <w:sz w:val="24"/>
          <w:szCs w:val="24"/>
        </w:rPr>
        <w:t xml:space="preserve">A recent study using animal models to explore the effects of social stress </w:t>
      </w:r>
      <w:r w:rsidR="00C8159D" w:rsidRPr="008438F4">
        <w:rPr>
          <w:rFonts w:cs="Calibri"/>
          <w:sz w:val="24"/>
          <w:szCs w:val="24"/>
        </w:rPr>
        <w:t>on f</w:t>
      </w:r>
      <w:r w:rsidR="00AC01FD" w:rsidRPr="008438F4">
        <w:rPr>
          <w:rFonts w:cs="Calibri"/>
          <w:sz w:val="24"/>
          <w:szCs w:val="24"/>
        </w:rPr>
        <w:t>atigue</w:t>
      </w:r>
      <w:r w:rsidR="00410503" w:rsidRPr="008438F4">
        <w:rPr>
          <w:rFonts w:cs="Calibri"/>
          <w:sz w:val="24"/>
          <w:szCs w:val="24"/>
        </w:rPr>
        <w:t xml:space="preserve"> </w:t>
      </w:r>
      <w:r w:rsidRPr="008438F4">
        <w:rPr>
          <w:rFonts w:cs="Calibri"/>
          <w:sz w:val="24"/>
          <w:szCs w:val="24"/>
        </w:rPr>
        <w:t>discovered that gene-expression</w:t>
      </w:r>
      <w:r w:rsidR="00410503" w:rsidRPr="008438F4">
        <w:rPr>
          <w:rFonts w:cs="Calibri"/>
          <w:sz w:val="24"/>
          <w:szCs w:val="24"/>
        </w:rPr>
        <w:t xml:space="preserve"> was altered in </w:t>
      </w:r>
      <w:r w:rsidRPr="008438F4">
        <w:rPr>
          <w:rFonts w:cs="Calibri"/>
          <w:sz w:val="24"/>
          <w:szCs w:val="24"/>
        </w:rPr>
        <w:t>inflammation pathways and G-protein coupled receptors</w:t>
      </w:r>
      <w:r w:rsidR="00410503" w:rsidRPr="008438F4">
        <w:rPr>
          <w:rFonts w:cs="Calibri"/>
          <w:sz w:val="24"/>
          <w:szCs w:val="24"/>
        </w:rPr>
        <w:t xml:space="preserve"> </w:t>
      </w:r>
      <w:r w:rsidRPr="008438F4">
        <w:rPr>
          <w:rFonts w:cs="Calibri"/>
          <w:sz w:val="24"/>
          <w:szCs w:val="24"/>
        </w:rPr>
        <w:t xml:space="preserve">in the prefrontal cortex and the amygdala </w:t>
      </w:r>
      <w:r w:rsidRPr="008438F4">
        <w:rPr>
          <w:rFonts w:cs="Calibri"/>
          <w:sz w:val="24"/>
          <w:szCs w:val="24"/>
        </w:rPr>
        <w:fldChar w:fldCharType="begin"/>
      </w:r>
      <w:r w:rsidRPr="008438F4">
        <w:rPr>
          <w:rFonts w:cs="Calibri"/>
          <w:sz w:val="24"/>
          <w:szCs w:val="24"/>
        </w:rPr>
        <w:instrText xml:space="preserve"> ADDIN ZOTERO_ITEM CSL_CITATION {"citationID":"a16hefukhte","properties":{"formattedCitation":"(Azzinnari et al., 2014)","plainCitation":"(Azzinnari et al., 2014)"},"citationItems":[{"id":1109,"uris":["http://zotero.org/users/local/vDYxJ8mW/items/EFHVJK74"],"uri":["http://zotero.org/users/local/vDYxJ8mW/items/EFHVJK74"],"itemData":{"id":1109,"type":"article-journal","title":"Mouse social stress induces increased fear conditioning, helplessness and fatigue to physical challenge together with markers of altered immune and dopamine function","container-title":"Neuropharmacology","page":"328-341","volume":"85","source":"PubMed","abstract":"In neuropsychiatry, animal studies demonstrating causal effects of environmental manipulations relevant to human aetiology on behaviours relevant to human psychopathologies are valuable. Such valid models can improve understanding of aetio-pathophysiology and preclinical discovery and development of new treatments. In depression, specific uncontrollable stressful life events are major aetiological factors, and subsequent generalized increases in fearfulness, helplessness and fatigue are core symptoms or features. Here we exposed adult male C57BL/6 mice to 15-day psychosocial stress with loss of social control but minimal physical wounding. One cohort was assessed in a 3-day test paradigm of motor activity, fear conditioning and 2-way avoid-escape behaviour on days 16-18, and a second cohort was assessed in a treadmill fatigue paradigm on days 19 and 29, followed by the 3-day paradigm on days 30-32. All tests used a physical aversive stimulus, namely mild, brief electroshocks. Socially stressed mice displayed decreased motor activity, increased fear acquisition, decreased 2-way avoid-escape responding (increased helplessness) and increased fatigue. They also displayed increased plasma TNF and spleen hypertrophy, and adrenal hypertrophy without hyper-corticoidism. In a third cohort, psychosocial stress effects on brain gene expression were assessed using next generation sequencing. Gene expression was altered in pathways of inflammation and G-protein coupled receptors in prefrontal cortex and amygdala; in the latter, expression of genes important in dopamine function were de-regulated including down-regulated Drd2, Adora2a and Darpp-32. This model can be applied to identify targets for treating psychopathologies such as helplessness or fatigue, and to screen compounds/biologics developed to act at these targets.","DOI":"10.1016/j.neuropharm.2014.05.039","ISSN":"1873-7064","note":"PMID: 24907589","journalAbbreviation":"Neuropharmacology","language":"eng","author":[{"family":"Azzinnari","given":"Damiano"},{"family":"Sigrist","given":"Hannes"},{"family":"Staehli","given":"Simon"},{"family":"Palme","given":"Rupert"},{"family":"Hildebrandt","given":"Tobias"},{"family":"Leparc","given":"German"},{"family":"Hengerer","given":"Bastian"},{"family":"Seifritz","given":"Erich"},{"family":"Pryce","given":"Christopher R."}],"issued":{"date-parts":[["2014",10]]}}}],"schema":"https://github.com/citation-style-language/schema/raw/master/csl-citation.json"} </w:instrText>
      </w:r>
      <w:r w:rsidRPr="008438F4">
        <w:rPr>
          <w:rFonts w:cs="Calibri"/>
          <w:sz w:val="24"/>
          <w:szCs w:val="24"/>
        </w:rPr>
        <w:fldChar w:fldCharType="separate"/>
      </w:r>
      <w:r w:rsidR="00AD2869" w:rsidRPr="008438F4">
        <w:rPr>
          <w:rFonts w:cs="Calibri"/>
          <w:sz w:val="24"/>
        </w:rPr>
        <w:t>(Azzinnari et al., 2014)</w:t>
      </w:r>
      <w:r w:rsidRPr="008438F4">
        <w:rPr>
          <w:rFonts w:cs="Calibri"/>
          <w:sz w:val="24"/>
          <w:szCs w:val="24"/>
        </w:rPr>
        <w:fldChar w:fldCharType="end"/>
      </w:r>
      <w:r w:rsidRPr="008438F4">
        <w:rPr>
          <w:rFonts w:cs="Calibri"/>
          <w:sz w:val="24"/>
          <w:szCs w:val="24"/>
        </w:rPr>
        <w:t xml:space="preserve">. These findings suggest that the amygdala and frontal cortices may </w:t>
      </w:r>
      <w:r w:rsidR="00AC01FD" w:rsidRPr="008438F4">
        <w:rPr>
          <w:rFonts w:cs="Calibri"/>
          <w:sz w:val="24"/>
          <w:szCs w:val="24"/>
        </w:rPr>
        <w:t xml:space="preserve">be </w:t>
      </w:r>
      <w:r w:rsidRPr="008438F4">
        <w:rPr>
          <w:rFonts w:cs="Calibri"/>
          <w:sz w:val="24"/>
          <w:szCs w:val="24"/>
        </w:rPr>
        <w:t xml:space="preserve">potential regions of interest for future study. The amygdala has largely been understudied in the context of fatigue, and therefore, the addition of this region of interest may contribute to the current literature on what is known about the amygdala’s role in fatigue. </w:t>
      </w:r>
    </w:p>
    <w:p w14:paraId="06E44CDF" w14:textId="2D185F42" w:rsidR="00C8159D" w:rsidRPr="008438F4" w:rsidRDefault="00C8159D" w:rsidP="006C5223">
      <w:pPr>
        <w:pStyle w:val="NoSpacing"/>
        <w:spacing w:line="360" w:lineRule="auto"/>
        <w:ind w:firstLine="720"/>
        <w:jc w:val="both"/>
        <w:rPr>
          <w:rFonts w:cs="Calibri"/>
          <w:color w:val="000000"/>
          <w:sz w:val="24"/>
          <w:szCs w:val="24"/>
          <w:shd w:val="clear" w:color="auto" w:fill="FFFFFF"/>
        </w:rPr>
      </w:pPr>
      <w:r w:rsidRPr="008438F4">
        <w:rPr>
          <w:rFonts w:cs="Calibri"/>
          <w:color w:val="000000"/>
          <w:sz w:val="24"/>
          <w:szCs w:val="24"/>
          <w:shd w:val="clear" w:color="auto" w:fill="FFFFFF"/>
        </w:rPr>
        <w:t>The hippocampus is also a part of the limbic system and plays a role in long-term memory and working memory</w:t>
      </w:r>
      <w:r w:rsidR="004A072B">
        <w:rPr>
          <w:rFonts w:cs="Calibri"/>
          <w:color w:val="000000"/>
          <w:sz w:val="24"/>
          <w:szCs w:val="24"/>
          <w:shd w:val="clear" w:color="auto" w:fill="FFFFFF"/>
        </w:rPr>
        <w:t xml:space="preserve">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{"citationID":"MxwhsFdQ","properties":{"formattedCitation":"(Axmacher et al., 2010; Poch &amp; Campo, 2012)","plainCitation":"(Axmacher et al., 2010; Poch &amp; Campo, 2012)"},"citationItems":[{"id":1132,"uris":["http://zotero.org/users/local/vDYxJ8mW/items/X3ZTEHF8"],"uri":["http://zotero.org/users/local/vDYxJ8mW/items/X3ZTEHF8"],"itemData":{"id":1132,"type":"article-journal","title":"Cross-frequency coupling supports multi-item working memory in the human hippocampus","container-title":"Proceedings of the National Academy of Sciences of the United States of America","page":"3228-3233","volume":"107","issue":"7","source":"PubMed Central","abstract":"Recent findings indicate that the hippocampus supports not only long-term memory encoding but also plays a role in working memory (WM) maintenance of multiple items; however, the neural mechanism underlying multi-item maintenance is still unclear. Theoretical work suggests that multiple items are being maintained by neural assemblies synchronized in the gamma frequency range (25–100 Hz) that are locked to consecutive phase ranges of oscillatory activity in the theta frequency range (4–8 Hz). Indeed, cross-frequency coupling of the amplitude of high-frequency activity to the phase of slower oscillations has been described both in animals and in humans, but has never been linked to a theoretical model of a cognitive process. Here we used intracranial EEG recordings in human epilepsy patients to test pivotal predictions from theoretical work. First, we show that simultaneous maintenance of multiple items in WM is accompanied by cross-frequency coupling of oscillatory activity in the hippocampus, which is recruited during multi-item WM. Second, maintenance of an increasing number of items is associated with modulation of beta/gamma amplitude with theta band activity of lower frequency, consistent with the idea that longer cycles are required for an increased number of representations by gamma cycles. This effect cannot be explained by a difference in theta or beta/gamma power. Third, we describe how the precision of cross-frequency coupling predicts individual WM performance. These data support the idea that working memory in humans depends on a neural code using phase information.","DOI":"10.1073/pnas.0911531107","ISSN":"0027-8424","note":"PMID: 20133762\nPMCID: PMC2840289","journalAbbreviation":"Proc Natl Acad Sci U S A","author":[{"family":"Axmacher","given":"Nikolai"},{"family":"Henseler","given":"Melanie M."},{"family":"Jensen","given":"Ole"},{"family":"Weinreich","given":"Ilona"},{"family":"Elger","given":"Christian E."},{"family":"Fell","given":"Juergen"}],"issued":{"date-parts":[["2010",2,16]]}}},{"id":1138,"uris":["http://zotero.org/users/local/vDYxJ8mW/items/NBWAR42H"],"uri":["http://zotero.org/users/local/vDYxJ8mW/items/NBWAR42H"],"itemData":{"id":1138,"type":"article-journal","title":"Neocortical-hippocampal dynamics of working memory in healthy and diseased brain states based on functional connectivity","container-title":"Frontiers in Human Neuroscience","volume":"6","source":"PubMed Central","abstract":"Working memory (WM) is the ability to transiently maintain and manipulate internal representations beyond its external availability to the senses. This process is thought to support high level cognitive abilities and been shown to be strongly predictive of individual intelligence and reasoning abilities. While early models of WM have relied on a modular perspective of brain functioning, more recent evidence suggests that cognitive functions emerge from the interactions of multiple brain regions to generate large-scale networks. Here we will review the current research on functional connectivity of WM processes to highlight the critical role played by neural interactions in healthy and pathological brain states. Recent findings demonstrate that WM abilities are not determined solely by local brain activity, but also rely on the functional coupling of neocortical-hippocampal regions to support WM processes. Although the hippocampus has long been held to be important for long-term declarative memory, recent evidence suggests that the hippocampus may also be necessary to coordinate disparate cortical regions supporting the periodic reactivation of internal representations in WM. Furthermore, recent brain imaging studies using connectivity measures, have shown that changes in cortico-limbic interactions can be useful to characterize WM impairments observed in different neuropathological conditions. Recent advances in electrophysiological and neuroimaging techniques to model network activity has led to important insights into how neocortical and hippocampal regions support WM processes and how disruptions along this network can lead to the memory impairments commonly reported in many neuropathological populations.","URL":"http://www.ncbi.nlm.nih.gov/pmc/articles/PMC3293391/","DOI":"10.3389/fnhum.2012.00036","ISSN":"1662-5161","note":"PMID: 22403534\nPMCID: PMC3293391","journalAbbreviation":"Front Hum Neurosci","author":[{"family":"Poch","given":"Claudia"},{"family":"Campo","given":"Pablo"}],"issued":{"date-parts":[["2012",3,5]]}}}],"schema":"https://github.com/citation-style-language/schema/raw/master/csl-citation.json"}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(Axmacher et al., 2010; Poch &amp; Campo, 2012)</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The hippocampus is involved with the stress response, and emerging evidence suggests that it interacts with dopaminergic systems relative to synaptic plasticity, adaptive memory, and motivated behavior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{"citationID":"ah3op8vd4m","properties":{"formattedCitation":"(Calabresi, Castrioto, Di Filippo, &amp; Picconi, 2013)","plainCitation":"(Calabresi, Castrioto, Di Filippo, &amp; Picconi, 2013)"},"citationItems":[{"id":1198,"uris":["http://zotero.org/users/local/vDYxJ8mW/items/JBCN7MJN"],"uri":["http://zotero.org/users/local/vDYxJ8mW/items/JBCN7MJN"],"itemData":{"id":1198,"type":"article-journal","title":"New experimental and clinical links between the hippocampus and the dopaminergic system in Parkinson's disease","container-title":"The Lancet. Neurology","page":"811-821","volume":"12","issue":"8","source":"PubMed","abstract":"Parkinson's disease is a common progressive neurodegenerative disease, of which the main neuropathological hallmark is dopaminergic neuronal loss. Increased attention has been directed towards non-motor symptoms in Parkinson's disease, such as cognitive impairment and behavioural disorders. Clinical and experimental findings support the view that the hippocampus, a temporal lobe structure involved in physiological learning and memory, is also implicated in the cognitive dysfunction seen in some patients with Parkinson's disease. Moreover, emerging data suggest interactions between the dopaminergic systems and the hippocampus in synaptic plasticity, adaptive memory, and motivated behaviour. This structure is also implicated in the pathophysiology of other non-motor symptoms, such as impulse control disorders, anosmia, and fatigue. Evidence from clinical observations and experimental studies suggest a complex hippocampal cross-talk among the dopaminergic and other transmitter systems. Furthermore, neurotrophic factors might interact with the hippocampal dopaminergic system having possible implications on the non-motor symptoms seen in patients with Parkinson's disease.","DOI":"10.1016/S1474-4422(13)70118-2","ISSN":"1474-4465","note":"PMID: 23867199","journalAbbreviation":"Lancet Neurol","language":"eng","author":[{"family":"Calabresi","given":"Paolo"},{"family":"Castrioto","given":"Anna"},{"family":"Di Filippo","given":"Massimiliano"},{"family":"Picconi","given":"Barbara"}],"issued":{"date-parts":[["2013",8]]}}}],"schema":"https://github.com/citation-style-language/schema/raw/master/csl-citation.json"}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(Calabresi, Castrioto, Di Filippo, &amp; Picconi, 2013)</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As such, fatigue mechanisms may be implicated in </w:t>
      </w:r>
      <w:r w:rsidR="004A072B">
        <w:rPr>
          <w:rFonts w:cs="Calibri"/>
          <w:color w:val="000000"/>
          <w:sz w:val="24"/>
          <w:szCs w:val="24"/>
          <w:shd w:val="clear" w:color="auto" w:fill="FFFFFF"/>
        </w:rPr>
        <w:t xml:space="preserve">the </w:t>
      </w:r>
      <w:r w:rsidRPr="008438F4">
        <w:rPr>
          <w:rFonts w:cs="Calibri"/>
          <w:color w:val="000000"/>
          <w:sz w:val="24"/>
          <w:szCs w:val="24"/>
          <w:shd w:val="clear" w:color="auto" w:fill="FFFFFF"/>
        </w:rPr>
        <w:t xml:space="preserve">dopaminergic neuronal loss in the hippocampus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{"citationID":"a16jsh0pn0r","properties":{"formattedCitation":"(Calabresi et al., 2013)","plainCitation":"(Calabresi et al., 2013)"},"citationItems":[{"id":1198,"uris":["http://zotero.org/users/local/vDYxJ8mW/items/JBCN7MJN"],"uri":["http://zotero.org/users/local/vDYxJ8mW/items/JBCN7MJN"],"itemData":{"id":1198,"type":"article-journal","title":"New experimental and clinical links between the hippocampus and the dopaminergic system in Parkinson's disease","container-title":"The Lancet. Neurology","page":"811-821","volume":"12","issue":"8","source":"PubMed","abstract":"Parkinson's disease is a common progressive neurodegenerative disease, of which the main neuropathological hallmark is dopaminergic neuronal loss. Increased attention has been directed towards non-motor symptoms in Parkinson's disease, such as cognitive impairment and behavioural disorders. Clinical and experimental findings support the view that the hippocampus, a temporal lobe structure involved in physiological learning and memory, is also implicated in the cognitive dysfunction seen in some patients with Parkinson's disease. Moreover, emerging data suggest interactions between the dopaminergic systems and the hippocampus in synaptic plasticity, adaptive memory, and motivated behaviour. This structure is also implicated in the pathophysiology of other non-motor symptoms, such as impulse control disorders, anosmia, and fatigue. Evidence from clinical observations and experimental studies suggest a complex hippocampal cross-talk among the dopaminergic and other transmitter systems. Furthermore, neurotrophic factors might interact with the hippocampal dopaminergic system having possible implications on the non-motor symptoms seen in patients with Parkinson's disease.","DOI":"10.1016/S1474-4422(13)70118-2","ISSN":"1474-4465","note":"PMID: 23867199","journalAbbreviation":"Lancet Neurol","language":"eng","author":[{"family":"Calabresi","given":"Paolo"},{"family":"Castrioto","given":"Anna"},{"family":"Di Filippo","given":"Massimiliano"},{"family":"Picconi","given":"Barbara"}],"issued":{"date-parts":[["2013",8]]}}}],"schema":"https://github.com/citation-style-language/schema/raw/master/csl-citation.json"}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(Calabresi et al., 2013)</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w:t>
      </w:r>
    </w:p>
    <w:p w14:paraId="7F65BB75" w14:textId="737C7A8D" w:rsidR="007301BC" w:rsidRPr="008438F4" w:rsidRDefault="007301BC" w:rsidP="007301BC">
      <w:pPr>
        <w:pStyle w:val="NoSpacing"/>
        <w:tabs>
          <w:tab w:val="left" w:pos="2880"/>
        </w:tabs>
        <w:spacing w:line="360" w:lineRule="auto"/>
        <w:ind w:firstLine="720"/>
        <w:jc w:val="both"/>
        <w:rPr>
          <w:rFonts w:cs="Calibri"/>
          <w:sz w:val="24"/>
          <w:szCs w:val="24"/>
        </w:rPr>
      </w:pPr>
      <w:r w:rsidRPr="008438F4">
        <w:rPr>
          <w:rFonts w:cs="Calibri"/>
          <w:sz w:val="24"/>
          <w:szCs w:val="24"/>
        </w:rPr>
        <w:t>In healthy subjects, regional grey and white matter integrity of the basal ganglia and frontal lobes ha</w:t>
      </w:r>
      <w:r w:rsidR="004A072B">
        <w:rPr>
          <w:rFonts w:cs="Calibri"/>
          <w:sz w:val="24"/>
          <w:szCs w:val="24"/>
        </w:rPr>
        <w:t>ve</w:t>
      </w:r>
      <w:r w:rsidRPr="008438F4">
        <w:rPr>
          <w:rFonts w:cs="Calibri"/>
          <w:sz w:val="24"/>
          <w:szCs w:val="24"/>
        </w:rPr>
        <w:t xml:space="preserve"> been explored as potential correlates of fatigue only in younger adults. The basal ganglia are subcortical masses located in the basal regions of the cerebral hemispheres. </w:t>
      </w:r>
      <w:r w:rsidR="004A072B">
        <w:rPr>
          <w:rFonts w:cs="Calibri"/>
          <w:sz w:val="24"/>
          <w:szCs w:val="24"/>
        </w:rPr>
        <w:t>Their</w:t>
      </w:r>
      <w:r w:rsidRPr="008438F4">
        <w:rPr>
          <w:rFonts w:cs="Calibri"/>
          <w:sz w:val="24"/>
          <w:szCs w:val="24"/>
        </w:rPr>
        <w:t xml:space="preserve"> functions are highly related to movements combined with reward-related activity (“Reward functions of the basal ganglia | SpringerLink,” n.d.). Lesions of specific </w:t>
      </w:r>
      <w:r w:rsidR="004A072B">
        <w:rPr>
          <w:rFonts w:cs="Calibri"/>
          <w:sz w:val="24"/>
          <w:szCs w:val="24"/>
        </w:rPr>
        <w:t>sub-</w:t>
      </w:r>
      <w:r w:rsidRPr="008438F4">
        <w:rPr>
          <w:rFonts w:cs="Calibri"/>
          <w:sz w:val="24"/>
          <w:szCs w:val="24"/>
        </w:rPr>
        <w:t xml:space="preserve">regions of the basal ganglia, namely the nucleus accumbens, are related to self-stimulation of dopamine neurons and reward and motivation. These processes are often related to habit-learning to determine actions necessary to achieve rewards. Additionally, cytokines involved in motivational dysfunction and dopaminergic mechanisms may have implications for fatigue </w:t>
      </w:r>
      <w:r w:rsidRPr="008438F4">
        <w:rPr>
          <w:rFonts w:cs="Calibri"/>
          <w:sz w:val="24"/>
          <w:szCs w:val="24"/>
        </w:rPr>
        <w:fldChar w:fldCharType="begin"/>
      </w:r>
      <w:r w:rsidRPr="008438F4">
        <w:rPr>
          <w:rFonts w:cs="Calibri"/>
          <w:sz w:val="24"/>
          <w:szCs w:val="24"/>
        </w:rPr>
        <w:instrText xml:space="preserve"> ADDIN ZOTERO_ITEM CSL_CITATION {"citationID":"2i6qepsrji","properties":{"formattedCitation":"(Yohn et al., 2016)","plainCitation":"(Yohn et al., 2016)"},"citationItems":[{"id":852,"uris":["http://zotero.org/users/local/vDYxJ8mW/items/4PISEIC4"],"uri":["http://zotero.org/users/local/vDYxJ8mW/items/4PISEIC4"],"itemData":{"id":852,"type":"article-journal","title":"Effort-related motivational effects of the pro-inflammatory cytokine interleukin-6: pharmacological and neurochemical characterization","container-title":"Psychopharmacology","page":"3575-3586","volume":"233","issue":"19-20","source":"PubMed","abstract":"RATIONALE: Motivational dysfunctions such as anergia, fatigue, and reduced effort expenditure are common in patients with depression and other disorders. Pro-inflammatory cytokines are implicated in depression, and cytokine administration induces motivational deficits in humans.\nOBJECTIVES: These studies focused on the effects of the cytokine interleukin-6 (IL-6) on effort-related decision-making.\nMETHODS: Rats were assessed using the concurrent fixed ratio 5-lever pressing/chow feeding choice procedure, which measures the tendency of rats to work for a preferred food (high carbohydrate pellets) in the presence of a concurrently available but less preferred substitute (lab chow).\nRESULTS: IL-6 (2.0-8.0 μg/kg IP) shifted choice behavior, significantly decreasing lever pressing and increasing chow intake. Further experiments showed that the adenosine A2A antagonist MSX-3 and the stimulant methylphenidate attenuated the effort-related impairments produced by IL-6, increasing lever pressing and decreasing chow intake in IL-6 treated rats. The same doses of IL-6 did not alter food intake or preference in parallel free-feeding choice studies, demonstrating that these low doses were not altering preference for the high carbohydrate pellets or generally suppressing appetite. Also, IL-6 did not affect body temperature. Microdialysis studies showed that 8.0 μg/kg IL-6 significantly decreased extracellular dopamine in nucleus accumbens core.\nCONCLUSIONS: In summary, IL-6 reduces the tendency to work for food, even at low doses that do not produce fever or loss of appetite. Dopaminergic mechanisms may be involved in these effort-related effects. This research has implications for the involvement of cytokines in motivational dysfunctions such as anergia and fatigue.","DOI":"10.1007/s00213-016-4392-9","ISSN":"1432-2072","note":"PMID: 27497935","shortTitle":"Effort-related motivational effects of the pro-inflammatory cytokine interleukin-6","journalAbbreviation":"Psychopharmacology (Berl.)","language":"eng","author":[{"family":"Yohn","given":"Samantha E."},{"family":"Arif","given":"Yumna"},{"family":"Haley","given":"Allison"},{"family":"Tripodi","given":"Guiseppe"},{"family":"Baqi","given":"Younis"},{"family":"Müller","given":"Christa E."},{"family":"Miguel","given":"Noemi San"},{"family":"Correa","given":"Mercè"},{"family":"Salamone","given":"John D."}],"issued":{"date-parts":[["2016",10]]}}}],"schema":"https://github.com/citation-style-language/schema/raw/master/csl-citation.json"} </w:instrText>
      </w:r>
      <w:r w:rsidRPr="008438F4">
        <w:rPr>
          <w:rFonts w:cs="Calibri"/>
          <w:sz w:val="24"/>
          <w:szCs w:val="24"/>
        </w:rPr>
        <w:fldChar w:fldCharType="separate"/>
      </w:r>
      <w:r w:rsidRPr="008438F4">
        <w:rPr>
          <w:rFonts w:cs="Calibri"/>
          <w:sz w:val="24"/>
        </w:rPr>
        <w:t>(Yohn et al., 2016)</w:t>
      </w:r>
      <w:r w:rsidRPr="008438F4">
        <w:rPr>
          <w:rFonts w:cs="Calibri"/>
          <w:sz w:val="24"/>
          <w:szCs w:val="24"/>
        </w:rPr>
        <w:fldChar w:fldCharType="end"/>
      </w:r>
      <w:r w:rsidRPr="008438F4">
        <w:rPr>
          <w:rFonts w:cs="Calibri"/>
          <w:sz w:val="24"/>
          <w:szCs w:val="24"/>
        </w:rPr>
        <w:t xml:space="preserve">. Dopamine is a neurotransmitter that carries signals for a limited number of behavioral events, but is most intensely related to reward </w:t>
      </w:r>
      <w:r w:rsidRPr="008438F4">
        <w:rPr>
          <w:rFonts w:cs="Calibri"/>
          <w:sz w:val="24"/>
          <w:szCs w:val="24"/>
        </w:rPr>
        <w:fldChar w:fldCharType="begin"/>
      </w:r>
      <w:r w:rsidRPr="008438F4">
        <w:rPr>
          <w:rFonts w:cs="Calibri"/>
          <w:sz w:val="24"/>
          <w:szCs w:val="24"/>
        </w:rPr>
        <w:instrText xml:space="preserve"> ADDIN ZOTERO_ITEM CSL_CITATION {"citationID":"2cep2eq83a","properties":{"formattedCitation":"(Schultz, 2010)","plainCitation":"(Schultz, 2010)"},"citationItems":[{"id":940,"uris":["http://zotero.org/users/local/vDYxJ8mW/items/TJ74FCW6"],"uri":["http://zotero.org/users/local/vDYxJ8mW/items/TJ74FCW6"],"itemData":{"id":940,"type":"article-journal","title":"Multiple functions of dopamine neurons","container-title":"F1000 Biology Reports","volume":"2","source":"PubMed Central","abstract":"Dopamine neurons carry phasic signals for a limited number of behavioural events. The events include, in descending order, reward, physically intense stimuli, risk and punishment. Recent neurophysiological studies have provided interesting details on these functions.","URL":"http://www.ncbi.nlm.nih.gov/pmc/articles/PMC2948345/","DOI":"10.3410/B2-2","ISSN":"1757-594X","note":"PMID: 20948813\nPMCID: PMC2948345","journalAbbreviation":"F1000 Biol Rep","author":[{"family":"Schultz","given":"Wolfram"}],"issued":{"date-parts":[["2010",1,18]]}}}],"schema":"https://github.com/citation-style-language/schema/raw/master/csl-citation.json"} </w:instrText>
      </w:r>
      <w:r w:rsidRPr="008438F4">
        <w:rPr>
          <w:rFonts w:cs="Calibri"/>
          <w:sz w:val="24"/>
          <w:szCs w:val="24"/>
        </w:rPr>
        <w:fldChar w:fldCharType="separate"/>
      </w:r>
      <w:r w:rsidRPr="008438F4">
        <w:rPr>
          <w:rFonts w:cs="Calibri"/>
          <w:sz w:val="24"/>
        </w:rPr>
        <w:t>(Schultz, 2010)</w:t>
      </w:r>
      <w:r w:rsidRPr="008438F4">
        <w:rPr>
          <w:rFonts w:cs="Calibri"/>
          <w:sz w:val="24"/>
          <w:szCs w:val="24"/>
        </w:rPr>
        <w:fldChar w:fldCharType="end"/>
      </w:r>
      <w:r w:rsidRPr="008438F4">
        <w:rPr>
          <w:rFonts w:cs="Calibri"/>
          <w:sz w:val="24"/>
          <w:szCs w:val="24"/>
        </w:rPr>
        <w:t xml:space="preserve">. Animal models demonstrate that motivational behavior is altered by depletion in dopamine and can be reversed by dopamine treatment (“Suppression of Locomotor Activity in Female C57Bl/6J Mice Treated with Interleukin-1β: Investigating a Method for the Study of Fatigue in Laboratory Animals,” n.d.; Yohn et al., 2016). Thus, alterations in dopamine receptor functioning may influence feelings of fatigue, or subjective fatigability. </w:t>
      </w:r>
    </w:p>
    <w:p w14:paraId="7CD57D66" w14:textId="09766B43" w:rsidR="00410503" w:rsidRPr="008438F4" w:rsidRDefault="00990685" w:rsidP="00410503">
      <w:pPr>
        <w:pStyle w:val="CommentText"/>
        <w:spacing w:line="360" w:lineRule="auto"/>
        <w:contextualSpacing/>
        <w:jc w:val="both"/>
        <w:rPr>
          <w:rFonts w:cs="Calibri"/>
          <w:sz w:val="24"/>
          <w:szCs w:val="24"/>
        </w:rPr>
      </w:pPr>
      <w:r>
        <w:rPr>
          <w:rFonts w:cs="Calibri"/>
          <w:color w:val="000000"/>
          <w:sz w:val="24"/>
          <w:szCs w:val="24"/>
          <w:shd w:val="clear" w:color="auto" w:fill="FFFFFF"/>
        </w:rPr>
        <w:tab/>
      </w:r>
      <w:r w:rsidR="0099247D" w:rsidRPr="008438F4">
        <w:rPr>
          <w:rFonts w:cs="Calibri"/>
          <w:color w:val="000000"/>
          <w:sz w:val="24"/>
          <w:szCs w:val="24"/>
          <w:shd w:val="clear" w:color="auto" w:fill="FFFFFF"/>
        </w:rPr>
        <w:t>The caudate is a sub-region of the basal ganglia involved in cognition that is thought to contribute to behavior through excitation of correct action based on evaluation of action outcomes</w:t>
      </w:r>
      <w:r w:rsidR="004A072B">
        <w:rPr>
          <w:rFonts w:cs="Calibri"/>
          <w:color w:val="000000"/>
          <w:sz w:val="24"/>
          <w:szCs w:val="24"/>
          <w:shd w:val="clear" w:color="auto" w:fill="FFFFFF"/>
        </w:rPr>
        <w:t xml:space="preserve"> </w:t>
      </w:r>
      <w:r w:rsidR="0099247D" w:rsidRPr="008438F4">
        <w:rPr>
          <w:rFonts w:cs="Calibri"/>
          <w:color w:val="000000"/>
          <w:sz w:val="24"/>
          <w:szCs w:val="24"/>
          <w:shd w:val="clear" w:color="auto" w:fill="FFFFFF"/>
        </w:rPr>
        <w:fldChar w:fldCharType="begin"/>
      </w:r>
      <w:r w:rsidR="0099247D" w:rsidRPr="008438F4">
        <w:rPr>
          <w:rFonts w:cs="Calibri"/>
          <w:color w:val="000000"/>
          <w:sz w:val="24"/>
          <w:szCs w:val="24"/>
          <w:shd w:val="clear" w:color="auto" w:fill="FFFFFF"/>
        </w:rPr>
        <w:instrText xml:space="preserve"> ADDIN ZOTERO_ITEM CSL_CITATION {"citationID":"2hvtscb8fq","properties":{"formattedCitation":"(Grahn, Parkinson, &amp; Owen, 2008)","plainCitation":"(Grahn, Parkinson, &amp; Owen, 2008)"},"citationItems":[{"id":1113,"uris":["http://zotero.org/users/local/vDYxJ8mW/items/X89R2NJN"],"uri":["http://zotero.org/users/local/vDYxJ8mW/items/X89R2NJN"],"itemData":{"id":1113,"type":"article-journal","title":"The cognitive functions of the caudate nucleus","container-title":"Progress in Neurobiology","page":"141-155","volume":"86","issue":"3","source":"PubMed","abstract":"The basal ganglia as a whole are broadly responsible for sensorimotor coordination, including response selection and initiation. However, it has become increasingly clear that regions of the basal ganglia are functionally delineated along corticostriatal lines, and that a modular conception of the respective functions of various nuclei is useful. Here we examine the specific role of the caudate nucleus, and in particular, how this differs from that of the putamen. This review considers converging evidence from multiple domains including anatomical studies of corticostriatal circuitry, neuroimaging studies of healthy volunteers, patient studies of performance deficits on a variety of cognitive tests, and animal studies of behavioural control. We conclude that the caudate nucleus contributes to behaviour through the excitation of correct action schemas and the selection of appropriate sub-goals based on an evaluation of action-outcomes; both processes fundamental to successful goal-directed action. This is in contrast to the putamen, which appears to subserve cognitive functions more limited to stimulus-response, or habit, learning. This modular conception of the striatum is consistent with hierarchical models of cortico-striatal function through which adaptive behaviour towards significant goals can be identified (motivation; ventral striatum), planned (cognition; caudate) and implemented (sensorimotor coordination; putamen) effectively.","DOI":"10.1016/j.pneurobio.2008.09.004","ISSN":"0301-0082","note":"PMID: 18824075","journalAbbreviation":"Prog. Neurobiol.","language":"eng","author":[{"family":"Grahn","given":"Jessica A."},{"family":"Parkinson","given":"John A."},{"family":"Owen","given":"Adrian M."}],"issued":{"date-parts":[["2008",11]]}}}],"schema":"https://github.com/citation-style-language/schema/raw/master/csl-citation.json"} </w:instrText>
      </w:r>
      <w:r w:rsidR="0099247D" w:rsidRPr="008438F4">
        <w:rPr>
          <w:rFonts w:cs="Calibri"/>
          <w:color w:val="000000"/>
          <w:sz w:val="24"/>
          <w:szCs w:val="24"/>
          <w:shd w:val="clear" w:color="auto" w:fill="FFFFFF"/>
        </w:rPr>
        <w:fldChar w:fldCharType="separate"/>
      </w:r>
      <w:r w:rsidR="00AD2869" w:rsidRPr="008438F4">
        <w:rPr>
          <w:rFonts w:cs="Calibri"/>
          <w:sz w:val="24"/>
        </w:rPr>
        <w:t>(Grahn, Parkinson, &amp; Owen, 2008)</w:t>
      </w:r>
      <w:r w:rsidR="0099247D" w:rsidRPr="008438F4">
        <w:rPr>
          <w:rFonts w:cs="Calibri"/>
          <w:color w:val="000000"/>
          <w:sz w:val="24"/>
          <w:szCs w:val="24"/>
          <w:shd w:val="clear" w:color="auto" w:fill="FFFFFF"/>
        </w:rPr>
        <w:fldChar w:fldCharType="end"/>
      </w:r>
      <w:r w:rsidR="0099247D" w:rsidRPr="008438F4">
        <w:rPr>
          <w:rFonts w:cs="Calibri"/>
          <w:color w:val="000000"/>
          <w:sz w:val="24"/>
          <w:szCs w:val="24"/>
          <w:shd w:val="clear" w:color="auto" w:fill="FFFFFF"/>
        </w:rPr>
        <w:t>.</w:t>
      </w:r>
      <w:r w:rsidR="0099247D" w:rsidRPr="008438F4">
        <w:rPr>
          <w:rFonts w:cs="Calibri"/>
          <w:sz w:val="24"/>
          <w:szCs w:val="24"/>
        </w:rPr>
        <w:t xml:space="preserve"> The caudate nucleus and the putamen are both the principle input nuclei of the basal nuclei and serve different functions. The caudate is generally associated with cognitive functions where the putamen is primarily associated with motor functions </w:t>
      </w:r>
      <w:r w:rsidR="0099247D" w:rsidRPr="008438F4">
        <w:rPr>
          <w:rFonts w:cs="Calibri"/>
          <w:sz w:val="24"/>
          <w:szCs w:val="24"/>
        </w:rPr>
        <w:fldChar w:fldCharType="begin"/>
      </w:r>
      <w:r w:rsidR="0099247D" w:rsidRPr="008438F4">
        <w:rPr>
          <w:rFonts w:cs="Calibri"/>
          <w:sz w:val="24"/>
          <w:szCs w:val="24"/>
        </w:rPr>
        <w:instrText xml:space="preserve"> ADDIN ZOTERO_ITEM CSL_CITATION {"citationID":"a57m9v9rfl","properties":{"formattedCitation":"(Patestas &amp; Gartner, 2016)","plainCitation":"(Patestas &amp; Gartner, 2016)"},"citationItems":[{"id":1213,"uris":["http://zotero.org/users/local/vDYxJ8mW/items/QUS7EHXT"],"uri":["http://zotero.org/users/local/vDYxJ8mW/items/QUS7EHXT"],"itemData":{"id":1213,"type":"book","title":"A textbook of neuroanatomy","publisher":"Wiley, Blackwell","publisher-place":"Hoboken, New Jersey","source":"Open WorldCat","event-place":"Hoboken, New Jersey","ISBN":"978-1-118-67746-9","note":"OCLC: 953564741","language":"English","author":[{"family":"Patestas","given":"Maria A"},{"family":"Gartner","given":"Leslie P"}],"issued":{"date-parts":[["2016"]]}}}],"schema":"https://github.com/citation-style-language/schema/raw/master/csl-citation.json"} </w:instrText>
      </w:r>
      <w:r w:rsidR="0099247D" w:rsidRPr="008438F4">
        <w:rPr>
          <w:rFonts w:cs="Calibri"/>
          <w:sz w:val="24"/>
          <w:szCs w:val="24"/>
        </w:rPr>
        <w:fldChar w:fldCharType="separate"/>
      </w:r>
      <w:r w:rsidR="00AD2869" w:rsidRPr="008438F4">
        <w:rPr>
          <w:rFonts w:cs="Calibri"/>
          <w:sz w:val="24"/>
        </w:rPr>
        <w:t>(Patestas &amp; Gartner, 2016)</w:t>
      </w:r>
      <w:r w:rsidR="0099247D" w:rsidRPr="008438F4">
        <w:rPr>
          <w:rFonts w:cs="Calibri"/>
          <w:sz w:val="24"/>
          <w:szCs w:val="24"/>
        </w:rPr>
        <w:fldChar w:fldCharType="end"/>
      </w:r>
      <w:r w:rsidR="0099247D" w:rsidRPr="008438F4">
        <w:rPr>
          <w:rFonts w:cs="Calibri"/>
          <w:sz w:val="24"/>
          <w:szCs w:val="24"/>
        </w:rPr>
        <w:t>.</w:t>
      </w:r>
    </w:p>
    <w:p w14:paraId="2538A2AD" w14:textId="6C297D9D" w:rsidR="00410503" w:rsidRPr="008438F4" w:rsidRDefault="00410503" w:rsidP="00C8159D">
      <w:pPr>
        <w:pStyle w:val="CommentText"/>
        <w:spacing w:after="0" w:line="360" w:lineRule="auto"/>
        <w:contextualSpacing/>
        <w:jc w:val="both"/>
        <w:rPr>
          <w:rFonts w:cs="Calibri"/>
          <w:sz w:val="24"/>
          <w:szCs w:val="24"/>
        </w:rPr>
      </w:pPr>
      <w:r w:rsidRPr="008438F4">
        <w:rPr>
          <w:rFonts w:cs="Calibri"/>
          <w:sz w:val="24"/>
          <w:szCs w:val="24"/>
        </w:rPr>
        <w:tab/>
      </w:r>
      <w:r w:rsidRPr="008438F4">
        <w:rPr>
          <w:rFonts w:cs="Calibri"/>
          <w:color w:val="000000"/>
          <w:sz w:val="24"/>
          <w:szCs w:val="24"/>
          <w:shd w:val="clear" w:color="auto" w:fill="FFFFFF"/>
        </w:rPr>
        <w:t xml:space="preserve">The putamen is the largest and most lateral part of the basal ganglia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{"citationID":"au2mp79h6m","properties":{"formattedCitation":"{\\rtf (\\uc0\\u8220{}Putamen - MeSH - NCBI,\\uc0\\u8221{} n.d.)}","plainCitation":"(“Putamen - MeSH - NCBI,” n.d.)"},"citationItems":[{"id":1207,"uris":["http://zotero.org/users/local/vDYxJ8mW/items/37GAF2RV"],"uri":["http://zotero.org/users/local/vDYxJ8mW/items/37GAF2RV"],"itemData":{"id":1207,"type":"webpage","title":"Putamen - MeSH - NCBI","URL":"https://www.ncbi.nlm.nih.gov/mesh/68011699","accessed":{"date-parts":[["2017",9,28]]}}}],"schema":"https://github.com/citation-style-language/schema/raw/master/csl-citation.json"}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szCs w:val="24"/>
        </w:rPr>
        <w:t>(“Putamen - MeSH - NCBI,” n.d.)</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The putamen has previously been explored in childhood chronic fatigue syndrome patients where activity of the putamen under low motivational reward conditions is negatively correlated with severity of fatigue, suggesting altered dopaminergic function, decreased reward sensitivity and lower motivation to learn</w:t>
      </w:r>
      <w:r w:rsidR="004A072B">
        <w:rPr>
          <w:rFonts w:cs="Calibri"/>
          <w:color w:val="000000"/>
          <w:sz w:val="24"/>
          <w:szCs w:val="24"/>
          <w:shd w:val="clear" w:color="auto" w:fill="FFFFFF"/>
        </w:rPr>
        <w:t xml:space="preserve">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{"citationID":"a2h3htbhflr","properties":{"formattedCitation":"(Mizuno et al., 2016)","plainCitation":"(Mizuno et al., 2016)"},"citationItems":[{"id":1192,"uris":["http://zotero.org/users/local/vDYxJ8mW/items/FG9WAZXN"],"uri":["http://zotero.org/users/local/vDYxJ8mW/items/FG9WAZXN"],"itemData":{"id":1192,"type":"article-journal","title":"Low putamen activity associated with poor reward sensitivity in childhood chronic fatigue syndrome","container-title":"NeuroImage. Clinical","page":"600-606","volume":"12","source":"PubMed","abstract":"Motivational signals influence a wide variety of cognitive processes and components of behavioral performance. Cognitive dysfunction in patients with childhood chronic fatigue syndrome (CCFS) may be closely associated with a low motivation to learn induced by impaired neural reward processing. However, the extent to which reward processing is impaired in CCFS patients is unclear. The aim of the present functional magnetic resonance imaging (fMRI) study was to determine whether brain activity in regions related to reward sensitivity is impaired in CCFS patients. fMRI data were collected from 13 CCFS patients (mean age, 13.6 ± 1.0 years) and 13 healthy children and adolescents (HCA) (mean age, 13.7 ± 1.3 years) performing a monetary reward task. Neural activity in high- and low-monetary-reward conditions was compared between CCFS and HCA groups. Severity of fatigue and the reward obtained from learning in daily life were evaluated by questionnaires. Activity of the putamen was lower in the CCFS group than in the HCA group in the low-reward condition, but not in the high-reward condition. Activity of the putamen in the low-reward condition in CCFS patients was negatively and positively correlated with severity of fatigue and the reward from learning in daily life, respectively. We previously revealed that motivation to learn was correlated with striatal activity, particularly the neural activity in the putamen. This suggests that in CCFS patients low putamen activity, associated with altered dopaminergic function, decreases reward sensitivity and lowers motivation to learn.","DOI":"10.1016/j.nicl.2016.09.016","ISSN":"2213-1582","note":"PMID: 27709065\nPMCID: PMC5043413","journalAbbreviation":"Neuroimage Clin","language":"eng","author":[{"family":"Mizuno","given":"Kei"},{"family":"Kawatani","given":"Junko"},{"family":"Tajima","given":"Kanako"},{"family":"Sasaki","given":"Akihiro T."},{"family":"Yoneda","given":"Tetsuya"},{"family":"Komi","given":"Masanori"},{"family":"Hirai","given":"Toshinori"},{"family":"Tomoda","given":"Akemi"},{"family":"Joudoi","given":"Takako"},{"family":"Watanabe","given":"Yasuyoshi"}],"issued":{"date-parts":[["2016"]]}}}],"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(Mizuno et al., 2016)</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w:t>
      </w:r>
    </w:p>
    <w:p w14:paraId="18E5E80D" w14:textId="77777777" w:rsidR="00990685" w:rsidRDefault="00410503" w:rsidP="00990685">
      <w:pPr>
        <w:pStyle w:val="NoSpacing"/>
        <w:spacing w:line="360" w:lineRule="auto"/>
        <w:jc w:val="both"/>
        <w:rPr>
          <w:rFonts w:cs="Calibri"/>
          <w:color w:val="000000"/>
          <w:sz w:val="24"/>
          <w:szCs w:val="24"/>
          <w:shd w:val="clear" w:color="auto" w:fill="FFFFFF"/>
        </w:rPr>
      </w:pPr>
      <w:r w:rsidRPr="008438F4">
        <w:rPr>
          <w:rFonts w:cs="Calibri"/>
          <w:color w:val="000000"/>
          <w:sz w:val="24"/>
          <w:szCs w:val="24"/>
          <w:shd w:val="clear" w:color="auto" w:fill="FFFFFF"/>
        </w:rPr>
        <w:tab/>
        <w:t xml:space="preserve">The thalamus is located in the middle of the brain and serves as the relay center of the brain, and is involved in regulation of consciousness, sleep and sensory interpretation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{"citationID":"a1af8m4lt9k","properties":{"formattedCitation":"(Patestas &amp; Gartner, 2016)","plainCitation":"(Patestas &amp; Gartner, 2016)"},"citationItems":[{"id":1213,"uris":["http://zotero.org/users/local/vDYxJ8mW/items/QUS7EHXT"],"uri":["http://zotero.org/users/local/vDYxJ8mW/items/QUS7EHXT"],"itemData":{"id":1213,"type":"book","title":"A textbook of neuroanatomy","publisher":"Wiley, Blackwell","publisher-place":"Hoboken, New Jersey","source":"Open WorldCat","event-place":"Hoboken, New Jersey","ISBN":"978-1-118-67746-9","note":"OCLC: 953564741","language":"English","author":[{"family":"Patestas","given":"Maria A"},{"family":"Gartner","given":"Leslie P"}],"issued":{"date-parts":[["2016"]]}}}],"schema":"https://github.com/citation-style-language/schema/raw/master/csl-citation.json"}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(Patestas &amp; Gartner, 2016)</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It is also responsible for sending motor signals to the cerebral cortex. A study recently investigated sub-regional thalamic abnormalities among patients with Multiple Sclerosis and found that abnormalities contributed to fatigue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{"citationID":"ac6a267t8f","properties":{"formattedCitation":"(Hidalgo de la Cruz et al., 2017)","plainCitation":"(Hidalgo de la Cruz et al., 2017)"},"citationItems":[{"id":1200,"uris":["http://zotero.org/users/local/vDYxJ8mW/items/HRPRG9MM"],"uri":["http://zotero.org/users/local/vDYxJ8mW/items/HRPRG9MM"],"itemData":{"id":1200,"type":"article-journal","title":"Abnormal functional connectivity of thalamic sub-regions contributes to fatigue in multiple sclerosis","container-title":"Multiple Sclerosis (Houndmills, Basingstoke, England)","page":"1352458517717807","source":"PubMed","abstract":"OBJECTIVE: To investigate sub-regional thalamic resting-state (RS) functional connectivity (FC) abnormalities in multiple sclerosis (MS) and their correlation with fatigue and its subcomponents (physical, cognitive, and psychosocial).\nMETHODS: From 122 MS patients and 94 healthy controls, 5 thalamic sub-regions (frontal, motor, postcentral, occipital, temporal) were parcellated based on their cortico-thalamic structural connectivity and used for a seed-based RS FC analysis. Abnormalities of thalamic RS FC in MS patients and their correlation with Modified Fatigue Impact Scale (MFIS) were assessed.\nRESULTS: Compared to controls and non-fatigued MS ( n = 86), fatigued MS patients ( n = 36) showed thalamic RS FC abnormalities with middle frontal gyrus, sensorimotor network, precuneus, insula, and cerebellum, which correlated with global MFIS. Higher thalamic RS FC with precuneus and lower RS FC with posterior cerebellum correlated with cognitive MFIS. Higher thalamic RS FC with sensorimotor network in frontal-, motor-, and temporal thalamic sub-regions correlated with physical and psychosocial MFIS. Reduced thalamic RS FC with right insula in motor-, postcentral-, and occipital thalamic sub-regions correlated with psychosocial fatigue.\nCONCLUSION: Regional thalamic RS FC abnormalities with different cortical regions, including the frontal lobe, sensorimotor network, precuneus, insular cortices, and cerebellum contribute to fatigue in MS. Abnormal RS FC of selected thalamo-cortical connections explains different components of fatigue.","DOI":"10.1177/1352458517717807","ISSN":"1477-0970","note":"PMID: 28657428","journalAbbreviation":"Mult. Scler.","language":"eng","author":[{"family":"Hidalgo de la Cruz","given":"Milagros"},{"family":"Ambrosio","given":"Alessandro","non-dropping-particle":"d'"},{"family":"Valsasina","given":"Paola"},{"family":"Pagani","given":"Elisabetta"},{"family":"Colombo","given":"Bruno"},{"family":"Rodegher","given":"Mariaemma"},{"family":"Falini","given":"Andrea"},{"family":"Comi","given":"Giancarlo"},{"family":"Filippi","given":"Massimo"},{"family":"Rocca","given":"Maria Assunta"}],"issued":{"date-parts":[["2017",6,1]]}}}],"schema":"https://github.com/citation-style-language/schema/raw/master/csl-citation.json"}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(Hidalgo de la Cruz et al., 2017)</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An fMRI study found that under a motor fatigue state, which is related to the exercised induced reduction of neural activity to drive muscle groups, the intensity and size of activation of volumes in the thalamus and the basal ganglia were significantly decreased during a motor fatigue state </w:t>
      </w:r>
      <w:r w:rsidRPr="008438F4">
        <w:rPr>
          <w:rFonts w:cs="Calibri"/>
          <w:color w:val="000000"/>
          <w:sz w:val="24"/>
          <w:szCs w:val="24"/>
          <w:shd w:val="clear" w:color="auto" w:fill="FFFFFF"/>
        </w:rPr>
        <w:fldChar w:fldCharType="begin"/>
      </w:r>
      <w:r w:rsidRPr="008438F4">
        <w:rPr>
          <w:rFonts w:cs="Calibri"/>
          <w:color w:val="000000"/>
          <w:sz w:val="24"/>
          <w:szCs w:val="24"/>
          <w:shd w:val="clear" w:color="auto" w:fill="FFFFFF"/>
        </w:rPr>
        <w:instrText xml:space="preserve"> ADDIN ZOTERO_ITEM CSL_CITATION {"citationID":"a216trj7pt6","properties":{"formattedCitation":"(Hou et al., 2016)","plainCitation":"(Hou et al., 2016)"},"citationItems":[{"id":232,"uris":["http://zotero.org/users/local/vDYxJ8mW/items/RTPKHF2I"],"uri":["http://zotero.org/users/local/vDYxJ8mW/items/RTPKHF2I"],"itemData":{"id":232,"type":"article-journal","title":"Decreased Activation of Subcortical Brain Areas in the Motor Fatigue State: An fMRI Study","container-title":"Frontiers in Psychology","page":"1154","volume":"7","source":"PubMed","abstract":"One aspect of motor fatigue is the exercise-induced reduction of neural activity to voluntarily drive the muscle or muscle group. Functional magnetic resonance imaging provides access to investigate the neural activation on the whole brain level and studies observed changes of activation intensity after exercise-induced motor fatigue in the sensorimotor cortex. However, in human, little evidence exists to demonstrate the role of subcortical brain regions in motor fatigue, which is contradict to abundant researches in rodent indicating that during simple movement, the activity of the basal ganglia is modulated by the state of motor fatigue. Thus, in present study, we explored the effect of motor fatigue on subcortical areas in human. A series of fMRI data were collected from 11 healthy subjects while they were executing simple motor tasks in two conditions: before and under the motor fatigue state. The results showed that in both conditions, movements evoked activation volumes in the sensorimotor areas, SMA, cerebellum, thalamus, and basal ganglia. Of primary importance are the results that the intensity and size of activation volumes in the subcortical areas (i.e., thalamus and basal ganglia areas) are significantly decreased during the motor fatigue state, implying that motor fatigue disturbs the motor control processing in a way that both sensorimotor areas and subcortical brain areas are less active. Further study is needed to clarify how subcortical areas contribute to the overall decreased activity of CNS during motor fatigue state.","DOI":"10.3389/fpsyg.2016.01154","note":"PMID: 27536264\nPMCID: PMC4971080","shortTitle":"Decreased Activation of Subcortical Brain Areas in the Motor Fatigue State","journalAbbreviation":"Front Psychol","language":"eng","author":[{"family":"Hou","given":"Li J."},{"family":"Song","given":"Zheng"},{"family":"Pan","given":"Zhu J."},{"family":"Cheng","given":"Jia L."},{"family":"Yu","given":"Yong"},{"family":"Wang","given":"Jun"}],"issued":{"date-parts":[["2016"]]}}}],"schema":"https://github.com/citation-style-language/schema/raw/master/csl-citation.json"} </w:instrText>
      </w:r>
      <w:r w:rsidRPr="008438F4">
        <w:rPr>
          <w:rFonts w:cs="Calibri"/>
          <w:color w:val="000000"/>
          <w:sz w:val="24"/>
          <w:szCs w:val="24"/>
          <w:shd w:val="clear" w:color="auto" w:fill="FFFFFF"/>
        </w:rPr>
        <w:fldChar w:fldCharType="separate"/>
      </w:r>
      <w:r w:rsidRPr="008438F4">
        <w:rPr>
          <w:rFonts w:cs="Calibri"/>
          <w:sz w:val="24"/>
        </w:rPr>
        <w:t>(Hou et al., 2016)</w:t>
      </w:r>
      <w:r w:rsidRPr="008438F4">
        <w:rPr>
          <w:rFonts w:cs="Calibri"/>
          <w:color w:val="000000"/>
          <w:sz w:val="24"/>
          <w:szCs w:val="24"/>
          <w:shd w:val="clear" w:color="auto" w:fill="FFFFFF"/>
        </w:rPr>
        <w:fldChar w:fldCharType="end"/>
      </w:r>
      <w:r w:rsidRPr="008438F4">
        <w:rPr>
          <w:rFonts w:cs="Calibri"/>
          <w:color w:val="000000"/>
          <w:sz w:val="24"/>
          <w:szCs w:val="24"/>
          <w:shd w:val="clear" w:color="auto" w:fill="FFFFFF"/>
        </w:rPr>
        <w:t xml:space="preserve">. These subcortical areas contributed to a decreased activity in the central nervous system during a motor fatigue, and thus, perceived fatigability may be related to these regions.  </w:t>
      </w:r>
    </w:p>
    <w:p w14:paraId="2037869B" w14:textId="245C0FD8" w:rsidR="007301BC" w:rsidRPr="008438F4" w:rsidRDefault="00990685" w:rsidP="00990685">
      <w:pPr>
        <w:pStyle w:val="NoSpacing"/>
        <w:spacing w:line="360" w:lineRule="auto"/>
        <w:jc w:val="both"/>
        <w:rPr>
          <w:rFonts w:cs="Calibri"/>
          <w:color w:val="000000"/>
          <w:sz w:val="24"/>
          <w:szCs w:val="24"/>
          <w:shd w:val="clear" w:color="auto" w:fill="FFFFFF"/>
        </w:rPr>
      </w:pPr>
      <w:r>
        <w:rPr>
          <w:rFonts w:cs="Calibri"/>
          <w:color w:val="000000"/>
          <w:sz w:val="24"/>
          <w:szCs w:val="24"/>
          <w:shd w:val="clear" w:color="auto" w:fill="FFFFFF"/>
        </w:rPr>
        <w:tab/>
      </w:r>
      <w:r w:rsidR="007301BC" w:rsidRPr="008438F4">
        <w:rPr>
          <w:rFonts w:cs="Calibri"/>
          <w:color w:val="000000"/>
          <w:sz w:val="24"/>
          <w:szCs w:val="24"/>
          <w:shd w:val="clear" w:color="auto" w:fill="FFFFFF"/>
        </w:rPr>
        <w:t xml:space="preserve">The orbitofrontal cortex is a component of the prefrontal cortex in the frontal lobe of the brain. It is </w:t>
      </w:r>
      <w:r w:rsidR="004A072B">
        <w:rPr>
          <w:rFonts w:cs="Calibri"/>
          <w:color w:val="000000"/>
          <w:sz w:val="24"/>
          <w:szCs w:val="24"/>
          <w:shd w:val="clear" w:color="auto" w:fill="FFFFFF"/>
        </w:rPr>
        <w:t>highly</w:t>
      </w:r>
      <w:r w:rsidR="007301BC" w:rsidRPr="008438F4">
        <w:rPr>
          <w:rFonts w:cs="Calibri"/>
          <w:color w:val="000000"/>
          <w:sz w:val="24"/>
          <w:szCs w:val="24"/>
          <w:shd w:val="clear" w:color="auto" w:fill="FFFFFF"/>
        </w:rPr>
        <w:t xml:space="preserve"> involved in cognitive processing of decision making </w:t>
      </w:r>
      <w:r w:rsidR="007301BC" w:rsidRPr="008438F4">
        <w:rPr>
          <w:rFonts w:cs="Calibri"/>
          <w:color w:val="000000"/>
          <w:sz w:val="24"/>
          <w:szCs w:val="24"/>
          <w:shd w:val="clear" w:color="auto" w:fill="FFFFFF"/>
        </w:rPr>
        <w:fldChar w:fldCharType="begin"/>
      </w:r>
      <w:r w:rsidR="007301BC" w:rsidRPr="008438F4">
        <w:rPr>
          <w:rFonts w:cs="Calibri"/>
          <w:color w:val="000000"/>
          <w:sz w:val="24"/>
          <w:szCs w:val="24"/>
          <w:shd w:val="clear" w:color="auto" w:fill="FFFFFF"/>
        </w:rPr>
        <w:instrText xml:space="preserve"> ADDIN ZOTERO_ITEM CSL_CITATION {"citationID":"av854ajies","properties":{"formattedCitation":"(Patestas &amp; Gartner, 2016)","plainCitation":"(Patestas &amp; Gartner, 2016)"},"citationItems":[{"id":1213,"uris":["http://zotero.org/users/local/vDYxJ8mW/items/QUS7EHXT"],"uri":["http://zotero.org/users/local/vDYxJ8mW/items/QUS7EHXT"],"itemData":{"id":1213,"type":"book","title":"A textbook of neuroanatomy","publisher":"Wiley, Blackwell","publisher-place":"Hoboken, New Jersey","source":"Open WorldCat","event-place":"Hoboken, New Jersey","ISBN":"978-1-118-67746-9","note":"OCLC: 953564741","language":"English","author":[{"family":"Patestas","given":"Maria A"},{"family":"Gartner","given":"Leslie P"}],"issued":{"date-parts":[["2016"]]}}}],"schema":"https://github.com/citation-style-language/schema/raw/master/csl-citation.json"} </w:instrText>
      </w:r>
      <w:r w:rsidR="007301BC" w:rsidRPr="008438F4">
        <w:rPr>
          <w:rFonts w:cs="Calibri"/>
          <w:color w:val="000000"/>
          <w:sz w:val="24"/>
          <w:szCs w:val="24"/>
          <w:shd w:val="clear" w:color="auto" w:fill="FFFFFF"/>
        </w:rPr>
        <w:fldChar w:fldCharType="separate"/>
      </w:r>
      <w:r w:rsidR="007301BC" w:rsidRPr="008438F4">
        <w:rPr>
          <w:rFonts w:cs="Calibri"/>
          <w:sz w:val="24"/>
        </w:rPr>
        <w:t>(Patestas &amp; Gartner, 2016)</w:t>
      </w:r>
      <w:r w:rsidR="007301BC" w:rsidRPr="008438F4">
        <w:rPr>
          <w:rFonts w:cs="Calibri"/>
          <w:color w:val="000000"/>
          <w:sz w:val="24"/>
          <w:szCs w:val="24"/>
          <w:shd w:val="clear" w:color="auto" w:fill="FFFFFF"/>
        </w:rPr>
        <w:fldChar w:fldCharType="end"/>
      </w:r>
      <w:r w:rsidR="007301BC" w:rsidRPr="008438F4">
        <w:rPr>
          <w:rFonts w:cs="Calibri"/>
          <w:color w:val="000000"/>
          <w:sz w:val="24"/>
          <w:szCs w:val="24"/>
          <w:shd w:val="clear" w:color="auto" w:fill="FFFFFF"/>
        </w:rPr>
        <w:t>. The motivational behavior theory of fatigability suggest</w:t>
      </w:r>
      <w:r w:rsidR="00E34AEE">
        <w:rPr>
          <w:rFonts w:cs="Calibri"/>
          <w:color w:val="000000"/>
          <w:sz w:val="24"/>
          <w:szCs w:val="24"/>
          <w:shd w:val="clear" w:color="auto" w:fill="FFFFFF"/>
        </w:rPr>
        <w:t>s that</w:t>
      </w:r>
      <w:r w:rsidR="007301BC" w:rsidRPr="008438F4">
        <w:rPr>
          <w:rFonts w:cs="Calibri"/>
          <w:color w:val="000000"/>
          <w:sz w:val="24"/>
          <w:szCs w:val="24"/>
          <w:shd w:val="clear" w:color="auto" w:fill="FFFFFF"/>
        </w:rPr>
        <w:t xml:space="preserve"> decision making </w:t>
      </w:r>
      <w:r w:rsidR="00E34AEE">
        <w:rPr>
          <w:rFonts w:cs="Calibri"/>
          <w:color w:val="000000"/>
          <w:sz w:val="24"/>
          <w:szCs w:val="24"/>
          <w:shd w:val="clear" w:color="auto" w:fill="FFFFFF"/>
        </w:rPr>
        <w:t>i</w:t>
      </w:r>
      <w:r w:rsidR="007301BC" w:rsidRPr="008438F4">
        <w:rPr>
          <w:rFonts w:cs="Calibri"/>
          <w:color w:val="000000"/>
          <w:sz w:val="24"/>
          <w:szCs w:val="24"/>
          <w:shd w:val="clear" w:color="auto" w:fill="FFFFFF"/>
        </w:rPr>
        <w:t>s a factor involved in perception of one’s fatigue. Additionally, one study u</w:t>
      </w:r>
      <w:r w:rsidR="00E34AEE">
        <w:rPr>
          <w:rFonts w:cs="Calibri"/>
          <w:color w:val="000000"/>
          <w:sz w:val="24"/>
          <w:szCs w:val="24"/>
          <w:shd w:val="clear" w:color="auto" w:fill="FFFFFF"/>
        </w:rPr>
        <w:t>s</w:t>
      </w:r>
      <w:r w:rsidR="007301BC" w:rsidRPr="008438F4">
        <w:rPr>
          <w:rFonts w:cs="Calibri"/>
          <w:color w:val="000000"/>
          <w:sz w:val="24"/>
          <w:szCs w:val="24"/>
          <w:shd w:val="clear" w:color="auto" w:fill="FFFFFF"/>
        </w:rPr>
        <w:t xml:space="preserve">ed a functional-connectivity based method to study mental fatigue and found fatigue discriminatory patterns were associated with the </w:t>
      </w:r>
      <w:r w:rsidR="00E34AEE">
        <w:rPr>
          <w:rFonts w:cs="Calibri"/>
          <w:color w:val="000000"/>
          <w:sz w:val="24"/>
          <w:szCs w:val="24"/>
          <w:shd w:val="clear" w:color="auto" w:fill="FFFFFF"/>
        </w:rPr>
        <w:t xml:space="preserve">volume of? </w:t>
      </w:r>
      <w:r w:rsidR="007301BC" w:rsidRPr="008438F4">
        <w:rPr>
          <w:rFonts w:cs="Calibri"/>
          <w:color w:val="000000"/>
          <w:sz w:val="24"/>
          <w:szCs w:val="24"/>
          <w:shd w:val="clear" w:color="auto" w:fill="FFFFFF"/>
        </w:rPr>
        <w:t xml:space="preserve">middle frontal gyrus and several other motor areas </w:t>
      </w:r>
      <w:r w:rsidR="007301BC" w:rsidRPr="008438F4">
        <w:rPr>
          <w:rFonts w:cs="Calibri"/>
          <w:color w:val="000000"/>
          <w:sz w:val="24"/>
          <w:szCs w:val="24"/>
          <w:shd w:val="clear" w:color="auto" w:fill="FFFFFF"/>
        </w:rPr>
        <w:fldChar w:fldCharType="begin"/>
      </w:r>
      <w:r w:rsidR="007301BC" w:rsidRPr="008438F4">
        <w:rPr>
          <w:rFonts w:cs="Calibri"/>
          <w:color w:val="000000"/>
          <w:sz w:val="24"/>
          <w:szCs w:val="24"/>
          <w:shd w:val="clear" w:color="auto" w:fill="FFFFFF"/>
        </w:rPr>
        <w:instrText xml:space="preserve"> ADDIN ZOTERO_ITEM CSL_CITATION {"citationID":"a12gubmg5j2","properties":{"formattedCitation":"(Sun et al., 2014)","plainCitation":"(Sun et al., 2014)"},"citationItems":[{"id":1216,"uris":["http://zotero.org/users/local/vDYxJ8mW/items/DDNV5H87"],"uri":["http://zotero.org/users/local/vDYxJ8mW/items/DDNV5H87"],"itemData":{"id":1216,"type":"article-journal","title":"Discriminative analysis of brain functional connectivity patterns for mental fatigue classification","container-title":"Annals of Biomedical Engineering","page":"2084-2094","volume":"42","issue":"10","source":"PubMed","abstract":"Mental fatigue is a commonly experienced state that can be induced by placing heavy demands on cognitive systems. This often leads to lowered productivity and increased safety risks. In this study, we developed a functional-connectivity based mental fatigue monitoring method. Twenty-six subjects underwent a 20-min mentally demanding test of sustained attention with high-resolution EEG monitoring. Functional connectivity patterns were obtained on the cortical surface via source localization of cortical activities in the first and last 5-min quartiles of the experiment. Multivariate pattern analysis was then adopted to extract the highly discriminative functional connectivity information. The algorithm used in the present study demonstrated an overall accuracy of 81.5% (p &lt; 0.0001) for fatigue classification through leave-one-out cross validation. Moreover, we found that the most discriminative connectivity features were located in or across middle frontal gyrus and several motor areas, in agreement with the important role that these cortical regions play in the maintenance of sustained attention. This work therefore demonstrates the feasibility of a functional-connectivity-based mental fatigue assessment method, opening up a new avenue for modeling natural brain dynamics under different mental states. Our method has potential applications in several domains, including traffic and industrial safety.","DOI":"10.1007/s10439-014-1059-8","ISSN":"1573-9686","note":"PMID: 24962984","journalAbbreviation":"Ann Biomed Eng","language":"eng","author":[{"family":"Sun","given":"Yu"},{"family":"Lim","given":"Julian"},{"family":"Meng","given":"Jianjun"},{"family":"Kwok","given":"Kenneth"},{"family":"Thakor","given":"Nitish"},{"family":"Bezerianos","given":"Anastasios"}],"issued":{"date-parts":[["2014",10]]}}}],"schema":"https://github.com/citation-style-language/schema/raw/master/csl-citation.json"} </w:instrText>
      </w:r>
      <w:r w:rsidR="007301BC" w:rsidRPr="008438F4">
        <w:rPr>
          <w:rFonts w:cs="Calibri"/>
          <w:color w:val="000000"/>
          <w:sz w:val="24"/>
          <w:szCs w:val="24"/>
          <w:shd w:val="clear" w:color="auto" w:fill="FFFFFF"/>
        </w:rPr>
        <w:fldChar w:fldCharType="separate"/>
      </w:r>
      <w:r w:rsidR="007301BC" w:rsidRPr="008438F4">
        <w:rPr>
          <w:rFonts w:cs="Calibri"/>
          <w:sz w:val="24"/>
        </w:rPr>
        <w:t>(Sun et al., 2014)</w:t>
      </w:r>
      <w:r w:rsidR="007301BC" w:rsidRPr="008438F4">
        <w:rPr>
          <w:rFonts w:cs="Calibri"/>
          <w:color w:val="000000"/>
          <w:sz w:val="24"/>
          <w:szCs w:val="24"/>
          <w:shd w:val="clear" w:color="auto" w:fill="FFFFFF"/>
        </w:rPr>
        <w:fldChar w:fldCharType="end"/>
      </w:r>
      <w:r w:rsidR="007301BC" w:rsidRPr="008438F4">
        <w:rPr>
          <w:rFonts w:cs="Calibri"/>
          <w:color w:val="000000"/>
          <w:sz w:val="24"/>
          <w:szCs w:val="24"/>
          <w:shd w:val="clear" w:color="auto" w:fill="FFFFFF"/>
        </w:rPr>
        <w:t xml:space="preserve">. Another study found that participants who performed executive control work related to working memory and task-switching showed a decrease in brain activity in the left middle frontal gyrus </w:t>
      </w:r>
      <w:r w:rsidR="007301BC" w:rsidRPr="008438F4">
        <w:rPr>
          <w:rFonts w:cs="Calibri"/>
          <w:color w:val="000000"/>
          <w:sz w:val="24"/>
          <w:szCs w:val="24"/>
          <w:shd w:val="clear" w:color="auto" w:fill="FFFFFF"/>
        </w:rPr>
        <w:fldChar w:fldCharType="begin"/>
      </w:r>
      <w:r w:rsidR="007301BC" w:rsidRPr="008438F4">
        <w:rPr>
          <w:rFonts w:cs="Calibri"/>
          <w:color w:val="000000"/>
          <w:sz w:val="24"/>
          <w:szCs w:val="24"/>
          <w:shd w:val="clear" w:color="auto" w:fill="FFFFFF"/>
        </w:rPr>
        <w:instrText xml:space="preserve"> ADDIN ZOTERO_ITEM CSL_CITATION {"citationID":"a1c47u2hprr","properties":{"formattedCitation":"(Blain, Hollard, &amp; Pessiglione, 2016)","plainCitation":"(Blain, Hollard, &amp; Pessiglione, 2016)"},"citationItems":[{"id":1218,"uris":["http://zotero.org/users/local/vDYxJ8mW/items/Q8TPX9RI"],"uri":["http://zotero.org/users/local/vDYxJ8mW/items/Q8TPX9RI"],"itemData":{"id":1218,"type":"article-journal","title":"Neural mechanisms underlying the impact of daylong cognitive work on economic decisions","container-title":"Proceedings of the National Academy of Sciences of the United States of America","page":"6967-6972","volume":"113","issue":"25","source":"PubMed","abstract":"The ability to exert self-control is key to social insertion and professional success. An influential literature in psychology has developed the theory that self-control relies on a limited common resource, so that fatigue effects might carry over from one task to the next. However, the biological nature of the putative limited resource and the existence of carry-over effects have been matters of considerable controversy. Here, we targeted the activity of the lateral prefrontal cortex (LPFC) as a common substrate for cognitive control, and we prolonged the time scale of fatigue induction by an order of magnitude. Participants performed executive control tasks known to recruit the LPFC (working memory and task-switching) over more than 6 h (an approximate workday). Fatigue effects were probed regularly by measuring impulsivity in intertemporal choices, i.e., the propensity to favor immediate rewards, which has been found to increase under LPFC inhibition. Behavioral data showed that choice impulsivity increased in a group of participants who performed hard versions of executive tasks but not in control groups who performed easy versions or enjoyed some leisure time. Functional MRI data acquired at the start, middle, and end of the day confirmed that enhancement of choice impulsivity was related to a specific decrease in the activity of an LPFC region (in the left middle frontal gyrus) that was recruited by both executive and choice tasks. Our findings demonstrate a concept of focused neural fatigue that might be naturally induced in real-life situations and have important repercussions on economic decisions.","DOI":"10.1073/pnas.1520527113","ISSN":"1091-6490","note":"PMID: 27274075\nPMCID: PMC4922197","journalAbbreviation":"Proc. Natl. Acad. Sci. U.S.A.","language":"eng","author":[{"family":"Blain","given":"Bastien"},{"family":"Hollard","given":"Guillaume"},{"family":"Pessiglione","given":"Mathias"}],"issued":{"date-parts":[["2016"]],"season":"21"}}}],"schema":"https://github.com/citation-style-language/schema/raw/master/csl-citation.json"} </w:instrText>
      </w:r>
      <w:r w:rsidR="007301BC" w:rsidRPr="008438F4">
        <w:rPr>
          <w:rFonts w:cs="Calibri"/>
          <w:color w:val="000000"/>
          <w:sz w:val="24"/>
          <w:szCs w:val="24"/>
          <w:shd w:val="clear" w:color="auto" w:fill="FFFFFF"/>
        </w:rPr>
        <w:fldChar w:fldCharType="separate"/>
      </w:r>
      <w:r w:rsidR="007301BC" w:rsidRPr="008438F4">
        <w:rPr>
          <w:rFonts w:cs="Calibri"/>
          <w:sz w:val="24"/>
        </w:rPr>
        <w:t>(Blain, Hollard, &amp; Pessiglione, 2016)</w:t>
      </w:r>
      <w:r w:rsidR="007301BC" w:rsidRPr="008438F4">
        <w:rPr>
          <w:rFonts w:cs="Calibri"/>
          <w:color w:val="000000"/>
          <w:sz w:val="24"/>
          <w:szCs w:val="24"/>
          <w:shd w:val="clear" w:color="auto" w:fill="FFFFFF"/>
        </w:rPr>
        <w:fldChar w:fldCharType="end"/>
      </w:r>
      <w:r w:rsidR="007301BC" w:rsidRPr="008438F4">
        <w:rPr>
          <w:rFonts w:cs="Calibri"/>
          <w:color w:val="000000"/>
          <w:sz w:val="24"/>
          <w:szCs w:val="24"/>
          <w:shd w:val="clear" w:color="auto" w:fill="FFFFFF"/>
        </w:rPr>
        <w:t xml:space="preserve">. Additionally, the superior frontal gyrus is associated with self-awareness, which may have implications for perception of fatigability </w:t>
      </w:r>
      <w:r w:rsidR="007301BC" w:rsidRPr="008438F4">
        <w:rPr>
          <w:rFonts w:cs="Calibri"/>
          <w:color w:val="000000"/>
          <w:sz w:val="24"/>
          <w:szCs w:val="24"/>
          <w:shd w:val="clear" w:color="auto" w:fill="FFFFFF"/>
        </w:rPr>
        <w:fldChar w:fldCharType="begin"/>
      </w:r>
      <w:r w:rsidR="007301BC" w:rsidRPr="008438F4">
        <w:rPr>
          <w:rFonts w:cs="Calibri"/>
          <w:color w:val="000000"/>
          <w:sz w:val="24"/>
          <w:szCs w:val="24"/>
          <w:shd w:val="clear" w:color="auto" w:fill="FFFFFF"/>
        </w:rPr>
        <w:instrText xml:space="preserve"> ADDIN ZOTERO_ITEM CSL_CITATION {"citationID":"a2c1nvf4r2q","properties":{"formattedCitation":"(Goldberg, Harel, &amp; Malach, 2006)","plainCitation":"(Goldberg, Harel, &amp; Malach, 2006)"},"citationItems":[{"id":1226,"uris":["http://zotero.org/users/local/vDYxJ8mW/items/8ASXHN9E"],"uri":["http://zotero.org/users/local/vDYxJ8mW/items/8ASXHN9E"],"itemData":{"id":1226,"type":"article-journal","title":"When the Brain Loses Its Self: Prefrontal Inactivation during Sensorimotor Processing","container-title":"Neuron","page":"329-339","volume":"50","issue":"2","source":"www.cell.com","DOI":"10.1016/j.neuron.2006.03.015","ISSN":"0896-6273","note":"PMID: 16630842","shortTitle":"When the Brain Loses Its Self","journalAbbreviation":"Neuron","language":"English","author":[{"family":"Goldberg","given":"Ilan I."},{"family":"Harel","given":"Michal"},{"family":"Malach","given":"Rafael"}],"issued":{"date-parts":[["2006",4,20]]}}}],"schema":"https://github.com/citation-style-language/schema/raw/master/csl-citation.json"} </w:instrText>
      </w:r>
      <w:r w:rsidR="007301BC" w:rsidRPr="008438F4">
        <w:rPr>
          <w:rFonts w:cs="Calibri"/>
          <w:color w:val="000000"/>
          <w:sz w:val="24"/>
          <w:szCs w:val="24"/>
          <w:shd w:val="clear" w:color="auto" w:fill="FFFFFF"/>
        </w:rPr>
        <w:fldChar w:fldCharType="separate"/>
      </w:r>
      <w:r w:rsidR="007301BC" w:rsidRPr="008438F4">
        <w:rPr>
          <w:rFonts w:cs="Calibri"/>
          <w:sz w:val="24"/>
        </w:rPr>
        <w:t>(Goldberg, Harel, &amp; Malach, 2006)</w:t>
      </w:r>
      <w:r w:rsidR="007301BC" w:rsidRPr="008438F4">
        <w:rPr>
          <w:rFonts w:cs="Calibri"/>
          <w:color w:val="000000"/>
          <w:sz w:val="24"/>
          <w:szCs w:val="24"/>
          <w:shd w:val="clear" w:color="auto" w:fill="FFFFFF"/>
        </w:rPr>
        <w:fldChar w:fldCharType="end"/>
      </w:r>
      <w:r w:rsidR="007301BC" w:rsidRPr="008438F4">
        <w:rPr>
          <w:rFonts w:cs="Calibri"/>
          <w:color w:val="000000"/>
          <w:sz w:val="24"/>
          <w:szCs w:val="24"/>
          <w:shd w:val="clear" w:color="auto" w:fill="FFFFFF"/>
        </w:rPr>
        <w:t xml:space="preserve">. </w:t>
      </w:r>
    </w:p>
    <w:p w14:paraId="104D9CE9" w14:textId="77777777" w:rsidR="003A2C42" w:rsidRDefault="003A2C42" w:rsidP="0099247D">
      <w:pPr>
        <w:pStyle w:val="NoSpacing"/>
        <w:spacing w:line="360" w:lineRule="auto"/>
        <w:jc w:val="both"/>
        <w:rPr>
          <w:rFonts w:cs="Calibri"/>
          <w:color w:val="000000"/>
          <w:sz w:val="24"/>
          <w:szCs w:val="24"/>
          <w:shd w:val="clear" w:color="auto" w:fill="FFFFFF"/>
        </w:rPr>
      </w:pPr>
      <w:r>
        <w:rPr>
          <w:rFonts w:cs="Calibri"/>
          <w:color w:val="000000"/>
          <w:sz w:val="24"/>
          <w:szCs w:val="24"/>
          <w:shd w:val="clear" w:color="auto" w:fill="FFFFFF"/>
        </w:rPr>
        <w:tab/>
      </w:r>
      <w:r w:rsidR="0099247D" w:rsidRPr="008438F4">
        <w:rPr>
          <w:rFonts w:cs="Calibri"/>
          <w:color w:val="000000"/>
          <w:sz w:val="24"/>
          <w:szCs w:val="24"/>
          <w:shd w:val="clear" w:color="auto" w:fill="FFFFFF"/>
        </w:rPr>
        <w:t>The cingulate cortex is a component of the limbic lobe of the brain and has previously been explored in neuro-connectivity research and has been identified as</w:t>
      </w:r>
      <w:r w:rsidR="00AC01FD" w:rsidRPr="008438F4">
        <w:rPr>
          <w:rFonts w:cs="Calibri"/>
          <w:color w:val="000000"/>
          <w:sz w:val="24"/>
          <w:szCs w:val="24"/>
          <w:shd w:val="clear" w:color="auto" w:fill="FFFFFF"/>
        </w:rPr>
        <w:t xml:space="preserve"> a</w:t>
      </w:r>
      <w:r w:rsidR="0099247D" w:rsidRPr="008438F4">
        <w:rPr>
          <w:rFonts w:cs="Calibri"/>
          <w:color w:val="000000"/>
          <w:sz w:val="24"/>
          <w:szCs w:val="24"/>
          <w:shd w:val="clear" w:color="auto" w:fill="FFFFFF"/>
        </w:rPr>
        <w:t xml:space="preserve"> potential neural correlate of subjective fatigue</w:t>
      </w:r>
      <w:r w:rsidR="006C5223" w:rsidRPr="008438F4">
        <w:rPr>
          <w:rFonts w:cs="Calibri"/>
          <w:color w:val="000000"/>
          <w:sz w:val="24"/>
          <w:szCs w:val="24"/>
          <w:shd w:val="clear" w:color="auto" w:fill="FFFFFF"/>
        </w:rPr>
        <w:t xml:space="preserve"> in</w:t>
      </w:r>
      <w:r w:rsidR="0099247D" w:rsidRPr="008438F4">
        <w:rPr>
          <w:rFonts w:cs="Calibri"/>
          <w:color w:val="000000"/>
          <w:sz w:val="24"/>
          <w:szCs w:val="24"/>
          <w:shd w:val="clear" w:color="auto" w:fill="FFFFFF"/>
        </w:rPr>
        <w:t xml:space="preserve"> patients</w:t>
      </w:r>
      <w:r w:rsidR="006C5223" w:rsidRPr="008438F4">
        <w:rPr>
          <w:rFonts w:cs="Calibri"/>
          <w:color w:val="000000"/>
          <w:sz w:val="24"/>
          <w:szCs w:val="24"/>
          <w:shd w:val="clear" w:color="auto" w:fill="FFFFFF"/>
        </w:rPr>
        <w:t xml:space="preserve"> with multiple sclerosis</w:t>
      </w:r>
      <w:r w:rsidR="00E34AEE">
        <w:rPr>
          <w:rFonts w:cs="Calibri"/>
          <w:color w:val="000000"/>
          <w:sz w:val="24"/>
          <w:szCs w:val="24"/>
          <w:shd w:val="clear" w:color="auto" w:fill="FFFFFF"/>
        </w:rPr>
        <w:t xml:space="preserve"> </w:t>
      </w:r>
      <w:r w:rsidR="006C5223" w:rsidRPr="008438F4">
        <w:rPr>
          <w:rFonts w:cs="Calibri"/>
          <w:color w:val="000000"/>
          <w:sz w:val="24"/>
          <w:szCs w:val="24"/>
          <w:shd w:val="clear" w:color="auto" w:fill="FFFFFF"/>
        </w:rPr>
        <w:t xml:space="preserve">(MS) </w:t>
      </w:r>
      <w:r w:rsidR="0099247D" w:rsidRPr="008438F4">
        <w:rPr>
          <w:rFonts w:cs="Calibri"/>
          <w:color w:val="000000"/>
          <w:sz w:val="24"/>
          <w:szCs w:val="24"/>
          <w:shd w:val="clear" w:color="auto" w:fill="FFFFFF"/>
        </w:rPr>
        <w:fldChar w:fldCharType="begin"/>
      </w:r>
      <w:r w:rsidR="0099247D" w:rsidRPr="008438F4">
        <w:rPr>
          <w:rFonts w:cs="Calibri"/>
          <w:color w:val="000000"/>
          <w:sz w:val="24"/>
          <w:szCs w:val="24"/>
          <w:shd w:val="clear" w:color="auto" w:fill="FFFFFF"/>
        </w:rPr>
        <w:instrText xml:space="preserve"> ADDIN ZOTERO_ITEM CSL_CITATION {"citationID":"a18hhcaspls","properties":{"formattedCitation":"(Pardini et al., 2015)","plainCitation":"(Pardini et al., 2015)"},"citationItems":[{"id":1188,"uris":["http://zotero.org/users/local/vDYxJ8mW/items/U9KWTNHE"],"uri":["http://zotero.org/users/local/vDYxJ8mW/items/U9KWTNHE"],"itemData":{"id":1188,"type":"article-journal","title":"Cingulum bundle alterations underlie subjective fatigue in multiple sclerosis","container-title":"Multiple Sclerosis (Houndmills, Basingstoke, England)","page":"442-447","volume":"21","issue":"4","source":"PubMed","abstract":"OBJECTIVE: To evaluate the neural basis of subjective fatigue in subjects with multiple sclerosis (MS) using a connectionist framework.\nMETHODS: Seventy seven subjects with relapsing-remitting MS were recruited in the study and underwent subjective fatigue evaluations and a diffusion MRI scan. Firstly, local white matter Fractional Anisotropy values were correlated with subjective fatigue scores using a voxel-wise approach. The long-range loss of connectivity due to structural damage in the white matter voxels thus associated with subjective fatigue was then assessed using the Network Modification (NeMo) package.\nRESULTS: A voxel-wise regression analysis with fatigue scores revealed a significant association between structural damage and fatigue levels in two discrete white matter clusters, both included in the left cingulate bundle. The connectivity analysis revealed that damage in these clusters was associated with loss of structural connectivity in the anterior and medial cingulate cortices, dorsolateral prefrontal areas and in the left caudate.\nDISCUSSION: Our data point to the cingulum bundle and its projections as the key network involved in subjective fatigue perception in MS. More generally, these results suggest the potential of the connectionist framework to generate coherent models of the neural basis of complex symptomatology in MS.","DOI":"10.1177/1352458514546791","ISSN":"1477-0970","note":"PMID: 25145692","journalAbbreviation":"Mult. Scler.","language":"eng","author":[{"family":"Pardini","given":"Matteo"},{"family":"Bonzano","given":"Laura"},{"family":"Bergamino","given":"Maurizio"},{"family":"Bommarito","given":"Giulia"},{"family":"Feraco","given":"Paola"},{"family":"Murugavel","given":"Abitha"},{"family":"Bove","given":"Marco"},{"family":"Brichetto","given":"Giampaolo"},{"family":"Uccelli","given":"Antonio"},{"family":"Mancardi","given":"Gianluigi"},{"family":"Roccatagliata","given":"Luca"}],"issued":{"date-parts":[["2015",4]]}}}],"schema":"https://github.com/citation-style-language/schema/raw/master/csl-citation.json"} </w:instrText>
      </w:r>
      <w:r w:rsidR="0099247D" w:rsidRPr="008438F4">
        <w:rPr>
          <w:rFonts w:cs="Calibri"/>
          <w:color w:val="000000"/>
          <w:sz w:val="24"/>
          <w:szCs w:val="24"/>
          <w:shd w:val="clear" w:color="auto" w:fill="FFFFFF"/>
        </w:rPr>
        <w:fldChar w:fldCharType="separate"/>
      </w:r>
      <w:r w:rsidR="00AD2869" w:rsidRPr="008438F4">
        <w:rPr>
          <w:rFonts w:cs="Calibri"/>
          <w:sz w:val="24"/>
        </w:rPr>
        <w:t>(Pardini et al., 2015)</w:t>
      </w:r>
      <w:r w:rsidR="0099247D" w:rsidRPr="008438F4">
        <w:rPr>
          <w:rFonts w:cs="Calibri"/>
          <w:color w:val="000000"/>
          <w:sz w:val="24"/>
          <w:szCs w:val="24"/>
          <w:shd w:val="clear" w:color="auto" w:fill="FFFFFF"/>
        </w:rPr>
        <w:fldChar w:fldCharType="end"/>
      </w:r>
      <w:r w:rsidR="0099247D" w:rsidRPr="008438F4">
        <w:rPr>
          <w:rFonts w:cs="Calibri"/>
          <w:color w:val="000000"/>
          <w:sz w:val="24"/>
          <w:szCs w:val="24"/>
          <w:shd w:val="clear" w:color="auto" w:fill="FFFFFF"/>
        </w:rPr>
        <w:t xml:space="preserve">. </w:t>
      </w:r>
      <w:r w:rsidR="006C5223" w:rsidRPr="008438F4">
        <w:rPr>
          <w:rFonts w:cs="Calibri"/>
          <w:color w:val="000000"/>
          <w:sz w:val="24"/>
          <w:szCs w:val="24"/>
          <w:shd w:val="clear" w:color="auto" w:fill="FFFFFF"/>
        </w:rPr>
        <w:t>Among patients with MS, d</w:t>
      </w:r>
      <w:r w:rsidR="0099247D" w:rsidRPr="008438F4">
        <w:rPr>
          <w:rFonts w:cs="Calibri"/>
          <w:color w:val="000000"/>
          <w:sz w:val="24"/>
          <w:szCs w:val="24"/>
          <w:shd w:val="clear" w:color="auto" w:fill="FFFFFF"/>
        </w:rPr>
        <w:t xml:space="preserve">eterioration of networks was found in the cingulate, prefrontal areas and the caudate, which suggests that these regions could also be involved in fatigability outcomes. </w:t>
      </w:r>
    </w:p>
    <w:p w14:paraId="0D33B809" w14:textId="586BF599" w:rsidR="0099247D" w:rsidRPr="008438F4" w:rsidRDefault="003A2C42" w:rsidP="0099247D">
      <w:pPr>
        <w:pStyle w:val="NoSpacing"/>
        <w:spacing w:line="360" w:lineRule="auto"/>
        <w:jc w:val="both"/>
        <w:rPr>
          <w:rFonts w:cs="Calibri"/>
          <w:color w:val="000000"/>
          <w:sz w:val="24"/>
          <w:szCs w:val="24"/>
          <w:shd w:val="clear" w:color="auto" w:fill="FFFFFF"/>
        </w:rPr>
      </w:pPr>
      <w:r>
        <w:rPr>
          <w:rFonts w:cs="Calibri"/>
          <w:color w:val="000000"/>
          <w:sz w:val="24"/>
          <w:szCs w:val="24"/>
          <w:shd w:val="clear" w:color="auto" w:fill="FFFFFF"/>
        </w:rPr>
        <w:tab/>
        <w:t xml:space="preserve">While no one has studies the neural correlates of fatigability in healthy older adults, there are some plausible regions located in the limbic system, basal ganglia, and frontal regions that have been identified from studies of neurologic disease and healthy younger adults. </w:t>
      </w:r>
    </w:p>
    <w:p w14:paraId="5B063378" w14:textId="5007E30E" w:rsidR="0099247D" w:rsidRPr="008438F4" w:rsidRDefault="0099247D" w:rsidP="001F2D4C">
      <w:pPr>
        <w:pStyle w:val="Heading3"/>
        <w:rPr>
          <w:rFonts w:ascii="Calibri" w:hAnsi="Calibri" w:cs="Calibri"/>
        </w:rPr>
      </w:pPr>
      <w:bookmarkStart w:id="32" w:name="_Toc499840795"/>
      <w:r w:rsidRPr="008438F4">
        <w:rPr>
          <w:rFonts w:ascii="Calibri" w:hAnsi="Calibri" w:cs="Calibri"/>
        </w:rPr>
        <w:t>Gap in Knowledge</w:t>
      </w:r>
      <w:bookmarkEnd w:id="32"/>
    </w:p>
    <w:p w14:paraId="17F16AF9"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Presently, there have been no studies to our knowledge that explore brain structure and perceived fatigability in an aged population. This study will be the first of its kind to examine the neural correlates of fatigability in older adults. Our work will elucidate the brain structures that may be responsible for or related to perceived fatigability including the amygdala, caudate, cingulate, middle frontal gyrus, orbitofrontal cortex, medial superior frontal gyrus, hippocampus, putamen, and thalamus. </w:t>
      </w:r>
    </w:p>
    <w:p w14:paraId="23A186E9" w14:textId="77777777" w:rsidR="0099247D" w:rsidRPr="008438F4" w:rsidRDefault="0099247D" w:rsidP="001F2D4C">
      <w:pPr>
        <w:pStyle w:val="Heading2"/>
        <w:rPr>
          <w:rFonts w:ascii="Calibri" w:hAnsi="Calibri" w:cs="Calibri"/>
        </w:rPr>
      </w:pPr>
      <w:bookmarkStart w:id="33" w:name="_Toc499840796"/>
      <w:r w:rsidRPr="008438F4">
        <w:rPr>
          <w:rFonts w:ascii="Calibri" w:hAnsi="Calibri" w:cs="Calibri"/>
        </w:rPr>
        <w:t>PUBLIC HEALTH IMPLICATIONS</w:t>
      </w:r>
      <w:bookmarkEnd w:id="33"/>
      <w:r w:rsidRPr="008438F4">
        <w:rPr>
          <w:rFonts w:ascii="Calibri" w:hAnsi="Calibri" w:cs="Calibri"/>
        </w:rPr>
        <w:t xml:space="preserve"> </w:t>
      </w:r>
    </w:p>
    <w:p w14:paraId="06C151D2" w14:textId="77777777" w:rsidR="0099247D" w:rsidRPr="008438F4" w:rsidRDefault="0099247D" w:rsidP="0099247D">
      <w:pPr>
        <w:pStyle w:val="NoSpacing"/>
        <w:spacing w:line="360" w:lineRule="auto"/>
        <w:jc w:val="both"/>
        <w:rPr>
          <w:rFonts w:cs="Calibri"/>
          <w:sz w:val="24"/>
          <w:szCs w:val="24"/>
        </w:rPr>
      </w:pPr>
      <w:r w:rsidRPr="008438F4">
        <w:rPr>
          <w:rFonts w:cs="Calibri"/>
          <w:sz w:val="24"/>
          <w:szCs w:val="24"/>
        </w:rPr>
        <w:t xml:space="preserve">Due to the increasing size of the aged population and the high prevalence of fatigue in older adults, studying fatigability in the context of brain structure is imperative for the efficient distribution of public health resources to interventions that focus on lasting change and improved quality of life. </w:t>
      </w:r>
    </w:p>
    <w:p w14:paraId="416C891B" w14:textId="77777777" w:rsidR="0099247D" w:rsidRPr="008438F4" w:rsidRDefault="0099247D" w:rsidP="001F2D4C">
      <w:pPr>
        <w:pStyle w:val="NoSpacing"/>
        <w:spacing w:line="360" w:lineRule="auto"/>
        <w:ind w:firstLine="720"/>
        <w:jc w:val="both"/>
        <w:rPr>
          <w:rFonts w:cs="Calibri"/>
          <w:sz w:val="24"/>
          <w:szCs w:val="24"/>
        </w:rPr>
      </w:pPr>
      <w:r w:rsidRPr="008438F4">
        <w:rPr>
          <w:rFonts w:cs="Calibri"/>
          <w:sz w:val="24"/>
          <w:szCs w:val="24"/>
        </w:rPr>
        <w:t>It has been established that tiredness in mobility is an independent predictor of mortality</w:t>
      </w:r>
      <w:r w:rsidRPr="008438F4">
        <w:rPr>
          <w:rFonts w:cs="Calibri"/>
          <w:sz w:val="24"/>
          <w:szCs w:val="24"/>
        </w:rPr>
        <w:fldChar w:fldCharType="begin"/>
      </w:r>
      <w:r w:rsidRPr="008438F4">
        <w:rPr>
          <w:rFonts w:cs="Calibri"/>
          <w:sz w:val="24"/>
          <w:szCs w:val="24"/>
        </w:rPr>
        <w:instrText xml:space="preserve"> ADDIN ZOTERO_TEMP </w:instrText>
      </w:r>
      <w:r w:rsidRPr="008438F4">
        <w:rPr>
          <w:rFonts w:cs="Calibri"/>
          <w:sz w:val="24"/>
          <w:szCs w:val="24"/>
        </w:rPr>
        <w:fldChar w:fldCharType="end"/>
      </w:r>
      <w:r w:rsidRPr="008438F4">
        <w:rPr>
          <w:rFonts w:cs="Calibri"/>
          <w:sz w:val="24"/>
          <w:szCs w:val="24"/>
        </w:rPr>
        <w:t xml:space="preserve"> </w:t>
      </w:r>
      <w:r w:rsidRPr="008438F4">
        <w:rPr>
          <w:rFonts w:cs="Calibri"/>
          <w:sz w:val="24"/>
          <w:szCs w:val="24"/>
        </w:rPr>
        <w:fldChar w:fldCharType="begin"/>
      </w:r>
      <w:r w:rsidRPr="008438F4">
        <w:rPr>
          <w:rFonts w:cs="Calibri"/>
          <w:sz w:val="24"/>
          <w:szCs w:val="24"/>
        </w:rPr>
        <w:instrText xml:space="preserve"> ADDIN ZOTERO_ITEM CSL_CITATION {"citationID":"a9p515ojgq","properties":{"formattedCitation":"(K. Avlund, Schultz-Larsen, &amp; Davidsen, 1998)","plainCitation":"(K. Avlund, Schultz-Larsen, &amp; Davidsen, 1998)"},"citationItems":[{"id":1232,"uris":["http://zotero.org/users/local/vDYxJ8mW/items/SBSX8G5K"],"uri":["http://zotero.org/users/local/vDYxJ8mW/items/SBSX8G5K"],"itemData":{"id":1232,"type":"article-journal","title":"Tiredness in daily activities at age 70 as a predictor of mortality during the next 10 years","container-title":"Journal of Clinical Epidemiology","page":"323-333","volume":"51","issue":"4","source":"PubMed","abstract":"This study examined whether self-reported tiredness in mobility and activities of daily living is predictive of mortality, when controlled for global self-rated health, smoking, and socio-demographic factors. The investigation is part of the 1984 longitudinal study of the residents of Glostrup, Denmark, born in 1914, and included 734 men and women who were interviewed about mobility, activities of daily living, self-rated health, smoking, and socio-demographic factors, when they were 70 years old. Ten years later, in November 1994, information about deaths was obtained from the Central National Register. When controlled for the other variables tiredness in mobility was an independent predictor of mortality during the next 10 years among both women and men. The finding persisted when the analysis was performed on a restricted sample of non-disabled 70-year-old people. The results in the present study indicate that we have identified a subgroup of independent elderly people who are at risk of dying earlier than others.","ISSN":"0895-4356","note":"PMID: 9539889","journalAbbreviation":"J Clin Epidemiol","language":"eng","author":[{"family":"Avlund","given":"K."},{"family":"Schultz-Larsen","given":"K."},{"family":"Davidsen","given":"M."}],"issued":{"date-parts":[["1998",4]]}}}],"schema":"https://github.com/citation-style-language/schema/raw/master/csl-citation.json"} </w:instrText>
      </w:r>
      <w:r w:rsidRPr="008438F4">
        <w:rPr>
          <w:rFonts w:cs="Calibri"/>
          <w:sz w:val="24"/>
          <w:szCs w:val="24"/>
        </w:rPr>
        <w:fldChar w:fldCharType="separate"/>
      </w:r>
      <w:r w:rsidR="00AD2869" w:rsidRPr="008438F4">
        <w:rPr>
          <w:rFonts w:cs="Calibri"/>
          <w:sz w:val="24"/>
        </w:rPr>
        <w:t>(K. Avlund, Schultz-Larsen, &amp; Davidsen, 1998)</w:t>
      </w:r>
      <w:r w:rsidRPr="008438F4">
        <w:rPr>
          <w:rFonts w:cs="Calibri"/>
          <w:sz w:val="24"/>
          <w:szCs w:val="24"/>
        </w:rPr>
        <w:fldChar w:fldCharType="end"/>
      </w:r>
      <w:r w:rsidRPr="008438F4">
        <w:rPr>
          <w:rFonts w:cs="Calibri"/>
          <w:sz w:val="24"/>
          <w:szCs w:val="24"/>
        </w:rPr>
        <w:t xml:space="preserve">. Among non-mobility limited older adults, ratings of perceived exertion after completing a slow walk for five minutes was associated with a greater likelihood of functional decline over a two year period </w:t>
      </w:r>
      <w:r w:rsidRPr="008438F4">
        <w:rPr>
          <w:rFonts w:cs="Calibri"/>
          <w:sz w:val="24"/>
          <w:szCs w:val="24"/>
        </w:rPr>
        <w:fldChar w:fldCharType="begin"/>
      </w:r>
      <w:r w:rsidR="00AC5D2C" w:rsidRPr="008438F4">
        <w:rPr>
          <w:rFonts w:cs="Calibri"/>
          <w:sz w:val="24"/>
          <w:szCs w:val="24"/>
        </w:rPr>
        <w:instrText xml:space="preserve"> ADDIN ZOTERO_ITEM CSL_CITATION {"citationID":"aldlmvp1dl","properties":{"formattedCitation":"(Simonsick et al., 2016)","plainCitation":"(Simonsick et al., 2016)"},"citationItems":[{"id":1126,"uris":["http://zotero.org/users/local/vDYxJ8mW/items/RFRI6XJB"],"uri":["http://zotero.org/users/local/vDYxJ8mW/items/RFRI6XJB"],"itemData":{"id":1126,"type":"article-journal","title":"Fatigued, but Not Frail: Perceived Fatigability as a Marker of Impending Decline in Mobility-Intact Older Adults","container-title":"Journal of the American Geriatrics Society","page":"1287-1292","volume":"64","issue":"6","source":"PubMed","abstract":"OBJECTIVES: To evaluate perceived fatigability as a predictor of meaningful functional decline in non-mobility-limited older adults.\nDESIGN: Longitudinal analysis of data from the Baltimore Longitudinal Study of Aging (BLSA).\nSETTING: National Institute on Aging, Clinical Research Unit, Baltimore, Maryland.\nPARTICIPANTS: Men and women aged 60 to 89 participating in the BLSA with concurrent perceived fatigability and functional assessments and follow-up functional assessment within 1 to 3 years (N = 540).\nMEASUREMENTS: Perceived fatigability was ascertained using the Borg rating of perceived exertion (RPE) after 5 minutes of treadmill walking at 1.5 miles per hour. Functional assessments included usual and fast gait speed, the Health, Aging and Body Composition physical performance battery (HABC PPB) and reported walking ability. Reported tiredness and energy level were examined as complementary predictors. Covariates included age, age squared, race, follow-up time, and baseline function. Meaningful decline was defined as 0.05 m/s per year for usual gait speed, 0.07 m/s per year for fast gait speed, 0.12 points/year for HABC PPB, and 1 point for walking ability index.\nRESULTS: Over a mean 2.1 years, 20-31% of participants declined across functional assessments. Fatigability was associated with a 13-19% greater likelihood of meaningful decline in all measures (P = .002- .02) per 1-unit RPE increase. After considering tiredness and energy level separately, findings were essentially unchanged, and neither was associated with gait speed or physical performance decline. In contrast, each separately predicted decline in reported walking ability independent of fatigability (P = .03 and P &lt; .001, respectively).\nCONCLUSION: Routine assessment of fatigability may help identify older persons vulnerable to greater-than-expected functional decline.","DOI":"10.1111/jgs.14138","ISSN":"1532-5415","note":"PMID: 27253228\nPMCID: PMC4914474","shortTitle":"Fatigued, but Not Frail","journalAbbreviation":"J Am Geriatr Soc","language":"eng","author":[{"family":"Simonsick","given":"Eleanor M."},{"family":"Glynn","given":"Nancy W."},{"family":"Jerome","given":"Gerald J."},{"family":"Shardell","given":"Michelle"},{"family":"Schrack","given":"Jennifer A."},{"family":"Ferrucci","given":"Luigi"}],"issued":{"date-parts":[["2016",6]]}}}],"schema":"https://github.com/citation-style-language/schema/raw/master/csl-citation.json"} </w:instrText>
      </w:r>
      <w:r w:rsidRPr="008438F4">
        <w:rPr>
          <w:rFonts w:cs="Calibri"/>
          <w:sz w:val="24"/>
          <w:szCs w:val="24"/>
        </w:rPr>
        <w:fldChar w:fldCharType="separate"/>
      </w:r>
      <w:r w:rsidR="00AC5D2C" w:rsidRPr="008438F4">
        <w:rPr>
          <w:rFonts w:cs="Calibri"/>
          <w:sz w:val="24"/>
        </w:rPr>
        <w:t>(Simonsick et al., 2016)</w:t>
      </w:r>
      <w:r w:rsidRPr="008438F4">
        <w:rPr>
          <w:rFonts w:cs="Calibri"/>
          <w:sz w:val="24"/>
          <w:szCs w:val="24"/>
        </w:rPr>
        <w:fldChar w:fldCharType="end"/>
      </w:r>
      <w:r w:rsidRPr="008438F4">
        <w:rPr>
          <w:rFonts w:cs="Calibri"/>
          <w:sz w:val="24"/>
          <w:szCs w:val="24"/>
        </w:rPr>
        <w:t xml:space="preserve">. Slower walking speed and higher rates of energy expenditure was also associated with greater fatigability (Richardson et al., 2015). Therefore, older adults with higher fatigability may be at risk for mobility decline, and fatigability may be a target for intervention to prevent poor health outcomes among older adults. </w:t>
      </w:r>
    </w:p>
    <w:p w14:paraId="7BD4A3E7" w14:textId="77777777" w:rsidR="0099247D" w:rsidRPr="008438F4" w:rsidRDefault="0099247D" w:rsidP="001F2D4C">
      <w:pPr>
        <w:pStyle w:val="NoSpacing"/>
        <w:spacing w:line="360" w:lineRule="auto"/>
        <w:ind w:firstLine="720"/>
        <w:jc w:val="both"/>
        <w:rPr>
          <w:rFonts w:cs="Calibri"/>
          <w:sz w:val="24"/>
          <w:szCs w:val="24"/>
        </w:rPr>
      </w:pPr>
      <w:r w:rsidRPr="008438F4">
        <w:rPr>
          <w:rFonts w:cs="Calibri"/>
          <w:sz w:val="24"/>
          <w:szCs w:val="24"/>
        </w:rPr>
        <w:t xml:space="preserve">Previously, attempts to institute effective strategies for healthy aging through mobility intervention have been challenging and expensive to carry out in research, policy and clinical practice. As such, public health aging research has investigated age-related diseases and the implications of early intervention on the aging process. Critical to this healthy aging process is brain health. Aging brains are subject to deterioration and in some cases neurological disease and impairment. Therefore, the aging brain serves as a unique and important structure to study in the context of public health, because anatomical differences in brain structure may elude to risk for poorer health outcomes, including fatigability. </w:t>
      </w:r>
    </w:p>
    <w:p w14:paraId="27A0BF9E" w14:textId="77777777" w:rsidR="0099247D" w:rsidRPr="008438F4" w:rsidRDefault="0099247D" w:rsidP="001F2D4C">
      <w:pPr>
        <w:pStyle w:val="NoSpacing"/>
        <w:spacing w:line="360" w:lineRule="auto"/>
        <w:ind w:firstLine="720"/>
        <w:jc w:val="both"/>
        <w:rPr>
          <w:rFonts w:cs="Calibri"/>
          <w:sz w:val="24"/>
          <w:szCs w:val="24"/>
        </w:rPr>
      </w:pPr>
      <w:r w:rsidRPr="008438F4">
        <w:rPr>
          <w:rFonts w:cs="Calibri"/>
          <w:sz w:val="24"/>
          <w:szCs w:val="24"/>
        </w:rPr>
        <w:t xml:space="preserve">There is evidence to support that brain anatomical structures can be preserved through adult life by maintaining a healthy lifestyle and through physical activity. Overtime, the brain is subject to structural changes and current research technologies offer a unique window of opportunity to study brain anatomy as a predictor of fatigability outcomes in older adults. Future work may benefit from crude identification of brain anatomical correlates associated with fatigue by allowing investigators to concentrate connectivity research on specific brain regions. </w:t>
      </w:r>
    </w:p>
    <w:p w14:paraId="5CE3DD0C" w14:textId="77777777" w:rsidR="0099247D" w:rsidRPr="008438F4" w:rsidRDefault="0099247D" w:rsidP="00990685">
      <w:pPr>
        <w:pStyle w:val="NoSpacing"/>
        <w:spacing w:line="360" w:lineRule="auto"/>
        <w:ind w:firstLine="720"/>
        <w:jc w:val="both"/>
        <w:rPr>
          <w:rFonts w:cs="Calibri"/>
          <w:sz w:val="24"/>
          <w:szCs w:val="24"/>
        </w:rPr>
      </w:pPr>
      <w:r w:rsidRPr="008438F4">
        <w:rPr>
          <w:rFonts w:cs="Calibri"/>
          <w:sz w:val="24"/>
          <w:szCs w:val="24"/>
        </w:rPr>
        <w:t xml:space="preserve">Presently, the literature on fatigability is limited, especially in the context of brain studies. This work will help clarify how the brain may be critical for fatigability specifically in relatively healthy older adults and the importance of fatigability and its relationship to the brain in the disablement pathway. In summary, interventional success for fatigability and related mobility outcomes is dependent on a clear understanding of the disablement pathway. Our work will help advance the knowledge of the disablement pathway in older adults and draw attention to the importance of physical and mental fatigability and its relationship to brain health. </w:t>
      </w:r>
      <w:r w:rsidRPr="008438F4">
        <w:rPr>
          <w:rFonts w:cs="Calibri"/>
          <w:sz w:val="24"/>
          <w:szCs w:val="24"/>
        </w:rPr>
        <w:tab/>
      </w:r>
    </w:p>
    <w:p w14:paraId="2CA40E98" w14:textId="77777777" w:rsidR="0099247D" w:rsidRPr="008438F4" w:rsidRDefault="0099247D" w:rsidP="0099247D">
      <w:pPr>
        <w:rPr>
          <w:rFonts w:ascii="Calibri" w:hAnsi="Calibri" w:cs="Calibri"/>
        </w:rPr>
      </w:pPr>
    </w:p>
    <w:p w14:paraId="2CD0B303" w14:textId="77777777" w:rsidR="0099247D" w:rsidRPr="008438F4" w:rsidRDefault="0099247D" w:rsidP="001F2D4C">
      <w:pPr>
        <w:pStyle w:val="Heading1"/>
        <w:rPr>
          <w:rFonts w:ascii="Calibri" w:hAnsi="Calibri" w:cs="Calibri"/>
        </w:rPr>
      </w:pPr>
      <w:bookmarkStart w:id="34" w:name="_Toc499840797"/>
      <w:r w:rsidRPr="008438F4">
        <w:rPr>
          <w:rFonts w:ascii="Calibri" w:hAnsi="Calibri" w:cs="Calibri"/>
        </w:rPr>
        <w:t>OBJECTIVES</w:t>
      </w:r>
      <w:bookmarkEnd w:id="34"/>
    </w:p>
    <w:p w14:paraId="5D70531A" w14:textId="40B9C4E6" w:rsidR="0099247D" w:rsidRPr="008438F4" w:rsidRDefault="0099247D" w:rsidP="001F2D4C">
      <w:pPr>
        <w:spacing w:line="360" w:lineRule="auto"/>
        <w:ind w:firstLine="0"/>
        <w:rPr>
          <w:rFonts w:ascii="Calibri" w:hAnsi="Calibri" w:cs="Calibri"/>
        </w:rPr>
      </w:pPr>
      <w:r w:rsidRPr="008438F4">
        <w:rPr>
          <w:rFonts w:ascii="Calibri" w:hAnsi="Calibri" w:cs="Calibri"/>
        </w:rPr>
        <w:t>We aim to examine whether brain MRI metrics are associated with fatigability in an older adult population. We hypothesize that higher fatigability scores will be inversely related to grey matter volumes for basal ganglia and front</w:t>
      </w:r>
      <w:r w:rsidR="00E34AEE">
        <w:rPr>
          <w:rFonts w:ascii="Calibri" w:hAnsi="Calibri" w:cs="Calibri"/>
        </w:rPr>
        <w:t>o</w:t>
      </w:r>
      <w:r w:rsidR="00E34AEE" w:rsidRPr="008438F4">
        <w:rPr>
          <w:rFonts w:ascii="Calibri" w:hAnsi="Calibri" w:cs="Calibri"/>
        </w:rPr>
        <w:t xml:space="preserve">temporal </w:t>
      </w:r>
      <w:r w:rsidRPr="008438F4">
        <w:rPr>
          <w:rFonts w:ascii="Calibri" w:hAnsi="Calibri" w:cs="Calibri"/>
        </w:rPr>
        <w:t>cortices compared to people with lower fatigability</w:t>
      </w:r>
      <w:r w:rsidR="006C5223" w:rsidRPr="008438F4">
        <w:rPr>
          <w:rFonts w:ascii="Calibri" w:hAnsi="Calibri" w:cs="Calibri"/>
        </w:rPr>
        <w:t>.</w:t>
      </w:r>
    </w:p>
    <w:p w14:paraId="3931048E" w14:textId="77777777" w:rsidR="0099247D" w:rsidRPr="008438F4" w:rsidRDefault="0099247D" w:rsidP="000628E7">
      <w:pPr>
        <w:pStyle w:val="Heading1"/>
        <w:rPr>
          <w:rFonts w:ascii="Calibri" w:hAnsi="Calibri" w:cs="Calibri"/>
        </w:rPr>
      </w:pPr>
      <w:bookmarkStart w:id="35" w:name="_Toc499840798"/>
      <w:r w:rsidRPr="008438F4">
        <w:rPr>
          <w:rFonts w:ascii="Calibri" w:hAnsi="Calibri" w:cs="Calibri"/>
        </w:rPr>
        <w:t>Methods</w:t>
      </w:r>
      <w:bookmarkEnd w:id="35"/>
    </w:p>
    <w:p w14:paraId="28889BF2" w14:textId="77777777" w:rsidR="0099247D" w:rsidRPr="008438F4" w:rsidRDefault="0099247D" w:rsidP="000628E7">
      <w:pPr>
        <w:pStyle w:val="Heading2"/>
        <w:rPr>
          <w:rFonts w:ascii="Calibri" w:hAnsi="Calibri" w:cs="Calibri"/>
        </w:rPr>
      </w:pPr>
      <w:bookmarkStart w:id="36" w:name="_Toc499840799"/>
      <w:r w:rsidRPr="008438F4">
        <w:rPr>
          <w:rFonts w:ascii="Calibri" w:hAnsi="Calibri" w:cs="Calibri"/>
        </w:rPr>
        <w:t>Ethics Statement</w:t>
      </w:r>
      <w:bookmarkEnd w:id="36"/>
    </w:p>
    <w:p w14:paraId="1BD35D05" w14:textId="77777777" w:rsidR="0099247D" w:rsidRPr="008438F4" w:rsidRDefault="0099247D" w:rsidP="0099247D">
      <w:pPr>
        <w:pStyle w:val="NoSpacing"/>
        <w:spacing w:line="360" w:lineRule="auto"/>
        <w:jc w:val="both"/>
        <w:rPr>
          <w:rFonts w:eastAsia="Times New Roman" w:cs="Calibri"/>
          <w:sz w:val="24"/>
          <w:szCs w:val="24"/>
        </w:rPr>
      </w:pPr>
      <w:r w:rsidRPr="008438F4">
        <w:rPr>
          <w:rFonts w:eastAsia="Times New Roman" w:cs="Calibri"/>
          <w:sz w:val="24"/>
          <w:szCs w:val="24"/>
        </w:rPr>
        <w:t xml:space="preserve">The Lifestyle Interventions and Independence for Elders study was approved by the Institutional Review Board for all eight field centers, including the University of Pittsburgh, Pittsburgh, Pennsylvania field center </w:t>
      </w:r>
      <w:r w:rsidRPr="008438F4">
        <w:rPr>
          <w:rFonts w:eastAsia="Times New Roman" w:cs="Calibri"/>
          <w:sz w:val="24"/>
          <w:szCs w:val="24"/>
        </w:rPr>
        <w:fldChar w:fldCharType="begin"/>
      </w:r>
      <w:r w:rsidRPr="008438F4">
        <w:rPr>
          <w:rFonts w:eastAsia="Times New Roman" w:cs="Calibri"/>
          <w:sz w:val="24"/>
          <w:szCs w:val="24"/>
        </w:rPr>
        <w:instrText xml:space="preserve"> ADDIN ZOTERO_ITEM CSL_CITATION {"citationID":"2e67en65rb","properties":{"formattedCitation":"(Marsh et al., 2013)","plainCitation":"(Marsh et al., 2013)"},"citationItems":[{"id":817,"uris":["http://zotero.org/users/local/vDYxJ8mW/items/SI2AIS3U"],"uri":["http://zotero.org/users/local/vDYxJ8mW/items/SI2AIS3U"],"itemData":{"id":817,"type":"article-journal","title":"Lifestyle interventions and independence for elders study: recruitment and baseline characteristics","container-title":"The Journals of Gerontology. Series A, Biological Sciences and Medical Sciences","page":"1549-1558","volume":"68","issue":"12","source":"PubMed","abstract":"BACKGROUND: Recruitment of older adults into long-term clinical trials involving behavioral interventions is a significant challenge. The Lifestyle Interventions and Independence for Elders (LIFE) Study is a Phase 3 multicenter randomized controlled multisite trial, designed to compare the effects of a moderate-intensity physical activity program with a successful aging health education program on the incidence of major mobility disability (the inability to walk 400 m) in sedentary adults aged 70-89 years, who were at high risk for mobility disability (scoring ≤ 9 on the Short Physical Performance Battery) at baseline.\nMETHODS: Recruitment methods, yields, efficiency, and costs are described together with a summary of participant baseline characteristics. Yields were examined across levels of sex, race and ethnicity, and Short Physical Performance Battery, as well as by site.\nRESULTS: The 21-month recruiting period resulted in 14,812 telephone screens; 1,635 participants were randomized (67.2% women, 21.0% minorities, 44.7% with Short Physical Performance Battery scores ≤ 7). Of the telephone-screened participants, 37.6% were excluded primarily because of regular participation in physical activity, health exclusions, or self-reported mobility disability. Direct mailing was the most productive recruitment strategy (59.5% of randomized participants). Recruitment costs were $840 per randomized participant. Yields differed by sex and Short Physical Performance Battery. We accrued 11% more participant follow-up time than expected during the recruitment period as a result of the accelerated recruitment rate.\nCONCLUSIONS: The LIFE Study achieved all recruitment benchmarks. Bulk mailing is an efficient method for recruiting high-risk community-dwelling older persons (including minorities), from diverse geographic areas for this long-term behavioral trial.","DOI":"10.1093/gerona/glt064","ISSN":"1758-535X","note":"PMID: 23716501\nPMCID: PMC3814232","shortTitle":"Lifestyle interventions and independence for elders study","journalAbbreviation":"J. Gerontol. A Biol. Sci. Med. Sci.","language":"eng","author":[{"family":"Marsh","given":"Anthony P."},{"family":"Lovato","given":"Laura C."},{"family":"Glynn","given":"Nancy W."},{"family":"Kennedy","given":"Kimberly"},{"family":"Castro","given":"Cynthia"},{"family":"Domanchuk","given":"Kathryn"},{"family":"McDavitt","given":"Erica"},{"family":"Rodate","given":"Ruben"},{"family":"Marsiske","given":"Michael"},{"family":"McGloin","given":"Joanne"},{"family":"Groessl","given":"Erik J."},{"family":"Pahor","given":"Marco"},{"family":"Guralnik","given":"Jack M."},{"literal":"LIFE Study Research Group"}],"issued":{"date-parts":[["2013",12]]}}}],"schema":"https://github.com/citation-style-language/schema/raw/master/csl-citation.json"} </w:instrText>
      </w:r>
      <w:r w:rsidRPr="008438F4">
        <w:rPr>
          <w:rFonts w:eastAsia="Times New Roman" w:cs="Calibri"/>
          <w:sz w:val="24"/>
          <w:szCs w:val="24"/>
        </w:rPr>
        <w:fldChar w:fldCharType="separate"/>
      </w:r>
      <w:r w:rsidR="00AD2869" w:rsidRPr="008438F4">
        <w:rPr>
          <w:rFonts w:cs="Calibri"/>
          <w:sz w:val="24"/>
        </w:rPr>
        <w:t>(Marsh et al., 2013)</w:t>
      </w:r>
      <w:r w:rsidRPr="008438F4">
        <w:rPr>
          <w:rFonts w:eastAsia="Times New Roman" w:cs="Calibri"/>
          <w:sz w:val="24"/>
          <w:szCs w:val="24"/>
        </w:rPr>
        <w:fldChar w:fldCharType="end"/>
      </w:r>
      <w:r w:rsidRPr="008438F4">
        <w:rPr>
          <w:rFonts w:eastAsia="Times New Roman" w:cs="Calibri"/>
          <w:sz w:val="24"/>
          <w:szCs w:val="24"/>
        </w:rPr>
        <w:t xml:space="preserve">. </w:t>
      </w:r>
    </w:p>
    <w:p w14:paraId="16A454F2" w14:textId="77777777" w:rsidR="0099247D" w:rsidRPr="008438F4" w:rsidRDefault="0099247D" w:rsidP="000628E7">
      <w:pPr>
        <w:pStyle w:val="Heading2"/>
        <w:rPr>
          <w:rFonts w:ascii="Calibri" w:hAnsi="Calibri" w:cs="Calibri"/>
        </w:rPr>
      </w:pPr>
      <w:bookmarkStart w:id="37" w:name="_Toc499840800"/>
      <w:r w:rsidRPr="008438F4">
        <w:rPr>
          <w:rFonts w:ascii="Calibri" w:hAnsi="Calibri" w:cs="Calibri"/>
        </w:rPr>
        <w:t>Design and Setting</w:t>
      </w:r>
      <w:bookmarkEnd w:id="37"/>
    </w:p>
    <w:p w14:paraId="395B905F" w14:textId="77777777" w:rsidR="0099247D" w:rsidRPr="008438F4" w:rsidRDefault="0099247D" w:rsidP="000628E7">
      <w:pPr>
        <w:pStyle w:val="Heading3"/>
        <w:rPr>
          <w:rFonts w:ascii="Calibri" w:hAnsi="Calibri" w:cs="Calibri"/>
        </w:rPr>
      </w:pPr>
      <w:bookmarkStart w:id="38" w:name="_Toc499840801"/>
      <w:r w:rsidRPr="008438F4">
        <w:rPr>
          <w:rFonts w:ascii="Calibri" w:hAnsi="Calibri" w:cs="Calibri"/>
        </w:rPr>
        <w:t>Overview of the Parent Study</w:t>
      </w:r>
      <w:bookmarkEnd w:id="38"/>
    </w:p>
    <w:p w14:paraId="08BE58CB" w14:textId="77777777" w:rsidR="0099247D" w:rsidRPr="008438F4" w:rsidRDefault="0099247D" w:rsidP="00F845CF">
      <w:pPr>
        <w:pStyle w:val="NoSpacing"/>
        <w:spacing w:line="360" w:lineRule="auto"/>
        <w:jc w:val="both"/>
        <w:rPr>
          <w:rFonts w:eastAsia="Times New Roman" w:cs="Calibri"/>
          <w:sz w:val="24"/>
          <w:szCs w:val="24"/>
        </w:rPr>
      </w:pPr>
      <w:r w:rsidRPr="008438F4">
        <w:rPr>
          <w:rFonts w:eastAsia="Times New Roman" w:cs="Calibri"/>
          <w:sz w:val="24"/>
          <w:szCs w:val="24"/>
        </w:rPr>
        <w:t xml:space="preserve">The Lifestyle Interventions and Independence for Elders (LIFE, U01 AG022376; http://clinicaltrials.gov/ct2/show/NCT01072500) study was a phase three single-masked randomized controlled clinical trial. The goal of the study was to evaluate the effects of long-term moderate-intensity physical activity on physical and cognitive function in sedentary older adults (N=1635) age 70-89 with impaired function with a Short Physical Performance Battery Score (SPPB) of &lt;10. </w:t>
      </w:r>
    </w:p>
    <w:p w14:paraId="096113C7" w14:textId="77777777" w:rsidR="0099247D" w:rsidRPr="008438F4" w:rsidRDefault="0099247D" w:rsidP="00F845CF">
      <w:pPr>
        <w:pStyle w:val="NoSpacing"/>
        <w:spacing w:line="360" w:lineRule="auto"/>
        <w:jc w:val="both"/>
        <w:rPr>
          <w:rFonts w:eastAsia="Times New Roman" w:cs="Calibri"/>
          <w:sz w:val="24"/>
          <w:szCs w:val="24"/>
        </w:rPr>
      </w:pPr>
    </w:p>
    <w:p w14:paraId="6C407D53" w14:textId="77777777" w:rsidR="0099247D" w:rsidRPr="008438F4" w:rsidRDefault="000628E7" w:rsidP="00F845CF">
      <w:pPr>
        <w:pStyle w:val="Heading3"/>
        <w:spacing w:line="360" w:lineRule="auto"/>
        <w:rPr>
          <w:rFonts w:ascii="Calibri" w:hAnsi="Calibri" w:cs="Calibri"/>
        </w:rPr>
      </w:pPr>
      <w:r w:rsidRPr="008438F4">
        <w:rPr>
          <w:rFonts w:ascii="Calibri" w:hAnsi="Calibri" w:cs="Calibri"/>
        </w:rPr>
        <w:t xml:space="preserve"> </w:t>
      </w:r>
      <w:bookmarkStart w:id="39" w:name="_Toc499840802"/>
      <w:r w:rsidRPr="008438F4">
        <w:rPr>
          <w:rFonts w:ascii="Calibri" w:hAnsi="Calibri" w:cs="Calibri"/>
        </w:rPr>
        <w:t>Recruitment</w:t>
      </w:r>
      <w:bookmarkEnd w:id="39"/>
    </w:p>
    <w:p w14:paraId="0114D6A9" w14:textId="77777777" w:rsidR="0099247D" w:rsidRPr="008438F4" w:rsidRDefault="0099247D" w:rsidP="00F845CF">
      <w:pPr>
        <w:pStyle w:val="NoSpacing"/>
        <w:spacing w:line="360" w:lineRule="auto"/>
        <w:jc w:val="both"/>
        <w:rPr>
          <w:rFonts w:eastAsia="Times New Roman" w:cs="Calibri"/>
          <w:sz w:val="24"/>
          <w:szCs w:val="24"/>
        </w:rPr>
      </w:pPr>
      <w:r w:rsidRPr="008438F4">
        <w:rPr>
          <w:rFonts w:eastAsia="Times New Roman" w:cs="Calibri"/>
          <w:sz w:val="24"/>
          <w:szCs w:val="24"/>
        </w:rPr>
        <w:t>Recruitment for the LIFE study began in March 2010 and ended in December 2011. Participants were eligible for the LIFE study if they were sedentary, defined as less than 20 minutes per week of regular physical activity in the past month and reporting less than or equal to 125 minutes per week of moderate to vigorous physical activity based on the Community Healthy Activities Model Program for Seniors (CHAMPS) physical activity questionnaire. Additionally, participants who were at high risk for mobility disability based on Short Physical Performance Battery (score ≤9) were eligible for participation in the LIFE study. Participants enrolled were able to walk 400 m in less than or equal to 15 minutes without sitting, leaning against a wall or getting assistance from another person or walking aid. Lastly, participants were eligible to be enrolled if they were safely able to participate in the intervention, which was a combination of structured exercise and physical activity focused on walking and included strength, flexibility, balance, training or a successful aging health information and education program</w:t>
      </w:r>
      <w:r w:rsidRPr="008438F4">
        <w:rPr>
          <w:rFonts w:eastAsia="Times New Roman" w:cs="Calibri"/>
          <w:sz w:val="24"/>
          <w:szCs w:val="24"/>
        </w:rPr>
        <w:fldChar w:fldCharType="begin"/>
      </w:r>
      <w:r w:rsidRPr="008438F4">
        <w:rPr>
          <w:rFonts w:eastAsia="Times New Roman" w:cs="Calibri"/>
          <w:sz w:val="24"/>
          <w:szCs w:val="24"/>
        </w:rPr>
        <w:instrText xml:space="preserve"> ADDIN ZOTERO_ITEM CSL_CITATION {"citationID":"20cj5mollh","properties":{"formattedCitation":"(Marsh et al., 2013)","plainCitation":"(Marsh et al., 2013)"},"citationItems":[{"id":817,"uris":["http://zotero.org/users/local/vDYxJ8mW/items/SI2AIS3U"],"uri":["http://zotero.org/users/local/vDYxJ8mW/items/SI2AIS3U"],"itemData":{"id":817,"type":"article-journal","title":"Lifestyle interventions and independence for elders study: recruitment and baseline characteristics","container-title":"The Journals of Gerontology. Series A, Biological Sciences and Medical Sciences","page":"1549-1558","volume":"68","issue":"12","source":"PubMed","abstract":"BACKGROUND: Recruitment of older adults into long-term clinical trials involving behavioral interventions is a significant challenge. The Lifestyle Interventions and Independence for Elders (LIFE) Study is a Phase 3 multicenter randomized controlled multisite trial, designed to compare the effects of a moderate-intensity physical activity program with a successful aging health education program on the incidence of major mobility disability (the inability to walk 400 m) in sedentary adults aged 70-89 years, who were at high risk for mobility disability (scoring ≤ 9 on the Short Physical Performance Battery) at baseline.\nMETHODS: Recruitment methods, yields, efficiency, and costs are described together with a summary of participant baseline characteristics. Yields were examined across levels of sex, race and ethnicity, and Short Physical Performance Battery, as well as by site.\nRESULTS: The 21-month recruiting period resulted in 14,812 telephone screens; 1,635 participants were randomized (67.2% women, 21.0% minorities, 44.7% with Short Physical Performance Battery scores ≤ 7). Of the telephone-screened participants, 37.6% were excluded primarily because of regular participation in physical activity, health exclusions, or self-reported mobility disability. Direct mailing was the most productive recruitment strategy (59.5% of randomized participants). Recruitment costs were $840 per randomized participant. Yields differed by sex and Short Physical Performance Battery. We accrued 11% more participant follow-up time than expected during the recruitment period as a result of the accelerated recruitment rate.\nCONCLUSIONS: The LIFE Study achieved all recruitment benchmarks. Bulk mailing is an efficient method for recruiting high-risk community-dwelling older persons (including minorities), from diverse geographic areas for this long-term behavioral trial.","DOI":"10.1093/gerona/glt064","ISSN":"1758-535X","note":"PMID: 23716501\nPMCID: PMC3814232","shortTitle":"Lifestyle interventions and independence for elders study","journalAbbreviation":"J. Gerontol. A Biol. Sci. Med. Sci.","language":"eng","author":[{"family":"Marsh","given":"Anthony P."},{"family":"Lovato","given":"Laura C."},{"family":"Glynn","given":"Nancy W."},{"family":"Kennedy","given":"Kimberly"},{"family":"Castro","given":"Cynthia"},{"family":"Domanchuk","given":"Kathryn"},{"family":"McDavitt","given":"Erica"},{"family":"Rodate","given":"Ruben"},{"family":"Marsiske","given":"Michael"},{"family":"McGloin","given":"Joanne"},{"family":"Groessl","given":"Erik J."},{"family":"Pahor","given":"Marco"},{"family":"Guralnik","given":"Jack M."},{"literal":"LIFE Study Research Group"}],"issued":{"date-parts":[["2013",12]]}}}],"schema":"https://github.com/citation-style-language/schema/raw/master/csl-citation.json"} </w:instrText>
      </w:r>
      <w:r w:rsidRPr="008438F4">
        <w:rPr>
          <w:rFonts w:eastAsia="Times New Roman" w:cs="Calibri"/>
          <w:sz w:val="24"/>
          <w:szCs w:val="24"/>
        </w:rPr>
        <w:fldChar w:fldCharType="separate"/>
      </w:r>
      <w:r w:rsidR="00AD2869" w:rsidRPr="008438F4">
        <w:rPr>
          <w:rFonts w:cs="Calibri"/>
          <w:sz w:val="24"/>
        </w:rPr>
        <w:t>(Marsh et al., 2013)</w:t>
      </w:r>
      <w:r w:rsidRPr="008438F4">
        <w:rPr>
          <w:rFonts w:eastAsia="Times New Roman" w:cs="Calibri"/>
          <w:sz w:val="24"/>
          <w:szCs w:val="24"/>
        </w:rPr>
        <w:fldChar w:fldCharType="end"/>
      </w:r>
      <w:r w:rsidRPr="008438F4">
        <w:rPr>
          <w:rFonts w:eastAsia="Times New Roman" w:cs="Calibri"/>
          <w:sz w:val="24"/>
          <w:szCs w:val="24"/>
        </w:rPr>
        <w:t xml:space="preserve">. A total of 1,818 adults were telephone-screened at the Pittsburgh field center, 880 were screened for eligibility and 216 were enrolled in the study and randomized to the health education intervention or the physical activity group starting in March 2010. </w:t>
      </w:r>
    </w:p>
    <w:p w14:paraId="177BCE77" w14:textId="77777777" w:rsidR="0099247D" w:rsidRPr="008438F4" w:rsidRDefault="0099247D" w:rsidP="00F845CF">
      <w:pPr>
        <w:pStyle w:val="NoSpacing"/>
        <w:spacing w:line="360" w:lineRule="auto"/>
        <w:ind w:firstLine="720"/>
        <w:jc w:val="both"/>
        <w:rPr>
          <w:rFonts w:eastAsia="Times New Roman" w:cs="Calibri"/>
          <w:sz w:val="24"/>
          <w:szCs w:val="24"/>
        </w:rPr>
      </w:pPr>
      <w:r w:rsidRPr="008438F4">
        <w:rPr>
          <w:rFonts w:eastAsia="Times New Roman" w:cs="Calibri"/>
          <w:sz w:val="24"/>
          <w:szCs w:val="24"/>
        </w:rPr>
        <w:t>In December 2010, the Lifestyle Intervention and Independence for Elders initiated the Magnetic Resonance Imaging ancillary study (LIFE-MRI)</w:t>
      </w:r>
      <w:r w:rsidRPr="008438F4">
        <w:rPr>
          <w:rFonts w:eastAsia="Times New Roman" w:cs="Calibri"/>
          <w:sz w:val="24"/>
          <w:szCs w:val="24"/>
        </w:rPr>
        <w:fldChar w:fldCharType="begin"/>
      </w:r>
      <w:r w:rsidRPr="008438F4">
        <w:rPr>
          <w:rFonts w:eastAsia="Times New Roman" w:cs="Calibri"/>
          <w:sz w:val="24"/>
          <w:szCs w:val="24"/>
        </w:rPr>
        <w:instrText xml:space="preserve"> ADDIN ZOTERO_ITEM CSL_CITATION {"citationID":"a2o92a28se7","properties":{"formattedCitation":"(Rosano et al., 2017)","plainCitation":"(Rosano et al., 2017)"},"citationItems":[{"id":458,"uris":["http://zotero.org/users/local/vDYxJ8mW/items/UBI5H2RH"],"uri":["http://zotero.org/users/local/vDYxJ8mW/items/UBI5H2RH"],"itemData":{"id":458,"type":"article-journal","title":"Hippocampal Response to a 24-Month Physical Activity Intervention in Sedentary Older Adults","container-title":"The American Journal of Geriatric Psychiatry","page":"209-217","volume":"25","issue":"3","source":"ScienceDirect","abstract":"Background\nGreater hippocampal volume is observed in healthy older adults after short-term structured exercise. Whether long-term exposure to real-world physical activity (PA) programs has similar effects for sedentary older adults with impaired mobility and comorbid conditions is not known.\nHypothesis\nA long-term moderate intensity regimen of PA is related to larger volume of the hippocampus in older adults at risk for mobility disability. We further explore whether these associations are modified by factors known to be related to dementia.\nMethods\nTwenty-six sedentary adults at risk for mobility disability participated in a 24-month randomized intervention program of physical activity (PA, N = 10, age: 74.9 years, 7 women) or health education (HE, N = 16, age: 76.8 years, 14 women). Volumes of total hippocampus, dentate gyrus, and cornu ammonis were measured at baseline and at 24-month follow-up using 7-Tesla magnetic resonance imaging. Between-group volumetric differences at 24 months were adjusted for sessions attended and baseline volumes. The contribution of each dementia-related factor was tested separately for education, APOE, diabetes, cardiovascular diseases, white matter hyperintensities, and brain atrophy.\nResults\nBetween-group differences were significant for left hippocampus, left cornu ammonis, and right hippocampus. Adjustment for regional baseline volume attenuated the associations to statistically nonsignificant for right hippocampus and left conru ammonis; associations for left hippocampus were robust for all adjustments. Results were similar after adjustment for dementia-related factors.\nConclusions\nIn this group of sedentary older adults there was a hippocampal response to a long-term program of moderate-intensity PA. Future studies should examine whether hippocampal response could explain the beneficial effects of PA on cognition for vulnerable older adults.","DOI":"10.1016/j.jagp.2016.11.007","ISSN":"1064-7481","journalAbbreviation":"The American Journal of Geriatric Psychiatry","author":[{"family":"Rosano","given":"Caterina"},{"family":"Guralnik","given":"Jack"},{"family":"Pahor","given":"Marco"},{"family":"Glynn","given":"Nancy W."},{"family":"Newman","given":"Anne B."},{"family":"Ibrahim","given":"Tamer S."},{"family":"Erickson","given":"Kirk"},{"family":"Cohen","given":"Ronald"},{"family":"Shaaban","given":"C. Elizabeth"},{"family":"MacCloud","given":"Rebecca L."},{"family":"Aizenstein","given":"Howard J."}],"issued":{"date-parts":[["2017",3]]}}}],"schema":"https://github.com/citation-style-language/schema/raw/master/csl-citation.json"} </w:instrText>
      </w:r>
      <w:r w:rsidRPr="008438F4">
        <w:rPr>
          <w:rFonts w:eastAsia="Times New Roman" w:cs="Calibri"/>
          <w:sz w:val="24"/>
          <w:szCs w:val="24"/>
        </w:rPr>
        <w:fldChar w:fldCharType="separate"/>
      </w:r>
      <w:r w:rsidR="00AD2869" w:rsidRPr="008438F4">
        <w:rPr>
          <w:rFonts w:cs="Calibri"/>
          <w:sz w:val="24"/>
        </w:rPr>
        <w:t>(Rosano et al., 2017)</w:t>
      </w:r>
      <w:r w:rsidRPr="008438F4">
        <w:rPr>
          <w:rFonts w:eastAsia="Times New Roman" w:cs="Calibri"/>
          <w:sz w:val="24"/>
          <w:szCs w:val="24"/>
        </w:rPr>
        <w:fldChar w:fldCharType="end"/>
      </w:r>
      <w:r w:rsidRPr="008438F4">
        <w:rPr>
          <w:rFonts w:eastAsia="Times New Roman" w:cs="Calibri"/>
          <w:sz w:val="24"/>
          <w:szCs w:val="24"/>
        </w:rPr>
        <w:t>. Participants we</w:t>
      </w:r>
      <w:r w:rsidR="0045606A">
        <w:rPr>
          <w:rFonts w:eastAsia="Times New Roman" w:cs="Calibri"/>
          <w:sz w:val="24"/>
          <w:szCs w:val="24"/>
        </w:rPr>
        <w:t xml:space="preserve">re screened to for willingness to complete an MRI scan at baseline and two years later and for exclusion criteria, including known claustrophobia or having a metal in the body not cleared for a 7T MR scanner. </w:t>
      </w:r>
      <w:r w:rsidRPr="008438F4">
        <w:rPr>
          <w:rFonts w:eastAsia="Times New Roman" w:cs="Calibri"/>
          <w:sz w:val="24"/>
          <w:szCs w:val="24"/>
        </w:rPr>
        <w:t xml:space="preserve"> </w:t>
      </w:r>
      <w:r w:rsidR="0045606A">
        <w:rPr>
          <w:rFonts w:eastAsia="Times New Roman" w:cs="Calibri"/>
          <w:sz w:val="24"/>
          <w:szCs w:val="24"/>
        </w:rPr>
        <w:t>A</w:t>
      </w:r>
      <w:r w:rsidRPr="008438F4">
        <w:rPr>
          <w:rFonts w:eastAsia="Times New Roman" w:cs="Calibri"/>
          <w:sz w:val="24"/>
          <w:szCs w:val="24"/>
        </w:rPr>
        <w:t>mong those who were eligible and completed the neuroimaging study, 45 participants had complete data for the first 7T MRI scan in the study.</w:t>
      </w:r>
    </w:p>
    <w:p w14:paraId="03AC6023" w14:textId="77777777" w:rsidR="0099247D" w:rsidRPr="008438F4" w:rsidRDefault="0099247D" w:rsidP="00F845CF">
      <w:pPr>
        <w:pStyle w:val="NoSpacing"/>
        <w:spacing w:line="360" w:lineRule="auto"/>
        <w:ind w:firstLine="720"/>
        <w:jc w:val="both"/>
        <w:rPr>
          <w:rFonts w:eastAsia="Times New Roman" w:cs="Calibri"/>
          <w:color w:val="ED7D31"/>
          <w:sz w:val="24"/>
          <w:szCs w:val="24"/>
        </w:rPr>
      </w:pPr>
      <w:r w:rsidRPr="008438F4">
        <w:rPr>
          <w:rFonts w:eastAsia="Times New Roman" w:cs="Calibri"/>
          <w:sz w:val="24"/>
          <w:szCs w:val="24"/>
        </w:rPr>
        <w:t xml:space="preserve">In May of 2011, LIFE participants from the Pittsburgh field center were also screened and if eligible were asked to take part in a muscle mitochondria ancillary study (LIFE-Mito) prior to starting the intervention program. Participants were eligible if they met the 31P Magnetic Resonance Spectroscopy (MRS) scan criteria. The Pittsburgh Fatigability Scale was administered to these participants </w:t>
      </w:r>
      <w:r w:rsidRPr="008438F4">
        <w:rPr>
          <w:rFonts w:eastAsia="Times New Roman" w:cs="Calibri"/>
          <w:sz w:val="24"/>
          <w:szCs w:val="24"/>
        </w:rPr>
        <w:fldChar w:fldCharType="begin"/>
      </w:r>
      <w:r w:rsidRPr="008438F4">
        <w:rPr>
          <w:rFonts w:eastAsia="Times New Roman" w:cs="Calibri"/>
          <w:sz w:val="24"/>
          <w:szCs w:val="24"/>
        </w:rPr>
        <w:instrText xml:space="preserve"> ADDIN ZOTERO_ITEM CSL_CITATION {"citationID":"akkjfr32qj","properties":{"formattedCitation":"(Santanasto et al., 2016)","plainCitation":"(Santanasto et al., 2016)"},"citationItems":[{"id":1252,"uris":["http://zotero.org/users/local/vDYxJ8mW/items/RWIZ5VPS"],"uri":["http://zotero.org/users/local/vDYxJ8mW/items/RWIZ5VPS"],"itemData":{"id":1252,"type":"article-journal","title":"The relationship between mitochondrial function and walking performance in older adults with a wide range of physical function","container-title":"Experimental gerontology","page":"1-7","volume":"81","source":"PubMed Central","abstract":"Background\nAge related declines in walking performance may be partly attributable to skeletal muscle mitochondrial dysfunction as mitochondria produce over 90% of ATP needed for movement and the capacity for oxidative phosphorylation decreases with age.\n\nMethods\nParticipants were from two studies: an ancillary to the Lifestyle Interventions and Independence for Elders (LIFE) Study (n = 33), which recruited lower functioning participants (Short Physical Performance Battery [SPPB], 7.8 ± 1.2), and the Study of Energy and Aging-Pilot (SEA, n = 29), which enrolled higher functioning (SPPB, 10.8 ± 1.4). Physical activity was measured objectively using the Actigraph accelerometer (LIFE) and SenseWear Pro armband (SEA). Phosphocreatine recovery following muscle contraction of the quadriceps was measured using 31P magnetic resonance spectroscopy and ATPmax (mM ATP/s) was calculated. Walking performance was defined as time (s) to walk 400 m at a usual-pace. The cross-sectional association between mitochondrial function and walking performance was assessed using multivariable linear regression.\n\nResults\nParticipants were 77.6 ± 5.3 years, 64.2% female and 67.2% white. ATPmax was similar in LIFE vs. SEA (0.52 ± 0.14 vs. 0.55 ± 0.14, p = 0.31), despite different function and activity levels (1.6 ± 2.2 vs.77.4 ± 73.3 min of moderate activity/day, p &lt; 0.01). Higher ATPmax was related to faster walk-time in SEA (r2 = 0.19, p = 0.02,); but not the LIFE (r2 &lt; 0.01, p = 0.74) cohort.\n\nConclusions\nMitochondrial function was associated with walking performance in higher functioning, active older adults, but not lower functioning, sedentary older adults.","DOI":"10.1016/j.exger.2016.04.002","ISSN":"0531-5565","note":"PMID: 27084585\nPMCID: PMC5483943","journalAbbreviation":"Exp Gerontol","author":[{"family":"Santanasto","given":"Adam J."},{"family":"Coen","given":"Paul M."},{"family":"Glynn","given":"Nancy W."},{"family":"Conley","given":"Kevin E."},{"family":"Jubrias","given":"Sharon A."},{"family":"Amati","given":"Francesca"},{"family":"Strotmeyer","given":"Elsa S."},{"family":"Boudreau","given":"Robert M."},{"family":"Goodpaster","given":"Bret H."},{"family":"Newman","given":"Anne B."}],"issued":{"date-parts":[["2016",8]]}}}],"schema":"https://github.com/citation-style-language/schema/raw/master/csl-citation.json"} </w:instrText>
      </w:r>
      <w:r w:rsidRPr="008438F4">
        <w:rPr>
          <w:rFonts w:eastAsia="Times New Roman" w:cs="Calibri"/>
          <w:sz w:val="24"/>
          <w:szCs w:val="24"/>
        </w:rPr>
        <w:fldChar w:fldCharType="separate"/>
      </w:r>
      <w:r w:rsidR="00AD2869" w:rsidRPr="008438F4">
        <w:rPr>
          <w:rFonts w:cs="Calibri"/>
          <w:sz w:val="24"/>
        </w:rPr>
        <w:t>(Santanasto et al., 2016)</w:t>
      </w:r>
      <w:r w:rsidRPr="008438F4">
        <w:rPr>
          <w:rFonts w:eastAsia="Times New Roman" w:cs="Calibri"/>
          <w:sz w:val="24"/>
          <w:szCs w:val="24"/>
        </w:rPr>
        <w:fldChar w:fldCharType="end"/>
      </w:r>
      <w:r w:rsidRPr="008438F4">
        <w:rPr>
          <w:rFonts w:eastAsia="Times New Roman" w:cs="Calibri"/>
          <w:sz w:val="24"/>
          <w:szCs w:val="24"/>
        </w:rPr>
        <w:t xml:space="preserve">. The scans and PFS were completed approximately two to three weeks from each other.  Exclusion criteria for the LIFE-Mito study were as follows: history of hip fracture, heart attack, angioplasty, or heart surgery within the past 3 months, cerebral hemorrhage within the past 6 months, stroke within the past 12 months, or symptomatic cardiovascular or pulmonary disease </w:t>
      </w:r>
      <w:r w:rsidRPr="008438F4">
        <w:rPr>
          <w:rFonts w:eastAsia="Times New Roman" w:cs="Calibri"/>
          <w:sz w:val="24"/>
          <w:szCs w:val="24"/>
        </w:rPr>
        <w:fldChar w:fldCharType="begin"/>
      </w:r>
      <w:r w:rsidRPr="008438F4">
        <w:rPr>
          <w:rFonts w:eastAsia="Times New Roman" w:cs="Calibri"/>
          <w:sz w:val="24"/>
          <w:szCs w:val="24"/>
        </w:rPr>
        <w:instrText xml:space="preserve"> ADDIN ZOTERO_ITEM CSL_CITATION {"citationID":"GYquKdd4","properties":{"formattedCitation":"(Santanasto et al., 2016)","plainCitation":"(Santanasto et al., 2016)"},"citationItems":[{"id":1252,"uris":["http://zotero.org/users/local/vDYxJ8mW/items/RWIZ5VPS"],"uri":["http://zotero.org/users/local/vDYxJ8mW/items/RWIZ5VPS"],"itemData":{"id":1252,"type":"article-journal","title":"The relationship between mitochondrial function and walking performance in older adults with a wide range of physical function","container-title":"Experimental gerontology","page":"1-7","volume":"81","source":"PubMed Central","abstract":"Background\nAge related declines in walking performance may be partly attributable to skeletal muscle mitochondrial dysfunction as mitochondria produce over 90% of ATP needed for movement and the capacity for oxidative phosphorylation decreases with age.\n\nMethods\nParticipants were from two studies: an ancillary to the Lifestyle Interventions and Independence for Elders (LIFE) Study (n = 33), which recruited lower functioning participants (Short Physical Performance Battery [SPPB], 7.8 ± 1.2), and the Study of Energy and Aging-Pilot (SEA, n = 29), which enrolled higher functioning (SPPB, 10.8 ± 1.4). Physical activity was measured objectively using the Actigraph accelerometer (LIFE) and SenseWear Pro armband (SEA). Phosphocreatine recovery following muscle contraction of the quadriceps was measured using 31P magnetic resonance spectroscopy and ATPmax (mM ATP/s) was calculated. Walking performance was defined as time (s) to walk 400 m at a usual-pace. The cross-sectional association between mitochondrial function and walking performance was assessed using multivariable linear regression.\n\nResults\nParticipants were 77.6 ± 5.3 years, 64.2% female and 67.2% white. ATPmax was similar in LIFE vs. SEA (0.52 ± 0.14 vs. 0.55 ± 0.14, p = 0.31), despite different function and activity levels (1.6 ± 2.2 vs.77.4 ± 73.3 min of moderate activity/day, p &lt; 0.01). Higher ATPmax was related to faster walk-time in SEA (r2 = 0.19, p = 0.02,); but not the LIFE (r2 &lt; 0.01, p = 0.74) cohort.\n\nConclusions\nMitochondrial function was associated with walking performance in higher functioning, active older adults, but not lower functioning, sedentary older adults.","DOI":"10.1016/j.exger.2016.04.002","ISSN":"0531-5565","note":"PMID: 27084585\nPMCID: PMC5483943","journalAbbreviation":"Exp Gerontol","author":[{"family":"Santanasto","given":"Adam J."},{"family":"Coen","given":"Paul M."},{"family":"Glynn","given":"Nancy W."},{"family":"Conley","given":"Kevin E."},{"family":"Jubrias","given":"Sharon A."},{"family":"Amati","given":"Francesca"},{"family":"Strotmeyer","given":"Elsa S."},{"family":"Boudreau","given":"Robert M."},{"family":"Goodpaster","given":"Bret H."},{"family":"Newman","given":"Anne B."}],"issued":{"date-parts":[["2016",8]]}}}],"schema":"https://github.com/citation-style-language/schema/raw/master/csl-citation.json"} </w:instrText>
      </w:r>
      <w:r w:rsidRPr="008438F4">
        <w:rPr>
          <w:rFonts w:eastAsia="Times New Roman" w:cs="Calibri"/>
          <w:sz w:val="24"/>
          <w:szCs w:val="24"/>
        </w:rPr>
        <w:fldChar w:fldCharType="separate"/>
      </w:r>
      <w:r w:rsidR="00AD2869" w:rsidRPr="008438F4">
        <w:rPr>
          <w:rFonts w:cs="Calibri"/>
          <w:sz w:val="24"/>
        </w:rPr>
        <w:t>(Santanasto et al., 2016)</w:t>
      </w:r>
      <w:r w:rsidRPr="008438F4">
        <w:rPr>
          <w:rFonts w:eastAsia="Times New Roman" w:cs="Calibri"/>
          <w:sz w:val="24"/>
          <w:szCs w:val="24"/>
        </w:rPr>
        <w:fldChar w:fldCharType="end"/>
      </w:r>
      <w:r w:rsidRPr="008438F4">
        <w:rPr>
          <w:rFonts w:eastAsia="Times New Roman" w:cs="Calibri"/>
          <w:sz w:val="24"/>
          <w:szCs w:val="24"/>
        </w:rPr>
        <w:t xml:space="preserve">. </w:t>
      </w:r>
    </w:p>
    <w:p w14:paraId="06F0C079" w14:textId="77777777" w:rsidR="0099247D" w:rsidRPr="008438F4" w:rsidRDefault="0099247D" w:rsidP="00F845CF">
      <w:pPr>
        <w:pStyle w:val="NoSpacing"/>
        <w:spacing w:line="360" w:lineRule="auto"/>
        <w:ind w:firstLine="720"/>
        <w:jc w:val="both"/>
        <w:rPr>
          <w:rFonts w:eastAsia="Times New Roman" w:cs="Calibri"/>
          <w:color w:val="ED7D31"/>
          <w:sz w:val="24"/>
          <w:szCs w:val="24"/>
        </w:rPr>
      </w:pPr>
      <w:r w:rsidRPr="008438F4">
        <w:rPr>
          <w:rFonts w:eastAsia="Times New Roman" w:cs="Calibri"/>
          <w:sz w:val="24"/>
          <w:szCs w:val="24"/>
        </w:rPr>
        <w:t xml:space="preserve">The final analytic sample size for the present study was N=29, as these participants had complete data for both the 7T MRI scan and Pittsburgh Fatigability Scale (PFS). </w:t>
      </w:r>
    </w:p>
    <w:p w14:paraId="5D14A20F" w14:textId="77777777" w:rsidR="0099247D" w:rsidRPr="008438F4" w:rsidRDefault="0099247D" w:rsidP="00F845CF">
      <w:pPr>
        <w:pStyle w:val="Heading3"/>
        <w:spacing w:line="360" w:lineRule="auto"/>
        <w:rPr>
          <w:rFonts w:ascii="Calibri" w:hAnsi="Calibri" w:cs="Calibri"/>
        </w:rPr>
      </w:pPr>
      <w:bookmarkStart w:id="40" w:name="_Toc499840803"/>
      <w:r w:rsidRPr="008438F4">
        <w:rPr>
          <w:rFonts w:ascii="Calibri" w:hAnsi="Calibri" w:cs="Calibri"/>
        </w:rPr>
        <w:t>Data Collection</w:t>
      </w:r>
      <w:bookmarkEnd w:id="40"/>
      <w:r w:rsidRPr="008438F4">
        <w:rPr>
          <w:rFonts w:ascii="Calibri" w:hAnsi="Calibri" w:cs="Calibri"/>
        </w:rPr>
        <w:t xml:space="preserve"> </w:t>
      </w:r>
    </w:p>
    <w:p w14:paraId="7B99EF34" w14:textId="77777777" w:rsidR="0099247D" w:rsidRPr="008438F4" w:rsidRDefault="0099247D" w:rsidP="00F845CF">
      <w:pPr>
        <w:pStyle w:val="Heading4"/>
        <w:spacing w:line="360" w:lineRule="auto"/>
        <w:rPr>
          <w:rFonts w:ascii="Calibri" w:hAnsi="Calibri" w:cs="Calibri"/>
        </w:rPr>
      </w:pPr>
      <w:bookmarkStart w:id="41" w:name="_Toc499840804"/>
      <w:r w:rsidRPr="008438F4">
        <w:rPr>
          <w:rFonts w:ascii="Calibri" w:hAnsi="Calibri" w:cs="Calibri"/>
        </w:rPr>
        <w:t>Fatigability Measures</w:t>
      </w:r>
      <w:bookmarkEnd w:id="41"/>
    </w:p>
    <w:p w14:paraId="5B7A86A4" w14:textId="33A0F66D" w:rsidR="0099247D" w:rsidRPr="008438F4" w:rsidRDefault="0099247D" w:rsidP="0099247D">
      <w:pPr>
        <w:spacing w:line="360" w:lineRule="auto"/>
        <w:rPr>
          <w:rFonts w:ascii="Calibri" w:hAnsi="Calibri" w:cs="Calibri"/>
          <w:color w:val="000000"/>
        </w:rPr>
      </w:pPr>
      <w:r w:rsidRPr="008438F4">
        <w:rPr>
          <w:rFonts w:ascii="Calibri" w:hAnsi="Calibri" w:cs="Calibri"/>
        </w:rPr>
        <w:t xml:space="preserve">At baseline, individuals from the LIFE-Mito study were asked to complete the Pittsburgh Fatigability Scale (PFS), which assessed </w:t>
      </w:r>
      <w:r w:rsidRPr="008438F4">
        <w:rPr>
          <w:rFonts w:ascii="Calibri" w:hAnsi="Calibri" w:cs="Calibri"/>
          <w:color w:val="000000"/>
        </w:rPr>
        <w:t xml:space="preserve">perceived physical and mental fatigability </w:t>
      </w:r>
      <w:r w:rsidRPr="008438F4">
        <w:rPr>
          <w:rFonts w:ascii="Calibri" w:hAnsi="Calibri" w:cs="Calibri"/>
        </w:rPr>
        <w:fldChar w:fldCharType="begin"/>
      </w:r>
      <w:r w:rsidR="00BA46D0">
        <w:rPr>
          <w:rFonts w:ascii="Calibri" w:hAnsi="Calibri" w:cs="Calibri"/>
        </w:rPr>
        <w:instrText xml:space="preserve"> ADDIN ZOTERO_ITEM CSL_CITATION {"citationID":"6WBufRBR","properties":{"formattedCitation":"(Glynn et al., 2014)","plainCitation":"(Glynn et al., 2014)"},"citationItems":[{"id":57,"uris":["http://zotero.org/users/local/vDYxJ8mW/items/EUQ4I4NU"],"uri":["http://zotero.org/users/local/vDYxJ8mW/items/EUQ4I4NU"],"itemData":{"id":57,"type":"article-journal","title":"The Pittsburgh Fatigability scale for older adults: development and validation","container-title":"Journal of the American Geriatrics Society","page":"130-135","volume":"63","issue":"1","source":"PubMed","abstract":"OBJECTIVES: To describe the development of the Pittsburgh Fatigability Scale (PFS) and establish its reliability and concurrent and convergent validity against performance measures.\nDESIGN: Cross-sectional.\nSETTING: University of Pittsburgh, Pittsburgh, Pennsylvania.\nPARTICIPANTS: Scale development sample: 1,013 individuals aged 60 and older from two registries; validation sample: 483 adults aged 60 and older from the Baltimore Longitudinal Study of Aging (BLSA).\nMEASUREMENTS: The scale development sample and BLSA participants self-administered an initial 26-item perceived fatigability scale. BLSA participants also completed measures of performance fatigability (perceived exertion from a standard treadmill task and performance deterioration from a fast-paced long-distance corridor walk), a 6-m usual-paced corridor walk, and five timed chair stands.\nRESULTS: Principal components analysis with varimax rotation reduced the 26-item scale to the 10-item PFS. The PFS showed strong internal consistency (Cronbach's alpha 0.88) and excellent test-retest reliability (intraclass correlation 0.86). In the validation sample, PFS scores, adjusted for age, sex, and race, were greater for those with high performance fatigability, slow gait speed, worse physical function, and lower fitness, with differences between high and low fatigability ranging from 3.2 to 5.1 points (P &lt; .001).\nCONCLUSION: The 10-item PFS physical fatigability score is a valid and reliable measure of perceived fatigability in older adults and can serve as an adjunct to performance-based fatigability measures for identifying older adults at risk of mobility limitation in clinical and research settings.","DOI":"10.1111/jgs.13191","ISSN":"1532-5415","note":"PMID: 25556993\nPMCID: PMC4971882","shortTitle":"The Pittsburgh Fatigability scale for older adults","journalAbbreviation":"J Am Geriatr Soc","language":"eng","author":[{"family":"Glynn","given":"Nancy W."},{"family":"Santanasto","given":"Adam J."},{"family":"Simonsick","given":"Eleanor M."},{"family":"Boudreau","given":"Robert M."},{"family":"Beach","given":"Scott R."},{"family":"Schulz","given":"Richard"},{"family":"Newman","given":"Anne B."}],"issued":{"date-parts":[["2014"]]}}}],"schema":"https://github.com/citation-style-language/schema/raw/master/csl-citation.json"} </w:instrText>
      </w:r>
      <w:r w:rsidRPr="008438F4">
        <w:rPr>
          <w:rFonts w:ascii="Calibri" w:hAnsi="Calibri" w:cs="Calibri"/>
        </w:rPr>
        <w:fldChar w:fldCharType="separate"/>
      </w:r>
      <w:r w:rsidR="00BA46D0" w:rsidRPr="00BA46D0">
        <w:rPr>
          <w:rFonts w:ascii="Calibri" w:hAnsi="Calibri" w:cs="Calibri"/>
        </w:rPr>
        <w:t>(Glynn et al., 2014)</w:t>
      </w:r>
      <w:r w:rsidRPr="008438F4">
        <w:rPr>
          <w:rFonts w:ascii="Calibri" w:hAnsi="Calibri" w:cs="Calibri"/>
        </w:rPr>
        <w:fldChar w:fldCharType="end"/>
      </w:r>
      <w:r w:rsidRPr="008438F4">
        <w:rPr>
          <w:rFonts w:ascii="Calibri" w:hAnsi="Calibri" w:cs="Calibri"/>
          <w:color w:val="000000"/>
        </w:rPr>
        <w:t xml:space="preserve">. The 10 item scale scores 0-5 for physical fatigue, with 0 being no fatigue and 5 being extreme fatigue. The Physical and Mental Fatigability scores were calculated by summing the raw scores and were analyzed as a continuous variable, respectively. Fatigability was dichotomized based on total physical fatigability score and total mental fatigability score to characterize higher and lower fatigability status.  Fatigability status was based on established cut points for physical and mental fatigability (Physical: Higher fatigability= ≥15, Lower fatigability=&lt;15; Mental: Higher fatigability=≥13, Lower fatigability=&lt;13). </w:t>
      </w:r>
    </w:p>
    <w:p w14:paraId="068C1906" w14:textId="77777777" w:rsidR="0099247D" w:rsidRPr="008438F4" w:rsidRDefault="0099247D" w:rsidP="000628E7">
      <w:pPr>
        <w:pStyle w:val="Heading4"/>
        <w:rPr>
          <w:rFonts w:ascii="Calibri" w:hAnsi="Calibri" w:cs="Calibri"/>
        </w:rPr>
      </w:pPr>
      <w:bookmarkStart w:id="42" w:name="_Toc499840805"/>
      <w:r w:rsidRPr="008438F4">
        <w:rPr>
          <w:rFonts w:ascii="Calibri" w:hAnsi="Calibri" w:cs="Calibri"/>
        </w:rPr>
        <w:t>Brain Volume Measures</w:t>
      </w:r>
      <w:bookmarkEnd w:id="42"/>
      <w:r w:rsidRPr="008438F4">
        <w:rPr>
          <w:rFonts w:ascii="Calibri" w:hAnsi="Calibri" w:cs="Calibri"/>
        </w:rPr>
        <w:t xml:space="preserve"> </w:t>
      </w:r>
    </w:p>
    <w:p w14:paraId="47A8ADAE" w14:textId="6FA806D3" w:rsidR="0099247D" w:rsidRPr="008438F4" w:rsidRDefault="0099247D" w:rsidP="0099247D">
      <w:pPr>
        <w:pStyle w:val="NoSpacing"/>
        <w:spacing w:line="360" w:lineRule="auto"/>
        <w:jc w:val="both"/>
        <w:rPr>
          <w:rFonts w:cs="Calibri"/>
          <w:sz w:val="24"/>
          <w:szCs w:val="24"/>
        </w:rPr>
      </w:pPr>
      <w:r w:rsidRPr="008438F4">
        <w:rPr>
          <w:rFonts w:cs="Calibri"/>
          <w:sz w:val="24"/>
          <w:szCs w:val="24"/>
        </w:rPr>
        <w:t>This study u</w:t>
      </w:r>
      <w:r w:rsidR="00E34AEE">
        <w:rPr>
          <w:rFonts w:cs="Calibri"/>
          <w:sz w:val="24"/>
          <w:szCs w:val="24"/>
        </w:rPr>
        <w:t>s</w:t>
      </w:r>
      <w:r w:rsidRPr="008438F4">
        <w:rPr>
          <w:rFonts w:cs="Calibri"/>
          <w:sz w:val="24"/>
          <w:szCs w:val="24"/>
        </w:rPr>
        <w:t xml:space="preserve">ed magnetic resonance imaging (MRI) data of the brain. This method is a non-invasive scan that can be used to examine internal anatomy. In the present study, we were interested in structural rather than functional characteristics of the brain. Therefore, this study will </w:t>
      </w:r>
      <w:r w:rsidR="00E34AEE">
        <w:rPr>
          <w:rFonts w:cs="Calibri"/>
          <w:sz w:val="24"/>
          <w:szCs w:val="24"/>
        </w:rPr>
        <w:t>focus on</w:t>
      </w:r>
      <w:r w:rsidRPr="008438F4">
        <w:rPr>
          <w:rFonts w:cs="Calibri"/>
          <w:sz w:val="24"/>
          <w:szCs w:val="24"/>
        </w:rPr>
        <w:t xml:space="preserve"> grey matter volumes derived from MRI scans to investigate neural correlates of fatigability. </w:t>
      </w:r>
    </w:p>
    <w:p w14:paraId="2D1BD663" w14:textId="6CD76E95" w:rsidR="0099247D" w:rsidRPr="008438F4" w:rsidRDefault="0099247D" w:rsidP="0099247D">
      <w:pPr>
        <w:spacing w:after="120" w:line="360" w:lineRule="auto"/>
        <w:rPr>
          <w:rFonts w:ascii="Calibri" w:hAnsi="Calibri" w:cs="Calibri"/>
          <w:color w:val="000000"/>
        </w:rPr>
      </w:pPr>
      <w:r w:rsidRPr="008438F4">
        <w:rPr>
          <w:rFonts w:ascii="Calibri" w:hAnsi="Calibri" w:cs="Calibri"/>
          <w:color w:val="000000"/>
        </w:rPr>
        <w:t>Magnetic Resonance Images were acquired at the MR Research center at the University of Pittsburgh on a 7-Tesla human scanner (Magnetom, Siemens Medical Solutions, Erlangen Germany) using an eight-channel head coil (Rapid Biomedical GmbH, Rimpar, Germany). High-resolution T1-weighted 3D MPRAGE sequence</w:t>
      </w:r>
      <w:r w:rsidR="00E34AEE">
        <w:rPr>
          <w:rFonts w:ascii="Calibri" w:hAnsi="Calibri" w:cs="Calibri"/>
          <w:color w:val="000000"/>
        </w:rPr>
        <w:t>s</w:t>
      </w:r>
      <w:r w:rsidRPr="008438F4">
        <w:rPr>
          <w:rFonts w:ascii="Calibri" w:hAnsi="Calibri" w:cs="Calibri"/>
          <w:color w:val="000000"/>
        </w:rPr>
        <w:t xml:space="preserve"> were used for volumetric analyses </w:t>
      </w:r>
      <w:r w:rsidR="00E34AEE">
        <w:rPr>
          <w:rFonts w:ascii="Calibri" w:hAnsi="Calibri" w:cs="Calibri"/>
          <w:color w:val="000000"/>
        </w:rPr>
        <w:t xml:space="preserve">and </w:t>
      </w:r>
      <w:r w:rsidRPr="008438F4">
        <w:rPr>
          <w:rFonts w:ascii="Calibri" w:hAnsi="Calibri" w:cs="Calibri"/>
          <w:color w:val="000000"/>
        </w:rPr>
        <w:t xml:space="preserve">were acquired in the axial orientation (TR/TE = 3,430/3.54, voxel size: 0.7 × 0.7 × 0.7 mm, 256 slices)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{"citationID":"1475orsv08","properties":{"formattedCitation":"(Rosano et al., 2017)","plainCitation":"(Rosano et al., 2017)"},"citationItems":[{"id":458,"uris":["http://zotero.org/users/local/vDYxJ8mW/items/UBI5H2RH"],"uri":["http://zotero.org/users/local/vDYxJ8mW/items/UBI5H2RH"],"itemData":{"id":458,"type":"article-journal","title":"Hippocampal Response to a 24-Month Physical Activity Intervention in Sedentary Older Adults","container-title":"The American Journal of Geriatric Psychiatry","page":"209-217","volume":"25","issue":"3","source":"ScienceDirect","abstract":"Background\nGreater hippocampal volume is observed in healthy older adults after short-term structured exercise. Whether long-term exposure to real-world physical activity (PA) programs has similar effects for sedentary older adults with impaired mobility and comorbid conditions is not known.\nHypothesis\nA long-term moderate intensity regimen of PA is related to larger volume of the hippocampus in older adults at risk for mobility disability. We further explore whether these associations are modified by factors known to be related to dementia.\nMethods\nTwenty-six sedentary adults at risk for mobility disability participated in a 24-month randomized intervention program of physical activity (PA, N = 10, age: 74.9 years, 7 women) or health education (HE, N = 16, age: 76.8 years, 14 women). Volumes of total hippocampus, dentate gyrus, and cornu ammonis were measured at baseline and at 24-month follow-up using 7-Tesla magnetic resonance imaging. Between-group volumetric differences at 24 months were adjusted for sessions attended and baseline volumes. The contribution of each dementia-related factor was tested separately for education, APOE, diabetes, cardiovascular diseases, white matter hyperintensities, and brain atrophy.\nResults\nBetween-group differences were significant for left hippocampus, left cornu ammonis, and right hippocampus. Adjustment for regional baseline volume attenuated the associations to statistically nonsignificant for right hippocampus and left conru ammonis; associations for left hippocampus were robust for all adjustments. Results were similar after adjustment for dementia-related factors.\nConclusions\nIn this group of sedentary older adults there was a hippocampal response to a long-term program of moderate-intensity PA. Future studies should examine whether hippocampal response could explain the beneficial effects of PA on cognition for vulnerable older adults.","DOI":"10.1016/j.jagp.2016.11.007","ISSN":"1064-7481","journalAbbreviation":"The American Journal of Geriatric Psychiatry","author":[{"family":"Rosano","given":"Caterina"},{"family":"Guralnik","given":"Jack"},{"family":"Pahor","given":"Marco"},{"family":"Glynn","given":"Nancy W."},{"family":"Newman","given":"Anne B."},{"family":"Ibrahim","given":"Tamer S."},{"family":"Erickson","given":"Kirk"},{"family":"Cohen","given":"Ronald"},{"family":"Shaaban","given":"C. Elizabeth"},{"family":"MacCloud","given":"Rebecca L."},{"family":"Aizenstein","given":"Howard J."}],"issued":{"date-parts":[["2017",3]]}}}],"schema":"https://github.com/citation-style-language/schema/raw/master/csl-citation.json"}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(Rosano et al., 2017)</w:t>
      </w:r>
      <w:r w:rsidRPr="008438F4">
        <w:rPr>
          <w:rFonts w:ascii="Calibri" w:hAnsi="Calibri" w:cs="Calibri"/>
          <w:color w:val="000000"/>
        </w:rPr>
        <w:fldChar w:fldCharType="end"/>
      </w:r>
      <w:r w:rsidRPr="008438F4">
        <w:rPr>
          <w:rFonts w:ascii="Calibri" w:hAnsi="Calibri" w:cs="Calibri"/>
          <w:color w:val="000000"/>
        </w:rPr>
        <w:t xml:space="preserve">. </w:t>
      </w:r>
    </w:p>
    <w:p w14:paraId="1FFC5634" w14:textId="64BDC844" w:rsidR="0099247D" w:rsidRPr="008438F4" w:rsidRDefault="0099247D" w:rsidP="0099247D">
      <w:pPr>
        <w:spacing w:after="120" w:line="360" w:lineRule="auto"/>
        <w:rPr>
          <w:rFonts w:ascii="Calibri" w:hAnsi="Calibri" w:cs="Calibri"/>
          <w:color w:val="000000"/>
        </w:rPr>
      </w:pPr>
      <w:r w:rsidRPr="008438F4">
        <w:rPr>
          <w:rFonts w:ascii="Calibri" w:hAnsi="Calibri" w:cs="Calibri"/>
          <w:color w:val="000000"/>
        </w:rPr>
        <w:t>Neuroimaging variables were assessed for normality and outliers and were transformed as appropriate. Selection of neuroimaging variable</w:t>
      </w:r>
      <w:r w:rsidR="001C538B">
        <w:rPr>
          <w:rFonts w:ascii="Calibri" w:hAnsi="Calibri" w:cs="Calibri"/>
          <w:color w:val="000000"/>
        </w:rPr>
        <w:t xml:space="preserve">s was </w:t>
      </w:r>
      <w:r w:rsidRPr="008438F4">
        <w:rPr>
          <w:rFonts w:ascii="Calibri" w:hAnsi="Calibri" w:cs="Calibri"/>
          <w:color w:val="000000"/>
        </w:rPr>
        <w:t xml:space="preserve">based </w:t>
      </w:r>
      <w:r w:rsidR="00E34AEE">
        <w:rPr>
          <w:rFonts w:ascii="Calibri" w:hAnsi="Calibri" w:cs="Calibri"/>
          <w:color w:val="000000"/>
        </w:rPr>
        <w:t>on</w:t>
      </w:r>
      <w:r w:rsidRPr="008438F4">
        <w:rPr>
          <w:rFonts w:ascii="Calibri" w:hAnsi="Calibri" w:cs="Calibri"/>
          <w:color w:val="000000"/>
        </w:rPr>
        <w:t xml:space="preserve"> previous fatigue literature including the </w:t>
      </w:r>
      <w:r w:rsidRPr="008438F4">
        <w:rPr>
          <w:rFonts w:ascii="Calibri" w:hAnsi="Calibri" w:cs="Calibri"/>
        </w:rPr>
        <w:t>amygdala, caudate, cingulate, middle frontal gyrus, orbitofrontal cortex, medial superior frontal gyrus, hippocampus, putamen, and thalamus</w:t>
      </w:r>
      <w:r w:rsidRPr="008438F4">
        <w:rPr>
          <w:rFonts w:ascii="Calibri" w:hAnsi="Calibri" w:cs="Calibri"/>
          <w:color w:val="000000"/>
        </w:rPr>
        <w:t xml:space="preserve">. Additionally, grey matter volume was </w:t>
      </w:r>
      <w:r w:rsidR="00581B0D">
        <w:rPr>
          <w:rFonts w:ascii="Calibri" w:hAnsi="Calibri" w:cs="Calibri"/>
          <w:color w:val="000000"/>
        </w:rPr>
        <w:t>normalized to</w:t>
      </w:r>
      <w:r w:rsidRPr="008438F4">
        <w:rPr>
          <w:rFonts w:ascii="Calibri" w:hAnsi="Calibri" w:cs="Calibri"/>
          <w:color w:val="000000"/>
        </w:rPr>
        <w:t xml:space="preserve"> intracranial volume (ICV). ICV was obtained using</w:t>
      </w:r>
      <w:r w:rsidR="001C538B">
        <w:rPr>
          <w:rFonts w:ascii="Calibri" w:hAnsi="Calibri" w:cs="Calibri"/>
          <w:color w:val="000000"/>
        </w:rPr>
        <w:t xml:space="preserve"> Brain Extraction Tool (B</w:t>
      </w:r>
      <w:r w:rsidRPr="008438F4">
        <w:rPr>
          <w:rFonts w:ascii="Calibri" w:hAnsi="Calibri" w:cs="Calibri"/>
          <w:color w:val="000000"/>
        </w:rPr>
        <w:t>ET</w:t>
      </w:r>
      <w:r w:rsidR="001C538B">
        <w:rPr>
          <w:rFonts w:ascii="Calibri" w:hAnsi="Calibri" w:cs="Calibri"/>
          <w:color w:val="000000"/>
        </w:rPr>
        <w:t>)</w:t>
      </w:r>
      <w:r w:rsidRPr="008438F4">
        <w:rPr>
          <w:rFonts w:ascii="Calibri" w:hAnsi="Calibri" w:cs="Calibri"/>
          <w:color w:val="000000"/>
        </w:rPr>
        <w:t xml:space="preserve">, as the volume contained within the “inner skull”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{"citationID":"a1po1bmejv6","properties":{"formattedCitation":"(Smith, 2002)","plainCitation":"(Smith, 2002)"},"citationItems":[{"id":1307,"uris":["http://zotero.org/users/local/vDYxJ8mW/items/KE72Q95T"],"uri":["http://zotero.org/users/local/vDYxJ8mW/items/KE72Q95T"],"itemData":{"id":1307,"type":"article-journal","title":"Fast robust automated brain extraction","container-title":"Human Brain Mapping","page":"143-155","volume":"17","issue":"3","source":"Wiley Online Library","abstract":"An automated method for segmenting magnetic resonance head images into brain and non-brain has been developed. It is very robust and accurate and has been tested on thousands of data sets from a wide variety of scanners and taken with a wide variety of MR sequences. The method, Brain Extraction Tool (BET), uses a deformable model that evolves to fit the brain's surface by the application of a set of locally adaptive model forces. The method is very fast and requires no preregistration or other pre-processing before being applied. We describe the new method and give examples of results and the results of extensive quantitative testing against “gold-standard” hand segmentations, and two other popular automated methods. Hum. Brain Mapping 17:143–155, 2002. © 2002 Wiley-Liss, Inc.","DOI":"10.1002/hbm.10062","ISSN":"1097-0193","journalAbbreviation":"Hum. Brain Mapp.","language":"en","author":[{"family":"Smith","given":"Stephen M."}],"issued":{"date-parts":[["2002",11,1]]}}}],"schema":"https://github.com/citation-style-language/schema/raw/master/csl-citation.json"}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(Smith, 2002)</w:t>
      </w:r>
      <w:r w:rsidRPr="008438F4">
        <w:rPr>
          <w:rFonts w:ascii="Calibri" w:hAnsi="Calibri" w:cs="Calibri"/>
          <w:color w:val="000000"/>
        </w:rPr>
        <w:fldChar w:fldCharType="end"/>
      </w:r>
      <w:r w:rsidRPr="008438F4">
        <w:rPr>
          <w:rFonts w:ascii="Calibri" w:hAnsi="Calibri" w:cs="Calibri"/>
          <w:color w:val="000000"/>
        </w:rPr>
        <w:t xml:space="preserve">. A ratio of GMV to ICV volume was obtained and used in analyses. </w:t>
      </w:r>
    </w:p>
    <w:p w14:paraId="2E83D23F" w14:textId="77777777" w:rsidR="0099247D" w:rsidRPr="008438F4" w:rsidRDefault="0099247D" w:rsidP="000628E7">
      <w:pPr>
        <w:pStyle w:val="Heading4"/>
        <w:rPr>
          <w:rFonts w:ascii="Calibri" w:hAnsi="Calibri" w:cs="Calibri"/>
        </w:rPr>
      </w:pPr>
      <w:bookmarkStart w:id="43" w:name="_Toc499840806"/>
      <w:r w:rsidRPr="008438F4">
        <w:rPr>
          <w:rFonts w:ascii="Calibri" w:hAnsi="Calibri" w:cs="Calibri"/>
        </w:rPr>
        <w:t>Covariates</w:t>
      </w:r>
      <w:bookmarkEnd w:id="43"/>
      <w:r w:rsidRPr="008438F4">
        <w:rPr>
          <w:rFonts w:ascii="Calibri" w:hAnsi="Calibri" w:cs="Calibri"/>
        </w:rPr>
        <w:t xml:space="preserve"> </w:t>
      </w:r>
    </w:p>
    <w:p w14:paraId="12258E0F" w14:textId="77777777" w:rsidR="000628E7" w:rsidRPr="008438F4" w:rsidRDefault="0099247D" w:rsidP="000628E7">
      <w:pPr>
        <w:spacing w:after="120" w:line="360" w:lineRule="auto"/>
        <w:ind w:firstLine="0"/>
        <w:rPr>
          <w:rFonts w:ascii="Calibri" w:hAnsi="Calibri" w:cs="Calibri"/>
          <w:color w:val="000000"/>
        </w:rPr>
      </w:pPr>
      <w:r w:rsidRPr="008438F4">
        <w:rPr>
          <w:rFonts w:ascii="Calibri" w:hAnsi="Calibri" w:cs="Calibri"/>
          <w:color w:val="000000"/>
        </w:rPr>
        <w:t>This study used covariate data from the main LIFE study collected at baseline. Covariates included age, sex, race, education level, and body mass index (BMI). Additional comorbidities such as cardiovascular disease, diabetes mellitus, and depression measured by the Center for Epidemiologic Study Depression Scale (depression: ≥16) were included in adjustment analyses.</w:t>
      </w:r>
    </w:p>
    <w:p w14:paraId="45C7A0C1" w14:textId="77777777" w:rsidR="0099247D" w:rsidRPr="008438F4" w:rsidRDefault="007A206E" w:rsidP="000628E7">
      <w:pPr>
        <w:pStyle w:val="Heading4"/>
        <w:rPr>
          <w:rFonts w:ascii="Calibri" w:hAnsi="Calibri" w:cs="Calibri"/>
        </w:rPr>
      </w:pPr>
      <w:bookmarkStart w:id="44" w:name="_Toc499840807"/>
      <w:r w:rsidRPr="008438F4">
        <w:rPr>
          <w:rFonts w:ascii="Calibri" w:hAnsi="Calibri" w:cs="Calibri"/>
        </w:rPr>
        <w:t xml:space="preserve">Physical and Cognitive </w:t>
      </w:r>
      <w:r w:rsidR="0099247D" w:rsidRPr="008438F4">
        <w:rPr>
          <w:rFonts w:ascii="Calibri" w:hAnsi="Calibri" w:cs="Calibri"/>
        </w:rPr>
        <w:t>Performance Measures</w:t>
      </w:r>
      <w:bookmarkEnd w:id="44"/>
    </w:p>
    <w:p w14:paraId="166ED4A6" w14:textId="51E59A1F" w:rsidR="0099247D" w:rsidRPr="008438F4" w:rsidRDefault="0099247D" w:rsidP="000628E7">
      <w:pPr>
        <w:spacing w:after="120" w:line="360" w:lineRule="auto"/>
        <w:ind w:firstLine="0"/>
        <w:rPr>
          <w:rFonts w:ascii="Calibri" w:hAnsi="Calibri" w:cs="Calibri"/>
          <w:color w:val="000000"/>
        </w:rPr>
      </w:pPr>
      <w:r w:rsidRPr="008438F4">
        <w:rPr>
          <w:rFonts w:ascii="Calibri" w:hAnsi="Calibri" w:cs="Calibri"/>
          <w:color w:val="000000"/>
        </w:rPr>
        <w:t xml:space="preserve">A number of performance measures were obtained from the LIFE study data including usual gait speed (m/s), </w:t>
      </w:r>
      <w:r w:rsidR="007A206E" w:rsidRPr="008438F4">
        <w:rPr>
          <w:rFonts w:ascii="Calibri" w:hAnsi="Calibri" w:cs="Calibri"/>
          <w:color w:val="000000"/>
        </w:rPr>
        <w:t xml:space="preserve">usual paced </w:t>
      </w:r>
      <w:r w:rsidR="000E72B1">
        <w:rPr>
          <w:rFonts w:ascii="Calibri" w:hAnsi="Calibri" w:cs="Calibri"/>
          <w:color w:val="000000"/>
        </w:rPr>
        <w:t>400-m walk time (seconds</w:t>
      </w:r>
      <w:r w:rsidRPr="008438F4">
        <w:rPr>
          <w:rFonts w:ascii="Calibri" w:hAnsi="Calibri" w:cs="Calibri"/>
          <w:color w:val="000000"/>
        </w:rPr>
        <w:t>), the Short Physical Performance Battery (SPPB, [0-12], score of &gt;8) the Modified Mini-Mental State Examination</w:t>
      </w:r>
      <w:r w:rsidR="000F098C">
        <w:rPr>
          <w:rFonts w:ascii="Calibri" w:hAnsi="Calibri" w:cs="Calibri"/>
          <w:color w:val="000000"/>
        </w:rPr>
        <w:t xml:space="preserve"> </w:t>
      </w:r>
      <w:r w:rsidRPr="008438F4">
        <w:rPr>
          <w:rFonts w:ascii="Calibri" w:hAnsi="Calibri" w:cs="Calibri"/>
          <w:color w:val="000000"/>
        </w:rPr>
        <w:t xml:space="preserve">(3MS) score (range 0-100) and the Digit Symbol Substitution Test score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{"citationID":"9FjOpZaq","properties":{"formattedCitation":"(Guralnik et al., 2000; Teng &amp; Chui, 1987)","plainCitation":"(Guralnik et al., 2000; Teng &amp; Chui, 1987)"},"citationItems":[{"id":1249,"uris":["http://zotero.org/users/local/vDYxJ8mW/items/33CPVA78"],"uri":["http://zotero.org/users/local/vDYxJ8mW/items/33CPVA78"],"itemData":{"id":1249,"type":"article-journal","title":"Lower Extremity Function and Subsequent Disability: Consistency Across Studies, Predictive Models, and Value of Gait Speed Alone Compared With the Short Physical Performance Battery","container-title":"The Journals of Gerontology: Series A","page":"M221-M231","volume":"55","issue":"4","source":"academic.oup.com","abstract":"Background. Although it has been demonstrated that physical performance measures predict incident disability in previously nondisabled older persons, the available data have not been fully developed to create usable methods for determining risk profiles in community-dwelling populations. Using several populations and different follow-up periods, this study replicates previous findings by using the Established Populations for the Epidemiologic Study of the Elderly (EPESE) performance battery and provides equations for the prediction of disability risk according to age, sex, and level of performance.Methods. Tests of balance, time to walk 8 ft, and time to rise from a chair 5 times were administered to 4,588 initially nondisabled persons in the four sites of the EPESE and to 1,946 initially nondisabled persons in the Hispanic EPESE. Follow-up assessment for activity of daily living (ADL) and mobility-related disability occurred from 1 to 6 years later.Results. In the EPESE, compared with those with the best performance (EPESE summary performance score of 10–12), the relative risks of mobility-related disability for those with scores of 4–6 ranged from 2.9 to 4.9 and the relative risk of disability for those with scores of 7–9 ranged from 1.5 to 2.1, with similar consistent results for ADL disability. The observed rates of incident disability according to performance level in the Hispanic EPESE agreed closely with rates predicted from models developed from the EPESE sites. Receiver operating characteristic curves showed that gait speed alone performed almost as well as the full battery in predicting incident disability.Conclusions. Performance tests of lower extremity function accurately predict disability across diverse populations. Equations derived from models using both the summary score and the gait speed alone allow for the estimation of risk of disability in community-dwelling populations and provide valuable information for estimating sample size for clinical trials of disability prevention.","DOI":"10.1093/gerona/55.4.M221","ISSN":"1079-5006","shortTitle":"Lower Extremity Function and Subsequent Disability","journalAbbreviation":"J Gerontol A Biol Sci Med Sci","author":[{"family":"Guralnik","given":"Jack M."},{"family":"Ferrucci","given":"Luigi"},{"family":"Pieper","given":"Carl F."},{"family":"Leveille","given":"Suzanne G."},{"family":"Markides","given":"Kyriakos S."},{"family":"Ostir","given":"Glenn V."},{"family":"Studenski","given":"Stephanie"},{"family":"Berkman","given":"Lisa F."},{"family":"Wallace","given":"Robert B."}],"issued":{"date-parts":[["2000",4,1]]}}},{"id":804,"uris":["http://zotero.org/users/local/vDYxJ8mW/items/EMK7X2CN"],"uri":["http://zotero.org/users/local/vDYxJ8mW/items/EMK7X2CN"],"itemData":{"id":804,"type":"article-journal","title":"The Modified Mini-Mental State (3MS) examination","container-title":"The Journal of Clinical Psychiatry","page":"314-318","volume":"48","issue":"8","source":"PubMed","abstract":"The Mini-Mental State (MMS) examination is a widely used screening test for dementia. The Modified Mini-Mental State (3MS) incorporates four added test items, more graded scoring, and some other minor changes. These modifications are designed to sample a broader variety of cognitive functions, cover a wider range of difficulty levels, and enhance the reliability and the validity of the scores. The 3MS retains the brevity, ease of administration, and objective scoring of the MMS but broadens the range of scores from 0-30 to 0-100. Greater sensitivities of the 3MS over the MMS are demonstrated with the pentagon item drawn by 249 patients. A summary form for administration and scoring that can generate both the MMS and the 3MS scores is provided so that the examiner can maintain continuity with existing data and can obtain a more informative assessment.","ISSN":"0160-6689","note":"PMID: 3611032","journalAbbreviation":"J Clin Psychiatry","language":"eng","author":[{"family":"Teng","given":"E. L."},{"family":"Chui","given":"H. C."}],"issued":{"date-parts":[["1987",8]]}}}],"schema":"https://github.com/citation-style-language/schema/raw/master/csl-citation.json"}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(Guralnik et al., 2000; Teng &amp; Chui, 1987)</w:t>
      </w:r>
      <w:r w:rsidRPr="008438F4">
        <w:rPr>
          <w:rFonts w:ascii="Calibri" w:hAnsi="Calibri" w:cs="Calibri"/>
          <w:color w:val="000000"/>
        </w:rPr>
        <w:fldChar w:fldCharType="end"/>
      </w:r>
      <w:r w:rsidRPr="008438F4">
        <w:rPr>
          <w:rFonts w:ascii="Calibri" w:hAnsi="Calibri" w:cs="Calibri"/>
          <w:color w:val="000000"/>
        </w:rPr>
        <w:t xml:space="preserve">. </w:t>
      </w:r>
      <w:r w:rsidRPr="008438F4">
        <w:rPr>
          <w:rFonts w:ascii="Calibri" w:hAnsi="Calibri" w:cs="Calibri"/>
        </w:rPr>
        <w:t xml:space="preserve"> The SPPB metric is a combined score of performance measures for gait speed, chair stands and balance testing and has been used as a predicative tool of possible disability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{"citationID":"Yz0JHHO3","properties":{"formattedCitation":"(Guralnik et al., 2000)","plainCitation":"(Guralnik et al., 2000)"},"citationItems":[{"id":1249,"uris":["http://zotero.org/users/local/vDYxJ8mW/items/33CPVA78"],"uri":["http://zotero.org/users/local/vDYxJ8mW/items/33CPVA78"],"itemData":{"id":1249,"type":"article-journal","title":"Lower Extremity Function and Subsequent Disability: Consistency Across Studies, Predictive Models, and Value of Gait Speed Alone Compared With the Short Physical Performance Battery","container-title":"The Journals of Gerontology: Series A","page":"M221-M231","volume":"55","issue":"4","source":"academic.oup.com","abstract":"Background. Although it has been demonstrated that physical performance measures predict incident disability in previously nondisabled older persons, the available data have not been fully developed to create usable methods for determining risk profiles in community-dwelling populations. Using several populations and different follow-up periods, this study replicates previous findings by using the Established Populations for the Epidemiologic Study of the Elderly (EPESE) performance battery and provides equations for the prediction of disability risk according to age, sex, and level of performance.Methods. Tests of balance, time to walk 8 ft, and time to rise from a chair 5 times were administered to 4,588 initially nondisabled persons in the four sites of the EPESE and to 1,946 initially nondisabled persons in the Hispanic EPESE. Follow-up assessment for activity of daily living (ADL) and mobility-related disability occurred from 1 to 6 years later.Results. In the EPESE, compared with those with the best performance (EPESE summary performance score of 10–12), the relative risks of mobility-related disability for those with scores of 4–6 ranged from 2.9 to 4.9 and the relative risk of disability for those with scores of 7–9 ranged from 1.5 to 2.1, with similar consistent results for ADL disability. The observed rates of incident disability according to performance level in the Hispanic EPESE agreed closely with rates predicted from models developed from the EPESE sites. Receiver operating characteristic curves showed that gait speed alone performed almost as well as the full battery in predicting incident disability.Conclusions. Performance tests of lower extremity function accurately predict disability across diverse populations. Equations derived from models using both the summary score and the gait speed alone allow for the estimation of risk of disability in community-dwelling populations and provide valuable information for estimating sample size for clinical trials of disability prevention.","DOI":"10.1093/gerona/55.4.M221","ISSN":"1079-5006","shortTitle":"Lower Extremity Function and Subsequent Disability","journalAbbreviation":"J Gerontol A Biol Sci Med Sci","author":[{"family":"Guralnik","given":"Jack M."},{"family":"Ferrucci","given":"Luigi"},{"family":"Pieper","given":"Carl F."},{"family":"Leveille","given":"Suzanne G."},{"family":"Markides","given":"Kyriakos S."},{"family":"Ostir","given":"Glenn V."},{"family":"Studenski","given":"Stephanie"},{"family":"Berkman","given":"Lisa F."},{"family":"Wallace","given":"Robert B."}],"issued":{"date-parts":[["2000",4,1]]}}}],"schema":"https://github.com/citation-style-language/schema/raw/master/csl-citation.json"}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(Guralnik et al., 2000)</w:t>
      </w:r>
      <w:r w:rsidRPr="008438F4">
        <w:rPr>
          <w:rFonts w:ascii="Calibri" w:hAnsi="Calibri" w:cs="Calibri"/>
          <w:color w:val="000000"/>
        </w:rPr>
        <w:fldChar w:fldCharType="end"/>
      </w:r>
      <w:r w:rsidRPr="008438F4">
        <w:rPr>
          <w:rFonts w:ascii="Calibri" w:hAnsi="Calibri" w:cs="Calibri"/>
          <w:color w:val="000000"/>
        </w:rPr>
        <w:t xml:space="preserve">. The 3MS is </w:t>
      </w:r>
      <w:r w:rsidR="000F098C">
        <w:rPr>
          <w:rFonts w:ascii="Calibri" w:hAnsi="Calibri" w:cs="Calibri"/>
          <w:color w:val="000000"/>
        </w:rPr>
        <w:t xml:space="preserve">a cognitive screening measure </w:t>
      </w:r>
      <w:r w:rsidRPr="008438F4">
        <w:rPr>
          <w:rFonts w:ascii="Calibri" w:hAnsi="Calibri" w:cs="Calibri"/>
          <w:color w:val="000000"/>
        </w:rPr>
        <w:t xml:space="preserve">that has been widely used </w:t>
      </w:r>
      <w:r w:rsidR="000F098C">
        <w:rPr>
          <w:rFonts w:ascii="Calibri" w:hAnsi="Calibri" w:cs="Calibri"/>
          <w:color w:val="000000"/>
        </w:rPr>
        <w:t>to detect</w:t>
      </w:r>
      <w:r w:rsidRPr="008438F4">
        <w:rPr>
          <w:rFonts w:ascii="Calibri" w:hAnsi="Calibri" w:cs="Calibri"/>
          <w:color w:val="000000"/>
        </w:rPr>
        <w:t xml:space="preserve"> dementia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{"citationID":"a24gbnfjdns","properties":{"formattedCitation":"(Teng &amp; Chui, 1987)","plainCitation":"(Teng &amp; Chui, 1987)"},"citationItems":[{"id":804,"uris":["http://zotero.org/users/local/vDYxJ8mW/items/EMK7X2CN"],"uri":["http://zotero.org/users/local/vDYxJ8mW/items/EMK7X2CN"],"itemData":{"id":804,"type":"article-journal","title":"The Modified Mini-Mental State (3MS) examination","container-title":"The Journal of Clinical Psychiatry","page":"314-318","volume":"48","issue":"8","source":"PubMed","abstract":"The Mini-Mental State (MMS) examination is a widely used screening test for dementia. The Modified Mini-Mental State (3MS) incorporates four added test items, more graded scoring, and some other minor changes. These modifications are designed to sample a broader variety of cognitive functions, cover a wider range of difficulty levels, and enhance the reliability and the validity of the scores. The 3MS retains the brevity, ease of administration, and objective scoring of the MMS but broadens the range of scores from 0-30 to 0-100. Greater sensitivities of the 3MS over the MMS are demonstrated with the pentagon item drawn by 249 patients. A summary form for administration and scoring that can generate both the MMS and the 3MS scores is provided so that the examiner can maintain continuity with existing data and can obtain a more informative assessment.","ISSN":"0160-6689","note":"PMID: 3611032","journalAbbreviation":"J Clin Psychiatry","language":"eng","author":[{"family":"Teng","given":"E. L."},{"family":"Chui","given":"H. C."}],"issued":{"date-parts":[["1987",8]]}}}],"schema":"https://github.com/citation-style-language/schema/raw/master/csl-citation.json"}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(Teng &amp; Chui, 1987)</w:t>
      </w:r>
      <w:r w:rsidRPr="008438F4">
        <w:rPr>
          <w:rFonts w:ascii="Calibri" w:hAnsi="Calibri" w:cs="Calibri"/>
          <w:color w:val="000000"/>
        </w:rPr>
        <w:fldChar w:fldCharType="end"/>
      </w:r>
      <w:r w:rsidRPr="008438F4">
        <w:rPr>
          <w:rFonts w:ascii="Calibri" w:hAnsi="Calibri" w:cs="Calibri"/>
          <w:color w:val="000000"/>
        </w:rPr>
        <w:t xml:space="preserve">. The DSST is a </w:t>
      </w:r>
      <w:r w:rsidR="000F098C">
        <w:rPr>
          <w:rFonts w:ascii="Calibri" w:hAnsi="Calibri" w:cs="Calibri"/>
          <w:color w:val="000000"/>
        </w:rPr>
        <w:t xml:space="preserve">subtest </w:t>
      </w:r>
      <w:r w:rsidRPr="008438F4">
        <w:rPr>
          <w:rFonts w:ascii="Calibri" w:hAnsi="Calibri" w:cs="Calibri"/>
          <w:color w:val="000000"/>
        </w:rPr>
        <w:t>of the Wech</w:t>
      </w:r>
      <w:r w:rsidR="000F098C">
        <w:rPr>
          <w:rFonts w:ascii="Calibri" w:hAnsi="Calibri" w:cs="Calibri"/>
          <w:color w:val="000000"/>
        </w:rPr>
        <w:t>s</w:t>
      </w:r>
      <w:r w:rsidRPr="008438F4">
        <w:rPr>
          <w:rFonts w:ascii="Calibri" w:hAnsi="Calibri" w:cs="Calibri"/>
          <w:color w:val="000000"/>
        </w:rPr>
        <w:t xml:space="preserve">ler Adult Intelligence Scale and </w:t>
      </w:r>
      <w:r w:rsidRPr="008438F4">
        <w:rPr>
          <w:rFonts w:ascii="Calibri" w:hAnsi="Calibri" w:cs="Calibri"/>
        </w:rPr>
        <w:t xml:space="preserve">requires response speed, sustained attention, visual spatial skills and set shifting, and </w:t>
      </w:r>
      <w:r w:rsidR="000F098C">
        <w:rPr>
          <w:rFonts w:ascii="Calibri" w:hAnsi="Calibri" w:cs="Calibri"/>
        </w:rPr>
        <w:t>can be</w:t>
      </w:r>
      <w:r w:rsidRPr="008438F4">
        <w:rPr>
          <w:rFonts w:ascii="Calibri" w:hAnsi="Calibri" w:cs="Calibri"/>
        </w:rPr>
        <w:t xml:space="preserve"> used as a screening tool for </w:t>
      </w:r>
      <w:r w:rsidR="000F098C">
        <w:rPr>
          <w:rFonts w:ascii="Calibri" w:hAnsi="Calibri" w:cs="Calibri"/>
        </w:rPr>
        <w:t xml:space="preserve">general cognitive impairment or </w:t>
      </w:r>
      <w:r w:rsidRPr="008438F4">
        <w:rPr>
          <w:rFonts w:ascii="Calibri" w:hAnsi="Calibri" w:cs="Calibri"/>
        </w:rPr>
        <w:t xml:space="preserve">dementia </w:t>
      </w:r>
      <w:r w:rsidRPr="008438F4">
        <w:rPr>
          <w:rFonts w:ascii="Calibri" w:hAnsi="Calibri" w:cs="Calibri"/>
        </w:rPr>
        <w:fldChar w:fldCharType="begin"/>
      </w:r>
      <w:r w:rsidRPr="008438F4">
        <w:rPr>
          <w:rFonts w:ascii="Calibri" w:hAnsi="Calibri" w:cs="Calibri"/>
        </w:rPr>
        <w:instrText xml:space="preserve"> ADDIN ZOTERO_ITEM CSL_CITATION {"citationID":"a2j8n1lk78g","properties":{"formattedCitation":"(Bettcher, Libon, Kaplan, Swenson, &amp; Penney, 2011)","plainCitation":"(Bettcher, Libon, Kaplan, Swenson, &amp; Penney, 2011)"},"citationItems":[{"id":1301,"uris":["http://zotero.org/users/local/vDYxJ8mW/items/ES986WF8"],"uri":["http://zotero.org/users/local/vDYxJ8mW/items/ES986WF8"],"itemData":{"id":1301,"type":"chapter","title":"Digit Symbol Substitution Test","container-title":"Encyclopedia of Clinical Neuropsychology","publisher":"Springer New York","page":"849-853","source":"link.springer.com","abstract":"SynonymsCoding; Digit symbol subtestDescriptionThe Digit Symbol substitution test (DS): This is a subtest from the corpus of intelligence tests authored by David Wechsler. Since Wechsler’s publication of the Bellevue Intelligence Scale (BIS; Wechsler, 1939), the basic format and concept of this test has changed very little. The test is timed. Various versions from the Wechsler corpus allow 90 or 120 s. The test requires the examinee to transcribe a unique geometric symbol with its corresponding Arabic number. The examinee is initially shown a key containing the numbers from 1 to 9. Under each number there is a corresponding geometric symbol. The examinee is then shown a series of boxes containing numbers in the top boxes, and blank boxes below them. After a short practice trial, they are then asked to copy the corresponding geometric symbol under each number. The raw score is the number of correct items completed within the prescribed time limit. ...","URL":"http://link.springer.com/referenceworkentry/10.1007/978-0-387-79948-3_1289","ISBN":"978-0-387-79947-6","note":"DOI: 10.1007/978-0-387-79948-3_1289","language":"en","author":[{"family":"Bettcher","given":"Brianne Magouirk"},{"family":"Libon","given":"David J."},{"family":"Kaplan","given":"Edith"},{"family":"Swenson","given":"Rod"},{"family":"Penney","given":"Dana L."}],"editor":[{"family":"Kreutzer","given":"Jeffrey S."},{"family":"DeLuca","given":"John"},{"family":"Caplan","given":"Bruce"}],"issued":{"date-parts":[["2011"]]},"accessed":{"date-parts":[["2017",10,25]]}}}],"schema":"https://github.com/citation-style-language/schema/raw/master/csl-citation.json"}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(Bettcher, Libon, Kaplan, Swenson, &amp; Penney, 2011)</w:t>
      </w:r>
      <w:r w:rsidRPr="008438F4">
        <w:rPr>
          <w:rFonts w:ascii="Calibri" w:hAnsi="Calibri" w:cs="Calibri"/>
        </w:rPr>
        <w:fldChar w:fldCharType="end"/>
      </w:r>
      <w:r w:rsidRPr="008438F4">
        <w:rPr>
          <w:rFonts w:ascii="Calibri" w:hAnsi="Calibri" w:cs="Calibri"/>
        </w:rPr>
        <w:t xml:space="preserve">. </w:t>
      </w:r>
    </w:p>
    <w:p w14:paraId="34E09130" w14:textId="77777777" w:rsidR="0099247D" w:rsidRPr="008438F4" w:rsidRDefault="0099247D" w:rsidP="000628E7">
      <w:pPr>
        <w:pStyle w:val="Heading2"/>
        <w:rPr>
          <w:rFonts w:ascii="Calibri" w:hAnsi="Calibri" w:cs="Calibri"/>
        </w:rPr>
      </w:pPr>
      <w:bookmarkStart w:id="45" w:name="_Toc499840808"/>
      <w:r w:rsidRPr="008438F4">
        <w:rPr>
          <w:rFonts w:ascii="Calibri" w:hAnsi="Calibri" w:cs="Calibri"/>
        </w:rPr>
        <w:t>Statistical Analysis</w:t>
      </w:r>
      <w:bookmarkEnd w:id="45"/>
      <w:r w:rsidRPr="008438F4">
        <w:rPr>
          <w:rFonts w:ascii="Calibri" w:hAnsi="Calibri" w:cs="Calibri"/>
        </w:rPr>
        <w:t xml:space="preserve"> </w:t>
      </w:r>
    </w:p>
    <w:p w14:paraId="262EB0B6" w14:textId="77777777" w:rsidR="0099247D" w:rsidRPr="008438F4" w:rsidRDefault="0099247D" w:rsidP="00F36434">
      <w:pPr>
        <w:spacing w:line="360" w:lineRule="auto"/>
        <w:ind w:firstLine="0"/>
        <w:rPr>
          <w:rFonts w:ascii="Calibri" w:hAnsi="Calibri" w:cs="Calibri"/>
          <w:color w:val="000000"/>
        </w:rPr>
      </w:pPr>
      <w:r w:rsidRPr="008438F4">
        <w:rPr>
          <w:rFonts w:ascii="Calibri" w:hAnsi="Calibri" w:cs="Calibri"/>
          <w:color w:val="000000"/>
        </w:rPr>
        <w:t>Descriptive statistics for the overall LIFE study population and the analytic sample by fatigability status were calculated. With N=29, this analysis was exploratory, and tests of significance</w:t>
      </w:r>
      <w:r w:rsidR="00496EC2" w:rsidRPr="008438F4">
        <w:rPr>
          <w:rFonts w:ascii="Calibri" w:hAnsi="Calibri" w:cs="Calibri"/>
          <w:color w:val="000000"/>
        </w:rPr>
        <w:t xml:space="preserve"> of demographic characteristics</w:t>
      </w:r>
      <w:r w:rsidRPr="008438F4">
        <w:rPr>
          <w:rFonts w:ascii="Calibri" w:hAnsi="Calibri" w:cs="Calibri"/>
          <w:color w:val="000000"/>
        </w:rPr>
        <w:t xml:space="preserve"> </w:t>
      </w:r>
      <w:r w:rsidR="00496EC2" w:rsidRPr="008438F4">
        <w:rPr>
          <w:rFonts w:ascii="Calibri" w:hAnsi="Calibri" w:cs="Calibri"/>
          <w:color w:val="000000"/>
        </w:rPr>
        <w:t xml:space="preserve">for </w:t>
      </w:r>
      <w:r w:rsidRPr="008438F4">
        <w:rPr>
          <w:rFonts w:ascii="Calibri" w:hAnsi="Calibri" w:cs="Calibri"/>
          <w:color w:val="000000"/>
        </w:rPr>
        <w:t>were not conducted</w:t>
      </w:r>
      <w:r w:rsidR="00496EC2" w:rsidRPr="008438F4">
        <w:rPr>
          <w:rFonts w:ascii="Calibri" w:hAnsi="Calibri" w:cs="Calibri"/>
          <w:color w:val="000000"/>
        </w:rPr>
        <w:t xml:space="preserve"> between the sample from the Pittsburgh field center and the analytic sample. </w:t>
      </w:r>
      <w:r w:rsidRPr="008438F4">
        <w:rPr>
          <w:rFonts w:ascii="Calibri" w:hAnsi="Calibri" w:cs="Calibri"/>
          <w:color w:val="000000"/>
        </w:rPr>
        <w:t xml:space="preserve">Average brain regions were examined by fatigability status, and t-tests were performed at significance level set at p&lt;0.1.   The ratio of GMV to ICV for each brain region was expressed as a percentage. </w:t>
      </w:r>
    </w:p>
    <w:p w14:paraId="683DFA86" w14:textId="77777777"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 xml:space="preserve">Continuous variables were checked for normality using the Shapiro-Wilk test for normality by physical and mental fatigability status. T-tests were performed to assess covariates of fatigability (high versus low for both physical and mental). Chi-squared tests, including Fisher Exact tests for cell counts less than 5, were performed to assess potential categorical covariates of fatigability (high versus low for both physical and mental fatigability). </w:t>
      </w:r>
    </w:p>
    <w:p w14:paraId="2CC0E0AA" w14:textId="77777777"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 xml:space="preserve">Logistic regression analyses were performed to assess the associations between </w:t>
      </w:r>
      <w:r w:rsidRPr="008438F4">
        <w:rPr>
          <w:rFonts w:ascii="Calibri" w:hAnsi="Calibri" w:cs="Calibri"/>
          <w:i/>
          <w:color w:val="000000"/>
        </w:rPr>
        <w:t>a priori</w:t>
      </w:r>
      <w:r w:rsidRPr="008438F4">
        <w:rPr>
          <w:rFonts w:ascii="Calibri" w:hAnsi="Calibri" w:cs="Calibri"/>
          <w:color w:val="000000"/>
        </w:rPr>
        <w:t xml:space="preserve"> specified brain regions of interest and fatigability measures as continuous variables with and without adjustments for covariates. Adjustment for covariates was done one at a time to determine whether each covariate might explain any observed associations between brain region volumes and fatigability. Covariates were included as adjustments in multivariable analyses if they were associated with the outcome of interest (the PFS) at p≤0.1. Model fit was examined to verify this analysis approach.  Due to the anticipated sample size, correction for multiple comparisons was not included in the analyses. The ratios obtained for GMV to ICV were adjusted by a factor</w:t>
      </w:r>
      <w:r w:rsidR="007A206E" w:rsidRPr="008438F4">
        <w:rPr>
          <w:rFonts w:ascii="Calibri" w:hAnsi="Calibri" w:cs="Calibri"/>
          <w:color w:val="000000"/>
        </w:rPr>
        <w:t xml:space="preserve"> of 100,000 before they were added </w:t>
      </w:r>
      <w:r w:rsidRPr="008438F4">
        <w:rPr>
          <w:rFonts w:ascii="Calibri" w:hAnsi="Calibri" w:cs="Calibri"/>
          <w:color w:val="000000"/>
        </w:rPr>
        <w:t xml:space="preserve">into the model for meaningful interpretation of parameters associated with fatigability outcomes. </w:t>
      </w:r>
    </w:p>
    <w:p w14:paraId="7E77A881" w14:textId="77777777" w:rsidR="0099247D" w:rsidRPr="008438F4" w:rsidRDefault="0099247D" w:rsidP="0099247D">
      <w:pPr>
        <w:rPr>
          <w:rFonts w:ascii="Calibri" w:hAnsi="Calibri" w:cs="Calibri"/>
        </w:rPr>
      </w:pPr>
    </w:p>
    <w:p w14:paraId="4F885965" w14:textId="77777777" w:rsidR="0099247D" w:rsidRPr="008438F4" w:rsidRDefault="0099247D" w:rsidP="000628E7">
      <w:pPr>
        <w:pStyle w:val="Heading1"/>
        <w:rPr>
          <w:rFonts w:ascii="Calibri" w:hAnsi="Calibri" w:cs="Calibri"/>
        </w:rPr>
      </w:pPr>
      <w:bookmarkStart w:id="46" w:name="_Toc499840809"/>
      <w:r w:rsidRPr="008438F4">
        <w:rPr>
          <w:rFonts w:ascii="Calibri" w:hAnsi="Calibri" w:cs="Calibri"/>
        </w:rPr>
        <w:t>Results</w:t>
      </w:r>
      <w:bookmarkEnd w:id="46"/>
      <w:r w:rsidRPr="008438F4">
        <w:rPr>
          <w:rFonts w:ascii="Calibri" w:hAnsi="Calibri" w:cs="Calibri"/>
        </w:rPr>
        <w:t xml:space="preserve"> </w:t>
      </w:r>
    </w:p>
    <w:p w14:paraId="3CDA4D56" w14:textId="1680E381" w:rsidR="002524F7" w:rsidRPr="008438F4" w:rsidRDefault="0099247D" w:rsidP="00F36434">
      <w:pPr>
        <w:spacing w:line="360" w:lineRule="auto"/>
        <w:ind w:firstLine="0"/>
        <w:rPr>
          <w:rFonts w:ascii="Calibri" w:hAnsi="Calibri" w:cs="Calibri"/>
        </w:rPr>
      </w:pPr>
      <w:r w:rsidRPr="008438F4">
        <w:rPr>
          <w:rFonts w:ascii="Calibri" w:hAnsi="Calibri" w:cs="Calibri"/>
        </w:rPr>
        <w:t xml:space="preserve">The descriptive characteristics for the LIFE population at the Pittsburgh field center and the analytic study sample are presented in </w:t>
      </w:r>
      <w:r w:rsidR="007A206E" w:rsidRPr="008438F4">
        <w:rPr>
          <w:rFonts w:ascii="Calibri" w:hAnsi="Calibri" w:cs="Calibri"/>
          <w:b/>
        </w:rPr>
        <w:t>Table 1</w:t>
      </w:r>
      <w:r w:rsidRPr="008438F4">
        <w:rPr>
          <w:rFonts w:ascii="Calibri" w:hAnsi="Calibri" w:cs="Calibri"/>
        </w:rPr>
        <w:t>. The mean age and standard deviation (mean</w:t>
      </w:r>
      <w:r w:rsidRPr="008438F4">
        <w:rPr>
          <w:rFonts w:ascii="Calibri" w:hAnsi="Calibri" w:cs="Calibri"/>
          <w:color w:val="000000"/>
        </w:rPr>
        <w:t>±SD)</w:t>
      </w:r>
      <w:r w:rsidRPr="008438F4">
        <w:rPr>
          <w:rFonts w:ascii="Calibri" w:hAnsi="Calibri" w:cs="Calibri"/>
        </w:rPr>
        <w:t xml:space="preserve"> of older a</w:t>
      </w:r>
      <w:r w:rsidR="009D4964" w:rsidRPr="008438F4">
        <w:rPr>
          <w:rFonts w:ascii="Calibri" w:hAnsi="Calibri" w:cs="Calibri"/>
        </w:rPr>
        <w:t>dults at the Pittsburgh site</w:t>
      </w:r>
      <w:r w:rsidRPr="008438F4">
        <w:rPr>
          <w:rFonts w:ascii="Calibri" w:hAnsi="Calibri" w:cs="Calibri"/>
        </w:rPr>
        <w:t xml:space="preserve"> was 78.5</w:t>
      </w:r>
      <w:r w:rsidRPr="008438F4">
        <w:rPr>
          <w:rFonts w:ascii="Calibri" w:hAnsi="Calibri" w:cs="Calibri"/>
          <w:color w:val="000000"/>
        </w:rPr>
        <w:t>±</w:t>
      </w:r>
      <w:r w:rsidRPr="008438F4">
        <w:rPr>
          <w:rFonts w:ascii="Calibri" w:hAnsi="Calibri" w:cs="Calibri"/>
        </w:rPr>
        <w:t xml:space="preserve">5.1 with a range from 70.1 to 89.8 years </w:t>
      </w:r>
      <w:r w:rsidR="00FB5E24" w:rsidRPr="008438F4">
        <w:rPr>
          <w:rFonts w:ascii="Calibri" w:hAnsi="Calibri" w:cs="Calibri"/>
        </w:rPr>
        <w:t>and the average age of the analytic</w:t>
      </w:r>
      <w:r w:rsidRPr="008438F4">
        <w:rPr>
          <w:rFonts w:ascii="Calibri" w:hAnsi="Calibri" w:cs="Calibri"/>
        </w:rPr>
        <w:t xml:space="preserve"> sample was 77.2</w:t>
      </w:r>
      <w:r w:rsidRPr="008438F4">
        <w:rPr>
          <w:rFonts w:ascii="Calibri" w:hAnsi="Calibri" w:cs="Calibri"/>
          <w:color w:val="000000"/>
        </w:rPr>
        <w:t>±</w:t>
      </w:r>
      <w:r w:rsidRPr="008438F4">
        <w:rPr>
          <w:rFonts w:ascii="Calibri" w:hAnsi="Calibri" w:cs="Calibri"/>
        </w:rPr>
        <w:t>5.5 with a range of 70.3 to 88.3 years. The Pittsburgh LIFE study population at baseline wa</w:t>
      </w:r>
      <w:r w:rsidR="009D4964" w:rsidRPr="008438F4">
        <w:rPr>
          <w:rFonts w:ascii="Calibri" w:hAnsi="Calibri" w:cs="Calibri"/>
        </w:rPr>
        <w:t>s 76.7% female, 71.3% White</w:t>
      </w:r>
      <w:r w:rsidRPr="008438F4">
        <w:rPr>
          <w:rFonts w:ascii="Calibri" w:hAnsi="Calibri" w:cs="Calibri"/>
        </w:rPr>
        <w:t xml:space="preserve">, and 58.8% had completed greater than a high school education. </w:t>
      </w:r>
      <w:r w:rsidR="009D4964" w:rsidRPr="008438F4">
        <w:rPr>
          <w:rFonts w:ascii="Calibri" w:hAnsi="Calibri" w:cs="Calibri"/>
        </w:rPr>
        <w:t>T</w:t>
      </w:r>
      <w:r w:rsidRPr="008438F4">
        <w:rPr>
          <w:rFonts w:ascii="Calibri" w:hAnsi="Calibri" w:cs="Calibri"/>
        </w:rPr>
        <w:t xml:space="preserve">he </w:t>
      </w:r>
      <w:r w:rsidR="00FB5E24" w:rsidRPr="008438F4">
        <w:rPr>
          <w:rFonts w:ascii="Calibri" w:hAnsi="Calibri" w:cs="Calibri"/>
        </w:rPr>
        <w:t xml:space="preserve">analytic </w:t>
      </w:r>
      <w:r w:rsidRPr="008438F4">
        <w:rPr>
          <w:rFonts w:ascii="Calibri" w:hAnsi="Calibri" w:cs="Calibri"/>
        </w:rPr>
        <w:t xml:space="preserve">study </w:t>
      </w:r>
      <w:r w:rsidR="00222CE5" w:rsidRPr="008438F4">
        <w:rPr>
          <w:rFonts w:ascii="Calibri" w:hAnsi="Calibri" w:cs="Calibri"/>
        </w:rPr>
        <w:t xml:space="preserve">sample from the Pittsburgh field center was comparable, </w:t>
      </w:r>
      <w:r w:rsidR="00BF3561">
        <w:rPr>
          <w:rFonts w:ascii="Calibri" w:hAnsi="Calibri" w:cs="Calibri"/>
        </w:rPr>
        <w:t xml:space="preserve">with the exception of race </w:t>
      </w:r>
      <w:r w:rsidR="00890244" w:rsidRPr="008438F4">
        <w:rPr>
          <w:rFonts w:ascii="Calibri" w:hAnsi="Calibri" w:cs="Calibri"/>
        </w:rPr>
        <w:t>37.9% White</w:t>
      </w:r>
      <w:r w:rsidR="009D4964" w:rsidRPr="008438F4">
        <w:rPr>
          <w:rFonts w:ascii="Calibri" w:hAnsi="Calibri" w:cs="Calibri"/>
        </w:rPr>
        <w:t xml:space="preserve"> (Table 1)</w:t>
      </w:r>
      <w:r w:rsidRPr="008438F4">
        <w:rPr>
          <w:rFonts w:ascii="Calibri" w:hAnsi="Calibri" w:cs="Calibri"/>
        </w:rPr>
        <w:t xml:space="preserve">. Additionally, 20.7% of participants in the study sample had cardiovascular disease, 34.5% were former or current smokers and 34.5% diabetes mellitus.  </w:t>
      </w:r>
      <w:r w:rsidR="002524F7" w:rsidRPr="008438F4">
        <w:rPr>
          <w:rFonts w:ascii="Calibri" w:hAnsi="Calibri" w:cs="Calibri"/>
        </w:rPr>
        <w:t xml:space="preserve">The prevalence of depression measured by the CES-D score was comparable to the Pittsburgh field center. Additionally, mean 3MSE scores and DSST scores were comparable between the overall Pittsburgh site population and analytic sample with MRI and PFS scores (Table 1). </w:t>
      </w:r>
    </w:p>
    <w:p w14:paraId="2880CEC8" w14:textId="44B58153" w:rsidR="0099247D" w:rsidRPr="008438F4" w:rsidRDefault="001C538B" w:rsidP="0099247D">
      <w:pPr>
        <w:spacing w:line="360" w:lineRule="auto"/>
        <w:rPr>
          <w:rFonts w:ascii="Calibri" w:hAnsi="Calibri" w:cs="Calibri"/>
        </w:rPr>
      </w:pPr>
      <w:r>
        <w:rPr>
          <w:rFonts w:ascii="Calibri" w:hAnsi="Calibri" w:cs="Calibri"/>
        </w:rPr>
        <w:t>The mean</w:t>
      </w:r>
      <w:r w:rsidR="0099247D" w:rsidRPr="008438F4">
        <w:rPr>
          <w:rFonts w:ascii="Calibri" w:hAnsi="Calibri" w:cs="Calibri"/>
        </w:rPr>
        <w:t xml:space="preserve"> physical and mental fatigability scores were 20.2</w:t>
      </w:r>
      <w:r w:rsidR="0099247D" w:rsidRPr="008438F4">
        <w:rPr>
          <w:rFonts w:ascii="Calibri" w:hAnsi="Calibri" w:cs="Calibri"/>
          <w:color w:val="000000"/>
        </w:rPr>
        <w:t>±</w:t>
      </w:r>
      <w:r w:rsidR="0099247D" w:rsidRPr="008438F4">
        <w:rPr>
          <w:rFonts w:ascii="Calibri" w:hAnsi="Calibri" w:cs="Calibri"/>
        </w:rPr>
        <w:t>9.1 and 15.8</w:t>
      </w:r>
      <w:r w:rsidR="0099247D" w:rsidRPr="008438F4">
        <w:rPr>
          <w:rFonts w:ascii="Calibri" w:hAnsi="Calibri" w:cs="Calibri"/>
          <w:color w:val="000000"/>
        </w:rPr>
        <w:t>±</w:t>
      </w:r>
      <w:r w:rsidR="0099247D" w:rsidRPr="008438F4">
        <w:rPr>
          <w:rFonts w:ascii="Calibri" w:hAnsi="Calibri" w:cs="Calibri"/>
        </w:rPr>
        <w:t>9.7, respectively, and 65.5% of people who completed both the MRI and PFS were categorized as having higher fatigability for both the physical and mental fatigability</w:t>
      </w:r>
      <w:r w:rsidR="005A4E43">
        <w:rPr>
          <w:rFonts w:ascii="Calibri" w:hAnsi="Calibri" w:cs="Calibri"/>
        </w:rPr>
        <w:t xml:space="preserve">. </w:t>
      </w:r>
      <w:r w:rsidR="0034768E">
        <w:rPr>
          <w:rFonts w:ascii="Calibri" w:hAnsi="Calibri" w:cs="Calibri"/>
        </w:rPr>
        <w:t>There</w:t>
      </w:r>
      <w:r w:rsidR="005A4E43">
        <w:rPr>
          <w:rFonts w:ascii="Calibri" w:hAnsi="Calibri" w:cs="Calibri"/>
        </w:rPr>
        <w:t xml:space="preserve"> was overlap between participants in high physical and mental fatigability</w:t>
      </w:r>
      <w:r w:rsidR="0034768E">
        <w:rPr>
          <w:rFonts w:ascii="Calibri" w:hAnsi="Calibri" w:cs="Calibri"/>
        </w:rPr>
        <w:t xml:space="preserve"> categories, but not all of the p</w:t>
      </w:r>
      <w:r w:rsidR="005A4E43">
        <w:rPr>
          <w:rFonts w:ascii="Calibri" w:hAnsi="Calibri" w:cs="Calibri"/>
        </w:rPr>
        <w:t xml:space="preserve">articipants who scored </w:t>
      </w:r>
      <w:r w:rsidR="0034768E">
        <w:rPr>
          <w:rFonts w:ascii="Calibri" w:hAnsi="Calibri" w:cs="Calibri"/>
        </w:rPr>
        <w:t>high for physical fatigability scored</w:t>
      </w:r>
      <w:r w:rsidR="005A4E43">
        <w:rPr>
          <w:rFonts w:ascii="Calibri" w:hAnsi="Calibri" w:cs="Calibri"/>
        </w:rPr>
        <w:t xml:space="preserve"> high for mental fatigability. </w:t>
      </w:r>
      <w:r w:rsidR="0099247D" w:rsidRPr="008438F4">
        <w:rPr>
          <w:rFonts w:ascii="Calibri" w:hAnsi="Calibri" w:cs="Calibri"/>
        </w:rPr>
        <w:t xml:space="preserve">The mean </w:t>
      </w:r>
      <w:r w:rsidR="00222CE5" w:rsidRPr="008438F4">
        <w:rPr>
          <w:rFonts w:ascii="Calibri" w:hAnsi="Calibri" w:cs="Calibri"/>
        </w:rPr>
        <w:t xml:space="preserve">usual paced </w:t>
      </w:r>
      <w:r w:rsidR="0099247D" w:rsidRPr="008438F4">
        <w:rPr>
          <w:rFonts w:ascii="Calibri" w:hAnsi="Calibri" w:cs="Calibri"/>
        </w:rPr>
        <w:t>400m walk time was 491.8</w:t>
      </w:r>
      <w:r w:rsidR="0099247D" w:rsidRPr="008438F4">
        <w:rPr>
          <w:rFonts w:ascii="Calibri" w:hAnsi="Calibri" w:cs="Calibri"/>
          <w:color w:val="000000"/>
        </w:rPr>
        <w:t>±</w:t>
      </w:r>
      <w:r w:rsidR="0099247D" w:rsidRPr="008438F4">
        <w:rPr>
          <w:rFonts w:ascii="Calibri" w:hAnsi="Calibri" w:cs="Calibri"/>
        </w:rPr>
        <w:t>119.6s and the average usual gait speed was 0.81</w:t>
      </w:r>
      <w:r w:rsidR="0099247D" w:rsidRPr="008438F4">
        <w:rPr>
          <w:rFonts w:ascii="Calibri" w:hAnsi="Calibri" w:cs="Calibri"/>
          <w:color w:val="000000"/>
        </w:rPr>
        <w:t>±</w:t>
      </w:r>
      <w:r w:rsidR="00222CE5" w:rsidRPr="008438F4">
        <w:rPr>
          <w:rFonts w:ascii="Calibri" w:hAnsi="Calibri" w:cs="Calibri"/>
        </w:rPr>
        <w:t xml:space="preserve">0.20 m/s. </w:t>
      </w:r>
      <w:r w:rsidR="0099247D" w:rsidRPr="008438F4">
        <w:rPr>
          <w:rFonts w:ascii="Calibri" w:hAnsi="Calibri" w:cs="Calibri"/>
        </w:rPr>
        <w:t xml:space="preserve"> </w:t>
      </w:r>
    </w:p>
    <w:p w14:paraId="672F7A10" w14:textId="77777777" w:rsidR="0099247D" w:rsidRPr="008438F4" w:rsidRDefault="0099247D" w:rsidP="0099247D">
      <w:pPr>
        <w:rPr>
          <w:rFonts w:ascii="Calibri" w:hAnsi="Calibri" w:cs="Calibri"/>
        </w:rPr>
      </w:pPr>
    </w:p>
    <w:p w14:paraId="236AAD3A" w14:textId="77777777" w:rsidR="000628E7" w:rsidRPr="008438F4" w:rsidRDefault="000628E7" w:rsidP="0099247D">
      <w:pPr>
        <w:rPr>
          <w:rFonts w:ascii="Calibri" w:hAnsi="Calibri" w:cs="Calibri"/>
        </w:rPr>
      </w:pPr>
    </w:p>
    <w:p w14:paraId="4E8455BF" w14:textId="77777777" w:rsidR="000628E7" w:rsidRPr="008438F4" w:rsidRDefault="000628E7" w:rsidP="0099247D">
      <w:pPr>
        <w:rPr>
          <w:rFonts w:ascii="Calibri" w:hAnsi="Calibri" w:cs="Calibri"/>
        </w:rPr>
      </w:pPr>
    </w:p>
    <w:p w14:paraId="45DA6BC2" w14:textId="77777777" w:rsidR="000628E7" w:rsidRPr="008438F4" w:rsidRDefault="000628E7" w:rsidP="0099247D">
      <w:pPr>
        <w:rPr>
          <w:rFonts w:ascii="Calibri" w:hAnsi="Calibri" w:cs="Calibri"/>
        </w:rPr>
      </w:pPr>
    </w:p>
    <w:p w14:paraId="6764D67A" w14:textId="77777777" w:rsidR="007B117B" w:rsidRPr="008438F4" w:rsidRDefault="007B117B" w:rsidP="0099247D">
      <w:pPr>
        <w:rPr>
          <w:rFonts w:ascii="Calibri" w:hAnsi="Calibri" w:cs="Calibri"/>
        </w:rPr>
      </w:pPr>
    </w:p>
    <w:p w14:paraId="228500D5" w14:textId="23BEAB25" w:rsidR="000628E7" w:rsidRPr="008438F4" w:rsidRDefault="008F6E7F" w:rsidP="008F6E7F">
      <w:pPr>
        <w:pStyle w:val="Caption"/>
        <w:spacing w:line="240" w:lineRule="auto"/>
        <w:ind w:firstLine="0"/>
        <w:rPr>
          <w:rFonts w:ascii="Calibri" w:hAnsi="Calibri" w:cs="Calibri"/>
          <w:sz w:val="24"/>
          <w:szCs w:val="24"/>
        </w:rPr>
      </w:pPr>
      <w:bookmarkStart w:id="47" w:name="_Toc499755704"/>
      <w:r w:rsidRPr="008438F4">
        <w:rPr>
          <w:rFonts w:ascii="Calibri" w:hAnsi="Calibri" w:cs="Calibri"/>
          <w:sz w:val="24"/>
          <w:szCs w:val="24"/>
        </w:rPr>
        <w:t xml:space="preserve">Table </w:t>
      </w:r>
      <w:r w:rsidRPr="008438F4">
        <w:rPr>
          <w:rFonts w:ascii="Calibri" w:hAnsi="Calibri" w:cs="Calibri"/>
          <w:sz w:val="24"/>
          <w:szCs w:val="24"/>
        </w:rPr>
        <w:fldChar w:fldCharType="begin"/>
      </w:r>
      <w:r w:rsidRPr="008438F4">
        <w:rPr>
          <w:rFonts w:ascii="Calibri" w:hAnsi="Calibri" w:cs="Calibri"/>
          <w:sz w:val="24"/>
          <w:szCs w:val="24"/>
        </w:rPr>
        <w:instrText xml:space="preserve"> SEQ Table \* ARABIC </w:instrText>
      </w:r>
      <w:r w:rsidRPr="008438F4">
        <w:rPr>
          <w:rFonts w:ascii="Calibri" w:hAnsi="Calibri" w:cs="Calibri"/>
          <w:sz w:val="24"/>
          <w:szCs w:val="24"/>
        </w:rPr>
        <w:fldChar w:fldCharType="separate"/>
      </w:r>
      <w:r w:rsidR="003B7E02">
        <w:rPr>
          <w:rFonts w:ascii="Calibri" w:hAnsi="Calibri" w:cs="Calibri"/>
          <w:noProof/>
          <w:sz w:val="24"/>
          <w:szCs w:val="24"/>
        </w:rPr>
        <w:t>1</w:t>
      </w:r>
      <w:r w:rsidRPr="008438F4">
        <w:rPr>
          <w:rFonts w:ascii="Calibri" w:hAnsi="Calibri" w:cs="Calibri"/>
          <w:sz w:val="24"/>
          <w:szCs w:val="24"/>
        </w:rPr>
        <w:fldChar w:fldCharType="end"/>
      </w:r>
      <w:r w:rsidRPr="008438F4">
        <w:rPr>
          <w:rFonts w:ascii="Calibri" w:hAnsi="Calibri" w:cs="Calibri"/>
          <w:sz w:val="24"/>
          <w:szCs w:val="24"/>
        </w:rPr>
        <w:t>. Baseline Characteristics of the Pittsburgh Field Center and Analytic Sample from the Lifestyle Interventions and Independence for Elders Study</w:t>
      </w:r>
      <w:bookmarkEnd w:id="47"/>
    </w:p>
    <w:p w14:paraId="637D9E2E" w14:textId="77777777" w:rsidR="007B117B" w:rsidRPr="008438F4" w:rsidRDefault="007B117B" w:rsidP="007B117B">
      <w:pPr>
        <w:spacing w:line="240" w:lineRule="auto"/>
        <w:rPr>
          <w:rFonts w:ascii="Calibri" w:hAnsi="Calibri" w:cs="Calibri"/>
        </w:rPr>
      </w:pPr>
    </w:p>
    <w:tbl>
      <w:tblPr>
        <w:tblW w:w="9468" w:type="dxa"/>
        <w:tblLook w:val="04A0" w:firstRow="1" w:lastRow="0" w:firstColumn="1" w:lastColumn="0" w:noHBand="0" w:noVBand="1"/>
      </w:tblPr>
      <w:tblGrid>
        <w:gridCol w:w="5688"/>
        <w:gridCol w:w="1707"/>
        <w:gridCol w:w="2073"/>
      </w:tblGrid>
      <w:tr w:rsidR="0099247D" w:rsidRPr="008438F4" w14:paraId="4FEA4CC2" w14:textId="77777777" w:rsidTr="00233817">
        <w:trPr>
          <w:trHeight w:val="20"/>
        </w:trPr>
        <w:tc>
          <w:tcPr>
            <w:tcW w:w="5688" w:type="dxa"/>
            <w:tcBorders>
              <w:top w:val="single" w:sz="8" w:space="0" w:color="auto"/>
              <w:left w:val="nil"/>
              <w:bottom w:val="single" w:sz="4" w:space="0" w:color="auto"/>
              <w:right w:val="nil"/>
            </w:tcBorders>
            <w:shd w:val="clear" w:color="auto" w:fill="auto"/>
            <w:vAlign w:val="center"/>
          </w:tcPr>
          <w:p w14:paraId="652A2A64" w14:textId="77777777" w:rsidR="0099247D" w:rsidRPr="008438F4" w:rsidRDefault="0099247D" w:rsidP="00C041A2">
            <w:pPr>
              <w:spacing w:line="240" w:lineRule="auto"/>
              <w:jc w:val="center"/>
              <w:rPr>
                <w:rFonts w:ascii="Calibri" w:hAnsi="Calibri" w:cs="Calibri"/>
                <w:b/>
                <w:bCs/>
                <w:color w:val="000000"/>
                <w:shd w:val="clear" w:color="auto" w:fill="FFFFFF"/>
              </w:rPr>
            </w:pPr>
          </w:p>
          <w:p w14:paraId="1DA93CCF" w14:textId="77777777" w:rsidR="0099247D" w:rsidRPr="008438F4" w:rsidRDefault="0099247D" w:rsidP="00C041A2">
            <w:pPr>
              <w:spacing w:line="240" w:lineRule="auto"/>
              <w:jc w:val="center"/>
              <w:rPr>
                <w:rFonts w:ascii="Calibri" w:hAnsi="Calibri" w:cs="Calibri"/>
                <w:b/>
                <w:bCs/>
                <w:color w:val="000000"/>
                <w:shd w:val="clear" w:color="auto" w:fill="FFFFFF"/>
              </w:rPr>
            </w:pPr>
          </w:p>
          <w:p w14:paraId="008E9C0F" w14:textId="77777777" w:rsidR="0099247D" w:rsidRPr="008438F4" w:rsidRDefault="0099247D" w:rsidP="00C041A2">
            <w:pPr>
              <w:spacing w:line="240" w:lineRule="auto"/>
              <w:jc w:val="center"/>
              <w:rPr>
                <w:rFonts w:ascii="Calibri" w:hAnsi="Calibri" w:cs="Calibri"/>
                <w:b/>
                <w:bCs/>
                <w:color w:val="000000"/>
                <w:shd w:val="clear" w:color="auto" w:fill="FFFFFF"/>
              </w:rPr>
            </w:pPr>
            <w:r w:rsidRPr="008438F4">
              <w:rPr>
                <w:rFonts w:ascii="Calibri" w:hAnsi="Calibri" w:cs="Calibri"/>
                <w:b/>
                <w:bCs/>
                <w:color w:val="000000"/>
                <w:shd w:val="clear" w:color="auto" w:fill="FFFFFF"/>
              </w:rPr>
              <w:t>Characteristic</w:t>
            </w:r>
          </w:p>
        </w:tc>
        <w:tc>
          <w:tcPr>
            <w:tcW w:w="1707" w:type="dxa"/>
            <w:tcBorders>
              <w:top w:val="single" w:sz="12" w:space="0" w:color="auto"/>
              <w:left w:val="nil"/>
              <w:bottom w:val="single" w:sz="4" w:space="0" w:color="auto"/>
              <w:right w:val="nil"/>
            </w:tcBorders>
            <w:shd w:val="clear" w:color="auto" w:fill="auto"/>
          </w:tcPr>
          <w:p w14:paraId="7A058A2B"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r w:rsidRPr="008438F4">
              <w:rPr>
                <w:rFonts w:ascii="Calibri" w:hAnsi="Calibri" w:cs="Calibri"/>
                <w:b/>
                <w:bCs/>
                <w:color w:val="000000"/>
                <w:shd w:val="clear" w:color="auto" w:fill="FFFFFF"/>
              </w:rPr>
              <w:t>Pittsburgh Field Center</w:t>
            </w:r>
          </w:p>
          <w:p w14:paraId="41927F98"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r w:rsidRPr="008438F4">
              <w:rPr>
                <w:rFonts w:ascii="Calibri" w:hAnsi="Calibri" w:cs="Calibri"/>
                <w:b/>
                <w:bCs/>
                <w:color w:val="000000"/>
                <w:shd w:val="clear" w:color="auto" w:fill="FFFFFF"/>
              </w:rPr>
              <w:t>(N=216)</w:t>
            </w:r>
          </w:p>
        </w:tc>
        <w:tc>
          <w:tcPr>
            <w:tcW w:w="2073" w:type="dxa"/>
            <w:tcBorders>
              <w:top w:val="single" w:sz="12" w:space="0" w:color="auto"/>
              <w:left w:val="nil"/>
              <w:bottom w:val="single" w:sz="4" w:space="0" w:color="auto"/>
              <w:right w:val="nil"/>
            </w:tcBorders>
            <w:shd w:val="clear" w:color="auto" w:fill="auto"/>
          </w:tcPr>
          <w:p w14:paraId="2C35C5DC"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r w:rsidRPr="008438F4">
              <w:rPr>
                <w:rFonts w:ascii="Calibri" w:hAnsi="Calibri" w:cs="Calibri"/>
                <w:b/>
                <w:bCs/>
                <w:color w:val="000000"/>
                <w:shd w:val="clear" w:color="auto" w:fill="FFFFFF"/>
              </w:rPr>
              <w:t xml:space="preserve">Analytic </w:t>
            </w:r>
          </w:p>
          <w:p w14:paraId="25F44205"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r w:rsidRPr="008438F4">
              <w:rPr>
                <w:rFonts w:ascii="Calibri" w:hAnsi="Calibri" w:cs="Calibri"/>
                <w:b/>
                <w:bCs/>
                <w:color w:val="000000"/>
                <w:shd w:val="clear" w:color="auto" w:fill="FFFFFF"/>
              </w:rPr>
              <w:t>Sample</w:t>
            </w:r>
          </w:p>
          <w:p w14:paraId="26957D07"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r w:rsidRPr="008438F4">
              <w:rPr>
                <w:rFonts w:ascii="Calibri" w:hAnsi="Calibri" w:cs="Calibri"/>
                <w:b/>
                <w:bCs/>
                <w:color w:val="000000"/>
                <w:shd w:val="clear" w:color="auto" w:fill="FFFFFF"/>
              </w:rPr>
              <w:t>(N=29)</w:t>
            </w:r>
          </w:p>
        </w:tc>
      </w:tr>
      <w:tr w:rsidR="0099247D" w:rsidRPr="008438F4" w14:paraId="09D219CB" w14:textId="77777777" w:rsidTr="0011080D">
        <w:trPr>
          <w:trHeight w:val="20"/>
        </w:trPr>
        <w:tc>
          <w:tcPr>
            <w:tcW w:w="5688" w:type="dxa"/>
            <w:tcBorders>
              <w:top w:val="single" w:sz="4" w:space="0" w:color="auto"/>
              <w:left w:val="nil"/>
              <w:bottom w:val="nil"/>
              <w:right w:val="nil"/>
            </w:tcBorders>
            <w:shd w:val="clear" w:color="auto" w:fill="auto"/>
          </w:tcPr>
          <w:p w14:paraId="6A8F98CC"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 xml:space="preserve">Age, years </w:t>
            </w:r>
          </w:p>
        </w:tc>
        <w:tc>
          <w:tcPr>
            <w:tcW w:w="1707" w:type="dxa"/>
            <w:tcBorders>
              <w:top w:val="single" w:sz="4" w:space="0" w:color="auto"/>
              <w:left w:val="nil"/>
              <w:bottom w:val="nil"/>
              <w:right w:val="nil"/>
            </w:tcBorders>
            <w:shd w:val="clear" w:color="auto" w:fill="auto"/>
            <w:vAlign w:val="center"/>
          </w:tcPr>
          <w:p w14:paraId="21E5C0A6"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78.5±5.1*</w:t>
            </w:r>
          </w:p>
        </w:tc>
        <w:tc>
          <w:tcPr>
            <w:tcW w:w="2073" w:type="dxa"/>
            <w:tcBorders>
              <w:top w:val="single" w:sz="4" w:space="0" w:color="auto"/>
              <w:left w:val="nil"/>
              <w:bottom w:val="nil"/>
              <w:right w:val="nil"/>
            </w:tcBorders>
            <w:shd w:val="clear" w:color="auto" w:fill="auto"/>
            <w:vAlign w:val="center"/>
          </w:tcPr>
          <w:p w14:paraId="061C616C"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77.2±5.5</w:t>
            </w:r>
          </w:p>
        </w:tc>
      </w:tr>
      <w:tr w:rsidR="0099247D" w:rsidRPr="008438F4" w14:paraId="05BFF623" w14:textId="77777777" w:rsidTr="0011080D">
        <w:trPr>
          <w:trHeight w:val="20"/>
        </w:trPr>
        <w:tc>
          <w:tcPr>
            <w:tcW w:w="5688" w:type="dxa"/>
            <w:tcBorders>
              <w:top w:val="nil"/>
              <w:left w:val="nil"/>
              <w:bottom w:val="nil"/>
              <w:right w:val="nil"/>
            </w:tcBorders>
            <w:shd w:val="clear" w:color="auto" w:fill="auto"/>
          </w:tcPr>
          <w:p w14:paraId="5C344501"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Race, Caucasian/white</w:t>
            </w:r>
          </w:p>
        </w:tc>
        <w:tc>
          <w:tcPr>
            <w:tcW w:w="1707" w:type="dxa"/>
            <w:tcBorders>
              <w:top w:val="nil"/>
              <w:left w:val="nil"/>
              <w:bottom w:val="nil"/>
              <w:right w:val="nil"/>
            </w:tcBorders>
            <w:shd w:val="clear" w:color="auto" w:fill="auto"/>
            <w:vAlign w:val="center"/>
          </w:tcPr>
          <w:p w14:paraId="5C482369"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154(71.3)**</w:t>
            </w:r>
          </w:p>
        </w:tc>
        <w:tc>
          <w:tcPr>
            <w:tcW w:w="2073" w:type="dxa"/>
            <w:tcBorders>
              <w:top w:val="nil"/>
              <w:left w:val="nil"/>
              <w:bottom w:val="nil"/>
              <w:right w:val="nil"/>
            </w:tcBorders>
            <w:shd w:val="clear" w:color="auto" w:fill="auto"/>
            <w:vAlign w:val="center"/>
          </w:tcPr>
          <w:p w14:paraId="56834A23"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11(37.9)</w:t>
            </w:r>
          </w:p>
        </w:tc>
      </w:tr>
      <w:tr w:rsidR="0099247D" w:rsidRPr="008438F4" w14:paraId="718D5BDB" w14:textId="77777777" w:rsidTr="0011080D">
        <w:trPr>
          <w:trHeight w:val="20"/>
        </w:trPr>
        <w:tc>
          <w:tcPr>
            <w:tcW w:w="5688" w:type="dxa"/>
            <w:tcBorders>
              <w:top w:val="nil"/>
              <w:left w:val="nil"/>
              <w:bottom w:val="nil"/>
              <w:right w:val="nil"/>
            </w:tcBorders>
            <w:shd w:val="clear" w:color="auto" w:fill="auto"/>
          </w:tcPr>
          <w:p w14:paraId="305252E4"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Sex, Female</w:t>
            </w:r>
          </w:p>
        </w:tc>
        <w:tc>
          <w:tcPr>
            <w:tcW w:w="1707" w:type="dxa"/>
            <w:tcBorders>
              <w:top w:val="nil"/>
              <w:left w:val="nil"/>
              <w:bottom w:val="nil"/>
              <w:right w:val="nil"/>
            </w:tcBorders>
            <w:shd w:val="clear" w:color="auto" w:fill="auto"/>
            <w:vAlign w:val="center"/>
          </w:tcPr>
          <w:p w14:paraId="6142B4D1"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166(78.7)</w:t>
            </w:r>
          </w:p>
        </w:tc>
        <w:tc>
          <w:tcPr>
            <w:tcW w:w="2073" w:type="dxa"/>
            <w:tcBorders>
              <w:top w:val="nil"/>
              <w:left w:val="nil"/>
              <w:bottom w:val="nil"/>
              <w:right w:val="nil"/>
            </w:tcBorders>
            <w:shd w:val="clear" w:color="auto" w:fill="auto"/>
            <w:vAlign w:val="center"/>
          </w:tcPr>
          <w:p w14:paraId="571F9469"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25(86.2)</w:t>
            </w:r>
          </w:p>
        </w:tc>
      </w:tr>
      <w:tr w:rsidR="0099247D" w:rsidRPr="008438F4" w14:paraId="256A9B8D" w14:textId="77777777" w:rsidTr="0011080D">
        <w:trPr>
          <w:trHeight w:val="20"/>
        </w:trPr>
        <w:tc>
          <w:tcPr>
            <w:tcW w:w="5688" w:type="dxa"/>
            <w:tcBorders>
              <w:top w:val="nil"/>
              <w:left w:val="nil"/>
              <w:bottom w:val="nil"/>
              <w:right w:val="nil"/>
            </w:tcBorders>
            <w:shd w:val="clear" w:color="auto" w:fill="auto"/>
          </w:tcPr>
          <w:p w14:paraId="5709C6FC"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Education, ≥ High School, years</w:t>
            </w:r>
          </w:p>
        </w:tc>
        <w:tc>
          <w:tcPr>
            <w:tcW w:w="1707" w:type="dxa"/>
            <w:tcBorders>
              <w:top w:val="nil"/>
              <w:left w:val="nil"/>
              <w:bottom w:val="nil"/>
              <w:right w:val="nil"/>
            </w:tcBorders>
            <w:shd w:val="clear" w:color="auto" w:fill="auto"/>
            <w:vAlign w:val="center"/>
          </w:tcPr>
          <w:p w14:paraId="2D239714"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127(58.8)</w:t>
            </w:r>
          </w:p>
        </w:tc>
        <w:tc>
          <w:tcPr>
            <w:tcW w:w="2073" w:type="dxa"/>
            <w:tcBorders>
              <w:top w:val="nil"/>
              <w:left w:val="nil"/>
              <w:bottom w:val="nil"/>
              <w:right w:val="nil"/>
            </w:tcBorders>
            <w:shd w:val="clear" w:color="auto" w:fill="auto"/>
            <w:vAlign w:val="center"/>
          </w:tcPr>
          <w:p w14:paraId="49679276"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9(31.0)</w:t>
            </w:r>
          </w:p>
        </w:tc>
      </w:tr>
      <w:tr w:rsidR="0099247D" w:rsidRPr="008438F4" w14:paraId="44A02D02" w14:textId="77777777" w:rsidTr="0011080D">
        <w:trPr>
          <w:trHeight w:val="20"/>
        </w:trPr>
        <w:tc>
          <w:tcPr>
            <w:tcW w:w="5688" w:type="dxa"/>
            <w:tcBorders>
              <w:top w:val="nil"/>
              <w:left w:val="nil"/>
              <w:bottom w:val="nil"/>
              <w:right w:val="nil"/>
            </w:tcBorders>
            <w:shd w:val="clear" w:color="auto" w:fill="auto"/>
          </w:tcPr>
          <w:p w14:paraId="05DE2C2B" w14:textId="77777777" w:rsidR="0099247D" w:rsidRPr="008438F4" w:rsidRDefault="0099247D" w:rsidP="0011080D">
            <w:pPr>
              <w:spacing w:line="240" w:lineRule="auto"/>
              <w:ind w:firstLine="0"/>
              <w:rPr>
                <w:rFonts w:ascii="Calibri" w:hAnsi="Calibri" w:cs="Calibri"/>
                <w:b/>
                <w:bCs/>
                <w:color w:val="000000"/>
                <w:vertAlign w:val="superscript"/>
              </w:rPr>
            </w:pPr>
            <w:r w:rsidRPr="008438F4">
              <w:rPr>
                <w:rFonts w:ascii="Calibri" w:hAnsi="Calibri" w:cs="Calibri"/>
                <w:b/>
                <w:bCs/>
                <w:color w:val="000000"/>
              </w:rPr>
              <w:t xml:space="preserve">Smoking Status, Former or Current Smoker </w:t>
            </w:r>
          </w:p>
        </w:tc>
        <w:tc>
          <w:tcPr>
            <w:tcW w:w="1707" w:type="dxa"/>
            <w:tcBorders>
              <w:top w:val="nil"/>
              <w:left w:val="nil"/>
              <w:bottom w:val="nil"/>
              <w:right w:val="nil"/>
            </w:tcBorders>
            <w:shd w:val="clear" w:color="auto" w:fill="auto"/>
            <w:vAlign w:val="center"/>
          </w:tcPr>
          <w:p w14:paraId="37512D16"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95(44.4)</w:t>
            </w:r>
          </w:p>
        </w:tc>
        <w:tc>
          <w:tcPr>
            <w:tcW w:w="2073" w:type="dxa"/>
            <w:tcBorders>
              <w:top w:val="nil"/>
              <w:left w:val="nil"/>
              <w:bottom w:val="nil"/>
              <w:right w:val="nil"/>
            </w:tcBorders>
            <w:shd w:val="clear" w:color="auto" w:fill="auto"/>
            <w:vAlign w:val="center"/>
          </w:tcPr>
          <w:p w14:paraId="403B7910"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10(34.5)</w:t>
            </w:r>
          </w:p>
        </w:tc>
      </w:tr>
      <w:tr w:rsidR="0099247D" w:rsidRPr="008438F4" w14:paraId="0898AC67" w14:textId="77777777" w:rsidTr="0011080D">
        <w:trPr>
          <w:trHeight w:val="20"/>
        </w:trPr>
        <w:tc>
          <w:tcPr>
            <w:tcW w:w="5688" w:type="dxa"/>
            <w:tcBorders>
              <w:top w:val="nil"/>
              <w:left w:val="nil"/>
              <w:bottom w:val="nil"/>
              <w:right w:val="nil"/>
            </w:tcBorders>
            <w:shd w:val="clear" w:color="auto" w:fill="auto"/>
          </w:tcPr>
          <w:p w14:paraId="4FEB8988"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Body mass index (m/kg</w:t>
            </w:r>
            <w:r w:rsidRPr="008438F4">
              <w:rPr>
                <w:rFonts w:ascii="Calibri" w:hAnsi="Calibri" w:cs="Calibri"/>
                <w:b/>
                <w:bCs/>
                <w:color w:val="000000"/>
                <w:vertAlign w:val="superscript"/>
              </w:rPr>
              <w:t>2</w:t>
            </w:r>
            <w:r w:rsidRPr="008438F4">
              <w:rPr>
                <w:rFonts w:ascii="Calibri" w:hAnsi="Calibri" w:cs="Calibri"/>
                <w:b/>
                <w:bCs/>
                <w:color w:val="000000"/>
              </w:rPr>
              <w:t>)</w:t>
            </w:r>
          </w:p>
        </w:tc>
        <w:tc>
          <w:tcPr>
            <w:tcW w:w="1707" w:type="dxa"/>
            <w:tcBorders>
              <w:top w:val="nil"/>
              <w:left w:val="nil"/>
              <w:bottom w:val="nil"/>
              <w:right w:val="nil"/>
            </w:tcBorders>
            <w:shd w:val="clear" w:color="auto" w:fill="auto"/>
            <w:vAlign w:val="center"/>
          </w:tcPr>
          <w:p w14:paraId="1A07FE26"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30.6±5.9</w:t>
            </w:r>
          </w:p>
        </w:tc>
        <w:tc>
          <w:tcPr>
            <w:tcW w:w="2073" w:type="dxa"/>
            <w:tcBorders>
              <w:top w:val="nil"/>
              <w:left w:val="nil"/>
              <w:bottom w:val="nil"/>
              <w:right w:val="nil"/>
            </w:tcBorders>
            <w:shd w:val="clear" w:color="auto" w:fill="auto"/>
            <w:vAlign w:val="center"/>
          </w:tcPr>
          <w:p w14:paraId="3FADC62E"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31.4±4.9</w:t>
            </w:r>
          </w:p>
        </w:tc>
      </w:tr>
      <w:tr w:rsidR="0099247D" w:rsidRPr="008438F4" w14:paraId="15443A3A" w14:textId="77777777" w:rsidTr="0011080D">
        <w:trPr>
          <w:trHeight w:val="20"/>
        </w:trPr>
        <w:tc>
          <w:tcPr>
            <w:tcW w:w="5688" w:type="dxa"/>
            <w:tcBorders>
              <w:top w:val="nil"/>
              <w:left w:val="nil"/>
              <w:bottom w:val="nil"/>
              <w:right w:val="nil"/>
            </w:tcBorders>
            <w:shd w:val="clear" w:color="auto" w:fill="auto"/>
          </w:tcPr>
          <w:p w14:paraId="641AAF27"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 xml:space="preserve">Cardiovascular disease, Yes, Self-report </w:t>
            </w:r>
          </w:p>
        </w:tc>
        <w:tc>
          <w:tcPr>
            <w:tcW w:w="1707" w:type="dxa"/>
            <w:tcBorders>
              <w:top w:val="nil"/>
              <w:left w:val="nil"/>
              <w:bottom w:val="nil"/>
              <w:right w:val="nil"/>
            </w:tcBorders>
            <w:shd w:val="clear" w:color="auto" w:fill="auto"/>
            <w:vAlign w:val="center"/>
          </w:tcPr>
          <w:p w14:paraId="6EBE4CCC"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63(29.2)</w:t>
            </w:r>
          </w:p>
        </w:tc>
        <w:tc>
          <w:tcPr>
            <w:tcW w:w="2073" w:type="dxa"/>
            <w:tcBorders>
              <w:top w:val="nil"/>
              <w:left w:val="nil"/>
              <w:bottom w:val="nil"/>
              <w:right w:val="nil"/>
            </w:tcBorders>
            <w:shd w:val="clear" w:color="auto" w:fill="auto"/>
            <w:vAlign w:val="center"/>
          </w:tcPr>
          <w:p w14:paraId="159521F4"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6(20.7)</w:t>
            </w:r>
          </w:p>
        </w:tc>
      </w:tr>
      <w:tr w:rsidR="0099247D" w:rsidRPr="008438F4" w14:paraId="14360431" w14:textId="77777777" w:rsidTr="0011080D">
        <w:trPr>
          <w:trHeight w:val="20"/>
        </w:trPr>
        <w:tc>
          <w:tcPr>
            <w:tcW w:w="5688" w:type="dxa"/>
            <w:tcBorders>
              <w:top w:val="nil"/>
              <w:left w:val="nil"/>
              <w:bottom w:val="nil"/>
              <w:right w:val="nil"/>
            </w:tcBorders>
            <w:shd w:val="clear" w:color="auto" w:fill="auto"/>
          </w:tcPr>
          <w:p w14:paraId="757A7977"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 xml:space="preserve">Diabetes mellitus, Yes, Self-report </w:t>
            </w:r>
          </w:p>
        </w:tc>
        <w:tc>
          <w:tcPr>
            <w:tcW w:w="1707" w:type="dxa"/>
            <w:tcBorders>
              <w:top w:val="nil"/>
              <w:left w:val="nil"/>
              <w:bottom w:val="nil"/>
              <w:right w:val="nil"/>
            </w:tcBorders>
            <w:shd w:val="clear" w:color="auto" w:fill="auto"/>
            <w:vAlign w:val="center"/>
          </w:tcPr>
          <w:p w14:paraId="7692C57C"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56(25.9)</w:t>
            </w:r>
          </w:p>
        </w:tc>
        <w:tc>
          <w:tcPr>
            <w:tcW w:w="2073" w:type="dxa"/>
            <w:tcBorders>
              <w:top w:val="nil"/>
              <w:left w:val="nil"/>
              <w:bottom w:val="nil"/>
              <w:right w:val="nil"/>
            </w:tcBorders>
            <w:shd w:val="clear" w:color="auto" w:fill="auto"/>
            <w:vAlign w:val="center"/>
          </w:tcPr>
          <w:p w14:paraId="77AF1E9A"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10(34.5)</w:t>
            </w:r>
          </w:p>
        </w:tc>
      </w:tr>
      <w:tr w:rsidR="0099247D" w:rsidRPr="008438F4" w14:paraId="3B47DD5F" w14:textId="77777777" w:rsidTr="0011080D">
        <w:trPr>
          <w:trHeight w:val="20"/>
        </w:trPr>
        <w:tc>
          <w:tcPr>
            <w:tcW w:w="5688" w:type="dxa"/>
            <w:tcBorders>
              <w:top w:val="nil"/>
              <w:left w:val="nil"/>
              <w:bottom w:val="nil"/>
              <w:right w:val="nil"/>
            </w:tcBorders>
            <w:shd w:val="clear" w:color="auto" w:fill="auto"/>
          </w:tcPr>
          <w:p w14:paraId="774B8438"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Depression Score, ≥16</w:t>
            </w:r>
          </w:p>
        </w:tc>
        <w:tc>
          <w:tcPr>
            <w:tcW w:w="1707" w:type="dxa"/>
            <w:tcBorders>
              <w:top w:val="nil"/>
              <w:left w:val="nil"/>
              <w:bottom w:val="nil"/>
              <w:right w:val="nil"/>
            </w:tcBorders>
            <w:shd w:val="clear" w:color="auto" w:fill="auto"/>
            <w:vAlign w:val="center"/>
          </w:tcPr>
          <w:p w14:paraId="271C4FEE"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37(17.6)</w:t>
            </w:r>
          </w:p>
        </w:tc>
        <w:tc>
          <w:tcPr>
            <w:tcW w:w="2073" w:type="dxa"/>
            <w:tcBorders>
              <w:top w:val="nil"/>
              <w:left w:val="nil"/>
              <w:bottom w:val="nil"/>
              <w:right w:val="nil"/>
            </w:tcBorders>
            <w:shd w:val="clear" w:color="auto" w:fill="auto"/>
            <w:vAlign w:val="center"/>
          </w:tcPr>
          <w:p w14:paraId="04333368"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4(13.8)</w:t>
            </w:r>
          </w:p>
        </w:tc>
      </w:tr>
      <w:tr w:rsidR="0099247D" w:rsidRPr="008438F4" w14:paraId="4BF31C3B" w14:textId="77777777" w:rsidTr="0011080D">
        <w:trPr>
          <w:trHeight w:val="20"/>
        </w:trPr>
        <w:tc>
          <w:tcPr>
            <w:tcW w:w="5688" w:type="dxa"/>
            <w:tcBorders>
              <w:top w:val="nil"/>
              <w:left w:val="nil"/>
              <w:bottom w:val="nil"/>
              <w:right w:val="nil"/>
            </w:tcBorders>
            <w:shd w:val="clear" w:color="auto" w:fill="auto"/>
          </w:tcPr>
          <w:p w14:paraId="4F044F04" w14:textId="1C58A6FC"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Physical Fatigability Score, 0-50</w:t>
            </w:r>
          </w:p>
        </w:tc>
        <w:tc>
          <w:tcPr>
            <w:tcW w:w="1707" w:type="dxa"/>
            <w:tcBorders>
              <w:top w:val="nil"/>
              <w:left w:val="nil"/>
              <w:bottom w:val="nil"/>
              <w:right w:val="nil"/>
            </w:tcBorders>
            <w:shd w:val="clear" w:color="auto" w:fill="auto"/>
            <w:vAlign w:val="center"/>
          </w:tcPr>
          <w:p w14:paraId="73582D8F"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w:t>
            </w:r>
          </w:p>
        </w:tc>
        <w:tc>
          <w:tcPr>
            <w:tcW w:w="2073" w:type="dxa"/>
            <w:tcBorders>
              <w:top w:val="nil"/>
              <w:left w:val="nil"/>
              <w:bottom w:val="nil"/>
              <w:right w:val="nil"/>
            </w:tcBorders>
            <w:shd w:val="clear" w:color="auto" w:fill="auto"/>
            <w:vAlign w:val="center"/>
          </w:tcPr>
          <w:p w14:paraId="18D8B060"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20.2±9.1</w:t>
            </w:r>
          </w:p>
        </w:tc>
      </w:tr>
      <w:tr w:rsidR="0099247D" w:rsidRPr="008438F4" w14:paraId="61005BEB" w14:textId="77777777" w:rsidTr="0011080D">
        <w:trPr>
          <w:trHeight w:val="20"/>
        </w:trPr>
        <w:tc>
          <w:tcPr>
            <w:tcW w:w="5688" w:type="dxa"/>
            <w:tcBorders>
              <w:top w:val="nil"/>
              <w:left w:val="nil"/>
              <w:bottom w:val="nil"/>
              <w:right w:val="nil"/>
            </w:tcBorders>
            <w:shd w:val="clear" w:color="auto" w:fill="auto"/>
          </w:tcPr>
          <w:p w14:paraId="488ED69B" w14:textId="100AC83F"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Mental Fatigability Score, 0-50</w:t>
            </w:r>
          </w:p>
        </w:tc>
        <w:tc>
          <w:tcPr>
            <w:tcW w:w="1707" w:type="dxa"/>
            <w:tcBorders>
              <w:top w:val="nil"/>
              <w:left w:val="nil"/>
              <w:bottom w:val="nil"/>
              <w:right w:val="nil"/>
            </w:tcBorders>
            <w:shd w:val="clear" w:color="auto" w:fill="auto"/>
            <w:vAlign w:val="center"/>
          </w:tcPr>
          <w:p w14:paraId="2ACBC39D"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w:t>
            </w:r>
          </w:p>
        </w:tc>
        <w:tc>
          <w:tcPr>
            <w:tcW w:w="2073" w:type="dxa"/>
            <w:tcBorders>
              <w:top w:val="nil"/>
              <w:left w:val="nil"/>
              <w:bottom w:val="nil"/>
              <w:right w:val="nil"/>
            </w:tcBorders>
            <w:shd w:val="clear" w:color="auto" w:fill="auto"/>
            <w:vAlign w:val="center"/>
          </w:tcPr>
          <w:p w14:paraId="661C2690"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15.8±9.7</w:t>
            </w:r>
          </w:p>
        </w:tc>
      </w:tr>
      <w:tr w:rsidR="0099247D" w:rsidRPr="008438F4" w14:paraId="247DCFFE" w14:textId="77777777" w:rsidTr="0011080D">
        <w:trPr>
          <w:trHeight w:val="20"/>
        </w:trPr>
        <w:tc>
          <w:tcPr>
            <w:tcW w:w="5688" w:type="dxa"/>
            <w:tcBorders>
              <w:top w:val="nil"/>
              <w:left w:val="nil"/>
              <w:bottom w:val="nil"/>
              <w:right w:val="nil"/>
            </w:tcBorders>
            <w:shd w:val="clear" w:color="auto" w:fill="auto"/>
          </w:tcPr>
          <w:p w14:paraId="65D33F01" w14:textId="77777777" w:rsidR="0099247D" w:rsidRPr="008438F4" w:rsidRDefault="0099247D" w:rsidP="0011080D">
            <w:pPr>
              <w:spacing w:line="240" w:lineRule="auto"/>
              <w:ind w:firstLine="0"/>
              <w:rPr>
                <w:rFonts w:ascii="Calibri" w:hAnsi="Calibri" w:cs="Calibri"/>
                <w:b/>
                <w:bCs/>
                <w:color w:val="000000"/>
              </w:rPr>
            </w:pPr>
            <w:r w:rsidRPr="008438F4">
              <w:rPr>
                <w:rFonts w:ascii="Calibri" w:hAnsi="Calibri" w:cs="Calibri"/>
                <w:b/>
                <w:bCs/>
                <w:color w:val="000000"/>
              </w:rPr>
              <w:t>Usual gait speed, m/s</w:t>
            </w:r>
          </w:p>
        </w:tc>
        <w:tc>
          <w:tcPr>
            <w:tcW w:w="1707" w:type="dxa"/>
            <w:tcBorders>
              <w:top w:val="nil"/>
              <w:left w:val="nil"/>
              <w:bottom w:val="nil"/>
              <w:right w:val="nil"/>
            </w:tcBorders>
            <w:shd w:val="clear" w:color="auto" w:fill="auto"/>
            <w:vAlign w:val="center"/>
          </w:tcPr>
          <w:p w14:paraId="7424F422"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0.78±0.16</w:t>
            </w:r>
          </w:p>
        </w:tc>
        <w:tc>
          <w:tcPr>
            <w:tcW w:w="2073" w:type="dxa"/>
            <w:tcBorders>
              <w:top w:val="nil"/>
              <w:left w:val="nil"/>
              <w:bottom w:val="nil"/>
              <w:right w:val="nil"/>
            </w:tcBorders>
            <w:shd w:val="clear" w:color="auto" w:fill="auto"/>
            <w:vAlign w:val="center"/>
          </w:tcPr>
          <w:p w14:paraId="48B6B656"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0.81±0.20</w:t>
            </w:r>
          </w:p>
        </w:tc>
      </w:tr>
      <w:tr w:rsidR="0099247D" w:rsidRPr="008438F4" w14:paraId="1E5D1B3C" w14:textId="77777777" w:rsidTr="0011080D">
        <w:trPr>
          <w:trHeight w:val="20"/>
        </w:trPr>
        <w:tc>
          <w:tcPr>
            <w:tcW w:w="5688" w:type="dxa"/>
            <w:tcBorders>
              <w:top w:val="nil"/>
              <w:left w:val="nil"/>
              <w:bottom w:val="nil"/>
              <w:right w:val="nil"/>
            </w:tcBorders>
            <w:shd w:val="clear" w:color="auto" w:fill="auto"/>
          </w:tcPr>
          <w:p w14:paraId="09A11972" w14:textId="6BBE5681" w:rsidR="0099247D" w:rsidRPr="008438F4" w:rsidRDefault="00BF3561" w:rsidP="001C538B">
            <w:pPr>
              <w:spacing w:line="240" w:lineRule="auto"/>
              <w:ind w:firstLine="0"/>
              <w:rPr>
                <w:rFonts w:ascii="Calibri" w:hAnsi="Calibri" w:cs="Calibri"/>
                <w:b/>
                <w:bCs/>
                <w:color w:val="000000"/>
              </w:rPr>
            </w:pPr>
            <w:r>
              <w:rPr>
                <w:rFonts w:ascii="Calibri" w:hAnsi="Calibri" w:cs="Calibri"/>
                <w:b/>
                <w:bCs/>
                <w:color w:val="000000"/>
              </w:rPr>
              <w:t xml:space="preserve">Usual-paced </w:t>
            </w:r>
            <w:r w:rsidR="0099247D" w:rsidRPr="008438F4">
              <w:rPr>
                <w:rFonts w:ascii="Calibri" w:hAnsi="Calibri" w:cs="Calibri"/>
                <w:b/>
                <w:bCs/>
                <w:color w:val="000000"/>
              </w:rPr>
              <w:t xml:space="preserve">400-m walk time, </w:t>
            </w:r>
            <w:r w:rsidR="001C538B">
              <w:rPr>
                <w:rFonts w:ascii="Calibri" w:hAnsi="Calibri" w:cs="Calibri"/>
                <w:b/>
                <w:bCs/>
                <w:color w:val="000000"/>
              </w:rPr>
              <w:t>seconds</w:t>
            </w:r>
          </w:p>
        </w:tc>
        <w:tc>
          <w:tcPr>
            <w:tcW w:w="1707" w:type="dxa"/>
            <w:tcBorders>
              <w:top w:val="nil"/>
              <w:left w:val="nil"/>
              <w:bottom w:val="nil"/>
              <w:right w:val="nil"/>
            </w:tcBorders>
            <w:shd w:val="clear" w:color="auto" w:fill="auto"/>
            <w:vAlign w:val="center"/>
          </w:tcPr>
          <w:p w14:paraId="0459D98C"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530.8±123.0</w:t>
            </w:r>
          </w:p>
        </w:tc>
        <w:tc>
          <w:tcPr>
            <w:tcW w:w="2073" w:type="dxa"/>
            <w:tcBorders>
              <w:top w:val="nil"/>
              <w:left w:val="nil"/>
              <w:bottom w:val="nil"/>
              <w:right w:val="nil"/>
            </w:tcBorders>
            <w:shd w:val="clear" w:color="auto" w:fill="auto"/>
            <w:vAlign w:val="center"/>
          </w:tcPr>
          <w:p w14:paraId="05FB8D01"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491.8±119.6</w:t>
            </w:r>
          </w:p>
        </w:tc>
      </w:tr>
      <w:tr w:rsidR="0099247D" w:rsidRPr="008438F4" w14:paraId="31A64A6D" w14:textId="77777777" w:rsidTr="0011080D">
        <w:trPr>
          <w:trHeight w:val="20"/>
        </w:trPr>
        <w:tc>
          <w:tcPr>
            <w:tcW w:w="5688" w:type="dxa"/>
            <w:tcBorders>
              <w:top w:val="nil"/>
              <w:left w:val="nil"/>
              <w:bottom w:val="nil"/>
              <w:right w:val="nil"/>
            </w:tcBorders>
            <w:shd w:val="clear" w:color="auto" w:fill="auto"/>
          </w:tcPr>
          <w:p w14:paraId="74EA854A" w14:textId="77777777" w:rsidR="0099247D" w:rsidRPr="008438F4" w:rsidRDefault="0099247D" w:rsidP="0011080D">
            <w:pPr>
              <w:spacing w:line="240" w:lineRule="auto"/>
              <w:ind w:firstLine="0"/>
              <w:rPr>
                <w:rFonts w:ascii="Calibri" w:hAnsi="Calibri" w:cs="Calibri"/>
                <w:b/>
                <w:bCs/>
              </w:rPr>
            </w:pPr>
            <w:r w:rsidRPr="008438F4">
              <w:rPr>
                <w:rFonts w:ascii="Calibri" w:hAnsi="Calibri" w:cs="Calibri"/>
                <w:b/>
                <w:bCs/>
              </w:rPr>
              <w:t>Short Physic</w:t>
            </w:r>
            <w:r w:rsidR="00163A38" w:rsidRPr="008438F4">
              <w:rPr>
                <w:rFonts w:ascii="Calibri" w:hAnsi="Calibri" w:cs="Calibri"/>
                <w:b/>
                <w:bCs/>
              </w:rPr>
              <w:t>al Performance Battery Score, 0-12</w:t>
            </w:r>
          </w:p>
        </w:tc>
        <w:tc>
          <w:tcPr>
            <w:tcW w:w="1707" w:type="dxa"/>
            <w:tcBorders>
              <w:top w:val="nil"/>
              <w:left w:val="nil"/>
              <w:bottom w:val="nil"/>
              <w:right w:val="nil"/>
            </w:tcBorders>
            <w:shd w:val="clear" w:color="auto" w:fill="auto"/>
            <w:vAlign w:val="center"/>
          </w:tcPr>
          <w:p w14:paraId="6408666F" w14:textId="77777777" w:rsidR="0099247D" w:rsidRPr="008438F4" w:rsidRDefault="00163A38" w:rsidP="00C041A2">
            <w:pPr>
              <w:spacing w:line="240" w:lineRule="auto"/>
              <w:ind w:firstLine="165"/>
              <w:jc w:val="center"/>
              <w:rPr>
                <w:rFonts w:ascii="Calibri" w:hAnsi="Calibri" w:cs="Calibri"/>
                <w:bCs/>
              </w:rPr>
            </w:pPr>
            <w:r w:rsidRPr="008438F4">
              <w:rPr>
                <w:rFonts w:ascii="Calibri" w:hAnsi="Calibri" w:cs="Calibri"/>
                <w:bCs/>
              </w:rPr>
              <w:t>7.3±</w:t>
            </w:r>
            <w:r w:rsidR="00B758DB" w:rsidRPr="008438F4">
              <w:rPr>
                <w:rFonts w:ascii="Calibri" w:hAnsi="Calibri" w:cs="Calibri"/>
                <w:bCs/>
              </w:rPr>
              <w:t>1.6</w:t>
            </w:r>
          </w:p>
        </w:tc>
        <w:tc>
          <w:tcPr>
            <w:tcW w:w="2073" w:type="dxa"/>
            <w:tcBorders>
              <w:top w:val="nil"/>
              <w:left w:val="nil"/>
              <w:bottom w:val="nil"/>
              <w:right w:val="nil"/>
            </w:tcBorders>
            <w:shd w:val="clear" w:color="auto" w:fill="auto"/>
            <w:vAlign w:val="center"/>
          </w:tcPr>
          <w:p w14:paraId="314EA896" w14:textId="77777777" w:rsidR="0099247D" w:rsidRPr="008438F4" w:rsidRDefault="00163A38" w:rsidP="00C041A2">
            <w:pPr>
              <w:spacing w:line="240" w:lineRule="auto"/>
              <w:ind w:firstLine="165"/>
              <w:jc w:val="center"/>
              <w:rPr>
                <w:rFonts w:ascii="Calibri" w:hAnsi="Calibri" w:cs="Calibri"/>
                <w:bCs/>
              </w:rPr>
            </w:pPr>
            <w:r w:rsidRPr="008438F4">
              <w:rPr>
                <w:rFonts w:ascii="Calibri" w:hAnsi="Calibri" w:cs="Calibri"/>
                <w:bCs/>
              </w:rPr>
              <w:t>7.6±1.4</w:t>
            </w:r>
          </w:p>
        </w:tc>
      </w:tr>
      <w:tr w:rsidR="0099247D" w:rsidRPr="008438F4" w14:paraId="1542D1E8" w14:textId="77777777" w:rsidTr="00233817">
        <w:trPr>
          <w:trHeight w:val="20"/>
        </w:trPr>
        <w:tc>
          <w:tcPr>
            <w:tcW w:w="5688" w:type="dxa"/>
            <w:tcBorders>
              <w:top w:val="nil"/>
              <w:left w:val="nil"/>
              <w:right w:val="nil"/>
            </w:tcBorders>
            <w:shd w:val="clear" w:color="auto" w:fill="auto"/>
          </w:tcPr>
          <w:p w14:paraId="5381F975" w14:textId="77777777" w:rsidR="0099247D" w:rsidRPr="008438F4" w:rsidRDefault="0099247D" w:rsidP="0011080D">
            <w:pPr>
              <w:spacing w:line="240" w:lineRule="auto"/>
              <w:ind w:firstLine="0"/>
              <w:rPr>
                <w:rFonts w:ascii="Calibri" w:hAnsi="Calibri" w:cs="Calibri"/>
                <w:b/>
                <w:bCs/>
                <w:color w:val="ED7D31"/>
              </w:rPr>
            </w:pPr>
            <w:r w:rsidRPr="008438F4">
              <w:rPr>
                <w:rFonts w:ascii="Calibri" w:hAnsi="Calibri" w:cs="Calibri"/>
                <w:b/>
                <w:bCs/>
                <w:color w:val="000000"/>
              </w:rPr>
              <w:t>Modified Mini-Mental State Examination Score, 0-100</w:t>
            </w:r>
          </w:p>
        </w:tc>
        <w:tc>
          <w:tcPr>
            <w:tcW w:w="1707" w:type="dxa"/>
            <w:tcBorders>
              <w:top w:val="nil"/>
              <w:left w:val="nil"/>
              <w:right w:val="nil"/>
            </w:tcBorders>
            <w:shd w:val="clear" w:color="auto" w:fill="auto"/>
            <w:vAlign w:val="center"/>
          </w:tcPr>
          <w:p w14:paraId="3C4BF0BF"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91.6±5.5</w:t>
            </w:r>
          </w:p>
        </w:tc>
        <w:tc>
          <w:tcPr>
            <w:tcW w:w="2073" w:type="dxa"/>
            <w:tcBorders>
              <w:top w:val="nil"/>
              <w:left w:val="nil"/>
              <w:right w:val="nil"/>
            </w:tcBorders>
            <w:shd w:val="clear" w:color="auto" w:fill="auto"/>
            <w:vAlign w:val="center"/>
          </w:tcPr>
          <w:p w14:paraId="485F90CD"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90.9±5.7</w:t>
            </w:r>
          </w:p>
        </w:tc>
      </w:tr>
      <w:tr w:rsidR="0099247D" w:rsidRPr="008438F4" w14:paraId="2B650447" w14:textId="77777777" w:rsidTr="00233817">
        <w:trPr>
          <w:trHeight w:val="20"/>
        </w:trPr>
        <w:tc>
          <w:tcPr>
            <w:tcW w:w="5688" w:type="dxa"/>
            <w:tcBorders>
              <w:top w:val="nil"/>
              <w:left w:val="nil"/>
              <w:bottom w:val="single" w:sz="8" w:space="0" w:color="auto"/>
              <w:right w:val="nil"/>
            </w:tcBorders>
            <w:shd w:val="clear" w:color="auto" w:fill="auto"/>
          </w:tcPr>
          <w:p w14:paraId="3F7B650F" w14:textId="00FA46B0" w:rsidR="0099247D" w:rsidRPr="008438F4" w:rsidRDefault="0099247D" w:rsidP="0011080D">
            <w:pPr>
              <w:spacing w:line="240" w:lineRule="auto"/>
              <w:ind w:firstLine="0"/>
              <w:rPr>
                <w:rFonts w:ascii="Calibri" w:hAnsi="Calibri" w:cs="Calibri"/>
                <w:b/>
                <w:bCs/>
                <w:color w:val="ED7D31"/>
              </w:rPr>
            </w:pPr>
            <w:r w:rsidRPr="008438F4">
              <w:rPr>
                <w:rFonts w:ascii="Calibri" w:hAnsi="Calibri" w:cs="Calibri"/>
                <w:b/>
                <w:bCs/>
                <w:color w:val="000000"/>
              </w:rPr>
              <w:t xml:space="preserve">Digit Symbol Substitution </w:t>
            </w:r>
            <w:r w:rsidR="005D395E">
              <w:rPr>
                <w:rFonts w:ascii="Calibri" w:hAnsi="Calibri" w:cs="Calibri"/>
                <w:b/>
                <w:bCs/>
                <w:color w:val="000000"/>
              </w:rPr>
              <w:t>Sub</w:t>
            </w:r>
            <w:r w:rsidRPr="008438F4">
              <w:rPr>
                <w:rFonts w:ascii="Calibri" w:hAnsi="Calibri" w:cs="Calibri"/>
                <w:b/>
                <w:bCs/>
                <w:color w:val="000000"/>
              </w:rPr>
              <w:t>Test</w:t>
            </w:r>
            <w:r w:rsidRPr="008438F4">
              <w:rPr>
                <w:rFonts w:ascii="Calibri" w:hAnsi="Calibri" w:cs="Calibri"/>
                <w:b/>
                <w:bCs/>
                <w:color w:val="ED7D31"/>
              </w:rPr>
              <w:t xml:space="preserve"> </w:t>
            </w:r>
            <w:r w:rsidR="00BF3561" w:rsidRPr="001C538B">
              <w:rPr>
                <w:rFonts w:ascii="Calibri" w:hAnsi="Calibri" w:cs="Calibri"/>
                <w:b/>
                <w:bCs/>
              </w:rPr>
              <w:t>Score</w:t>
            </w:r>
          </w:p>
        </w:tc>
        <w:tc>
          <w:tcPr>
            <w:tcW w:w="1707" w:type="dxa"/>
            <w:tcBorders>
              <w:top w:val="nil"/>
              <w:left w:val="nil"/>
              <w:bottom w:val="single" w:sz="8" w:space="0" w:color="auto"/>
              <w:right w:val="nil"/>
            </w:tcBorders>
            <w:shd w:val="clear" w:color="auto" w:fill="auto"/>
            <w:vAlign w:val="center"/>
          </w:tcPr>
          <w:p w14:paraId="7BE0B7A1"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48.0±12.6</w:t>
            </w:r>
          </w:p>
        </w:tc>
        <w:tc>
          <w:tcPr>
            <w:tcW w:w="2073" w:type="dxa"/>
            <w:tcBorders>
              <w:top w:val="nil"/>
              <w:left w:val="nil"/>
              <w:bottom w:val="single" w:sz="8" w:space="0" w:color="auto"/>
              <w:right w:val="nil"/>
            </w:tcBorders>
            <w:shd w:val="clear" w:color="auto" w:fill="auto"/>
            <w:vAlign w:val="center"/>
          </w:tcPr>
          <w:p w14:paraId="76F18AC1" w14:textId="77777777" w:rsidR="0099247D" w:rsidRPr="008438F4" w:rsidRDefault="0099247D" w:rsidP="00C041A2">
            <w:pPr>
              <w:spacing w:line="240" w:lineRule="auto"/>
              <w:ind w:firstLine="165"/>
              <w:jc w:val="center"/>
              <w:rPr>
                <w:rFonts w:ascii="Calibri" w:hAnsi="Calibri" w:cs="Calibri"/>
                <w:bCs/>
                <w:color w:val="000000"/>
              </w:rPr>
            </w:pPr>
            <w:r w:rsidRPr="008438F4">
              <w:rPr>
                <w:rFonts w:ascii="Calibri" w:hAnsi="Calibri" w:cs="Calibri"/>
                <w:bCs/>
                <w:color w:val="000000"/>
              </w:rPr>
              <w:t>44.8±13.0</w:t>
            </w:r>
          </w:p>
        </w:tc>
      </w:tr>
      <w:tr w:rsidR="0099247D" w:rsidRPr="008438F4" w14:paraId="5BF7AC1B" w14:textId="77777777" w:rsidTr="00233817">
        <w:tc>
          <w:tcPr>
            <w:tcW w:w="5688" w:type="dxa"/>
            <w:tcBorders>
              <w:top w:val="single" w:sz="8" w:space="0" w:color="auto"/>
              <w:left w:val="nil"/>
              <w:bottom w:val="nil"/>
              <w:right w:val="nil"/>
            </w:tcBorders>
            <w:shd w:val="clear" w:color="auto" w:fill="auto"/>
          </w:tcPr>
          <w:p w14:paraId="5D61DC80" w14:textId="77777777" w:rsidR="0099247D" w:rsidRPr="008438F4" w:rsidRDefault="0099247D" w:rsidP="0011080D">
            <w:pPr>
              <w:spacing w:line="240" w:lineRule="auto"/>
              <w:ind w:firstLine="0"/>
              <w:rPr>
                <w:rFonts w:ascii="Calibri" w:hAnsi="Calibri" w:cs="Calibri"/>
                <w:bCs/>
              </w:rPr>
            </w:pPr>
            <w:r w:rsidRPr="008438F4">
              <w:rPr>
                <w:rFonts w:ascii="Calibri" w:hAnsi="Calibri" w:cs="Calibri"/>
                <w:bCs/>
                <w:i/>
                <w:iCs/>
                <w:color w:val="000000"/>
                <w:kern w:val="24"/>
              </w:rPr>
              <w:t>* Mean± Standard Deviation</w:t>
            </w:r>
          </w:p>
          <w:p w14:paraId="0E5509FF" w14:textId="77777777" w:rsidR="0099247D" w:rsidRPr="008438F4" w:rsidRDefault="0099247D" w:rsidP="0011080D">
            <w:pPr>
              <w:spacing w:line="240" w:lineRule="auto"/>
              <w:ind w:firstLine="0"/>
              <w:rPr>
                <w:rFonts w:ascii="Calibri" w:hAnsi="Calibri" w:cs="Calibri"/>
                <w:bCs/>
              </w:rPr>
            </w:pPr>
            <w:r w:rsidRPr="008438F4">
              <w:rPr>
                <w:rFonts w:ascii="Calibri" w:hAnsi="Calibri" w:cs="Calibri"/>
                <w:bCs/>
                <w:i/>
                <w:iCs/>
                <w:color w:val="000000"/>
                <w:kern w:val="24"/>
              </w:rPr>
              <w:t>** N(%)</w:t>
            </w:r>
          </w:p>
          <w:p w14:paraId="6F6D39E6" w14:textId="77777777" w:rsidR="0099247D" w:rsidRPr="008438F4" w:rsidRDefault="0099247D" w:rsidP="0011080D">
            <w:pPr>
              <w:pStyle w:val="ListParagraph"/>
              <w:spacing w:line="240" w:lineRule="auto"/>
              <w:ind w:left="0"/>
              <w:rPr>
                <w:rFonts w:cs="Calibri"/>
                <w:b/>
                <w:bCs/>
                <w:color w:val="000000"/>
                <w:sz w:val="16"/>
                <w:szCs w:val="24"/>
              </w:rPr>
            </w:pPr>
          </w:p>
        </w:tc>
        <w:tc>
          <w:tcPr>
            <w:tcW w:w="1707" w:type="dxa"/>
            <w:tcBorders>
              <w:top w:val="single" w:sz="8" w:space="0" w:color="auto"/>
              <w:left w:val="nil"/>
              <w:bottom w:val="nil"/>
              <w:right w:val="nil"/>
            </w:tcBorders>
            <w:shd w:val="clear" w:color="auto" w:fill="auto"/>
            <w:vAlign w:val="center"/>
          </w:tcPr>
          <w:p w14:paraId="4C532A95"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p>
        </w:tc>
        <w:tc>
          <w:tcPr>
            <w:tcW w:w="2073" w:type="dxa"/>
            <w:tcBorders>
              <w:top w:val="single" w:sz="8" w:space="0" w:color="auto"/>
              <w:left w:val="nil"/>
              <w:bottom w:val="nil"/>
              <w:right w:val="nil"/>
            </w:tcBorders>
            <w:shd w:val="clear" w:color="auto" w:fill="auto"/>
            <w:vAlign w:val="center"/>
          </w:tcPr>
          <w:p w14:paraId="2D95840D" w14:textId="77777777" w:rsidR="0099247D" w:rsidRPr="008438F4" w:rsidRDefault="0099247D" w:rsidP="00C041A2">
            <w:pPr>
              <w:spacing w:line="240" w:lineRule="auto"/>
              <w:ind w:firstLine="165"/>
              <w:jc w:val="center"/>
              <w:rPr>
                <w:rFonts w:ascii="Calibri" w:hAnsi="Calibri" w:cs="Calibri"/>
                <w:b/>
                <w:bCs/>
                <w:color w:val="000000"/>
                <w:shd w:val="clear" w:color="auto" w:fill="FFFFFF"/>
              </w:rPr>
            </w:pPr>
          </w:p>
        </w:tc>
      </w:tr>
    </w:tbl>
    <w:p w14:paraId="4792694A" w14:textId="77777777" w:rsidR="007B117B" w:rsidRPr="008438F4" w:rsidRDefault="007B117B" w:rsidP="0099247D">
      <w:pPr>
        <w:spacing w:line="360" w:lineRule="auto"/>
        <w:rPr>
          <w:rFonts w:ascii="Calibri" w:hAnsi="Calibri" w:cs="Calibri"/>
          <w:color w:val="000000"/>
        </w:rPr>
      </w:pPr>
    </w:p>
    <w:p w14:paraId="56DE21C9" w14:textId="2D855CFD"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 xml:space="preserve">The baseline characteristics of the analytic sample from the LIFE study by fatigability status are presented in </w:t>
      </w:r>
      <w:r w:rsidRPr="008438F4">
        <w:rPr>
          <w:rFonts w:ascii="Calibri" w:hAnsi="Calibri" w:cs="Calibri"/>
          <w:b/>
          <w:color w:val="000000"/>
        </w:rPr>
        <w:t>Table 2</w:t>
      </w:r>
      <w:r w:rsidRPr="008438F4">
        <w:rPr>
          <w:rFonts w:ascii="Calibri" w:hAnsi="Calibri" w:cs="Calibri"/>
          <w:color w:val="000000"/>
        </w:rPr>
        <w:t xml:space="preserve">.  There were no significant differences  </w:t>
      </w:r>
      <w:r w:rsidR="00BF3561">
        <w:rPr>
          <w:rFonts w:ascii="Calibri" w:hAnsi="Calibri" w:cs="Calibri"/>
          <w:color w:val="000000"/>
        </w:rPr>
        <w:t xml:space="preserve">by </w:t>
      </w:r>
      <w:r w:rsidRPr="008438F4">
        <w:rPr>
          <w:rFonts w:ascii="Calibri" w:hAnsi="Calibri" w:cs="Calibri"/>
          <w:color w:val="000000"/>
        </w:rPr>
        <w:t xml:space="preserve"> higher and lower physical fatiga</w:t>
      </w:r>
      <w:r w:rsidR="00222CE5" w:rsidRPr="008438F4">
        <w:rPr>
          <w:rFonts w:ascii="Calibri" w:hAnsi="Calibri" w:cs="Calibri"/>
          <w:color w:val="000000"/>
        </w:rPr>
        <w:t>bility status for age, race, sex, education, smoking status, BMI</w:t>
      </w:r>
      <w:r w:rsidRPr="008438F4">
        <w:rPr>
          <w:rFonts w:ascii="Calibri" w:hAnsi="Calibri" w:cs="Calibri"/>
          <w:color w:val="000000"/>
        </w:rPr>
        <w:t>, cardiovascular disease</w:t>
      </w:r>
      <w:r w:rsidR="00222CE5" w:rsidRPr="008438F4">
        <w:rPr>
          <w:rFonts w:ascii="Calibri" w:hAnsi="Calibri" w:cs="Calibri"/>
          <w:color w:val="000000"/>
        </w:rPr>
        <w:t xml:space="preserve">, </w:t>
      </w:r>
      <w:r w:rsidRPr="008438F4">
        <w:rPr>
          <w:rFonts w:ascii="Calibri" w:hAnsi="Calibri" w:cs="Calibri"/>
          <w:color w:val="000000"/>
        </w:rPr>
        <w:t>diabetes mellitus</w:t>
      </w:r>
      <w:r w:rsidR="00222CE5" w:rsidRPr="008438F4">
        <w:rPr>
          <w:rFonts w:ascii="Calibri" w:hAnsi="Calibri" w:cs="Calibri"/>
          <w:color w:val="000000"/>
        </w:rPr>
        <w:t xml:space="preserve">, </w:t>
      </w:r>
      <w:r w:rsidRPr="008438F4">
        <w:rPr>
          <w:rFonts w:ascii="Calibri" w:hAnsi="Calibri" w:cs="Calibri"/>
          <w:color w:val="000000"/>
        </w:rPr>
        <w:t>depression</w:t>
      </w:r>
      <w:r w:rsidR="00222CE5" w:rsidRPr="008438F4">
        <w:rPr>
          <w:rFonts w:ascii="Calibri" w:hAnsi="Calibri" w:cs="Calibri"/>
          <w:color w:val="000000"/>
        </w:rPr>
        <w:t xml:space="preserve">, </w:t>
      </w:r>
      <w:r w:rsidRPr="008438F4">
        <w:rPr>
          <w:rFonts w:ascii="Calibri" w:hAnsi="Calibri" w:cs="Calibri"/>
          <w:color w:val="000000"/>
        </w:rPr>
        <w:t>3MS score</w:t>
      </w:r>
      <w:r w:rsidR="00222CE5" w:rsidRPr="008438F4">
        <w:rPr>
          <w:rFonts w:ascii="Calibri" w:hAnsi="Calibri" w:cs="Calibri"/>
          <w:color w:val="000000"/>
        </w:rPr>
        <w:t xml:space="preserve"> </w:t>
      </w:r>
      <w:r w:rsidRPr="008438F4">
        <w:rPr>
          <w:rFonts w:ascii="Calibri" w:hAnsi="Calibri" w:cs="Calibri"/>
          <w:color w:val="000000"/>
        </w:rPr>
        <w:t xml:space="preserve">or </w:t>
      </w:r>
      <w:r w:rsidR="00222CE5" w:rsidRPr="008438F4">
        <w:rPr>
          <w:rFonts w:ascii="Calibri" w:hAnsi="Calibri" w:cs="Calibri"/>
          <w:color w:val="000000"/>
        </w:rPr>
        <w:t>DSST</w:t>
      </w:r>
      <w:r w:rsidR="0072186A">
        <w:rPr>
          <w:rFonts w:ascii="Calibri" w:hAnsi="Calibri" w:cs="Calibri"/>
          <w:color w:val="000000"/>
        </w:rPr>
        <w:t xml:space="preserve"> </w:t>
      </w:r>
      <w:r w:rsidR="00297B2D" w:rsidRPr="008438F4">
        <w:rPr>
          <w:rFonts w:ascii="Calibri" w:hAnsi="Calibri" w:cs="Calibri"/>
          <w:color w:val="000000"/>
        </w:rPr>
        <w:t>(all p&gt;0.1)</w:t>
      </w:r>
      <w:r w:rsidR="00222CE5" w:rsidRPr="008438F4">
        <w:rPr>
          <w:rFonts w:ascii="Calibri" w:hAnsi="Calibri" w:cs="Calibri"/>
          <w:color w:val="000000"/>
        </w:rPr>
        <w:t xml:space="preserve">. </w:t>
      </w:r>
      <w:r w:rsidR="000810D2">
        <w:rPr>
          <w:rFonts w:ascii="Calibri" w:hAnsi="Calibri" w:cs="Calibri"/>
          <w:color w:val="000000"/>
        </w:rPr>
        <w:t>Those with higher physical fatigability had significantly lower SPPB scores</w:t>
      </w:r>
      <w:r w:rsidR="0072186A">
        <w:rPr>
          <w:rFonts w:ascii="Calibri" w:hAnsi="Calibri" w:cs="Calibri"/>
          <w:color w:val="000000"/>
        </w:rPr>
        <w:t xml:space="preserve"> </w:t>
      </w:r>
      <w:r w:rsidR="000810D2">
        <w:rPr>
          <w:rFonts w:ascii="Calibri" w:hAnsi="Calibri" w:cs="Calibri"/>
          <w:color w:val="000000"/>
        </w:rPr>
        <w:t xml:space="preserve">(p=0.01) than those with lower fatigability. </w:t>
      </w:r>
    </w:p>
    <w:p w14:paraId="22C2F70F" w14:textId="704D2734" w:rsidR="0099247D" w:rsidRPr="008438F4" w:rsidRDefault="002524F7" w:rsidP="0099247D">
      <w:pPr>
        <w:spacing w:line="360" w:lineRule="auto"/>
        <w:rPr>
          <w:rFonts w:ascii="Calibri" w:hAnsi="Calibri" w:cs="Calibri"/>
          <w:color w:val="000000"/>
        </w:rPr>
      </w:pPr>
      <w:r>
        <w:rPr>
          <w:rFonts w:ascii="Calibri" w:hAnsi="Calibri" w:cs="Calibri"/>
          <w:color w:val="000000"/>
        </w:rPr>
        <w:t xml:space="preserve">Higher </w:t>
      </w:r>
      <w:r w:rsidR="0099247D" w:rsidRPr="008438F4">
        <w:rPr>
          <w:rFonts w:ascii="Calibri" w:hAnsi="Calibri" w:cs="Calibri"/>
          <w:color w:val="000000"/>
        </w:rPr>
        <w:t>Mental fatigability status was sig</w:t>
      </w:r>
      <w:r w:rsidR="00273105" w:rsidRPr="008438F4">
        <w:rPr>
          <w:rFonts w:ascii="Calibri" w:hAnsi="Calibri" w:cs="Calibri"/>
          <w:color w:val="000000"/>
        </w:rPr>
        <w:t xml:space="preserve">nificantly </w:t>
      </w:r>
      <w:r w:rsidR="00163A38" w:rsidRPr="008438F4">
        <w:rPr>
          <w:rFonts w:ascii="Calibri" w:hAnsi="Calibri" w:cs="Calibri"/>
          <w:color w:val="000000"/>
        </w:rPr>
        <w:t xml:space="preserve">associated with </w:t>
      </w:r>
      <w:r>
        <w:rPr>
          <w:rFonts w:ascii="Calibri" w:hAnsi="Calibri" w:cs="Calibri"/>
          <w:color w:val="000000"/>
        </w:rPr>
        <w:t xml:space="preserve">older </w:t>
      </w:r>
      <w:r w:rsidR="00163A38" w:rsidRPr="008438F4">
        <w:rPr>
          <w:rFonts w:ascii="Calibri" w:hAnsi="Calibri" w:cs="Calibri"/>
          <w:color w:val="000000"/>
        </w:rPr>
        <w:t>age</w:t>
      </w:r>
      <w:r w:rsidR="0072186A">
        <w:rPr>
          <w:rFonts w:ascii="Calibri" w:hAnsi="Calibri" w:cs="Calibri"/>
          <w:color w:val="000000"/>
        </w:rPr>
        <w:t xml:space="preserve"> </w:t>
      </w:r>
      <w:r w:rsidR="00163A38" w:rsidRPr="008438F4">
        <w:rPr>
          <w:rFonts w:ascii="Calibri" w:hAnsi="Calibri" w:cs="Calibri"/>
          <w:color w:val="000000"/>
        </w:rPr>
        <w:t xml:space="preserve">(p=0.09), </w:t>
      </w:r>
      <w:r w:rsidR="00273105" w:rsidRPr="008438F4">
        <w:rPr>
          <w:rFonts w:ascii="Calibri" w:hAnsi="Calibri" w:cs="Calibri"/>
          <w:color w:val="000000"/>
        </w:rPr>
        <w:t>smoking status (p=0.05</w:t>
      </w:r>
      <w:r w:rsidR="0099247D" w:rsidRPr="008438F4">
        <w:rPr>
          <w:rFonts w:ascii="Calibri" w:hAnsi="Calibri" w:cs="Calibri"/>
          <w:color w:val="000000"/>
        </w:rPr>
        <w:t>),</w:t>
      </w:r>
      <w:r w:rsidR="00163A38" w:rsidRPr="008438F4">
        <w:rPr>
          <w:rFonts w:ascii="Calibri" w:hAnsi="Calibri" w:cs="Calibri"/>
          <w:color w:val="000000"/>
        </w:rPr>
        <w:t xml:space="preserve"> and</w:t>
      </w:r>
      <w:r>
        <w:rPr>
          <w:rFonts w:ascii="Calibri" w:hAnsi="Calibri" w:cs="Calibri"/>
          <w:color w:val="000000"/>
        </w:rPr>
        <w:t xml:space="preserve"> lower</w:t>
      </w:r>
      <w:r w:rsidR="00163A38" w:rsidRPr="008438F4">
        <w:rPr>
          <w:rFonts w:ascii="Calibri" w:hAnsi="Calibri" w:cs="Calibri"/>
          <w:color w:val="000000"/>
        </w:rPr>
        <w:t xml:space="preserve"> SPPB score (p=</w:t>
      </w:r>
      <w:r w:rsidR="00163A38" w:rsidRPr="008438F4">
        <w:rPr>
          <w:rFonts w:ascii="Calibri" w:hAnsi="Calibri" w:cs="Calibri"/>
        </w:rPr>
        <w:t>0.06)</w:t>
      </w:r>
      <w:r w:rsidR="0099247D" w:rsidRPr="008438F4">
        <w:rPr>
          <w:rFonts w:ascii="Calibri" w:hAnsi="Calibri" w:cs="Calibri"/>
          <w:color w:val="000000"/>
        </w:rPr>
        <w:t xml:space="preserve"> but was not</w:t>
      </w:r>
      <w:r w:rsidR="00273105" w:rsidRPr="008438F4">
        <w:rPr>
          <w:rFonts w:ascii="Calibri" w:hAnsi="Calibri" w:cs="Calibri"/>
          <w:color w:val="000000"/>
        </w:rPr>
        <w:t xml:space="preserve"> associated with race, sex, education, BMI</w:t>
      </w:r>
      <w:r w:rsidR="0099247D" w:rsidRPr="008438F4">
        <w:rPr>
          <w:rFonts w:ascii="Calibri" w:hAnsi="Calibri" w:cs="Calibri"/>
          <w:color w:val="000000"/>
        </w:rPr>
        <w:t>, cardiovascular d</w:t>
      </w:r>
      <w:r w:rsidR="00273105" w:rsidRPr="008438F4">
        <w:rPr>
          <w:rFonts w:ascii="Calibri" w:hAnsi="Calibri" w:cs="Calibri"/>
          <w:color w:val="000000"/>
        </w:rPr>
        <w:t>isease,</w:t>
      </w:r>
      <w:r w:rsidR="00163A38" w:rsidRPr="008438F4">
        <w:rPr>
          <w:rFonts w:ascii="Calibri" w:hAnsi="Calibri" w:cs="Calibri"/>
          <w:color w:val="000000"/>
        </w:rPr>
        <w:t xml:space="preserve"> diabetes mellitus, depression, </w:t>
      </w:r>
      <w:r w:rsidR="0099247D" w:rsidRPr="008438F4">
        <w:rPr>
          <w:rFonts w:ascii="Calibri" w:hAnsi="Calibri" w:cs="Calibri"/>
          <w:color w:val="000000"/>
        </w:rPr>
        <w:t>3MS score</w:t>
      </w:r>
      <w:r w:rsidR="00273105" w:rsidRPr="008438F4">
        <w:rPr>
          <w:rFonts w:ascii="Calibri" w:hAnsi="Calibri" w:cs="Calibri"/>
          <w:color w:val="000000"/>
        </w:rPr>
        <w:t xml:space="preserve"> and/or DSST score(all p&gt;0.1) </w:t>
      </w:r>
    </w:p>
    <w:p w14:paraId="2C8CC887" w14:textId="378F97AF" w:rsidR="0052539D" w:rsidRPr="008438F4" w:rsidRDefault="00BF3561" w:rsidP="00F36434">
      <w:pPr>
        <w:spacing w:line="360" w:lineRule="auto"/>
        <w:jc w:val="left"/>
        <w:rPr>
          <w:rFonts w:ascii="Calibri" w:hAnsi="Calibri" w:cs="Calibri"/>
        </w:rPr>
      </w:pPr>
      <w:r>
        <w:rPr>
          <w:rFonts w:ascii="Calibri" w:hAnsi="Calibri" w:cs="Calibri"/>
        </w:rPr>
        <w:t>For both physical and mental fatigability, u</w:t>
      </w:r>
      <w:r w:rsidR="00273105" w:rsidRPr="008438F4">
        <w:rPr>
          <w:rFonts w:ascii="Calibri" w:hAnsi="Calibri" w:cs="Calibri"/>
        </w:rPr>
        <w:t>sual gait speed</w:t>
      </w:r>
      <w:r>
        <w:rPr>
          <w:rFonts w:ascii="Calibri" w:hAnsi="Calibri" w:cs="Calibri"/>
        </w:rPr>
        <w:t xml:space="preserve"> and </w:t>
      </w:r>
      <w:r w:rsidR="005F63AD">
        <w:rPr>
          <w:rFonts w:ascii="Calibri" w:hAnsi="Calibri" w:cs="Calibri"/>
        </w:rPr>
        <w:t xml:space="preserve">400 meter walk times </w:t>
      </w:r>
      <w:r w:rsidR="0099247D" w:rsidRPr="008438F4">
        <w:rPr>
          <w:rFonts w:ascii="Calibri" w:hAnsi="Calibri" w:cs="Calibri"/>
        </w:rPr>
        <w:t xml:space="preserve">were significantly </w:t>
      </w:r>
      <w:r w:rsidR="00A273B7">
        <w:rPr>
          <w:rFonts w:ascii="Calibri" w:hAnsi="Calibri" w:cs="Calibri"/>
        </w:rPr>
        <w:t xml:space="preserve">slower </w:t>
      </w:r>
      <w:r>
        <w:rPr>
          <w:rFonts w:ascii="Calibri" w:hAnsi="Calibri" w:cs="Calibri"/>
        </w:rPr>
        <w:t xml:space="preserve">for those with </w:t>
      </w:r>
      <w:r w:rsidR="0099247D" w:rsidRPr="008438F4">
        <w:rPr>
          <w:rFonts w:ascii="Calibri" w:hAnsi="Calibri" w:cs="Calibri"/>
        </w:rPr>
        <w:t xml:space="preserve">higher </w:t>
      </w:r>
      <w:r>
        <w:rPr>
          <w:rFonts w:ascii="Calibri" w:hAnsi="Calibri" w:cs="Calibri"/>
        </w:rPr>
        <w:t xml:space="preserve">compared with </w:t>
      </w:r>
      <w:r w:rsidR="0099247D" w:rsidRPr="008438F4">
        <w:rPr>
          <w:rFonts w:ascii="Calibri" w:hAnsi="Calibri" w:cs="Calibri"/>
        </w:rPr>
        <w:t>lower fatigability</w:t>
      </w:r>
      <w:r>
        <w:rPr>
          <w:rFonts w:ascii="Calibri" w:hAnsi="Calibri" w:cs="Calibri"/>
        </w:rPr>
        <w:t xml:space="preserve"> (Table 2).</w:t>
      </w:r>
      <w:r w:rsidR="0099247D" w:rsidRPr="008438F4">
        <w:rPr>
          <w:rFonts w:ascii="Calibri" w:hAnsi="Calibri" w:cs="Calibri"/>
        </w:rPr>
        <w:t xml:space="preserve"> </w:t>
      </w:r>
    </w:p>
    <w:p w14:paraId="2FF5A0DC" w14:textId="77777777" w:rsidR="0099247D" w:rsidRPr="008438F4" w:rsidRDefault="0099247D" w:rsidP="00BE6597">
      <w:pPr>
        <w:spacing w:line="360" w:lineRule="auto"/>
        <w:ind w:firstLine="900"/>
        <w:jc w:val="center"/>
        <w:rPr>
          <w:rFonts w:ascii="Calibri" w:hAnsi="Calibri" w:cs="Calibri"/>
        </w:rPr>
      </w:pPr>
      <w:r w:rsidRPr="008438F4">
        <w:rPr>
          <w:rFonts w:ascii="Calibri" w:hAnsi="Calibri" w:cs="Calibri"/>
        </w:rPr>
        <w:br w:type="page"/>
      </w:r>
    </w:p>
    <w:p w14:paraId="7D28EC23" w14:textId="1AC7476D" w:rsidR="00BE6597" w:rsidRPr="008438F4" w:rsidRDefault="00BE6597" w:rsidP="00124800">
      <w:pPr>
        <w:pStyle w:val="Caption"/>
        <w:spacing w:line="240" w:lineRule="auto"/>
        <w:ind w:left="-270" w:firstLine="0"/>
        <w:jc w:val="left"/>
        <w:rPr>
          <w:rFonts w:ascii="Calibri" w:hAnsi="Calibri" w:cs="Calibri"/>
          <w:sz w:val="24"/>
          <w:szCs w:val="24"/>
        </w:rPr>
      </w:pPr>
      <w:bookmarkStart w:id="48" w:name="_Toc499755705"/>
      <w:r w:rsidRPr="008438F4">
        <w:rPr>
          <w:rFonts w:ascii="Calibri" w:hAnsi="Calibri" w:cs="Calibri"/>
          <w:sz w:val="24"/>
          <w:szCs w:val="24"/>
        </w:rPr>
        <w:t xml:space="preserve">Table </w:t>
      </w:r>
      <w:r w:rsidRPr="008438F4">
        <w:rPr>
          <w:rFonts w:ascii="Calibri" w:hAnsi="Calibri" w:cs="Calibri"/>
          <w:sz w:val="24"/>
          <w:szCs w:val="24"/>
        </w:rPr>
        <w:fldChar w:fldCharType="begin"/>
      </w:r>
      <w:r w:rsidRPr="008438F4">
        <w:rPr>
          <w:rFonts w:ascii="Calibri" w:hAnsi="Calibri" w:cs="Calibri"/>
          <w:sz w:val="24"/>
          <w:szCs w:val="24"/>
        </w:rPr>
        <w:instrText xml:space="preserve"> SEQ Table \* ARABIC </w:instrText>
      </w:r>
      <w:r w:rsidRPr="008438F4">
        <w:rPr>
          <w:rFonts w:ascii="Calibri" w:hAnsi="Calibri" w:cs="Calibri"/>
          <w:sz w:val="24"/>
          <w:szCs w:val="24"/>
        </w:rPr>
        <w:fldChar w:fldCharType="separate"/>
      </w:r>
      <w:r w:rsidR="003B7E02">
        <w:rPr>
          <w:rFonts w:ascii="Calibri" w:hAnsi="Calibri" w:cs="Calibri"/>
          <w:noProof/>
          <w:sz w:val="24"/>
          <w:szCs w:val="24"/>
        </w:rPr>
        <w:t>2</w:t>
      </w:r>
      <w:r w:rsidRPr="008438F4">
        <w:rPr>
          <w:rFonts w:ascii="Calibri" w:hAnsi="Calibri" w:cs="Calibri"/>
          <w:sz w:val="24"/>
          <w:szCs w:val="24"/>
        </w:rPr>
        <w:fldChar w:fldCharType="end"/>
      </w:r>
      <w:r w:rsidRPr="008438F4">
        <w:rPr>
          <w:rFonts w:ascii="Calibri" w:hAnsi="Calibri" w:cs="Calibri"/>
          <w:sz w:val="24"/>
          <w:szCs w:val="24"/>
        </w:rPr>
        <w:t>. Baseline Characteristics of the Analytic Sample from the LIFE Study by Fatigability Status (N=29)</w:t>
      </w:r>
      <w:bookmarkEnd w:id="48"/>
    </w:p>
    <w:tbl>
      <w:tblPr>
        <w:tblW w:w="5195" w:type="pct"/>
        <w:jc w:val="center"/>
        <w:tblCellMar>
          <w:left w:w="0" w:type="dxa"/>
          <w:right w:w="0" w:type="dxa"/>
        </w:tblCellMar>
        <w:tblLook w:val="04A0" w:firstRow="1" w:lastRow="0" w:firstColumn="1" w:lastColumn="0" w:noHBand="0" w:noVBand="1"/>
      </w:tblPr>
      <w:tblGrid>
        <w:gridCol w:w="44"/>
        <w:gridCol w:w="258"/>
        <w:gridCol w:w="3804"/>
        <w:gridCol w:w="28"/>
        <w:gridCol w:w="256"/>
        <w:gridCol w:w="1207"/>
        <w:gridCol w:w="124"/>
        <w:gridCol w:w="77"/>
        <w:gridCol w:w="1231"/>
        <w:gridCol w:w="45"/>
        <w:gridCol w:w="152"/>
        <w:gridCol w:w="1121"/>
        <w:gridCol w:w="71"/>
        <w:gridCol w:w="399"/>
        <w:gridCol w:w="809"/>
        <w:gridCol w:w="93"/>
        <w:gridCol w:w="85"/>
        <w:gridCol w:w="26"/>
        <w:gridCol w:w="34"/>
      </w:tblGrid>
      <w:tr w:rsidR="001A7776" w:rsidRPr="008438F4" w14:paraId="353AAD13" w14:textId="77777777" w:rsidTr="00233817">
        <w:trPr>
          <w:trHeight w:val="345"/>
          <w:jc w:val="center"/>
        </w:trPr>
        <w:tc>
          <w:tcPr>
            <w:tcW w:w="2082" w:type="pct"/>
            <w:gridSpan w:val="3"/>
            <w:tcBorders>
              <w:top w:val="single" w:sz="8" w:space="0" w:color="auto"/>
              <w:left w:val="nil"/>
              <w:bottom w:val="single" w:sz="2" w:space="0" w:color="auto"/>
              <w:right w:val="nil"/>
            </w:tcBorders>
            <w:shd w:val="clear" w:color="auto" w:fill="auto"/>
            <w:tcMar>
              <w:top w:w="15" w:type="dxa"/>
              <w:left w:w="67" w:type="dxa"/>
              <w:bottom w:w="0" w:type="dxa"/>
              <w:right w:w="67" w:type="dxa"/>
            </w:tcMar>
            <w:vAlign w:val="center"/>
          </w:tcPr>
          <w:p w14:paraId="25F80137" w14:textId="77777777" w:rsidR="0011080D" w:rsidRPr="008438F4" w:rsidRDefault="0011080D" w:rsidP="001A7776">
            <w:pPr>
              <w:spacing w:line="240" w:lineRule="auto"/>
              <w:ind w:left="-79"/>
              <w:jc w:val="center"/>
              <w:rPr>
                <w:rFonts w:ascii="Calibri" w:hAnsi="Calibri" w:cs="Calibri"/>
                <w:color w:val="000000"/>
                <w:kern w:val="24"/>
              </w:rPr>
            </w:pPr>
          </w:p>
        </w:tc>
        <w:tc>
          <w:tcPr>
            <w:tcW w:w="2918" w:type="pct"/>
            <w:gridSpan w:val="16"/>
            <w:tcBorders>
              <w:top w:val="single" w:sz="8" w:space="0" w:color="auto"/>
              <w:left w:val="nil"/>
              <w:bottom w:val="single" w:sz="2" w:space="0" w:color="auto"/>
              <w:right w:val="nil"/>
            </w:tcBorders>
            <w:shd w:val="clear" w:color="auto" w:fill="auto"/>
            <w:tcMar>
              <w:top w:w="15" w:type="dxa"/>
              <w:left w:w="67" w:type="dxa"/>
              <w:bottom w:w="0" w:type="dxa"/>
              <w:right w:w="67" w:type="dxa"/>
            </w:tcMar>
          </w:tcPr>
          <w:p w14:paraId="36535041" w14:textId="77777777" w:rsidR="0011080D" w:rsidRPr="008438F4" w:rsidRDefault="00240DF3" w:rsidP="00240DF3">
            <w:pPr>
              <w:spacing w:line="240" w:lineRule="auto"/>
              <w:ind w:left="-79" w:right="730" w:hanging="75"/>
              <w:jc w:val="center"/>
              <w:rPr>
                <w:rFonts w:ascii="Calibri" w:hAnsi="Calibri" w:cs="Calibri"/>
                <w:b/>
                <w:color w:val="000000"/>
                <w:kern w:val="24"/>
              </w:rPr>
            </w:pPr>
            <w:r w:rsidRPr="008438F4">
              <w:rPr>
                <w:rFonts w:ascii="Calibri" w:hAnsi="Calibri" w:cs="Calibri"/>
                <w:b/>
                <w:color w:val="000000"/>
                <w:kern w:val="24"/>
              </w:rPr>
              <w:t xml:space="preserve">                  </w:t>
            </w:r>
            <w:r w:rsidR="0011080D" w:rsidRPr="008438F4">
              <w:rPr>
                <w:rFonts w:ascii="Calibri" w:hAnsi="Calibri" w:cs="Calibri"/>
                <w:b/>
                <w:color w:val="000000"/>
                <w:kern w:val="24"/>
              </w:rPr>
              <w:t>Fatigability Status</w:t>
            </w:r>
          </w:p>
        </w:tc>
      </w:tr>
      <w:tr w:rsidR="001A7776" w:rsidRPr="008438F4" w14:paraId="3E0DDA34" w14:textId="77777777" w:rsidTr="001A7776">
        <w:trPr>
          <w:gridBefore w:val="2"/>
          <w:gridAfter w:val="1"/>
          <w:wBefore w:w="154" w:type="pct"/>
          <w:wAfter w:w="17" w:type="pct"/>
          <w:trHeight w:val="882"/>
          <w:jc w:val="center"/>
        </w:trPr>
        <w:tc>
          <w:tcPr>
            <w:tcW w:w="2072" w:type="pct"/>
            <w:gridSpan w:val="3"/>
            <w:tcBorders>
              <w:top w:val="nil"/>
              <w:left w:val="nil"/>
              <w:bottom w:val="single" w:sz="2" w:space="0" w:color="auto"/>
              <w:right w:val="nil"/>
            </w:tcBorders>
            <w:shd w:val="clear" w:color="auto" w:fill="auto"/>
            <w:tcMar>
              <w:top w:w="15" w:type="dxa"/>
              <w:left w:w="67" w:type="dxa"/>
              <w:bottom w:w="0" w:type="dxa"/>
              <w:right w:w="67" w:type="dxa"/>
            </w:tcMar>
            <w:vAlign w:val="center"/>
            <w:hideMark/>
          </w:tcPr>
          <w:p w14:paraId="270E751D" w14:textId="77777777" w:rsidR="0099247D" w:rsidRPr="008438F4" w:rsidRDefault="0099247D" w:rsidP="001A7776">
            <w:pPr>
              <w:spacing w:line="240" w:lineRule="auto"/>
              <w:ind w:left="-79"/>
              <w:jc w:val="center"/>
              <w:rPr>
                <w:rFonts w:ascii="Calibri" w:hAnsi="Calibri" w:cs="Calibri"/>
                <w:b/>
              </w:rPr>
            </w:pPr>
            <w:r w:rsidRPr="008438F4">
              <w:rPr>
                <w:rFonts w:ascii="Calibri" w:hAnsi="Calibri" w:cs="Calibri"/>
                <w:b/>
                <w:color w:val="000000"/>
                <w:kern w:val="24"/>
              </w:rPr>
              <w:t> </w:t>
            </w:r>
          </w:p>
          <w:p w14:paraId="70AFB0C0" w14:textId="77777777" w:rsidR="0099247D" w:rsidRPr="008438F4" w:rsidRDefault="0099247D" w:rsidP="001A7776">
            <w:pPr>
              <w:spacing w:line="240" w:lineRule="auto"/>
              <w:ind w:left="-79"/>
              <w:jc w:val="center"/>
              <w:rPr>
                <w:rFonts w:ascii="Calibri" w:hAnsi="Calibri" w:cs="Calibri"/>
                <w:b/>
              </w:rPr>
            </w:pPr>
            <w:r w:rsidRPr="008438F4">
              <w:rPr>
                <w:rFonts w:ascii="Calibri" w:hAnsi="Calibri" w:cs="Calibri"/>
                <w:b/>
                <w:color w:val="000000"/>
                <w:kern w:val="24"/>
              </w:rPr>
              <w:t>Characteristic</w:t>
            </w:r>
          </w:p>
        </w:tc>
        <w:tc>
          <w:tcPr>
            <w:tcW w:w="675" w:type="pct"/>
            <w:gridSpan w:val="2"/>
            <w:tcBorders>
              <w:top w:val="nil"/>
              <w:left w:val="nil"/>
              <w:bottom w:val="single" w:sz="2" w:space="0" w:color="auto"/>
              <w:right w:val="nil"/>
            </w:tcBorders>
            <w:shd w:val="clear" w:color="auto" w:fill="auto"/>
            <w:tcMar>
              <w:top w:w="15" w:type="dxa"/>
              <w:left w:w="67" w:type="dxa"/>
              <w:bottom w:w="0" w:type="dxa"/>
              <w:right w:w="67" w:type="dxa"/>
            </w:tcMar>
            <w:hideMark/>
          </w:tcPr>
          <w:p w14:paraId="1F1CA013"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 xml:space="preserve">Higher </w:t>
            </w:r>
          </w:p>
          <w:p w14:paraId="2835C927"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Physical</w:t>
            </w:r>
          </w:p>
          <w:p w14:paraId="3272A540"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(n=19)</w:t>
            </w:r>
          </w:p>
        </w:tc>
        <w:tc>
          <w:tcPr>
            <w:tcW w:w="663" w:type="pct"/>
            <w:gridSpan w:val="2"/>
            <w:tcBorders>
              <w:top w:val="nil"/>
              <w:left w:val="nil"/>
              <w:bottom w:val="single" w:sz="2" w:space="0" w:color="auto"/>
              <w:right w:val="nil"/>
            </w:tcBorders>
            <w:shd w:val="clear" w:color="auto" w:fill="auto"/>
            <w:tcMar>
              <w:top w:w="15" w:type="dxa"/>
              <w:left w:w="67" w:type="dxa"/>
              <w:bottom w:w="0" w:type="dxa"/>
              <w:right w:w="67" w:type="dxa"/>
            </w:tcMar>
            <w:hideMark/>
          </w:tcPr>
          <w:p w14:paraId="733A580C"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Lower</w:t>
            </w:r>
          </w:p>
          <w:p w14:paraId="2050AF5C"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 xml:space="preserve"> Physical</w:t>
            </w:r>
          </w:p>
          <w:p w14:paraId="52641E95"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(n=10)</w:t>
            </w:r>
          </w:p>
        </w:tc>
        <w:tc>
          <w:tcPr>
            <w:tcW w:w="668" w:type="pct"/>
            <w:gridSpan w:val="3"/>
            <w:tcBorders>
              <w:top w:val="nil"/>
              <w:left w:val="nil"/>
              <w:bottom w:val="single" w:sz="2" w:space="0" w:color="auto"/>
              <w:right w:val="nil"/>
            </w:tcBorders>
            <w:shd w:val="clear" w:color="auto" w:fill="auto"/>
            <w:tcMar>
              <w:top w:w="15" w:type="dxa"/>
              <w:left w:w="67" w:type="dxa"/>
              <w:bottom w:w="0" w:type="dxa"/>
              <w:right w:w="67" w:type="dxa"/>
            </w:tcMar>
            <w:hideMark/>
          </w:tcPr>
          <w:p w14:paraId="65F622E0"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 xml:space="preserve">Higher </w:t>
            </w:r>
          </w:p>
          <w:p w14:paraId="2EA4E908"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Mental</w:t>
            </w:r>
          </w:p>
          <w:p w14:paraId="078CA2D7"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(n=19)</w:t>
            </w:r>
          </w:p>
        </w:tc>
        <w:tc>
          <w:tcPr>
            <w:tcW w:w="751" w:type="pct"/>
            <w:gridSpan w:val="6"/>
            <w:tcBorders>
              <w:top w:val="nil"/>
              <w:left w:val="nil"/>
              <w:bottom w:val="single" w:sz="2" w:space="0" w:color="auto"/>
              <w:right w:val="nil"/>
            </w:tcBorders>
            <w:shd w:val="clear" w:color="auto" w:fill="auto"/>
            <w:tcMar>
              <w:top w:w="15" w:type="dxa"/>
              <w:left w:w="67" w:type="dxa"/>
              <w:bottom w:w="0" w:type="dxa"/>
              <w:right w:w="67" w:type="dxa"/>
            </w:tcMar>
            <w:hideMark/>
          </w:tcPr>
          <w:p w14:paraId="394FB7CC"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 xml:space="preserve">Lower </w:t>
            </w:r>
          </w:p>
          <w:p w14:paraId="424ACE99"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Mental</w:t>
            </w:r>
          </w:p>
          <w:p w14:paraId="4AE493FB" w14:textId="77777777" w:rsidR="0099247D" w:rsidRPr="008438F4" w:rsidRDefault="0099247D" w:rsidP="001A7776">
            <w:pPr>
              <w:spacing w:line="240" w:lineRule="auto"/>
              <w:ind w:left="-79" w:hanging="75"/>
              <w:jc w:val="center"/>
              <w:rPr>
                <w:rFonts w:ascii="Calibri" w:hAnsi="Calibri" w:cs="Calibri"/>
                <w:b/>
              </w:rPr>
            </w:pPr>
            <w:r w:rsidRPr="008438F4">
              <w:rPr>
                <w:rFonts w:ascii="Calibri" w:hAnsi="Calibri" w:cs="Calibri"/>
                <w:b/>
                <w:color w:val="000000"/>
                <w:kern w:val="24"/>
              </w:rPr>
              <w:t>(n=10)</w:t>
            </w:r>
          </w:p>
        </w:tc>
      </w:tr>
      <w:tr w:rsidR="001A7776" w:rsidRPr="008438F4" w14:paraId="1B8E5A6C" w14:textId="77777777" w:rsidTr="001A7776">
        <w:trPr>
          <w:gridBefore w:val="1"/>
          <w:gridAfter w:val="4"/>
          <w:wBefore w:w="23" w:type="pct"/>
          <w:wAfter w:w="120" w:type="pct"/>
          <w:trHeight w:val="383"/>
          <w:jc w:val="center"/>
        </w:trPr>
        <w:tc>
          <w:tcPr>
            <w:tcW w:w="2203" w:type="pct"/>
            <w:gridSpan w:val="4"/>
            <w:tcBorders>
              <w:top w:val="single" w:sz="2" w:space="0" w:color="auto"/>
              <w:left w:val="nil"/>
              <w:bottom w:val="nil"/>
              <w:right w:val="nil"/>
            </w:tcBorders>
            <w:shd w:val="clear" w:color="auto" w:fill="auto"/>
            <w:tcMar>
              <w:top w:w="15" w:type="dxa"/>
              <w:left w:w="67" w:type="dxa"/>
              <w:bottom w:w="0" w:type="dxa"/>
              <w:right w:w="67" w:type="dxa"/>
            </w:tcMar>
            <w:hideMark/>
          </w:tcPr>
          <w:p w14:paraId="3478C473" w14:textId="77777777" w:rsidR="0099247D" w:rsidRPr="008438F4" w:rsidRDefault="0099247D" w:rsidP="001A7776">
            <w:pPr>
              <w:tabs>
                <w:tab w:val="left" w:pos="373"/>
              </w:tabs>
              <w:spacing w:line="240" w:lineRule="auto"/>
              <w:ind w:left="-79" w:firstLine="30"/>
              <w:rPr>
                <w:rFonts w:ascii="Calibri" w:hAnsi="Calibri" w:cs="Calibri"/>
                <w:b/>
              </w:rPr>
            </w:pPr>
            <w:r w:rsidRPr="008438F4">
              <w:rPr>
                <w:rFonts w:ascii="Calibri" w:hAnsi="Calibri" w:cs="Calibri"/>
                <w:b/>
                <w:color w:val="000000"/>
                <w:kern w:val="24"/>
              </w:rPr>
              <w:t>Age, years</w:t>
            </w:r>
          </w:p>
        </w:tc>
        <w:tc>
          <w:tcPr>
            <w:tcW w:w="714" w:type="pct"/>
            <w:gridSpan w:val="3"/>
            <w:tcBorders>
              <w:top w:val="single" w:sz="2" w:space="0" w:color="auto"/>
              <w:left w:val="nil"/>
              <w:bottom w:val="nil"/>
              <w:right w:val="nil"/>
            </w:tcBorders>
            <w:shd w:val="clear" w:color="auto" w:fill="auto"/>
            <w:tcMar>
              <w:top w:w="15" w:type="dxa"/>
              <w:left w:w="67" w:type="dxa"/>
              <w:bottom w:w="0" w:type="dxa"/>
              <w:right w:w="67" w:type="dxa"/>
            </w:tcMar>
            <w:hideMark/>
          </w:tcPr>
          <w:p w14:paraId="1815352A"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77.5±5.9*</w:t>
            </w:r>
          </w:p>
        </w:tc>
        <w:tc>
          <w:tcPr>
            <w:tcW w:w="647" w:type="pct"/>
            <w:gridSpan w:val="2"/>
            <w:tcBorders>
              <w:top w:val="single" w:sz="2" w:space="0" w:color="auto"/>
              <w:left w:val="nil"/>
              <w:bottom w:val="nil"/>
              <w:right w:val="nil"/>
            </w:tcBorders>
            <w:shd w:val="clear" w:color="auto" w:fill="auto"/>
            <w:tcMar>
              <w:top w:w="15" w:type="dxa"/>
              <w:left w:w="67" w:type="dxa"/>
              <w:bottom w:w="0" w:type="dxa"/>
              <w:right w:w="67" w:type="dxa"/>
            </w:tcMar>
            <w:hideMark/>
          </w:tcPr>
          <w:p w14:paraId="00A54761"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76.6±4.9</w:t>
            </w:r>
          </w:p>
        </w:tc>
        <w:tc>
          <w:tcPr>
            <w:tcW w:w="681" w:type="pct"/>
            <w:gridSpan w:val="3"/>
            <w:tcBorders>
              <w:top w:val="single" w:sz="2" w:space="0" w:color="auto"/>
              <w:left w:val="nil"/>
              <w:bottom w:val="nil"/>
              <w:right w:val="nil"/>
            </w:tcBorders>
            <w:shd w:val="clear" w:color="auto" w:fill="auto"/>
            <w:tcMar>
              <w:top w:w="15" w:type="dxa"/>
              <w:left w:w="67" w:type="dxa"/>
              <w:bottom w:w="0" w:type="dxa"/>
              <w:right w:w="67" w:type="dxa"/>
            </w:tcMar>
            <w:hideMark/>
          </w:tcPr>
          <w:p w14:paraId="5FB013C7"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78.5±5.6</w:t>
            </w:r>
            <w:r w:rsidR="00297B2D" w:rsidRPr="008438F4">
              <w:rPr>
                <w:rFonts w:ascii="Calibri" w:hAnsi="Calibri" w:cs="Calibri"/>
                <w:color w:val="000000"/>
                <w:kern w:val="24"/>
                <w:vertAlign w:val="superscript"/>
              </w:rPr>
              <w:t>a</w:t>
            </w:r>
          </w:p>
        </w:tc>
        <w:tc>
          <w:tcPr>
            <w:tcW w:w="612" w:type="pct"/>
            <w:gridSpan w:val="2"/>
            <w:tcBorders>
              <w:top w:val="single" w:sz="2" w:space="0" w:color="auto"/>
              <w:left w:val="nil"/>
              <w:bottom w:val="nil"/>
              <w:right w:val="nil"/>
            </w:tcBorders>
            <w:shd w:val="clear" w:color="auto" w:fill="auto"/>
            <w:tcMar>
              <w:top w:w="15" w:type="dxa"/>
              <w:left w:w="67" w:type="dxa"/>
              <w:bottom w:w="0" w:type="dxa"/>
              <w:right w:w="67" w:type="dxa"/>
            </w:tcMar>
            <w:hideMark/>
          </w:tcPr>
          <w:p w14:paraId="00F39456" w14:textId="77777777" w:rsidR="0099247D" w:rsidRPr="008438F4" w:rsidRDefault="0099247D" w:rsidP="001A7776">
            <w:pPr>
              <w:spacing w:line="240" w:lineRule="auto"/>
              <w:ind w:left="-79" w:hanging="75"/>
              <w:jc w:val="center"/>
              <w:rPr>
                <w:rFonts w:ascii="Calibri" w:hAnsi="Calibri" w:cs="Calibri"/>
                <w:color w:val="000000"/>
                <w:kern w:val="24"/>
                <w:vertAlign w:val="superscript"/>
              </w:rPr>
            </w:pPr>
            <w:r w:rsidRPr="008438F4">
              <w:rPr>
                <w:rFonts w:ascii="Calibri" w:hAnsi="Calibri" w:cs="Calibri"/>
                <w:color w:val="000000"/>
                <w:kern w:val="24"/>
              </w:rPr>
              <w:t>74.9±4.6</w:t>
            </w:r>
            <w:r w:rsidR="00297B2D" w:rsidRPr="008438F4">
              <w:rPr>
                <w:rFonts w:ascii="Calibri" w:hAnsi="Calibri" w:cs="Calibri"/>
                <w:color w:val="000000"/>
                <w:kern w:val="24"/>
                <w:vertAlign w:val="superscript"/>
              </w:rPr>
              <w:t>a</w:t>
            </w:r>
          </w:p>
        </w:tc>
      </w:tr>
      <w:tr w:rsidR="001A7776" w:rsidRPr="008438F4" w14:paraId="16CE8EB6"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3F2F9709"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Race, Caucasian/White</w:t>
            </w:r>
          </w:p>
        </w:tc>
        <w:tc>
          <w:tcPr>
            <w:tcW w:w="714" w:type="pct"/>
            <w:gridSpan w:val="3"/>
            <w:tcBorders>
              <w:left w:val="nil"/>
              <w:bottom w:val="nil"/>
              <w:right w:val="nil"/>
            </w:tcBorders>
            <w:shd w:val="clear" w:color="auto" w:fill="auto"/>
            <w:tcMar>
              <w:top w:w="15" w:type="dxa"/>
              <w:left w:w="67" w:type="dxa"/>
              <w:bottom w:w="0" w:type="dxa"/>
              <w:right w:w="67" w:type="dxa"/>
            </w:tcMar>
          </w:tcPr>
          <w:p w14:paraId="1FC20349"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9(47.4)**</w:t>
            </w:r>
          </w:p>
        </w:tc>
        <w:tc>
          <w:tcPr>
            <w:tcW w:w="647" w:type="pct"/>
            <w:gridSpan w:val="2"/>
            <w:tcBorders>
              <w:left w:val="nil"/>
              <w:bottom w:val="nil"/>
              <w:right w:val="nil"/>
            </w:tcBorders>
            <w:shd w:val="clear" w:color="auto" w:fill="auto"/>
            <w:tcMar>
              <w:top w:w="15" w:type="dxa"/>
              <w:left w:w="67" w:type="dxa"/>
              <w:bottom w:w="0" w:type="dxa"/>
              <w:right w:w="67" w:type="dxa"/>
            </w:tcMar>
          </w:tcPr>
          <w:p w14:paraId="7104BC91"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2(20.0)</w:t>
            </w:r>
          </w:p>
        </w:tc>
        <w:tc>
          <w:tcPr>
            <w:tcW w:w="681" w:type="pct"/>
            <w:gridSpan w:val="3"/>
            <w:tcBorders>
              <w:left w:val="nil"/>
              <w:bottom w:val="nil"/>
              <w:right w:val="nil"/>
            </w:tcBorders>
            <w:shd w:val="clear" w:color="auto" w:fill="auto"/>
            <w:tcMar>
              <w:top w:w="15" w:type="dxa"/>
              <w:left w:w="67" w:type="dxa"/>
              <w:bottom w:w="0" w:type="dxa"/>
              <w:right w:w="67" w:type="dxa"/>
            </w:tcMar>
          </w:tcPr>
          <w:p w14:paraId="5DC2F797"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8(42.1)</w:t>
            </w:r>
          </w:p>
        </w:tc>
        <w:tc>
          <w:tcPr>
            <w:tcW w:w="612" w:type="pct"/>
            <w:gridSpan w:val="2"/>
            <w:tcBorders>
              <w:left w:val="nil"/>
              <w:bottom w:val="nil"/>
              <w:right w:val="nil"/>
            </w:tcBorders>
            <w:shd w:val="clear" w:color="auto" w:fill="auto"/>
            <w:tcMar>
              <w:top w:w="15" w:type="dxa"/>
              <w:left w:w="67" w:type="dxa"/>
              <w:bottom w:w="0" w:type="dxa"/>
              <w:right w:w="67" w:type="dxa"/>
            </w:tcMar>
          </w:tcPr>
          <w:p w14:paraId="1BA151DF"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3(30.0)</w:t>
            </w:r>
          </w:p>
        </w:tc>
      </w:tr>
      <w:tr w:rsidR="001A7776" w:rsidRPr="008438F4" w14:paraId="77C17E17"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0D45A686"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Sex, Female</w:t>
            </w:r>
          </w:p>
        </w:tc>
        <w:tc>
          <w:tcPr>
            <w:tcW w:w="714" w:type="pct"/>
            <w:gridSpan w:val="3"/>
            <w:tcBorders>
              <w:left w:val="nil"/>
              <w:bottom w:val="nil"/>
              <w:right w:val="nil"/>
            </w:tcBorders>
            <w:shd w:val="clear" w:color="auto" w:fill="auto"/>
            <w:tcMar>
              <w:top w:w="15" w:type="dxa"/>
              <w:left w:w="67" w:type="dxa"/>
              <w:bottom w:w="0" w:type="dxa"/>
              <w:right w:w="67" w:type="dxa"/>
            </w:tcMar>
          </w:tcPr>
          <w:p w14:paraId="44122451"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17(89.5)</w:t>
            </w:r>
          </w:p>
        </w:tc>
        <w:tc>
          <w:tcPr>
            <w:tcW w:w="647" w:type="pct"/>
            <w:gridSpan w:val="2"/>
            <w:tcBorders>
              <w:left w:val="nil"/>
              <w:bottom w:val="nil"/>
              <w:right w:val="nil"/>
            </w:tcBorders>
            <w:shd w:val="clear" w:color="auto" w:fill="auto"/>
            <w:tcMar>
              <w:top w:w="15" w:type="dxa"/>
              <w:left w:w="67" w:type="dxa"/>
              <w:bottom w:w="0" w:type="dxa"/>
              <w:right w:w="67" w:type="dxa"/>
            </w:tcMar>
          </w:tcPr>
          <w:p w14:paraId="070815C4"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8(80.0)</w:t>
            </w:r>
          </w:p>
        </w:tc>
        <w:tc>
          <w:tcPr>
            <w:tcW w:w="681" w:type="pct"/>
            <w:gridSpan w:val="3"/>
            <w:tcBorders>
              <w:left w:val="nil"/>
              <w:bottom w:val="nil"/>
              <w:right w:val="nil"/>
            </w:tcBorders>
            <w:shd w:val="clear" w:color="auto" w:fill="auto"/>
            <w:tcMar>
              <w:top w:w="15" w:type="dxa"/>
              <w:left w:w="67" w:type="dxa"/>
              <w:bottom w:w="0" w:type="dxa"/>
              <w:right w:w="67" w:type="dxa"/>
            </w:tcMar>
          </w:tcPr>
          <w:p w14:paraId="5C37A79D"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17(89.5)</w:t>
            </w:r>
          </w:p>
        </w:tc>
        <w:tc>
          <w:tcPr>
            <w:tcW w:w="612" w:type="pct"/>
            <w:gridSpan w:val="2"/>
            <w:tcBorders>
              <w:left w:val="nil"/>
              <w:bottom w:val="nil"/>
              <w:right w:val="nil"/>
            </w:tcBorders>
            <w:shd w:val="clear" w:color="auto" w:fill="auto"/>
            <w:tcMar>
              <w:top w:w="15" w:type="dxa"/>
              <w:left w:w="67" w:type="dxa"/>
              <w:bottom w:w="0" w:type="dxa"/>
              <w:right w:w="67" w:type="dxa"/>
            </w:tcMar>
          </w:tcPr>
          <w:p w14:paraId="5E2620B4"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8(80.0)</w:t>
            </w:r>
          </w:p>
        </w:tc>
      </w:tr>
      <w:tr w:rsidR="001A7776" w:rsidRPr="008438F4" w14:paraId="2A62C6B8"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550F3D5A"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Education≥ High School, years</w:t>
            </w:r>
          </w:p>
        </w:tc>
        <w:tc>
          <w:tcPr>
            <w:tcW w:w="714" w:type="pct"/>
            <w:gridSpan w:val="3"/>
            <w:tcBorders>
              <w:left w:val="nil"/>
              <w:bottom w:val="nil"/>
              <w:right w:val="nil"/>
            </w:tcBorders>
            <w:shd w:val="clear" w:color="auto" w:fill="auto"/>
            <w:tcMar>
              <w:top w:w="15" w:type="dxa"/>
              <w:left w:w="67" w:type="dxa"/>
              <w:bottom w:w="0" w:type="dxa"/>
              <w:right w:w="67" w:type="dxa"/>
            </w:tcMar>
          </w:tcPr>
          <w:p w14:paraId="44B18F6B"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6(31.6)</w:t>
            </w:r>
          </w:p>
        </w:tc>
        <w:tc>
          <w:tcPr>
            <w:tcW w:w="647" w:type="pct"/>
            <w:gridSpan w:val="2"/>
            <w:tcBorders>
              <w:left w:val="nil"/>
              <w:bottom w:val="nil"/>
              <w:right w:val="nil"/>
            </w:tcBorders>
            <w:shd w:val="clear" w:color="auto" w:fill="auto"/>
            <w:tcMar>
              <w:top w:w="15" w:type="dxa"/>
              <w:left w:w="67" w:type="dxa"/>
              <w:bottom w:w="0" w:type="dxa"/>
              <w:right w:w="67" w:type="dxa"/>
            </w:tcMar>
          </w:tcPr>
          <w:p w14:paraId="6AD7E106"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3(30.0)</w:t>
            </w:r>
          </w:p>
        </w:tc>
        <w:tc>
          <w:tcPr>
            <w:tcW w:w="681" w:type="pct"/>
            <w:gridSpan w:val="3"/>
            <w:tcBorders>
              <w:left w:val="nil"/>
              <w:bottom w:val="nil"/>
              <w:right w:val="nil"/>
            </w:tcBorders>
            <w:shd w:val="clear" w:color="auto" w:fill="auto"/>
            <w:tcMar>
              <w:top w:w="15" w:type="dxa"/>
              <w:left w:w="67" w:type="dxa"/>
              <w:bottom w:w="0" w:type="dxa"/>
              <w:right w:w="67" w:type="dxa"/>
            </w:tcMar>
          </w:tcPr>
          <w:p w14:paraId="76E08542"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5(26.32)</w:t>
            </w:r>
          </w:p>
        </w:tc>
        <w:tc>
          <w:tcPr>
            <w:tcW w:w="612" w:type="pct"/>
            <w:gridSpan w:val="2"/>
            <w:tcBorders>
              <w:left w:val="nil"/>
              <w:bottom w:val="nil"/>
              <w:right w:val="nil"/>
            </w:tcBorders>
            <w:shd w:val="clear" w:color="auto" w:fill="auto"/>
            <w:tcMar>
              <w:top w:w="15" w:type="dxa"/>
              <w:left w:w="67" w:type="dxa"/>
              <w:bottom w:w="0" w:type="dxa"/>
              <w:right w:w="67" w:type="dxa"/>
            </w:tcMar>
          </w:tcPr>
          <w:p w14:paraId="1E652C57"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4(40.0)</w:t>
            </w:r>
          </w:p>
        </w:tc>
      </w:tr>
      <w:tr w:rsidR="001A7776" w:rsidRPr="008438F4" w14:paraId="6A81C768"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2A6E54C4"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Smoking Status, Former or Current</w:t>
            </w:r>
          </w:p>
        </w:tc>
        <w:tc>
          <w:tcPr>
            <w:tcW w:w="714" w:type="pct"/>
            <w:gridSpan w:val="3"/>
            <w:tcBorders>
              <w:left w:val="nil"/>
              <w:bottom w:val="nil"/>
              <w:right w:val="nil"/>
            </w:tcBorders>
            <w:shd w:val="clear" w:color="auto" w:fill="auto"/>
            <w:tcMar>
              <w:top w:w="15" w:type="dxa"/>
              <w:left w:w="67" w:type="dxa"/>
              <w:bottom w:w="0" w:type="dxa"/>
              <w:right w:w="67" w:type="dxa"/>
            </w:tcMar>
          </w:tcPr>
          <w:p w14:paraId="65B6A776"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5(26.3)</w:t>
            </w:r>
          </w:p>
        </w:tc>
        <w:tc>
          <w:tcPr>
            <w:tcW w:w="647" w:type="pct"/>
            <w:gridSpan w:val="2"/>
            <w:tcBorders>
              <w:left w:val="nil"/>
              <w:bottom w:val="nil"/>
              <w:right w:val="nil"/>
            </w:tcBorders>
            <w:shd w:val="clear" w:color="auto" w:fill="auto"/>
            <w:tcMar>
              <w:top w:w="15" w:type="dxa"/>
              <w:left w:w="67" w:type="dxa"/>
              <w:bottom w:w="0" w:type="dxa"/>
              <w:right w:w="67" w:type="dxa"/>
            </w:tcMar>
          </w:tcPr>
          <w:p w14:paraId="2B4345EA"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5(50.0)</w:t>
            </w:r>
          </w:p>
        </w:tc>
        <w:tc>
          <w:tcPr>
            <w:tcW w:w="681" w:type="pct"/>
            <w:gridSpan w:val="3"/>
            <w:tcBorders>
              <w:left w:val="nil"/>
              <w:bottom w:val="nil"/>
              <w:right w:val="nil"/>
            </w:tcBorders>
            <w:shd w:val="clear" w:color="auto" w:fill="auto"/>
            <w:tcMar>
              <w:top w:w="15" w:type="dxa"/>
              <w:left w:w="67" w:type="dxa"/>
              <w:bottom w:w="0" w:type="dxa"/>
              <w:right w:w="67" w:type="dxa"/>
            </w:tcMar>
          </w:tcPr>
          <w:p w14:paraId="4EDDF900" w14:textId="77777777" w:rsidR="0099247D" w:rsidRPr="008438F4" w:rsidRDefault="0099247D" w:rsidP="001A7776">
            <w:pPr>
              <w:pStyle w:val="NormalWeb"/>
              <w:spacing w:before="0" w:beforeAutospacing="0" w:after="0" w:afterAutospacing="0"/>
              <w:ind w:left="-79" w:hanging="75"/>
              <w:jc w:val="center"/>
              <w:rPr>
                <w:rFonts w:ascii="Calibri" w:hAnsi="Calibri" w:cs="Calibri"/>
                <w:vertAlign w:val="superscript"/>
              </w:rPr>
            </w:pPr>
            <w:r w:rsidRPr="008438F4">
              <w:rPr>
                <w:rFonts w:ascii="Calibri" w:hAnsi="Calibri" w:cs="Calibri"/>
                <w:color w:val="000000"/>
                <w:kern w:val="24"/>
              </w:rPr>
              <w:t>4(21.1)</w:t>
            </w:r>
            <w:r w:rsidR="00297B2D" w:rsidRPr="008438F4">
              <w:rPr>
                <w:rFonts w:ascii="Calibri" w:hAnsi="Calibri" w:cs="Calibri"/>
                <w:color w:val="000000"/>
                <w:kern w:val="24"/>
                <w:vertAlign w:val="superscript"/>
              </w:rPr>
              <w:t>a</w:t>
            </w:r>
          </w:p>
        </w:tc>
        <w:tc>
          <w:tcPr>
            <w:tcW w:w="612" w:type="pct"/>
            <w:gridSpan w:val="2"/>
            <w:tcBorders>
              <w:left w:val="nil"/>
              <w:bottom w:val="nil"/>
              <w:right w:val="nil"/>
            </w:tcBorders>
            <w:shd w:val="clear" w:color="auto" w:fill="auto"/>
            <w:tcMar>
              <w:top w:w="15" w:type="dxa"/>
              <w:left w:w="67" w:type="dxa"/>
              <w:bottom w:w="0" w:type="dxa"/>
              <w:right w:w="67" w:type="dxa"/>
            </w:tcMar>
          </w:tcPr>
          <w:p w14:paraId="34A64A6B" w14:textId="77777777" w:rsidR="0099247D" w:rsidRPr="008438F4" w:rsidRDefault="0099247D" w:rsidP="001A7776">
            <w:pPr>
              <w:pStyle w:val="NormalWeb"/>
              <w:spacing w:before="0" w:beforeAutospacing="0" w:after="0" w:afterAutospacing="0"/>
              <w:ind w:left="-79" w:hanging="75"/>
              <w:jc w:val="center"/>
              <w:rPr>
                <w:rFonts w:ascii="Calibri" w:hAnsi="Calibri" w:cs="Calibri"/>
                <w:vertAlign w:val="superscript"/>
              </w:rPr>
            </w:pPr>
            <w:r w:rsidRPr="008438F4">
              <w:rPr>
                <w:rFonts w:ascii="Calibri" w:hAnsi="Calibri" w:cs="Calibri"/>
                <w:color w:val="000000"/>
                <w:kern w:val="24"/>
              </w:rPr>
              <w:t>6(60.0)</w:t>
            </w:r>
            <w:r w:rsidR="00297B2D" w:rsidRPr="008438F4">
              <w:rPr>
                <w:rFonts w:ascii="Calibri" w:hAnsi="Calibri" w:cs="Calibri"/>
                <w:color w:val="000000"/>
                <w:kern w:val="24"/>
                <w:vertAlign w:val="superscript"/>
              </w:rPr>
              <w:t>a</w:t>
            </w:r>
          </w:p>
        </w:tc>
      </w:tr>
      <w:tr w:rsidR="001A7776" w:rsidRPr="008438F4" w14:paraId="0BCF0374"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0FCBC723"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Body Mass Index(m/kg</w:t>
            </w:r>
            <w:r w:rsidRPr="008438F4">
              <w:rPr>
                <w:rFonts w:ascii="Calibri" w:hAnsi="Calibri" w:cs="Calibri"/>
                <w:b/>
                <w:color w:val="000000"/>
                <w:kern w:val="24"/>
                <w:vertAlign w:val="superscript"/>
              </w:rPr>
              <w:t>2</w:t>
            </w:r>
            <w:r w:rsidRPr="008438F4">
              <w:rPr>
                <w:rFonts w:ascii="Calibri" w:hAnsi="Calibri" w:cs="Calibri"/>
                <w:b/>
                <w:color w:val="000000"/>
                <w:kern w:val="24"/>
              </w:rPr>
              <w:t xml:space="preserve">) </w:t>
            </w:r>
          </w:p>
        </w:tc>
        <w:tc>
          <w:tcPr>
            <w:tcW w:w="714" w:type="pct"/>
            <w:gridSpan w:val="3"/>
            <w:tcBorders>
              <w:left w:val="nil"/>
              <w:bottom w:val="nil"/>
              <w:right w:val="nil"/>
            </w:tcBorders>
            <w:shd w:val="clear" w:color="auto" w:fill="auto"/>
            <w:tcMar>
              <w:top w:w="15" w:type="dxa"/>
              <w:left w:w="67" w:type="dxa"/>
              <w:bottom w:w="0" w:type="dxa"/>
              <w:right w:w="67" w:type="dxa"/>
            </w:tcMar>
          </w:tcPr>
          <w:p w14:paraId="17A341D7"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31.6±5.2</w:t>
            </w:r>
          </w:p>
        </w:tc>
        <w:tc>
          <w:tcPr>
            <w:tcW w:w="647" w:type="pct"/>
            <w:gridSpan w:val="2"/>
            <w:tcBorders>
              <w:left w:val="nil"/>
              <w:bottom w:val="nil"/>
              <w:right w:val="nil"/>
            </w:tcBorders>
            <w:shd w:val="clear" w:color="auto" w:fill="auto"/>
            <w:tcMar>
              <w:top w:w="15" w:type="dxa"/>
              <w:left w:w="67" w:type="dxa"/>
              <w:bottom w:w="0" w:type="dxa"/>
              <w:right w:w="67" w:type="dxa"/>
            </w:tcMar>
          </w:tcPr>
          <w:p w14:paraId="6D218A74"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30.8±4.4</w:t>
            </w:r>
          </w:p>
        </w:tc>
        <w:tc>
          <w:tcPr>
            <w:tcW w:w="681" w:type="pct"/>
            <w:gridSpan w:val="3"/>
            <w:tcBorders>
              <w:left w:val="nil"/>
              <w:bottom w:val="nil"/>
              <w:right w:val="nil"/>
            </w:tcBorders>
            <w:shd w:val="clear" w:color="auto" w:fill="auto"/>
            <w:tcMar>
              <w:top w:w="15" w:type="dxa"/>
              <w:left w:w="67" w:type="dxa"/>
              <w:bottom w:w="0" w:type="dxa"/>
              <w:right w:w="67" w:type="dxa"/>
            </w:tcMar>
          </w:tcPr>
          <w:p w14:paraId="3AC96A91"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31.3±5.0</w:t>
            </w:r>
          </w:p>
        </w:tc>
        <w:tc>
          <w:tcPr>
            <w:tcW w:w="612" w:type="pct"/>
            <w:gridSpan w:val="2"/>
            <w:tcBorders>
              <w:left w:val="nil"/>
              <w:bottom w:val="nil"/>
              <w:right w:val="nil"/>
            </w:tcBorders>
            <w:shd w:val="clear" w:color="auto" w:fill="auto"/>
            <w:tcMar>
              <w:top w:w="15" w:type="dxa"/>
              <w:left w:w="67" w:type="dxa"/>
              <w:bottom w:w="0" w:type="dxa"/>
              <w:right w:w="67" w:type="dxa"/>
            </w:tcMar>
          </w:tcPr>
          <w:p w14:paraId="5C0A2234"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31.5±5.0</w:t>
            </w:r>
          </w:p>
        </w:tc>
      </w:tr>
      <w:tr w:rsidR="001A7776" w:rsidRPr="008438F4" w14:paraId="27442251"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1FC43576"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Cardiovascular Disease, Yes, Self-Report</w:t>
            </w:r>
          </w:p>
        </w:tc>
        <w:tc>
          <w:tcPr>
            <w:tcW w:w="714" w:type="pct"/>
            <w:gridSpan w:val="3"/>
            <w:tcBorders>
              <w:left w:val="nil"/>
              <w:bottom w:val="nil"/>
              <w:right w:val="nil"/>
            </w:tcBorders>
            <w:shd w:val="clear" w:color="auto" w:fill="auto"/>
            <w:tcMar>
              <w:top w:w="15" w:type="dxa"/>
              <w:left w:w="67" w:type="dxa"/>
              <w:bottom w:w="0" w:type="dxa"/>
              <w:right w:w="67" w:type="dxa"/>
            </w:tcMar>
          </w:tcPr>
          <w:p w14:paraId="4543ABCF"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5(26.3)</w:t>
            </w:r>
          </w:p>
        </w:tc>
        <w:tc>
          <w:tcPr>
            <w:tcW w:w="647" w:type="pct"/>
            <w:gridSpan w:val="2"/>
            <w:tcBorders>
              <w:left w:val="nil"/>
              <w:bottom w:val="nil"/>
              <w:right w:val="nil"/>
            </w:tcBorders>
            <w:shd w:val="clear" w:color="auto" w:fill="auto"/>
            <w:tcMar>
              <w:top w:w="15" w:type="dxa"/>
              <w:left w:w="67" w:type="dxa"/>
              <w:bottom w:w="0" w:type="dxa"/>
              <w:right w:w="67" w:type="dxa"/>
            </w:tcMar>
          </w:tcPr>
          <w:p w14:paraId="50230A07"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1(10.0)</w:t>
            </w:r>
          </w:p>
        </w:tc>
        <w:tc>
          <w:tcPr>
            <w:tcW w:w="681" w:type="pct"/>
            <w:gridSpan w:val="3"/>
            <w:tcBorders>
              <w:left w:val="nil"/>
              <w:bottom w:val="nil"/>
              <w:right w:val="nil"/>
            </w:tcBorders>
            <w:shd w:val="clear" w:color="auto" w:fill="auto"/>
            <w:tcMar>
              <w:top w:w="15" w:type="dxa"/>
              <w:left w:w="67" w:type="dxa"/>
              <w:bottom w:w="0" w:type="dxa"/>
              <w:right w:w="67" w:type="dxa"/>
            </w:tcMar>
          </w:tcPr>
          <w:p w14:paraId="6B44829C"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4(21.1)</w:t>
            </w:r>
          </w:p>
        </w:tc>
        <w:tc>
          <w:tcPr>
            <w:tcW w:w="612" w:type="pct"/>
            <w:gridSpan w:val="2"/>
            <w:tcBorders>
              <w:left w:val="nil"/>
              <w:bottom w:val="nil"/>
              <w:right w:val="nil"/>
            </w:tcBorders>
            <w:shd w:val="clear" w:color="auto" w:fill="auto"/>
            <w:tcMar>
              <w:top w:w="15" w:type="dxa"/>
              <w:left w:w="67" w:type="dxa"/>
              <w:bottom w:w="0" w:type="dxa"/>
              <w:right w:w="67" w:type="dxa"/>
            </w:tcMar>
          </w:tcPr>
          <w:p w14:paraId="3E53933B"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2(20.0)</w:t>
            </w:r>
          </w:p>
        </w:tc>
      </w:tr>
      <w:tr w:rsidR="001A7776" w:rsidRPr="008438F4" w14:paraId="29B92BFC"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7BE535C5" w14:textId="77777777" w:rsidR="0099247D" w:rsidRPr="008438F4" w:rsidRDefault="0099247D" w:rsidP="001A7776">
            <w:pPr>
              <w:tabs>
                <w:tab w:val="left" w:pos="1353"/>
              </w:tabs>
              <w:spacing w:line="240" w:lineRule="auto"/>
              <w:ind w:left="-79" w:firstLine="30"/>
              <w:rPr>
                <w:rFonts w:ascii="Calibri" w:hAnsi="Calibri" w:cs="Calibri"/>
                <w:b/>
                <w:color w:val="000000"/>
                <w:kern w:val="24"/>
              </w:rPr>
            </w:pPr>
            <w:r w:rsidRPr="008438F4">
              <w:rPr>
                <w:rFonts w:ascii="Calibri" w:hAnsi="Calibri" w:cs="Calibri"/>
                <w:b/>
                <w:color w:val="000000"/>
                <w:kern w:val="24"/>
              </w:rPr>
              <w:t>Diabetes Mellitus, Yes, Self-Report</w:t>
            </w:r>
          </w:p>
        </w:tc>
        <w:tc>
          <w:tcPr>
            <w:tcW w:w="714" w:type="pct"/>
            <w:gridSpan w:val="3"/>
            <w:tcBorders>
              <w:left w:val="nil"/>
              <w:bottom w:val="nil"/>
              <w:right w:val="nil"/>
            </w:tcBorders>
            <w:shd w:val="clear" w:color="auto" w:fill="auto"/>
            <w:tcMar>
              <w:top w:w="15" w:type="dxa"/>
              <w:left w:w="67" w:type="dxa"/>
              <w:bottom w:w="0" w:type="dxa"/>
              <w:right w:w="67" w:type="dxa"/>
            </w:tcMar>
          </w:tcPr>
          <w:p w14:paraId="234CB730"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7(36.8)</w:t>
            </w:r>
          </w:p>
        </w:tc>
        <w:tc>
          <w:tcPr>
            <w:tcW w:w="647" w:type="pct"/>
            <w:gridSpan w:val="2"/>
            <w:tcBorders>
              <w:left w:val="nil"/>
              <w:bottom w:val="nil"/>
              <w:right w:val="nil"/>
            </w:tcBorders>
            <w:shd w:val="clear" w:color="auto" w:fill="auto"/>
            <w:tcMar>
              <w:top w:w="15" w:type="dxa"/>
              <w:left w:w="67" w:type="dxa"/>
              <w:bottom w:w="0" w:type="dxa"/>
              <w:right w:w="67" w:type="dxa"/>
            </w:tcMar>
          </w:tcPr>
          <w:p w14:paraId="511C6036"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3(30.0)</w:t>
            </w:r>
          </w:p>
        </w:tc>
        <w:tc>
          <w:tcPr>
            <w:tcW w:w="681" w:type="pct"/>
            <w:gridSpan w:val="3"/>
            <w:tcBorders>
              <w:left w:val="nil"/>
              <w:bottom w:val="nil"/>
              <w:right w:val="nil"/>
            </w:tcBorders>
            <w:shd w:val="clear" w:color="auto" w:fill="auto"/>
            <w:tcMar>
              <w:top w:w="15" w:type="dxa"/>
              <w:left w:w="67" w:type="dxa"/>
              <w:bottom w:w="0" w:type="dxa"/>
              <w:right w:w="67" w:type="dxa"/>
            </w:tcMar>
          </w:tcPr>
          <w:p w14:paraId="48A3E52A"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7(36.8)</w:t>
            </w:r>
          </w:p>
        </w:tc>
        <w:tc>
          <w:tcPr>
            <w:tcW w:w="612" w:type="pct"/>
            <w:gridSpan w:val="2"/>
            <w:tcBorders>
              <w:left w:val="nil"/>
              <w:bottom w:val="nil"/>
              <w:right w:val="nil"/>
            </w:tcBorders>
            <w:shd w:val="clear" w:color="auto" w:fill="auto"/>
            <w:tcMar>
              <w:top w:w="15" w:type="dxa"/>
              <w:left w:w="67" w:type="dxa"/>
              <w:bottom w:w="0" w:type="dxa"/>
              <w:right w:w="67" w:type="dxa"/>
            </w:tcMar>
          </w:tcPr>
          <w:p w14:paraId="529B452A"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3(30.0)</w:t>
            </w:r>
          </w:p>
        </w:tc>
      </w:tr>
      <w:tr w:rsidR="001A7776" w:rsidRPr="008438F4" w14:paraId="59E94BD6" w14:textId="77777777" w:rsidTr="001A7776">
        <w:trPr>
          <w:gridBefore w:val="1"/>
          <w:gridAfter w:val="4"/>
          <w:wBefore w:w="23" w:type="pct"/>
          <w:wAfter w:w="120" w:type="pct"/>
          <w:trHeight w:val="383"/>
          <w:jc w:val="center"/>
        </w:trPr>
        <w:tc>
          <w:tcPr>
            <w:tcW w:w="2203" w:type="pct"/>
            <w:gridSpan w:val="4"/>
            <w:tcBorders>
              <w:left w:val="nil"/>
              <w:bottom w:val="nil"/>
              <w:right w:val="nil"/>
            </w:tcBorders>
            <w:shd w:val="clear" w:color="auto" w:fill="auto"/>
            <w:tcMar>
              <w:top w:w="15" w:type="dxa"/>
              <w:left w:w="67" w:type="dxa"/>
              <w:bottom w:w="0" w:type="dxa"/>
              <w:right w:w="67" w:type="dxa"/>
            </w:tcMar>
          </w:tcPr>
          <w:p w14:paraId="3FD92037" w14:textId="77777777" w:rsidR="0099247D" w:rsidRPr="008438F4" w:rsidRDefault="0099247D" w:rsidP="001A7776">
            <w:pPr>
              <w:spacing w:line="240" w:lineRule="auto"/>
              <w:ind w:left="-79" w:firstLine="30"/>
              <w:rPr>
                <w:rFonts w:ascii="Calibri" w:hAnsi="Calibri" w:cs="Calibri"/>
                <w:b/>
                <w:color w:val="000000"/>
                <w:kern w:val="24"/>
              </w:rPr>
            </w:pPr>
            <w:r w:rsidRPr="008438F4">
              <w:rPr>
                <w:rFonts w:ascii="Calibri" w:hAnsi="Calibri" w:cs="Calibri"/>
                <w:b/>
                <w:color w:val="000000"/>
                <w:kern w:val="24"/>
              </w:rPr>
              <w:t>Depression Score, ≥16</w:t>
            </w:r>
          </w:p>
        </w:tc>
        <w:tc>
          <w:tcPr>
            <w:tcW w:w="714" w:type="pct"/>
            <w:gridSpan w:val="3"/>
            <w:tcBorders>
              <w:left w:val="nil"/>
              <w:bottom w:val="nil"/>
              <w:right w:val="nil"/>
            </w:tcBorders>
            <w:shd w:val="clear" w:color="auto" w:fill="auto"/>
            <w:tcMar>
              <w:top w:w="15" w:type="dxa"/>
              <w:left w:w="67" w:type="dxa"/>
              <w:bottom w:w="0" w:type="dxa"/>
              <w:right w:w="67" w:type="dxa"/>
            </w:tcMar>
          </w:tcPr>
          <w:p w14:paraId="07B5A444"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4(21.1)</w:t>
            </w:r>
          </w:p>
        </w:tc>
        <w:tc>
          <w:tcPr>
            <w:tcW w:w="647" w:type="pct"/>
            <w:gridSpan w:val="2"/>
            <w:tcBorders>
              <w:left w:val="nil"/>
              <w:bottom w:val="nil"/>
              <w:right w:val="nil"/>
            </w:tcBorders>
            <w:shd w:val="clear" w:color="auto" w:fill="auto"/>
            <w:tcMar>
              <w:top w:w="15" w:type="dxa"/>
              <w:left w:w="67" w:type="dxa"/>
              <w:bottom w:w="0" w:type="dxa"/>
              <w:right w:w="67" w:type="dxa"/>
            </w:tcMar>
          </w:tcPr>
          <w:p w14:paraId="5E6B86B7"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0(0.0)</w:t>
            </w:r>
          </w:p>
        </w:tc>
        <w:tc>
          <w:tcPr>
            <w:tcW w:w="681" w:type="pct"/>
            <w:gridSpan w:val="3"/>
            <w:tcBorders>
              <w:left w:val="nil"/>
              <w:bottom w:val="nil"/>
              <w:right w:val="nil"/>
            </w:tcBorders>
            <w:shd w:val="clear" w:color="auto" w:fill="auto"/>
            <w:tcMar>
              <w:top w:w="15" w:type="dxa"/>
              <w:left w:w="67" w:type="dxa"/>
              <w:bottom w:w="0" w:type="dxa"/>
              <w:right w:w="67" w:type="dxa"/>
            </w:tcMar>
          </w:tcPr>
          <w:p w14:paraId="5E1BF54B"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4(21.1)</w:t>
            </w:r>
          </w:p>
        </w:tc>
        <w:tc>
          <w:tcPr>
            <w:tcW w:w="612" w:type="pct"/>
            <w:gridSpan w:val="2"/>
            <w:tcBorders>
              <w:left w:val="nil"/>
              <w:bottom w:val="nil"/>
              <w:right w:val="nil"/>
            </w:tcBorders>
            <w:shd w:val="clear" w:color="auto" w:fill="auto"/>
            <w:tcMar>
              <w:top w:w="15" w:type="dxa"/>
              <w:left w:w="67" w:type="dxa"/>
              <w:bottom w:w="0" w:type="dxa"/>
              <w:right w:w="67" w:type="dxa"/>
            </w:tcMar>
          </w:tcPr>
          <w:p w14:paraId="719E1DC7" w14:textId="77777777" w:rsidR="0099247D" w:rsidRPr="008438F4" w:rsidRDefault="0099247D" w:rsidP="001A7776">
            <w:pPr>
              <w:pStyle w:val="NormalWeb"/>
              <w:spacing w:before="0" w:beforeAutospacing="0" w:after="0" w:afterAutospacing="0"/>
              <w:ind w:left="-79" w:hanging="75"/>
              <w:jc w:val="center"/>
              <w:rPr>
                <w:rFonts w:ascii="Calibri" w:hAnsi="Calibri" w:cs="Calibri"/>
              </w:rPr>
            </w:pPr>
            <w:r w:rsidRPr="008438F4">
              <w:rPr>
                <w:rFonts w:ascii="Calibri" w:hAnsi="Calibri" w:cs="Calibri"/>
                <w:color w:val="000000"/>
                <w:kern w:val="24"/>
              </w:rPr>
              <w:t>0(0.0)</w:t>
            </w:r>
          </w:p>
        </w:tc>
      </w:tr>
      <w:tr w:rsidR="001A7776" w:rsidRPr="008438F4" w14:paraId="4E1416F1" w14:textId="77777777" w:rsidTr="001A7776">
        <w:trPr>
          <w:gridBefore w:val="1"/>
          <w:gridAfter w:val="4"/>
          <w:wBefore w:w="23" w:type="pct"/>
          <w:wAfter w:w="120" w:type="pct"/>
          <w:trHeight w:val="383"/>
          <w:jc w:val="center"/>
        </w:trPr>
        <w:tc>
          <w:tcPr>
            <w:tcW w:w="2203" w:type="pct"/>
            <w:gridSpan w:val="4"/>
            <w:tcBorders>
              <w:top w:val="nil"/>
              <w:left w:val="nil"/>
              <w:bottom w:val="nil"/>
              <w:right w:val="nil"/>
            </w:tcBorders>
            <w:shd w:val="clear" w:color="auto" w:fill="auto"/>
            <w:tcMar>
              <w:top w:w="15" w:type="dxa"/>
              <w:left w:w="67" w:type="dxa"/>
              <w:bottom w:w="0" w:type="dxa"/>
              <w:right w:w="67" w:type="dxa"/>
            </w:tcMar>
            <w:hideMark/>
          </w:tcPr>
          <w:p w14:paraId="660F23FC" w14:textId="77777777" w:rsidR="0099247D" w:rsidRPr="008438F4" w:rsidRDefault="0099247D" w:rsidP="001A7776">
            <w:pPr>
              <w:spacing w:line="240" w:lineRule="auto"/>
              <w:ind w:left="-79" w:firstLine="30"/>
              <w:rPr>
                <w:rFonts w:ascii="Calibri" w:hAnsi="Calibri" w:cs="Calibri"/>
                <w:b/>
              </w:rPr>
            </w:pPr>
            <w:r w:rsidRPr="008438F4">
              <w:rPr>
                <w:rFonts w:ascii="Calibri" w:hAnsi="Calibri" w:cs="Calibri"/>
                <w:b/>
                <w:color w:val="000000"/>
                <w:kern w:val="24"/>
              </w:rPr>
              <w:t>Usual gait speed, m/s</w:t>
            </w:r>
          </w:p>
        </w:tc>
        <w:tc>
          <w:tcPr>
            <w:tcW w:w="714" w:type="pct"/>
            <w:gridSpan w:val="3"/>
            <w:tcBorders>
              <w:top w:val="nil"/>
              <w:left w:val="nil"/>
              <w:bottom w:val="nil"/>
              <w:right w:val="nil"/>
            </w:tcBorders>
            <w:shd w:val="clear" w:color="auto" w:fill="auto"/>
            <w:tcMar>
              <w:top w:w="15" w:type="dxa"/>
              <w:left w:w="67" w:type="dxa"/>
              <w:bottom w:w="0" w:type="dxa"/>
              <w:right w:w="67" w:type="dxa"/>
            </w:tcMar>
            <w:hideMark/>
          </w:tcPr>
          <w:p w14:paraId="6DE4732E" w14:textId="77777777" w:rsidR="0099247D" w:rsidRPr="008438F4" w:rsidRDefault="0099247D" w:rsidP="001A7776">
            <w:pPr>
              <w:tabs>
                <w:tab w:val="left" w:pos="942"/>
              </w:tabs>
              <w:spacing w:line="240" w:lineRule="auto"/>
              <w:ind w:left="-79" w:hanging="75"/>
              <w:jc w:val="center"/>
              <w:rPr>
                <w:rFonts w:ascii="Calibri" w:hAnsi="Calibri" w:cs="Calibri"/>
                <w:vertAlign w:val="superscript"/>
              </w:rPr>
            </w:pPr>
            <w:r w:rsidRPr="008438F4">
              <w:rPr>
                <w:rFonts w:ascii="Calibri" w:hAnsi="Calibri" w:cs="Calibri"/>
                <w:color w:val="000000"/>
                <w:kern w:val="24"/>
              </w:rPr>
              <w:t>0.73±0.15</w:t>
            </w:r>
            <w:r w:rsidR="00297B2D" w:rsidRPr="008438F4">
              <w:rPr>
                <w:rFonts w:ascii="Calibri" w:hAnsi="Calibri" w:cs="Calibri"/>
                <w:color w:val="000000"/>
                <w:kern w:val="24"/>
                <w:vertAlign w:val="superscript"/>
              </w:rPr>
              <w:t>a</w:t>
            </w:r>
          </w:p>
        </w:tc>
        <w:tc>
          <w:tcPr>
            <w:tcW w:w="647" w:type="pct"/>
            <w:gridSpan w:val="2"/>
            <w:tcBorders>
              <w:top w:val="nil"/>
              <w:left w:val="nil"/>
              <w:bottom w:val="nil"/>
              <w:right w:val="nil"/>
            </w:tcBorders>
            <w:shd w:val="clear" w:color="auto" w:fill="auto"/>
            <w:tcMar>
              <w:top w:w="15" w:type="dxa"/>
              <w:left w:w="67" w:type="dxa"/>
              <w:bottom w:w="0" w:type="dxa"/>
              <w:right w:w="67" w:type="dxa"/>
            </w:tcMar>
            <w:hideMark/>
          </w:tcPr>
          <w:p w14:paraId="7023967B"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0.96±0.20</w:t>
            </w:r>
            <w:r w:rsidR="00297B2D" w:rsidRPr="008438F4">
              <w:rPr>
                <w:rFonts w:ascii="Calibri" w:hAnsi="Calibri" w:cs="Calibri"/>
                <w:color w:val="000000"/>
                <w:kern w:val="24"/>
                <w:vertAlign w:val="superscript"/>
              </w:rPr>
              <w:t>a</w:t>
            </w:r>
          </w:p>
        </w:tc>
        <w:tc>
          <w:tcPr>
            <w:tcW w:w="681" w:type="pct"/>
            <w:gridSpan w:val="3"/>
            <w:tcBorders>
              <w:top w:val="nil"/>
              <w:left w:val="nil"/>
              <w:bottom w:val="nil"/>
              <w:right w:val="nil"/>
            </w:tcBorders>
            <w:shd w:val="clear" w:color="auto" w:fill="auto"/>
            <w:tcMar>
              <w:top w:w="15" w:type="dxa"/>
              <w:left w:w="67" w:type="dxa"/>
              <w:bottom w:w="0" w:type="dxa"/>
              <w:right w:w="67" w:type="dxa"/>
            </w:tcMar>
            <w:hideMark/>
          </w:tcPr>
          <w:p w14:paraId="2050E6BE"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0.76±0.20</w:t>
            </w:r>
            <w:r w:rsidR="00297B2D" w:rsidRPr="008438F4">
              <w:rPr>
                <w:rFonts w:ascii="Calibri" w:hAnsi="Calibri" w:cs="Calibri"/>
                <w:color w:val="000000"/>
                <w:kern w:val="24"/>
                <w:vertAlign w:val="superscript"/>
              </w:rPr>
              <w:t>a</w:t>
            </w:r>
          </w:p>
        </w:tc>
        <w:tc>
          <w:tcPr>
            <w:tcW w:w="612" w:type="pct"/>
            <w:gridSpan w:val="2"/>
            <w:tcBorders>
              <w:top w:val="nil"/>
              <w:left w:val="nil"/>
              <w:bottom w:val="nil"/>
              <w:right w:val="nil"/>
            </w:tcBorders>
            <w:shd w:val="clear" w:color="auto" w:fill="auto"/>
            <w:tcMar>
              <w:top w:w="15" w:type="dxa"/>
              <w:left w:w="67" w:type="dxa"/>
              <w:bottom w:w="0" w:type="dxa"/>
              <w:right w:w="67" w:type="dxa"/>
            </w:tcMar>
            <w:hideMark/>
          </w:tcPr>
          <w:p w14:paraId="5AB0DCD1"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0.90±0.16</w:t>
            </w:r>
            <w:r w:rsidR="00297B2D" w:rsidRPr="008438F4">
              <w:rPr>
                <w:rFonts w:ascii="Calibri" w:hAnsi="Calibri" w:cs="Calibri"/>
                <w:color w:val="000000"/>
                <w:kern w:val="24"/>
                <w:vertAlign w:val="superscript"/>
              </w:rPr>
              <w:t>a</w:t>
            </w:r>
          </w:p>
        </w:tc>
      </w:tr>
      <w:tr w:rsidR="001A7776" w:rsidRPr="008438F4" w14:paraId="64A0F917" w14:textId="77777777" w:rsidTr="001A7776">
        <w:trPr>
          <w:gridBefore w:val="1"/>
          <w:gridAfter w:val="4"/>
          <w:wBefore w:w="23" w:type="pct"/>
          <w:wAfter w:w="120" w:type="pct"/>
          <w:trHeight w:val="472"/>
          <w:jc w:val="center"/>
        </w:trPr>
        <w:tc>
          <w:tcPr>
            <w:tcW w:w="2203" w:type="pct"/>
            <w:gridSpan w:val="4"/>
            <w:tcBorders>
              <w:top w:val="nil"/>
              <w:left w:val="nil"/>
              <w:bottom w:val="nil"/>
              <w:right w:val="nil"/>
            </w:tcBorders>
            <w:shd w:val="clear" w:color="auto" w:fill="auto"/>
            <w:tcMar>
              <w:top w:w="15" w:type="dxa"/>
              <w:left w:w="67" w:type="dxa"/>
              <w:bottom w:w="0" w:type="dxa"/>
              <w:right w:w="67" w:type="dxa"/>
            </w:tcMar>
            <w:hideMark/>
          </w:tcPr>
          <w:p w14:paraId="73C0ED4B" w14:textId="53063C2D" w:rsidR="0099247D" w:rsidRPr="008438F4" w:rsidRDefault="00BF3561" w:rsidP="00BF3561">
            <w:pPr>
              <w:spacing w:line="240" w:lineRule="auto"/>
              <w:ind w:left="-79" w:firstLine="30"/>
              <w:rPr>
                <w:rFonts w:ascii="Calibri" w:hAnsi="Calibri" w:cs="Calibri"/>
                <w:b/>
              </w:rPr>
            </w:pPr>
            <w:r>
              <w:rPr>
                <w:rFonts w:ascii="Calibri" w:hAnsi="Calibri" w:cs="Calibri"/>
                <w:b/>
                <w:color w:val="000000"/>
                <w:kern w:val="24"/>
              </w:rPr>
              <w:t xml:space="preserve">Usual-paced </w:t>
            </w:r>
            <w:r w:rsidR="0099247D" w:rsidRPr="008438F4">
              <w:rPr>
                <w:rFonts w:ascii="Calibri" w:hAnsi="Calibri" w:cs="Calibri"/>
                <w:b/>
                <w:color w:val="000000"/>
                <w:kern w:val="24"/>
              </w:rPr>
              <w:t xml:space="preserve">400-m walk time, </w:t>
            </w:r>
            <w:r>
              <w:rPr>
                <w:rFonts w:ascii="Calibri" w:hAnsi="Calibri" w:cs="Calibri"/>
                <w:b/>
                <w:color w:val="000000"/>
                <w:kern w:val="24"/>
              </w:rPr>
              <w:t>sec</w:t>
            </w:r>
            <w:r w:rsidR="00E776E4">
              <w:rPr>
                <w:rFonts w:ascii="Calibri" w:hAnsi="Calibri" w:cs="Calibri"/>
                <w:b/>
                <w:color w:val="000000"/>
                <w:kern w:val="24"/>
              </w:rPr>
              <w:t>onds</w:t>
            </w:r>
          </w:p>
        </w:tc>
        <w:tc>
          <w:tcPr>
            <w:tcW w:w="714" w:type="pct"/>
            <w:gridSpan w:val="3"/>
            <w:tcBorders>
              <w:top w:val="nil"/>
              <w:left w:val="nil"/>
              <w:bottom w:val="nil"/>
              <w:right w:val="nil"/>
            </w:tcBorders>
            <w:shd w:val="clear" w:color="auto" w:fill="auto"/>
            <w:tcMar>
              <w:top w:w="15" w:type="dxa"/>
              <w:left w:w="67" w:type="dxa"/>
              <w:bottom w:w="0" w:type="dxa"/>
              <w:right w:w="67" w:type="dxa"/>
            </w:tcMar>
            <w:hideMark/>
          </w:tcPr>
          <w:p w14:paraId="4B5C5CF8"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523.2±131.0</w:t>
            </w:r>
            <w:r w:rsidR="00DE29BF" w:rsidRPr="008438F4">
              <w:rPr>
                <w:rFonts w:ascii="Calibri" w:hAnsi="Calibri" w:cs="Calibri"/>
                <w:color w:val="000000"/>
                <w:kern w:val="24"/>
                <w:vertAlign w:val="superscript"/>
              </w:rPr>
              <w:t>a</w:t>
            </w:r>
          </w:p>
        </w:tc>
        <w:tc>
          <w:tcPr>
            <w:tcW w:w="647" w:type="pct"/>
            <w:gridSpan w:val="2"/>
            <w:tcBorders>
              <w:top w:val="nil"/>
              <w:left w:val="nil"/>
              <w:bottom w:val="nil"/>
              <w:right w:val="nil"/>
            </w:tcBorders>
            <w:shd w:val="clear" w:color="auto" w:fill="auto"/>
            <w:tcMar>
              <w:top w:w="15" w:type="dxa"/>
              <w:left w:w="67" w:type="dxa"/>
              <w:bottom w:w="0" w:type="dxa"/>
              <w:right w:w="67" w:type="dxa"/>
            </w:tcMar>
            <w:hideMark/>
          </w:tcPr>
          <w:p w14:paraId="31676059"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432.2±64.1</w:t>
            </w:r>
            <w:r w:rsidR="00DE29BF" w:rsidRPr="008438F4">
              <w:rPr>
                <w:rFonts w:ascii="Calibri" w:hAnsi="Calibri" w:cs="Calibri"/>
                <w:color w:val="000000"/>
                <w:kern w:val="24"/>
                <w:vertAlign w:val="superscript"/>
              </w:rPr>
              <w:t>a</w:t>
            </w:r>
          </w:p>
        </w:tc>
        <w:tc>
          <w:tcPr>
            <w:tcW w:w="681" w:type="pct"/>
            <w:gridSpan w:val="3"/>
            <w:tcBorders>
              <w:top w:val="nil"/>
              <w:left w:val="nil"/>
              <w:bottom w:val="nil"/>
              <w:right w:val="nil"/>
            </w:tcBorders>
            <w:shd w:val="clear" w:color="auto" w:fill="auto"/>
            <w:tcMar>
              <w:top w:w="15" w:type="dxa"/>
              <w:left w:w="67" w:type="dxa"/>
              <w:bottom w:w="0" w:type="dxa"/>
              <w:right w:w="67" w:type="dxa"/>
            </w:tcMar>
            <w:hideMark/>
          </w:tcPr>
          <w:p w14:paraId="65E81065"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519.5±127.2</w:t>
            </w:r>
            <w:r w:rsidR="00DE29BF" w:rsidRPr="008438F4">
              <w:rPr>
                <w:rFonts w:ascii="Calibri" w:hAnsi="Calibri" w:cs="Calibri"/>
                <w:color w:val="000000"/>
                <w:kern w:val="24"/>
                <w:vertAlign w:val="superscript"/>
              </w:rPr>
              <w:t>a</w:t>
            </w:r>
          </w:p>
        </w:tc>
        <w:tc>
          <w:tcPr>
            <w:tcW w:w="612" w:type="pct"/>
            <w:gridSpan w:val="2"/>
            <w:tcBorders>
              <w:top w:val="nil"/>
              <w:left w:val="nil"/>
              <w:bottom w:val="nil"/>
              <w:right w:val="nil"/>
            </w:tcBorders>
            <w:shd w:val="clear" w:color="auto" w:fill="auto"/>
            <w:tcMar>
              <w:top w:w="15" w:type="dxa"/>
              <w:left w:w="67" w:type="dxa"/>
              <w:bottom w:w="0" w:type="dxa"/>
              <w:right w:w="67" w:type="dxa"/>
            </w:tcMar>
            <w:hideMark/>
          </w:tcPr>
          <w:p w14:paraId="12C9D945" w14:textId="77777777" w:rsidR="0099247D" w:rsidRPr="008438F4" w:rsidRDefault="0099247D" w:rsidP="001A7776">
            <w:pPr>
              <w:spacing w:line="240" w:lineRule="auto"/>
              <w:ind w:left="-79" w:hanging="75"/>
              <w:jc w:val="center"/>
              <w:rPr>
                <w:rFonts w:ascii="Calibri" w:hAnsi="Calibri" w:cs="Calibri"/>
                <w:vertAlign w:val="superscript"/>
              </w:rPr>
            </w:pPr>
            <w:r w:rsidRPr="008438F4">
              <w:rPr>
                <w:rFonts w:ascii="Calibri" w:hAnsi="Calibri" w:cs="Calibri"/>
                <w:color w:val="000000"/>
                <w:kern w:val="24"/>
              </w:rPr>
              <w:t>439.3±86.1</w:t>
            </w:r>
            <w:r w:rsidR="00DE29BF" w:rsidRPr="008438F4">
              <w:rPr>
                <w:rFonts w:ascii="Calibri" w:hAnsi="Calibri" w:cs="Calibri"/>
                <w:color w:val="000000"/>
                <w:kern w:val="24"/>
                <w:vertAlign w:val="superscript"/>
              </w:rPr>
              <w:t>a</w:t>
            </w:r>
          </w:p>
        </w:tc>
      </w:tr>
      <w:tr w:rsidR="001A7776" w:rsidRPr="008438F4" w14:paraId="10BDFDA4" w14:textId="77777777" w:rsidTr="001A7776">
        <w:trPr>
          <w:gridBefore w:val="1"/>
          <w:gridAfter w:val="4"/>
          <w:wBefore w:w="23" w:type="pct"/>
          <w:wAfter w:w="120" w:type="pct"/>
          <w:trHeight w:val="383"/>
          <w:jc w:val="center"/>
        </w:trPr>
        <w:tc>
          <w:tcPr>
            <w:tcW w:w="2203" w:type="pct"/>
            <w:gridSpan w:val="4"/>
            <w:tcBorders>
              <w:top w:val="nil"/>
              <w:left w:val="nil"/>
              <w:bottom w:val="nil"/>
              <w:right w:val="nil"/>
            </w:tcBorders>
            <w:shd w:val="clear" w:color="auto" w:fill="auto"/>
            <w:tcMar>
              <w:top w:w="15" w:type="dxa"/>
              <w:left w:w="67" w:type="dxa"/>
              <w:bottom w:w="0" w:type="dxa"/>
              <w:right w:w="67" w:type="dxa"/>
            </w:tcMar>
            <w:hideMark/>
          </w:tcPr>
          <w:p w14:paraId="0E80DD12" w14:textId="77777777" w:rsidR="0099247D" w:rsidRPr="008438F4" w:rsidRDefault="0099247D" w:rsidP="001A7776">
            <w:pPr>
              <w:spacing w:line="240" w:lineRule="auto"/>
              <w:ind w:left="-79" w:firstLine="30"/>
              <w:rPr>
                <w:rFonts w:ascii="Calibri" w:hAnsi="Calibri" w:cs="Calibri"/>
                <w:b/>
              </w:rPr>
            </w:pPr>
            <w:r w:rsidRPr="008438F4">
              <w:rPr>
                <w:rFonts w:ascii="Calibri" w:hAnsi="Calibri" w:cs="Calibri"/>
                <w:b/>
              </w:rPr>
              <w:t>Short Physi</w:t>
            </w:r>
            <w:r w:rsidR="0011080D" w:rsidRPr="008438F4">
              <w:rPr>
                <w:rFonts w:ascii="Calibri" w:hAnsi="Calibri" w:cs="Calibri"/>
                <w:b/>
              </w:rPr>
              <w:t>cal Performance Battery Score, 0-12</w:t>
            </w:r>
          </w:p>
        </w:tc>
        <w:tc>
          <w:tcPr>
            <w:tcW w:w="714" w:type="pct"/>
            <w:gridSpan w:val="3"/>
            <w:tcBorders>
              <w:top w:val="nil"/>
              <w:left w:val="nil"/>
              <w:bottom w:val="nil"/>
              <w:right w:val="nil"/>
            </w:tcBorders>
            <w:shd w:val="clear" w:color="auto" w:fill="auto"/>
            <w:tcMar>
              <w:top w:w="15" w:type="dxa"/>
              <w:left w:w="67" w:type="dxa"/>
              <w:bottom w:w="0" w:type="dxa"/>
              <w:right w:w="67" w:type="dxa"/>
            </w:tcMar>
            <w:hideMark/>
          </w:tcPr>
          <w:p w14:paraId="00ADBCBB" w14:textId="77777777" w:rsidR="0099247D" w:rsidRPr="008438F4" w:rsidRDefault="0011080D" w:rsidP="001A7776">
            <w:pPr>
              <w:spacing w:line="240" w:lineRule="auto"/>
              <w:ind w:left="-79" w:hanging="75"/>
              <w:jc w:val="center"/>
              <w:rPr>
                <w:rFonts w:ascii="Calibri" w:hAnsi="Calibri" w:cs="Calibri"/>
                <w:vertAlign w:val="superscript"/>
              </w:rPr>
            </w:pPr>
            <w:r w:rsidRPr="008438F4">
              <w:rPr>
                <w:rFonts w:ascii="Calibri" w:hAnsi="Calibri" w:cs="Calibri"/>
                <w:kern w:val="24"/>
              </w:rPr>
              <w:t>7.2±1.5</w:t>
            </w:r>
            <w:r w:rsidR="00297B2D" w:rsidRPr="008438F4">
              <w:rPr>
                <w:rFonts w:ascii="Calibri" w:hAnsi="Calibri" w:cs="Calibri"/>
                <w:kern w:val="24"/>
                <w:vertAlign w:val="superscript"/>
              </w:rPr>
              <w:t>a</w:t>
            </w:r>
          </w:p>
        </w:tc>
        <w:tc>
          <w:tcPr>
            <w:tcW w:w="647" w:type="pct"/>
            <w:gridSpan w:val="2"/>
            <w:tcBorders>
              <w:top w:val="nil"/>
              <w:left w:val="nil"/>
              <w:bottom w:val="nil"/>
              <w:right w:val="nil"/>
            </w:tcBorders>
            <w:shd w:val="clear" w:color="auto" w:fill="auto"/>
            <w:tcMar>
              <w:top w:w="15" w:type="dxa"/>
              <w:left w:w="67" w:type="dxa"/>
              <w:bottom w:w="0" w:type="dxa"/>
              <w:right w:w="67" w:type="dxa"/>
            </w:tcMar>
            <w:hideMark/>
          </w:tcPr>
          <w:p w14:paraId="242E0676" w14:textId="77777777" w:rsidR="0099247D" w:rsidRPr="008438F4" w:rsidRDefault="0011080D" w:rsidP="001A7776">
            <w:pPr>
              <w:spacing w:line="240" w:lineRule="auto"/>
              <w:ind w:left="-79" w:hanging="75"/>
              <w:jc w:val="center"/>
              <w:rPr>
                <w:rFonts w:ascii="Calibri" w:hAnsi="Calibri" w:cs="Calibri"/>
                <w:vertAlign w:val="superscript"/>
              </w:rPr>
            </w:pPr>
            <w:r w:rsidRPr="008438F4">
              <w:rPr>
                <w:rFonts w:ascii="Calibri" w:hAnsi="Calibri" w:cs="Calibri"/>
                <w:kern w:val="24"/>
              </w:rPr>
              <w:t>8.5±0.7</w:t>
            </w:r>
            <w:r w:rsidR="00297B2D" w:rsidRPr="008438F4">
              <w:rPr>
                <w:rFonts w:ascii="Calibri" w:hAnsi="Calibri" w:cs="Calibri"/>
                <w:kern w:val="24"/>
                <w:vertAlign w:val="superscript"/>
              </w:rPr>
              <w:t>a</w:t>
            </w:r>
          </w:p>
        </w:tc>
        <w:tc>
          <w:tcPr>
            <w:tcW w:w="681" w:type="pct"/>
            <w:gridSpan w:val="3"/>
            <w:tcBorders>
              <w:top w:val="nil"/>
              <w:left w:val="nil"/>
              <w:bottom w:val="nil"/>
              <w:right w:val="nil"/>
            </w:tcBorders>
            <w:shd w:val="clear" w:color="auto" w:fill="auto"/>
            <w:tcMar>
              <w:top w:w="15" w:type="dxa"/>
              <w:left w:w="67" w:type="dxa"/>
              <w:bottom w:w="0" w:type="dxa"/>
              <w:right w:w="67" w:type="dxa"/>
            </w:tcMar>
            <w:hideMark/>
          </w:tcPr>
          <w:p w14:paraId="14BA9D03" w14:textId="77777777" w:rsidR="0099247D" w:rsidRPr="008438F4" w:rsidRDefault="0011080D" w:rsidP="001A7776">
            <w:pPr>
              <w:spacing w:line="240" w:lineRule="auto"/>
              <w:ind w:left="-79" w:hanging="75"/>
              <w:jc w:val="center"/>
              <w:rPr>
                <w:rFonts w:ascii="Calibri" w:hAnsi="Calibri" w:cs="Calibri"/>
                <w:vertAlign w:val="superscript"/>
              </w:rPr>
            </w:pPr>
            <w:r w:rsidRPr="008438F4">
              <w:rPr>
                <w:rFonts w:ascii="Calibri" w:hAnsi="Calibri" w:cs="Calibri"/>
                <w:kern w:val="24"/>
              </w:rPr>
              <w:t>7.3±1.5</w:t>
            </w:r>
            <w:r w:rsidRPr="008438F4">
              <w:rPr>
                <w:rFonts w:ascii="Calibri" w:hAnsi="Calibri" w:cs="Calibri"/>
                <w:kern w:val="24"/>
                <w:vertAlign w:val="superscript"/>
              </w:rPr>
              <w:t>a</w:t>
            </w:r>
          </w:p>
        </w:tc>
        <w:tc>
          <w:tcPr>
            <w:tcW w:w="612" w:type="pct"/>
            <w:gridSpan w:val="2"/>
            <w:tcBorders>
              <w:top w:val="nil"/>
              <w:left w:val="nil"/>
              <w:bottom w:val="nil"/>
              <w:right w:val="nil"/>
            </w:tcBorders>
            <w:shd w:val="clear" w:color="auto" w:fill="auto"/>
            <w:tcMar>
              <w:top w:w="15" w:type="dxa"/>
              <w:left w:w="67" w:type="dxa"/>
              <w:bottom w:w="0" w:type="dxa"/>
              <w:right w:w="67" w:type="dxa"/>
            </w:tcMar>
            <w:hideMark/>
          </w:tcPr>
          <w:p w14:paraId="56262749" w14:textId="77777777" w:rsidR="0099247D" w:rsidRPr="008438F4" w:rsidRDefault="0011080D" w:rsidP="001A7776">
            <w:pPr>
              <w:spacing w:line="240" w:lineRule="auto"/>
              <w:ind w:left="-79" w:hanging="75"/>
              <w:jc w:val="center"/>
              <w:rPr>
                <w:rFonts w:ascii="Calibri" w:hAnsi="Calibri" w:cs="Calibri"/>
                <w:vertAlign w:val="superscript"/>
              </w:rPr>
            </w:pPr>
            <w:r w:rsidRPr="008438F4">
              <w:rPr>
                <w:rFonts w:ascii="Calibri" w:hAnsi="Calibri" w:cs="Calibri"/>
                <w:kern w:val="24"/>
              </w:rPr>
              <w:t>8.2±1.3</w:t>
            </w:r>
            <w:r w:rsidRPr="008438F4">
              <w:rPr>
                <w:rFonts w:ascii="Calibri" w:hAnsi="Calibri" w:cs="Calibri"/>
                <w:kern w:val="24"/>
                <w:vertAlign w:val="superscript"/>
              </w:rPr>
              <w:t>a</w:t>
            </w:r>
          </w:p>
        </w:tc>
      </w:tr>
      <w:tr w:rsidR="001A7776" w:rsidRPr="008438F4" w14:paraId="6AC88DD8" w14:textId="77777777" w:rsidTr="001A7776">
        <w:trPr>
          <w:gridBefore w:val="1"/>
          <w:gridAfter w:val="4"/>
          <w:wBefore w:w="23" w:type="pct"/>
          <w:wAfter w:w="120" w:type="pct"/>
          <w:jc w:val="center"/>
        </w:trPr>
        <w:tc>
          <w:tcPr>
            <w:tcW w:w="2203" w:type="pct"/>
            <w:gridSpan w:val="4"/>
            <w:tcBorders>
              <w:top w:val="nil"/>
              <w:left w:val="nil"/>
              <w:right w:val="nil"/>
            </w:tcBorders>
            <w:shd w:val="clear" w:color="auto" w:fill="auto"/>
            <w:tcMar>
              <w:top w:w="15" w:type="dxa"/>
              <w:left w:w="67" w:type="dxa"/>
              <w:bottom w:w="0" w:type="dxa"/>
              <w:right w:w="67" w:type="dxa"/>
            </w:tcMar>
            <w:hideMark/>
          </w:tcPr>
          <w:p w14:paraId="63B83DC4" w14:textId="77777777" w:rsidR="0099247D" w:rsidRPr="008438F4" w:rsidRDefault="0099247D" w:rsidP="001A7776">
            <w:pPr>
              <w:spacing w:line="240" w:lineRule="auto"/>
              <w:ind w:left="-79" w:firstLine="30"/>
              <w:rPr>
                <w:rFonts w:ascii="Calibri" w:hAnsi="Calibri" w:cs="Calibri"/>
                <w:b/>
                <w:color w:val="ED7D31"/>
              </w:rPr>
            </w:pPr>
            <w:r w:rsidRPr="008438F4">
              <w:rPr>
                <w:rFonts w:ascii="Calibri" w:hAnsi="Calibri" w:cs="Calibri"/>
                <w:b/>
                <w:color w:val="000000"/>
                <w:kern w:val="24"/>
              </w:rPr>
              <w:t>Mini-Mental State Examination score</w:t>
            </w:r>
            <w:r w:rsidRPr="008438F4">
              <w:rPr>
                <w:rFonts w:ascii="Calibri" w:hAnsi="Calibri" w:cs="Calibri"/>
                <w:b/>
                <w:color w:val="ED7D31"/>
                <w:kern w:val="24"/>
              </w:rPr>
              <w:t xml:space="preserve"> </w:t>
            </w:r>
          </w:p>
        </w:tc>
        <w:tc>
          <w:tcPr>
            <w:tcW w:w="714" w:type="pct"/>
            <w:gridSpan w:val="3"/>
            <w:tcBorders>
              <w:top w:val="nil"/>
              <w:left w:val="nil"/>
              <w:right w:val="nil"/>
            </w:tcBorders>
            <w:shd w:val="clear" w:color="auto" w:fill="auto"/>
            <w:tcMar>
              <w:top w:w="15" w:type="dxa"/>
              <w:left w:w="67" w:type="dxa"/>
              <w:bottom w:w="0" w:type="dxa"/>
              <w:right w:w="67" w:type="dxa"/>
            </w:tcMar>
            <w:hideMark/>
          </w:tcPr>
          <w:p w14:paraId="2E266318"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91.1±6.0</w:t>
            </w:r>
          </w:p>
        </w:tc>
        <w:tc>
          <w:tcPr>
            <w:tcW w:w="647" w:type="pct"/>
            <w:gridSpan w:val="2"/>
            <w:tcBorders>
              <w:top w:val="nil"/>
              <w:left w:val="nil"/>
              <w:right w:val="nil"/>
            </w:tcBorders>
            <w:shd w:val="clear" w:color="auto" w:fill="auto"/>
            <w:tcMar>
              <w:top w:w="15" w:type="dxa"/>
              <w:left w:w="67" w:type="dxa"/>
              <w:bottom w:w="0" w:type="dxa"/>
              <w:right w:w="67" w:type="dxa"/>
            </w:tcMar>
            <w:hideMark/>
          </w:tcPr>
          <w:p w14:paraId="11B44FDC"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90.3±5.2</w:t>
            </w:r>
          </w:p>
        </w:tc>
        <w:tc>
          <w:tcPr>
            <w:tcW w:w="681" w:type="pct"/>
            <w:gridSpan w:val="3"/>
            <w:tcBorders>
              <w:top w:val="nil"/>
              <w:left w:val="nil"/>
              <w:right w:val="nil"/>
            </w:tcBorders>
            <w:shd w:val="clear" w:color="auto" w:fill="auto"/>
            <w:tcMar>
              <w:top w:w="15" w:type="dxa"/>
              <w:left w:w="67" w:type="dxa"/>
              <w:bottom w:w="0" w:type="dxa"/>
              <w:right w:w="67" w:type="dxa"/>
            </w:tcMar>
            <w:hideMark/>
          </w:tcPr>
          <w:p w14:paraId="4D6870FB"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90.5±5.7</w:t>
            </w:r>
          </w:p>
        </w:tc>
        <w:tc>
          <w:tcPr>
            <w:tcW w:w="612" w:type="pct"/>
            <w:gridSpan w:val="2"/>
            <w:tcBorders>
              <w:top w:val="nil"/>
              <w:left w:val="nil"/>
              <w:right w:val="nil"/>
            </w:tcBorders>
            <w:shd w:val="clear" w:color="auto" w:fill="auto"/>
            <w:tcMar>
              <w:top w:w="15" w:type="dxa"/>
              <w:left w:w="67" w:type="dxa"/>
              <w:bottom w:w="0" w:type="dxa"/>
              <w:right w:w="67" w:type="dxa"/>
            </w:tcMar>
            <w:hideMark/>
          </w:tcPr>
          <w:p w14:paraId="3AC320A8"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91.7±5.8</w:t>
            </w:r>
          </w:p>
        </w:tc>
      </w:tr>
      <w:tr w:rsidR="001A7776" w:rsidRPr="008438F4" w14:paraId="71C8D06E" w14:textId="77777777" w:rsidTr="00233817">
        <w:trPr>
          <w:gridBefore w:val="1"/>
          <w:gridAfter w:val="3"/>
          <w:wBefore w:w="23" w:type="pct"/>
          <w:wAfter w:w="72" w:type="pct"/>
          <w:trHeight w:val="375"/>
          <w:jc w:val="center"/>
        </w:trPr>
        <w:tc>
          <w:tcPr>
            <w:tcW w:w="2203" w:type="pct"/>
            <w:gridSpan w:val="4"/>
            <w:tcBorders>
              <w:top w:val="nil"/>
              <w:left w:val="nil"/>
              <w:bottom w:val="single" w:sz="8" w:space="0" w:color="auto"/>
              <w:right w:val="nil"/>
            </w:tcBorders>
            <w:shd w:val="clear" w:color="auto" w:fill="auto"/>
            <w:tcMar>
              <w:top w:w="15" w:type="dxa"/>
              <w:left w:w="67" w:type="dxa"/>
              <w:bottom w:w="0" w:type="dxa"/>
              <w:right w:w="67" w:type="dxa"/>
            </w:tcMar>
            <w:hideMark/>
          </w:tcPr>
          <w:p w14:paraId="2AF675E1" w14:textId="1C767042" w:rsidR="0099247D" w:rsidRPr="008438F4" w:rsidRDefault="0099247D" w:rsidP="001A7776">
            <w:pPr>
              <w:spacing w:line="240" w:lineRule="auto"/>
              <w:ind w:left="-79" w:firstLine="30"/>
              <w:rPr>
                <w:rFonts w:ascii="Calibri" w:hAnsi="Calibri" w:cs="Calibri"/>
                <w:b/>
                <w:color w:val="ED7D31"/>
              </w:rPr>
            </w:pPr>
            <w:r w:rsidRPr="008438F4">
              <w:rPr>
                <w:rFonts w:ascii="Calibri" w:hAnsi="Calibri" w:cs="Calibri"/>
                <w:b/>
                <w:color w:val="000000"/>
                <w:kern w:val="24"/>
              </w:rPr>
              <w:t xml:space="preserve">Digit Symbol Substitution </w:t>
            </w:r>
            <w:r w:rsidR="005D395E" w:rsidRPr="00A273B7">
              <w:rPr>
                <w:rFonts w:ascii="Calibri" w:hAnsi="Calibri" w:cs="Calibri"/>
                <w:b/>
                <w:kern w:val="24"/>
              </w:rPr>
              <w:t>Sub</w:t>
            </w:r>
            <w:r w:rsidRPr="00A273B7">
              <w:rPr>
                <w:rFonts w:ascii="Calibri" w:hAnsi="Calibri" w:cs="Calibri"/>
                <w:b/>
                <w:kern w:val="24"/>
              </w:rPr>
              <w:t xml:space="preserve">Test </w:t>
            </w:r>
            <w:r w:rsidR="00BF3561" w:rsidRPr="00A273B7">
              <w:rPr>
                <w:rFonts w:ascii="Calibri" w:hAnsi="Calibri" w:cs="Calibri"/>
                <w:b/>
                <w:kern w:val="24"/>
              </w:rPr>
              <w:t>Score</w:t>
            </w:r>
          </w:p>
        </w:tc>
        <w:tc>
          <w:tcPr>
            <w:tcW w:w="714" w:type="pct"/>
            <w:gridSpan w:val="3"/>
            <w:tcBorders>
              <w:top w:val="nil"/>
              <w:left w:val="nil"/>
              <w:bottom w:val="single" w:sz="8" w:space="0" w:color="auto"/>
              <w:right w:val="nil"/>
            </w:tcBorders>
            <w:shd w:val="clear" w:color="auto" w:fill="auto"/>
            <w:tcMar>
              <w:top w:w="15" w:type="dxa"/>
              <w:left w:w="67" w:type="dxa"/>
              <w:bottom w:w="0" w:type="dxa"/>
              <w:right w:w="67" w:type="dxa"/>
            </w:tcMar>
            <w:hideMark/>
          </w:tcPr>
          <w:p w14:paraId="4C150D7B"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47.0±13.0</w:t>
            </w:r>
          </w:p>
        </w:tc>
        <w:tc>
          <w:tcPr>
            <w:tcW w:w="647" w:type="pct"/>
            <w:gridSpan w:val="2"/>
            <w:tcBorders>
              <w:top w:val="nil"/>
              <w:left w:val="nil"/>
              <w:bottom w:val="single" w:sz="8" w:space="0" w:color="auto"/>
              <w:right w:val="nil"/>
            </w:tcBorders>
            <w:shd w:val="clear" w:color="auto" w:fill="auto"/>
            <w:tcMar>
              <w:top w:w="15" w:type="dxa"/>
              <w:left w:w="67" w:type="dxa"/>
              <w:bottom w:w="0" w:type="dxa"/>
              <w:right w:w="67" w:type="dxa"/>
            </w:tcMar>
            <w:hideMark/>
          </w:tcPr>
          <w:p w14:paraId="5EB3123B"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40.8±12.8</w:t>
            </w:r>
          </w:p>
        </w:tc>
        <w:tc>
          <w:tcPr>
            <w:tcW w:w="681" w:type="pct"/>
            <w:gridSpan w:val="3"/>
            <w:tcBorders>
              <w:top w:val="nil"/>
              <w:left w:val="nil"/>
              <w:bottom w:val="single" w:sz="8" w:space="0" w:color="auto"/>
              <w:right w:val="nil"/>
            </w:tcBorders>
            <w:shd w:val="clear" w:color="auto" w:fill="auto"/>
            <w:tcMar>
              <w:top w:w="15" w:type="dxa"/>
              <w:left w:w="67" w:type="dxa"/>
              <w:bottom w:w="0" w:type="dxa"/>
              <w:right w:w="67" w:type="dxa"/>
            </w:tcMar>
            <w:hideMark/>
          </w:tcPr>
          <w:p w14:paraId="16CF4684"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46.4±12.5</w:t>
            </w:r>
          </w:p>
        </w:tc>
        <w:tc>
          <w:tcPr>
            <w:tcW w:w="659" w:type="pct"/>
            <w:gridSpan w:val="3"/>
            <w:tcBorders>
              <w:top w:val="nil"/>
              <w:left w:val="nil"/>
              <w:bottom w:val="single" w:sz="8" w:space="0" w:color="auto"/>
              <w:right w:val="nil"/>
            </w:tcBorders>
            <w:shd w:val="clear" w:color="auto" w:fill="auto"/>
            <w:tcMar>
              <w:top w:w="15" w:type="dxa"/>
              <w:left w:w="67" w:type="dxa"/>
              <w:bottom w:w="0" w:type="dxa"/>
              <w:right w:w="67" w:type="dxa"/>
            </w:tcMar>
            <w:hideMark/>
          </w:tcPr>
          <w:p w14:paraId="28D0EAB4" w14:textId="77777777" w:rsidR="0099247D" w:rsidRPr="008438F4" w:rsidRDefault="0099247D" w:rsidP="001A7776">
            <w:pPr>
              <w:spacing w:line="240" w:lineRule="auto"/>
              <w:ind w:left="-79" w:hanging="75"/>
              <w:jc w:val="center"/>
              <w:rPr>
                <w:rFonts w:ascii="Calibri" w:hAnsi="Calibri" w:cs="Calibri"/>
              </w:rPr>
            </w:pPr>
            <w:r w:rsidRPr="008438F4">
              <w:rPr>
                <w:rFonts w:ascii="Calibri" w:hAnsi="Calibri" w:cs="Calibri"/>
                <w:color w:val="000000"/>
                <w:kern w:val="24"/>
              </w:rPr>
              <w:t>41.9±14.2</w:t>
            </w:r>
          </w:p>
        </w:tc>
      </w:tr>
      <w:tr w:rsidR="001A7776" w:rsidRPr="008438F4" w14:paraId="215A9A87" w14:textId="77777777" w:rsidTr="001A7776">
        <w:trPr>
          <w:gridBefore w:val="1"/>
          <w:gridAfter w:val="2"/>
          <w:wBefore w:w="23" w:type="pct"/>
          <w:wAfter w:w="29" w:type="pct"/>
          <w:trHeight w:val="677"/>
          <w:jc w:val="center"/>
        </w:trPr>
        <w:tc>
          <w:tcPr>
            <w:tcW w:w="2073" w:type="pct"/>
            <w:gridSpan w:val="3"/>
            <w:tcBorders>
              <w:top w:val="single" w:sz="4" w:space="0" w:color="auto"/>
              <w:left w:val="nil"/>
              <w:bottom w:val="nil"/>
              <w:right w:val="nil"/>
            </w:tcBorders>
            <w:shd w:val="clear" w:color="auto" w:fill="auto"/>
            <w:tcMar>
              <w:top w:w="15" w:type="dxa"/>
              <w:left w:w="67" w:type="dxa"/>
              <w:bottom w:w="0" w:type="dxa"/>
              <w:right w:w="67" w:type="dxa"/>
            </w:tcMar>
            <w:hideMark/>
          </w:tcPr>
          <w:p w14:paraId="3FF11262" w14:textId="77777777" w:rsidR="0099247D" w:rsidRPr="008438F4" w:rsidRDefault="0099247D" w:rsidP="001A7776">
            <w:pPr>
              <w:spacing w:line="240" w:lineRule="auto"/>
              <w:ind w:left="-79" w:firstLine="30"/>
              <w:rPr>
                <w:rFonts w:ascii="Calibri" w:hAnsi="Calibri" w:cs="Calibri"/>
              </w:rPr>
            </w:pPr>
            <w:r w:rsidRPr="008438F4">
              <w:rPr>
                <w:rFonts w:ascii="Calibri" w:hAnsi="Calibri" w:cs="Calibri"/>
                <w:i/>
                <w:iCs/>
                <w:color w:val="000000"/>
                <w:kern w:val="24"/>
              </w:rPr>
              <w:t>* Mean± Standard Deviation</w:t>
            </w:r>
          </w:p>
          <w:p w14:paraId="1E5B0E59" w14:textId="77777777" w:rsidR="00297B2D" w:rsidRPr="008438F4" w:rsidRDefault="0099247D" w:rsidP="001A7776">
            <w:pPr>
              <w:spacing w:line="240" w:lineRule="auto"/>
              <w:ind w:left="-79" w:firstLine="30"/>
              <w:rPr>
                <w:rFonts w:ascii="Calibri" w:hAnsi="Calibri" w:cs="Calibri"/>
                <w:i/>
                <w:iCs/>
                <w:color w:val="000000"/>
                <w:kern w:val="24"/>
              </w:rPr>
            </w:pPr>
            <w:r w:rsidRPr="008438F4">
              <w:rPr>
                <w:rFonts w:ascii="Calibri" w:hAnsi="Calibri" w:cs="Calibri"/>
                <w:i/>
                <w:iCs/>
                <w:color w:val="000000"/>
                <w:kern w:val="24"/>
              </w:rPr>
              <w:t>** N (%)</w:t>
            </w:r>
          </w:p>
          <w:p w14:paraId="26423085" w14:textId="77777777" w:rsidR="00053A61" w:rsidRPr="008438F4" w:rsidRDefault="00053A61" w:rsidP="00053A61">
            <w:pPr>
              <w:pStyle w:val="ListParagraph"/>
              <w:numPr>
                <w:ilvl w:val="0"/>
                <w:numId w:val="3"/>
              </w:numPr>
              <w:spacing w:after="0" w:line="240" w:lineRule="auto"/>
              <w:rPr>
                <w:rFonts w:eastAsia="Times New Roman" w:cs="Calibri"/>
                <w:sz w:val="24"/>
                <w:szCs w:val="24"/>
              </w:rPr>
            </w:pPr>
            <w:r w:rsidRPr="008438F4">
              <w:rPr>
                <w:rFonts w:cs="Calibri"/>
                <w:i/>
                <w:iCs/>
                <w:color w:val="000000"/>
                <w:kern w:val="24"/>
                <w:sz w:val="24"/>
                <w:szCs w:val="24"/>
              </w:rPr>
              <w:t>Significant at p&lt;0.1</w:t>
            </w:r>
          </w:p>
          <w:p w14:paraId="544C1D08" w14:textId="77777777" w:rsidR="00297B2D" w:rsidRPr="008438F4" w:rsidRDefault="00297B2D" w:rsidP="001A7776">
            <w:pPr>
              <w:spacing w:line="240" w:lineRule="auto"/>
              <w:ind w:left="-79" w:firstLine="30"/>
              <w:rPr>
                <w:rFonts w:ascii="Calibri" w:hAnsi="Calibri" w:cs="Calibri"/>
                <w:i/>
                <w:iCs/>
                <w:color w:val="000000"/>
                <w:kern w:val="24"/>
              </w:rPr>
            </w:pPr>
          </w:p>
        </w:tc>
        <w:tc>
          <w:tcPr>
            <w:tcW w:w="742" w:type="pct"/>
            <w:gridSpan w:val="2"/>
            <w:tcBorders>
              <w:top w:val="single" w:sz="4" w:space="0" w:color="auto"/>
              <w:left w:val="nil"/>
              <w:bottom w:val="nil"/>
              <w:right w:val="nil"/>
            </w:tcBorders>
            <w:shd w:val="clear" w:color="auto" w:fill="auto"/>
            <w:tcMar>
              <w:top w:w="15" w:type="dxa"/>
              <w:left w:w="67" w:type="dxa"/>
              <w:bottom w:w="0" w:type="dxa"/>
              <w:right w:w="67" w:type="dxa"/>
            </w:tcMar>
            <w:hideMark/>
          </w:tcPr>
          <w:p w14:paraId="07029706" w14:textId="77777777" w:rsidR="0099247D" w:rsidRPr="008438F4" w:rsidRDefault="0099247D" w:rsidP="001A7776">
            <w:pPr>
              <w:spacing w:line="240" w:lineRule="auto"/>
              <w:ind w:left="-79" w:hanging="75"/>
              <w:rPr>
                <w:rFonts w:ascii="Calibri" w:hAnsi="Calibri" w:cs="Calibri"/>
              </w:rPr>
            </w:pPr>
          </w:p>
          <w:p w14:paraId="09686FDD" w14:textId="77777777" w:rsidR="0099247D" w:rsidRPr="008438F4" w:rsidRDefault="0099247D" w:rsidP="001A7776">
            <w:pPr>
              <w:spacing w:line="240" w:lineRule="auto"/>
              <w:ind w:left="-79" w:hanging="75"/>
              <w:rPr>
                <w:rFonts w:ascii="Calibri" w:hAnsi="Calibri" w:cs="Calibri"/>
              </w:rPr>
            </w:pPr>
          </w:p>
          <w:p w14:paraId="06982AFC" w14:textId="77777777" w:rsidR="0099247D" w:rsidRPr="008438F4" w:rsidRDefault="0099247D" w:rsidP="001A7776">
            <w:pPr>
              <w:spacing w:line="240" w:lineRule="auto"/>
              <w:ind w:left="-79" w:hanging="75"/>
              <w:rPr>
                <w:rFonts w:ascii="Calibri" w:hAnsi="Calibri" w:cs="Calibri"/>
              </w:rPr>
            </w:pPr>
          </w:p>
        </w:tc>
        <w:tc>
          <w:tcPr>
            <w:tcW w:w="826" w:type="pct"/>
            <w:gridSpan w:val="5"/>
            <w:tcBorders>
              <w:top w:val="single" w:sz="4" w:space="0" w:color="auto"/>
              <w:left w:val="nil"/>
              <w:bottom w:val="nil"/>
              <w:right w:val="nil"/>
            </w:tcBorders>
            <w:shd w:val="clear" w:color="auto" w:fill="auto"/>
            <w:tcMar>
              <w:top w:w="15" w:type="dxa"/>
              <w:left w:w="67" w:type="dxa"/>
              <w:bottom w:w="0" w:type="dxa"/>
              <w:right w:w="67" w:type="dxa"/>
            </w:tcMar>
            <w:hideMark/>
          </w:tcPr>
          <w:p w14:paraId="16B5B3C8" w14:textId="77777777" w:rsidR="0099247D" w:rsidRPr="008438F4" w:rsidRDefault="0099247D" w:rsidP="001A7776">
            <w:pPr>
              <w:spacing w:line="240" w:lineRule="auto"/>
              <w:ind w:left="-79" w:hanging="75"/>
              <w:rPr>
                <w:rFonts w:ascii="Calibri" w:hAnsi="Calibri" w:cs="Calibri"/>
              </w:rPr>
            </w:pPr>
          </w:p>
        </w:tc>
        <w:tc>
          <w:tcPr>
            <w:tcW w:w="806" w:type="pct"/>
            <w:gridSpan w:val="3"/>
            <w:tcBorders>
              <w:top w:val="single" w:sz="4" w:space="0" w:color="auto"/>
              <w:left w:val="nil"/>
              <w:bottom w:val="nil"/>
              <w:right w:val="nil"/>
            </w:tcBorders>
            <w:shd w:val="clear" w:color="auto" w:fill="auto"/>
            <w:tcMar>
              <w:top w:w="15" w:type="dxa"/>
              <w:left w:w="67" w:type="dxa"/>
              <w:bottom w:w="0" w:type="dxa"/>
              <w:right w:w="67" w:type="dxa"/>
            </w:tcMar>
            <w:hideMark/>
          </w:tcPr>
          <w:p w14:paraId="53BEB5E7" w14:textId="77777777" w:rsidR="0099247D" w:rsidRPr="008438F4" w:rsidRDefault="0099247D" w:rsidP="001A7776">
            <w:pPr>
              <w:spacing w:line="240" w:lineRule="auto"/>
              <w:ind w:left="-79" w:hanging="75"/>
              <w:rPr>
                <w:rFonts w:ascii="Calibri" w:hAnsi="Calibri" w:cs="Calibri"/>
              </w:rPr>
            </w:pPr>
          </w:p>
        </w:tc>
        <w:tc>
          <w:tcPr>
            <w:tcW w:w="500" w:type="pct"/>
            <w:gridSpan w:val="3"/>
            <w:tcBorders>
              <w:top w:val="single" w:sz="4" w:space="0" w:color="auto"/>
              <w:left w:val="nil"/>
              <w:bottom w:val="nil"/>
              <w:right w:val="nil"/>
            </w:tcBorders>
            <w:shd w:val="clear" w:color="auto" w:fill="auto"/>
            <w:tcMar>
              <w:top w:w="15" w:type="dxa"/>
              <w:left w:w="67" w:type="dxa"/>
              <w:bottom w:w="0" w:type="dxa"/>
              <w:right w:w="67" w:type="dxa"/>
            </w:tcMar>
            <w:hideMark/>
          </w:tcPr>
          <w:p w14:paraId="56554C3D" w14:textId="77777777" w:rsidR="0099247D" w:rsidRPr="008438F4" w:rsidRDefault="0099247D" w:rsidP="001A7776">
            <w:pPr>
              <w:spacing w:line="240" w:lineRule="auto"/>
              <w:ind w:left="-79" w:hanging="75"/>
              <w:rPr>
                <w:rFonts w:ascii="Calibri" w:hAnsi="Calibri" w:cs="Calibri"/>
              </w:rPr>
            </w:pPr>
          </w:p>
        </w:tc>
      </w:tr>
    </w:tbl>
    <w:p w14:paraId="2BE6E2C5" w14:textId="77777777" w:rsidR="0099247D" w:rsidRPr="008438F4" w:rsidRDefault="0099247D" w:rsidP="0099247D">
      <w:pPr>
        <w:spacing w:line="360" w:lineRule="auto"/>
        <w:rPr>
          <w:rFonts w:ascii="Calibri" w:hAnsi="Calibri" w:cs="Calibri"/>
          <w:b/>
        </w:rPr>
      </w:pPr>
    </w:p>
    <w:p w14:paraId="4A586F05" w14:textId="590B5F06" w:rsidR="0099247D" w:rsidRPr="008438F4" w:rsidRDefault="0099247D" w:rsidP="0099247D">
      <w:pPr>
        <w:spacing w:line="360" w:lineRule="auto"/>
        <w:rPr>
          <w:rFonts w:ascii="Calibri" w:hAnsi="Calibri" w:cs="Calibri"/>
        </w:rPr>
      </w:pPr>
      <w:r w:rsidRPr="008438F4">
        <w:rPr>
          <w:rFonts w:ascii="Calibri" w:hAnsi="Calibri" w:cs="Calibri"/>
          <w:b/>
        </w:rPr>
        <w:t>Table 3</w:t>
      </w:r>
      <w:r w:rsidRPr="008438F4">
        <w:rPr>
          <w:rFonts w:ascii="Calibri" w:hAnsi="Calibri" w:cs="Calibri"/>
        </w:rPr>
        <w:t xml:space="preserve"> shows the t-tests and non-parametric test results for </w:t>
      </w:r>
      <w:r w:rsidRPr="008438F4">
        <w:rPr>
          <w:rFonts w:ascii="Calibri" w:hAnsi="Calibri" w:cs="Calibri"/>
          <w:i/>
        </w:rPr>
        <w:t>a priori</w:t>
      </w:r>
      <w:r w:rsidRPr="008438F4">
        <w:rPr>
          <w:rFonts w:ascii="Calibri" w:hAnsi="Calibri" w:cs="Calibri"/>
        </w:rPr>
        <w:t xml:space="preserve"> specified brain regions of interest by fatigability status. For the right hippocampus, mean (SD) grey matter volume (GMV) was lower for those with higher fatigability compared to lower fatigability for physical measures, p=0.07. Similar associations were found for the right putamen</w:t>
      </w:r>
      <w:r w:rsidR="00DE29BF" w:rsidRPr="008438F4">
        <w:rPr>
          <w:rFonts w:ascii="Calibri" w:hAnsi="Calibri" w:cs="Calibri"/>
        </w:rPr>
        <w:t xml:space="preserve"> (p=0.05)</w:t>
      </w:r>
      <w:r w:rsidRPr="008438F4">
        <w:rPr>
          <w:rFonts w:ascii="Calibri" w:hAnsi="Calibri" w:cs="Calibri"/>
        </w:rPr>
        <w:t xml:space="preserve"> and lef</w:t>
      </w:r>
      <w:r w:rsidR="00DE29BF" w:rsidRPr="008438F4">
        <w:rPr>
          <w:rFonts w:ascii="Calibri" w:hAnsi="Calibri" w:cs="Calibri"/>
        </w:rPr>
        <w:t xml:space="preserve">t </w:t>
      </w:r>
      <w:r w:rsidRPr="008438F4">
        <w:rPr>
          <w:rFonts w:ascii="Calibri" w:hAnsi="Calibri" w:cs="Calibri"/>
        </w:rPr>
        <w:t xml:space="preserve">and right </w:t>
      </w:r>
      <w:r w:rsidR="00DE29BF" w:rsidRPr="008438F4">
        <w:rPr>
          <w:rFonts w:ascii="Calibri" w:hAnsi="Calibri" w:cs="Calibri"/>
        </w:rPr>
        <w:t xml:space="preserve">thalamus, p=0.04 and p=0.08, respectively. </w:t>
      </w:r>
      <w:r w:rsidRPr="008438F4">
        <w:rPr>
          <w:rFonts w:ascii="Calibri" w:hAnsi="Calibri" w:cs="Calibri"/>
        </w:rPr>
        <w:t xml:space="preserve">The associations were similar for mental fatigability for the right hippocampus and thalamus with addition of the right cingulum posterior </w:t>
      </w:r>
      <w:r w:rsidR="00DE29BF" w:rsidRPr="008438F4">
        <w:rPr>
          <w:rFonts w:ascii="Calibri" w:hAnsi="Calibri" w:cs="Calibri"/>
        </w:rPr>
        <w:t>(</w:t>
      </w:r>
      <w:r w:rsidRPr="008438F4">
        <w:rPr>
          <w:rFonts w:ascii="Calibri" w:hAnsi="Calibri" w:cs="Calibri"/>
        </w:rPr>
        <w:t>p=0.05) and left (p=0.02) and right amygdala (p=0.05)</w:t>
      </w:r>
      <w:r w:rsidR="004E4D6F">
        <w:rPr>
          <w:rFonts w:ascii="Calibri" w:hAnsi="Calibri" w:cs="Calibri"/>
        </w:rPr>
        <w:t xml:space="preserve"> (Table 3)</w:t>
      </w:r>
      <w:r w:rsidRPr="008438F4">
        <w:rPr>
          <w:rFonts w:ascii="Calibri" w:hAnsi="Calibri" w:cs="Calibri"/>
        </w:rPr>
        <w:t>.</w:t>
      </w:r>
    </w:p>
    <w:p w14:paraId="3DA7EC48" w14:textId="77777777" w:rsidR="0099247D" w:rsidRPr="008438F4" w:rsidRDefault="0099247D" w:rsidP="0099247D">
      <w:pPr>
        <w:rPr>
          <w:rFonts w:ascii="Calibri" w:hAnsi="Calibri" w:cs="Calibri"/>
        </w:rPr>
      </w:pPr>
    </w:p>
    <w:p w14:paraId="6E205B59" w14:textId="008617E8" w:rsidR="00746A2C" w:rsidRPr="008438F4" w:rsidRDefault="00760399" w:rsidP="00124800">
      <w:pPr>
        <w:pStyle w:val="Caption"/>
        <w:keepNext/>
        <w:spacing w:line="240" w:lineRule="auto"/>
        <w:ind w:firstLine="0"/>
        <w:jc w:val="left"/>
        <w:rPr>
          <w:rFonts w:ascii="Calibri" w:hAnsi="Calibri" w:cs="Calibri"/>
          <w:sz w:val="24"/>
          <w:szCs w:val="24"/>
        </w:rPr>
      </w:pPr>
      <w:bookmarkStart w:id="49" w:name="_Toc499755706"/>
      <w:r w:rsidRPr="008438F4">
        <w:rPr>
          <w:rFonts w:ascii="Calibri" w:hAnsi="Calibri" w:cs="Calibri"/>
          <w:sz w:val="24"/>
          <w:szCs w:val="24"/>
        </w:rPr>
        <w:t xml:space="preserve">Table </w:t>
      </w:r>
      <w:r w:rsidRPr="008438F4">
        <w:rPr>
          <w:rFonts w:ascii="Calibri" w:hAnsi="Calibri" w:cs="Calibri"/>
          <w:sz w:val="24"/>
          <w:szCs w:val="24"/>
        </w:rPr>
        <w:fldChar w:fldCharType="begin"/>
      </w:r>
      <w:r w:rsidRPr="008438F4">
        <w:rPr>
          <w:rFonts w:ascii="Calibri" w:hAnsi="Calibri" w:cs="Calibri"/>
          <w:sz w:val="24"/>
          <w:szCs w:val="24"/>
        </w:rPr>
        <w:instrText xml:space="preserve"> SEQ Table \* ARABIC </w:instrText>
      </w:r>
      <w:r w:rsidRPr="008438F4">
        <w:rPr>
          <w:rFonts w:ascii="Calibri" w:hAnsi="Calibri" w:cs="Calibri"/>
          <w:sz w:val="24"/>
          <w:szCs w:val="24"/>
        </w:rPr>
        <w:fldChar w:fldCharType="separate"/>
      </w:r>
      <w:r w:rsidR="003B7E02">
        <w:rPr>
          <w:rFonts w:ascii="Calibri" w:hAnsi="Calibri" w:cs="Calibri"/>
          <w:noProof/>
          <w:sz w:val="24"/>
          <w:szCs w:val="24"/>
        </w:rPr>
        <w:t>3</w:t>
      </w:r>
      <w:r w:rsidRPr="008438F4">
        <w:rPr>
          <w:rFonts w:ascii="Calibri" w:hAnsi="Calibri" w:cs="Calibri"/>
          <w:sz w:val="24"/>
          <w:szCs w:val="24"/>
        </w:rPr>
        <w:fldChar w:fldCharType="end"/>
      </w:r>
      <w:r w:rsidRPr="008438F4">
        <w:rPr>
          <w:rFonts w:ascii="Calibri" w:hAnsi="Calibri" w:cs="Calibri"/>
          <w:sz w:val="24"/>
          <w:szCs w:val="24"/>
        </w:rPr>
        <w:t xml:space="preserve">. Means (SD) Grey Matter Volume as a Percentage of Intracranial Volume </w:t>
      </w:r>
      <w:r w:rsidR="00A303F6" w:rsidRPr="008438F4">
        <w:rPr>
          <w:rFonts w:ascii="Calibri" w:eastAsia="Calibri" w:hAnsi="Calibri" w:cs="Calibri"/>
          <w:bCs w:val="0"/>
          <w:color w:val="000000"/>
          <w:kern w:val="24"/>
          <w:sz w:val="24"/>
          <w:szCs w:val="24"/>
        </w:rPr>
        <w:t>(nm</w:t>
      </w:r>
      <w:r w:rsidR="00A303F6" w:rsidRPr="008438F4">
        <w:rPr>
          <w:rFonts w:ascii="Calibri" w:eastAsia="Calibri" w:hAnsi="Calibri" w:cs="Calibri"/>
          <w:bCs w:val="0"/>
          <w:color w:val="000000"/>
          <w:kern w:val="24"/>
          <w:sz w:val="24"/>
          <w:szCs w:val="24"/>
          <w:vertAlign w:val="superscript"/>
        </w:rPr>
        <w:t>3</w:t>
      </w:r>
      <w:r w:rsidR="00A303F6" w:rsidRPr="008438F4">
        <w:rPr>
          <w:rFonts w:ascii="Calibri" w:eastAsia="Calibri" w:hAnsi="Calibri" w:cs="Calibri"/>
          <w:bCs w:val="0"/>
          <w:color w:val="000000"/>
          <w:kern w:val="24"/>
          <w:sz w:val="24"/>
          <w:szCs w:val="24"/>
        </w:rPr>
        <w:t>)</w:t>
      </w:r>
      <w:r w:rsidR="00A303F6" w:rsidRPr="008438F4">
        <w:rPr>
          <w:rFonts w:ascii="Calibri" w:hAnsi="Calibri" w:cs="Calibri"/>
          <w:sz w:val="24"/>
          <w:szCs w:val="24"/>
        </w:rPr>
        <w:t xml:space="preserve"> </w:t>
      </w:r>
      <w:r w:rsidRPr="008438F4">
        <w:rPr>
          <w:rFonts w:ascii="Calibri" w:hAnsi="Calibri" w:cs="Calibri"/>
          <w:sz w:val="24"/>
          <w:szCs w:val="24"/>
        </w:rPr>
        <w:t>by Fatigability Status (LIFE, N=29)</w:t>
      </w:r>
      <w:bookmarkEnd w:id="49"/>
    </w:p>
    <w:tbl>
      <w:tblPr>
        <w:tblW w:w="9878" w:type="dxa"/>
        <w:jc w:val="right"/>
        <w:tblCellMar>
          <w:left w:w="0" w:type="dxa"/>
          <w:right w:w="0" w:type="dxa"/>
        </w:tblCellMar>
        <w:tblLook w:val="04A0" w:firstRow="1" w:lastRow="0" w:firstColumn="1" w:lastColumn="0" w:noHBand="0" w:noVBand="1"/>
      </w:tblPr>
      <w:tblGrid>
        <w:gridCol w:w="4468"/>
        <w:gridCol w:w="1374"/>
        <w:gridCol w:w="1331"/>
        <w:gridCol w:w="1374"/>
        <w:gridCol w:w="1331"/>
      </w:tblGrid>
      <w:tr w:rsidR="0099247D" w:rsidRPr="008438F4" w14:paraId="5BCE1E01" w14:textId="77777777" w:rsidTr="00233817">
        <w:trPr>
          <w:trHeight w:val="20"/>
          <w:jc w:val="right"/>
        </w:trPr>
        <w:tc>
          <w:tcPr>
            <w:tcW w:w="4173" w:type="dxa"/>
            <w:vMerge w:val="restart"/>
            <w:tcBorders>
              <w:top w:val="single" w:sz="8" w:space="0" w:color="auto"/>
            </w:tcBorders>
            <w:shd w:val="clear" w:color="auto" w:fill="auto"/>
            <w:vAlign w:val="center"/>
          </w:tcPr>
          <w:p w14:paraId="6A5D5353" w14:textId="77777777" w:rsidR="0099247D" w:rsidRPr="008438F4" w:rsidRDefault="0099247D" w:rsidP="002E5A98">
            <w:pPr>
              <w:spacing w:line="240" w:lineRule="auto"/>
              <w:jc w:val="center"/>
              <w:rPr>
                <w:rFonts w:ascii="Calibri" w:hAnsi="Calibri" w:cs="Calibri"/>
                <w:sz w:val="22"/>
                <w:szCs w:val="22"/>
              </w:rPr>
            </w:pPr>
            <w:r w:rsidRPr="008438F4">
              <w:rPr>
                <w:rFonts w:ascii="Calibri" w:eastAsia="Calibri" w:hAnsi="Calibri" w:cs="Calibri"/>
                <w:b/>
                <w:color w:val="000000"/>
                <w:kern w:val="24"/>
                <w:sz w:val="22"/>
                <w:szCs w:val="22"/>
              </w:rPr>
              <w:t>Region of Interest</w:t>
            </w:r>
          </w:p>
        </w:tc>
        <w:tc>
          <w:tcPr>
            <w:tcW w:w="0" w:type="auto"/>
            <w:gridSpan w:val="2"/>
            <w:tcBorders>
              <w:top w:val="single" w:sz="8" w:space="0" w:color="auto"/>
            </w:tcBorders>
            <w:shd w:val="clear" w:color="auto" w:fill="auto"/>
            <w:tcMar>
              <w:top w:w="15" w:type="dxa"/>
              <w:left w:w="68" w:type="dxa"/>
              <w:bottom w:w="0" w:type="dxa"/>
              <w:right w:w="68" w:type="dxa"/>
            </w:tcMar>
          </w:tcPr>
          <w:p w14:paraId="195289DF" w14:textId="77777777" w:rsidR="0099247D" w:rsidRPr="008438F4" w:rsidRDefault="0099247D" w:rsidP="00746A2C">
            <w:pPr>
              <w:spacing w:line="240" w:lineRule="auto"/>
              <w:ind w:hanging="45"/>
              <w:jc w:val="center"/>
              <w:rPr>
                <w:rFonts w:ascii="Calibri" w:eastAsia="Calibri" w:hAnsi="Calibri" w:cs="Calibri"/>
                <w:b/>
                <w:color w:val="000000"/>
                <w:kern w:val="24"/>
                <w:sz w:val="22"/>
                <w:szCs w:val="22"/>
              </w:rPr>
            </w:pPr>
            <w:r w:rsidRPr="008438F4">
              <w:rPr>
                <w:rFonts w:ascii="Calibri" w:eastAsia="Calibri" w:hAnsi="Calibri" w:cs="Calibri"/>
                <w:b/>
                <w:color w:val="000000"/>
                <w:kern w:val="24"/>
                <w:sz w:val="22"/>
                <w:szCs w:val="22"/>
              </w:rPr>
              <w:t>Physical Fatigability</w:t>
            </w:r>
          </w:p>
        </w:tc>
        <w:tc>
          <w:tcPr>
            <w:tcW w:w="0" w:type="auto"/>
            <w:gridSpan w:val="2"/>
            <w:tcBorders>
              <w:top w:val="single" w:sz="8" w:space="0" w:color="auto"/>
            </w:tcBorders>
            <w:shd w:val="clear" w:color="auto" w:fill="auto"/>
            <w:tcMar>
              <w:top w:w="15" w:type="dxa"/>
              <w:left w:w="68" w:type="dxa"/>
              <w:bottom w:w="0" w:type="dxa"/>
              <w:right w:w="68" w:type="dxa"/>
            </w:tcMar>
          </w:tcPr>
          <w:p w14:paraId="0E7FE703" w14:textId="77777777" w:rsidR="0099247D" w:rsidRPr="008438F4" w:rsidRDefault="0099247D" w:rsidP="00746A2C">
            <w:pPr>
              <w:spacing w:line="240" w:lineRule="auto"/>
              <w:ind w:hanging="45"/>
              <w:jc w:val="center"/>
              <w:rPr>
                <w:rFonts w:ascii="Calibri" w:eastAsia="Calibri" w:hAnsi="Calibri" w:cs="Calibri"/>
                <w:b/>
                <w:color w:val="000000"/>
                <w:kern w:val="24"/>
                <w:sz w:val="22"/>
                <w:szCs w:val="22"/>
              </w:rPr>
            </w:pPr>
            <w:r w:rsidRPr="008438F4">
              <w:rPr>
                <w:rFonts w:ascii="Calibri" w:eastAsia="Calibri" w:hAnsi="Calibri" w:cs="Calibri"/>
                <w:b/>
                <w:color w:val="000000"/>
                <w:kern w:val="24"/>
                <w:sz w:val="22"/>
                <w:szCs w:val="22"/>
              </w:rPr>
              <w:t>Mental Fatigability</w:t>
            </w:r>
          </w:p>
        </w:tc>
      </w:tr>
      <w:tr w:rsidR="0099247D" w:rsidRPr="008438F4" w14:paraId="698EFCD3" w14:textId="77777777" w:rsidTr="00A303F6">
        <w:trPr>
          <w:trHeight w:val="20"/>
          <w:jc w:val="right"/>
        </w:trPr>
        <w:tc>
          <w:tcPr>
            <w:tcW w:w="4173" w:type="dxa"/>
            <w:vMerge/>
            <w:shd w:val="clear" w:color="auto" w:fill="auto"/>
            <w:vAlign w:val="center"/>
            <w:hideMark/>
          </w:tcPr>
          <w:p w14:paraId="0D61E3E2" w14:textId="77777777" w:rsidR="0099247D" w:rsidRPr="008438F4" w:rsidRDefault="0099247D" w:rsidP="002E5A98">
            <w:pPr>
              <w:spacing w:line="240" w:lineRule="auto"/>
              <w:rPr>
                <w:rFonts w:ascii="Calibri" w:hAnsi="Calibri" w:cs="Calibri"/>
                <w:sz w:val="22"/>
                <w:szCs w:val="22"/>
              </w:rPr>
            </w:pPr>
          </w:p>
        </w:tc>
        <w:tc>
          <w:tcPr>
            <w:tcW w:w="0" w:type="auto"/>
            <w:shd w:val="clear" w:color="auto" w:fill="auto"/>
            <w:tcMar>
              <w:top w:w="15" w:type="dxa"/>
              <w:left w:w="68" w:type="dxa"/>
              <w:bottom w:w="0" w:type="dxa"/>
              <w:right w:w="68" w:type="dxa"/>
            </w:tcMar>
            <w:hideMark/>
          </w:tcPr>
          <w:p w14:paraId="7F700E91" w14:textId="77777777" w:rsidR="0099247D" w:rsidRPr="008438F4" w:rsidRDefault="0099247D" w:rsidP="00746A2C">
            <w:pPr>
              <w:tabs>
                <w:tab w:val="left" w:pos="1850"/>
              </w:tabs>
              <w:spacing w:line="240" w:lineRule="auto"/>
              <w:ind w:hanging="45"/>
              <w:jc w:val="center"/>
              <w:rPr>
                <w:rFonts w:ascii="Calibri" w:hAnsi="Calibri" w:cs="Calibri"/>
                <w:b/>
                <w:sz w:val="22"/>
                <w:szCs w:val="22"/>
              </w:rPr>
            </w:pPr>
            <w:r w:rsidRPr="008438F4">
              <w:rPr>
                <w:rFonts w:ascii="Calibri" w:eastAsia="Calibri" w:hAnsi="Calibri" w:cs="Calibri"/>
                <w:b/>
                <w:color w:val="000000"/>
                <w:kern w:val="24"/>
                <w:sz w:val="22"/>
                <w:szCs w:val="22"/>
              </w:rPr>
              <w:t>Higher(n=19)</w:t>
            </w:r>
          </w:p>
        </w:tc>
        <w:tc>
          <w:tcPr>
            <w:tcW w:w="0" w:type="auto"/>
            <w:shd w:val="clear" w:color="auto" w:fill="auto"/>
            <w:tcMar>
              <w:top w:w="15" w:type="dxa"/>
              <w:left w:w="68" w:type="dxa"/>
              <w:bottom w:w="0" w:type="dxa"/>
              <w:right w:w="68" w:type="dxa"/>
            </w:tcMar>
            <w:hideMark/>
          </w:tcPr>
          <w:p w14:paraId="08EBDD18" w14:textId="77777777" w:rsidR="0099247D" w:rsidRPr="008438F4" w:rsidRDefault="0099247D" w:rsidP="00746A2C">
            <w:pPr>
              <w:spacing w:line="240" w:lineRule="auto"/>
              <w:ind w:hanging="45"/>
              <w:jc w:val="center"/>
              <w:rPr>
                <w:rFonts w:ascii="Calibri" w:hAnsi="Calibri" w:cs="Calibri"/>
                <w:b/>
                <w:sz w:val="22"/>
                <w:szCs w:val="22"/>
              </w:rPr>
            </w:pPr>
            <w:r w:rsidRPr="008438F4">
              <w:rPr>
                <w:rFonts w:ascii="Calibri" w:eastAsia="Calibri" w:hAnsi="Calibri" w:cs="Calibri"/>
                <w:b/>
                <w:color w:val="000000"/>
                <w:kern w:val="24"/>
                <w:sz w:val="22"/>
                <w:szCs w:val="22"/>
              </w:rPr>
              <w:t>Lower(n=10)</w:t>
            </w:r>
          </w:p>
        </w:tc>
        <w:tc>
          <w:tcPr>
            <w:tcW w:w="0" w:type="auto"/>
            <w:shd w:val="clear" w:color="auto" w:fill="auto"/>
            <w:tcMar>
              <w:top w:w="15" w:type="dxa"/>
              <w:left w:w="68" w:type="dxa"/>
              <w:bottom w:w="0" w:type="dxa"/>
              <w:right w:w="68" w:type="dxa"/>
            </w:tcMar>
            <w:hideMark/>
          </w:tcPr>
          <w:p w14:paraId="5B8DA47A" w14:textId="77777777" w:rsidR="0099247D" w:rsidRPr="008438F4" w:rsidRDefault="0099247D" w:rsidP="00746A2C">
            <w:pPr>
              <w:spacing w:line="240" w:lineRule="auto"/>
              <w:ind w:hanging="45"/>
              <w:jc w:val="center"/>
              <w:rPr>
                <w:rFonts w:ascii="Calibri" w:hAnsi="Calibri" w:cs="Calibri"/>
                <w:b/>
                <w:sz w:val="22"/>
                <w:szCs w:val="22"/>
              </w:rPr>
            </w:pPr>
            <w:r w:rsidRPr="008438F4">
              <w:rPr>
                <w:rFonts w:ascii="Calibri" w:eastAsia="Calibri" w:hAnsi="Calibri" w:cs="Calibri"/>
                <w:b/>
                <w:color w:val="000000"/>
                <w:kern w:val="24"/>
                <w:sz w:val="22"/>
                <w:szCs w:val="22"/>
              </w:rPr>
              <w:t>Higher(n=19)</w:t>
            </w:r>
          </w:p>
        </w:tc>
        <w:tc>
          <w:tcPr>
            <w:tcW w:w="0" w:type="auto"/>
            <w:shd w:val="clear" w:color="auto" w:fill="auto"/>
            <w:tcMar>
              <w:top w:w="15" w:type="dxa"/>
              <w:left w:w="68" w:type="dxa"/>
              <w:bottom w:w="0" w:type="dxa"/>
              <w:right w:w="68" w:type="dxa"/>
            </w:tcMar>
            <w:hideMark/>
          </w:tcPr>
          <w:p w14:paraId="63EBD674" w14:textId="77777777" w:rsidR="0099247D" w:rsidRPr="008438F4" w:rsidRDefault="0099247D" w:rsidP="00746A2C">
            <w:pPr>
              <w:spacing w:line="240" w:lineRule="auto"/>
              <w:ind w:hanging="45"/>
              <w:jc w:val="center"/>
              <w:rPr>
                <w:rFonts w:ascii="Calibri" w:hAnsi="Calibri" w:cs="Calibri"/>
                <w:b/>
                <w:sz w:val="22"/>
                <w:szCs w:val="22"/>
              </w:rPr>
            </w:pPr>
            <w:r w:rsidRPr="008438F4">
              <w:rPr>
                <w:rFonts w:ascii="Calibri" w:eastAsia="Calibri" w:hAnsi="Calibri" w:cs="Calibri"/>
                <w:b/>
                <w:color w:val="000000"/>
                <w:kern w:val="24"/>
                <w:sz w:val="22"/>
                <w:szCs w:val="22"/>
              </w:rPr>
              <w:t>Lower(n=10)</w:t>
            </w:r>
          </w:p>
        </w:tc>
      </w:tr>
      <w:tr w:rsidR="0099247D" w:rsidRPr="008438F4" w14:paraId="4E60E7A0" w14:textId="77777777" w:rsidTr="00A303F6">
        <w:trPr>
          <w:trHeight w:val="20"/>
          <w:jc w:val="right"/>
        </w:trPr>
        <w:tc>
          <w:tcPr>
            <w:tcW w:w="4173" w:type="dxa"/>
            <w:tcBorders>
              <w:bottom w:val="single" w:sz="2" w:space="0" w:color="auto"/>
            </w:tcBorders>
            <w:shd w:val="clear" w:color="auto" w:fill="auto"/>
            <w:tcMar>
              <w:top w:w="15" w:type="dxa"/>
              <w:left w:w="68" w:type="dxa"/>
              <w:bottom w:w="0" w:type="dxa"/>
              <w:right w:w="68" w:type="dxa"/>
            </w:tcMar>
            <w:hideMark/>
          </w:tcPr>
          <w:p w14:paraId="2D861EF1" w14:textId="77777777" w:rsidR="0099247D" w:rsidRPr="008438F4" w:rsidRDefault="0099247D" w:rsidP="002E5A98">
            <w:pPr>
              <w:spacing w:line="240" w:lineRule="auto"/>
              <w:jc w:val="center"/>
              <w:rPr>
                <w:rFonts w:ascii="Calibri" w:hAnsi="Calibri" w:cs="Calibri"/>
                <w:b/>
                <w:sz w:val="22"/>
                <w:szCs w:val="22"/>
              </w:rPr>
            </w:pPr>
          </w:p>
        </w:tc>
        <w:tc>
          <w:tcPr>
            <w:tcW w:w="0" w:type="auto"/>
            <w:tcBorders>
              <w:bottom w:val="single" w:sz="2" w:space="0" w:color="auto"/>
            </w:tcBorders>
            <w:shd w:val="clear" w:color="auto" w:fill="auto"/>
            <w:tcMar>
              <w:top w:w="15" w:type="dxa"/>
              <w:left w:w="68" w:type="dxa"/>
              <w:bottom w:w="0" w:type="dxa"/>
              <w:right w:w="68" w:type="dxa"/>
            </w:tcMar>
            <w:hideMark/>
          </w:tcPr>
          <w:p w14:paraId="0D5DD9CC" w14:textId="77777777" w:rsidR="0099247D" w:rsidRPr="008438F4" w:rsidRDefault="0099247D" w:rsidP="00BE6597">
            <w:pPr>
              <w:tabs>
                <w:tab w:val="left" w:pos="1850"/>
              </w:tabs>
              <w:spacing w:line="240" w:lineRule="auto"/>
              <w:jc w:val="center"/>
              <w:rPr>
                <w:rFonts w:ascii="Calibri" w:hAnsi="Calibri" w:cs="Calibri"/>
                <w:sz w:val="22"/>
                <w:szCs w:val="22"/>
              </w:rPr>
            </w:pPr>
          </w:p>
        </w:tc>
        <w:tc>
          <w:tcPr>
            <w:tcW w:w="0" w:type="auto"/>
            <w:tcBorders>
              <w:bottom w:val="single" w:sz="2" w:space="0" w:color="auto"/>
            </w:tcBorders>
            <w:shd w:val="clear" w:color="auto" w:fill="auto"/>
            <w:tcMar>
              <w:top w:w="15" w:type="dxa"/>
              <w:left w:w="68" w:type="dxa"/>
              <w:bottom w:w="0" w:type="dxa"/>
              <w:right w:w="68" w:type="dxa"/>
            </w:tcMar>
            <w:hideMark/>
          </w:tcPr>
          <w:p w14:paraId="64791D35" w14:textId="77777777" w:rsidR="0099247D" w:rsidRPr="008438F4" w:rsidRDefault="0099247D" w:rsidP="00BE6597">
            <w:pPr>
              <w:spacing w:line="240" w:lineRule="auto"/>
              <w:jc w:val="center"/>
              <w:rPr>
                <w:rFonts w:ascii="Calibri" w:hAnsi="Calibri" w:cs="Calibri"/>
                <w:sz w:val="22"/>
                <w:szCs w:val="22"/>
              </w:rPr>
            </w:pPr>
          </w:p>
        </w:tc>
        <w:tc>
          <w:tcPr>
            <w:tcW w:w="0" w:type="auto"/>
            <w:tcBorders>
              <w:bottom w:val="single" w:sz="2" w:space="0" w:color="auto"/>
            </w:tcBorders>
            <w:shd w:val="clear" w:color="auto" w:fill="auto"/>
            <w:tcMar>
              <w:top w:w="15" w:type="dxa"/>
              <w:left w:w="68" w:type="dxa"/>
              <w:bottom w:w="0" w:type="dxa"/>
              <w:right w:w="68" w:type="dxa"/>
            </w:tcMar>
            <w:hideMark/>
          </w:tcPr>
          <w:p w14:paraId="156259A4" w14:textId="77777777" w:rsidR="0099247D" w:rsidRPr="008438F4" w:rsidRDefault="0099247D" w:rsidP="00BE6597">
            <w:pPr>
              <w:spacing w:line="240" w:lineRule="auto"/>
              <w:jc w:val="center"/>
              <w:rPr>
                <w:rFonts w:ascii="Calibri" w:hAnsi="Calibri" w:cs="Calibri"/>
                <w:sz w:val="22"/>
                <w:szCs w:val="22"/>
              </w:rPr>
            </w:pPr>
          </w:p>
        </w:tc>
        <w:tc>
          <w:tcPr>
            <w:tcW w:w="0" w:type="auto"/>
            <w:tcBorders>
              <w:bottom w:val="single" w:sz="2" w:space="0" w:color="auto"/>
            </w:tcBorders>
            <w:shd w:val="clear" w:color="auto" w:fill="auto"/>
            <w:tcMar>
              <w:top w:w="15" w:type="dxa"/>
              <w:left w:w="68" w:type="dxa"/>
              <w:bottom w:w="0" w:type="dxa"/>
              <w:right w:w="68" w:type="dxa"/>
            </w:tcMar>
            <w:hideMark/>
          </w:tcPr>
          <w:p w14:paraId="7915A4D1" w14:textId="77777777" w:rsidR="0099247D" w:rsidRPr="008438F4" w:rsidRDefault="0099247D" w:rsidP="00BE6597">
            <w:pPr>
              <w:spacing w:line="240" w:lineRule="auto"/>
              <w:jc w:val="center"/>
              <w:rPr>
                <w:rFonts w:ascii="Calibri" w:hAnsi="Calibri" w:cs="Calibri"/>
                <w:sz w:val="22"/>
                <w:szCs w:val="22"/>
              </w:rPr>
            </w:pPr>
          </w:p>
        </w:tc>
      </w:tr>
      <w:tr w:rsidR="0099247D" w:rsidRPr="008438F4" w14:paraId="560CF79C" w14:textId="77777777" w:rsidTr="00633C60">
        <w:trPr>
          <w:trHeight w:val="20"/>
          <w:jc w:val="right"/>
        </w:trPr>
        <w:tc>
          <w:tcPr>
            <w:tcW w:w="4173" w:type="dxa"/>
            <w:tcBorders>
              <w:top w:val="single" w:sz="2" w:space="0" w:color="auto"/>
              <w:bottom w:val="single" w:sz="2" w:space="0" w:color="auto"/>
            </w:tcBorders>
            <w:shd w:val="clear" w:color="auto" w:fill="auto"/>
            <w:tcMar>
              <w:top w:w="15" w:type="dxa"/>
              <w:left w:w="68" w:type="dxa"/>
              <w:bottom w:w="0" w:type="dxa"/>
              <w:right w:w="68" w:type="dxa"/>
            </w:tcMar>
            <w:hideMark/>
          </w:tcPr>
          <w:p w14:paraId="76A2CF25" w14:textId="77777777" w:rsidR="0099247D" w:rsidRPr="008438F4" w:rsidRDefault="0099247D" w:rsidP="002E5A98">
            <w:pPr>
              <w:spacing w:line="240" w:lineRule="auto"/>
              <w:rPr>
                <w:rFonts w:ascii="Calibri" w:hAnsi="Calibri" w:cs="Calibri"/>
                <w:b/>
                <w:sz w:val="22"/>
                <w:szCs w:val="22"/>
              </w:rPr>
            </w:pPr>
            <w:r w:rsidRPr="008438F4">
              <w:rPr>
                <w:rFonts w:ascii="Calibri" w:eastAsia="Calibri" w:hAnsi="Calibri" w:cs="Calibri"/>
                <w:b/>
                <w:color w:val="000000"/>
                <w:kern w:val="24"/>
                <w:sz w:val="22"/>
                <w:szCs w:val="22"/>
              </w:rPr>
              <w:t>Whole brain</w:t>
            </w:r>
          </w:p>
        </w:tc>
        <w:tc>
          <w:tcPr>
            <w:tcW w:w="0" w:type="auto"/>
            <w:tcBorders>
              <w:top w:val="single" w:sz="2" w:space="0" w:color="auto"/>
              <w:bottom w:val="single" w:sz="2" w:space="0" w:color="auto"/>
            </w:tcBorders>
            <w:shd w:val="clear" w:color="auto" w:fill="auto"/>
            <w:tcMar>
              <w:top w:w="15" w:type="dxa"/>
              <w:left w:w="68" w:type="dxa"/>
              <w:bottom w:w="0" w:type="dxa"/>
              <w:right w:w="68" w:type="dxa"/>
            </w:tcMar>
            <w:vAlign w:val="center"/>
            <w:hideMark/>
          </w:tcPr>
          <w:p w14:paraId="5EF1BF77" w14:textId="77777777" w:rsidR="0099247D" w:rsidRPr="008438F4" w:rsidRDefault="0099247D" w:rsidP="00633C60">
            <w:pPr>
              <w:spacing w:line="240" w:lineRule="auto"/>
              <w:ind w:firstLine="108"/>
              <w:jc w:val="center"/>
              <w:rPr>
                <w:rFonts w:ascii="Calibri" w:hAnsi="Calibri" w:cs="Calibri"/>
                <w:sz w:val="22"/>
                <w:szCs w:val="22"/>
              </w:rPr>
            </w:pPr>
            <w:r w:rsidRPr="008438F4">
              <w:rPr>
                <w:rFonts w:ascii="Calibri" w:eastAsia="Calibri" w:hAnsi="Calibri" w:cs="Calibri"/>
                <w:color w:val="000000"/>
                <w:kern w:val="24"/>
                <w:sz w:val="22"/>
                <w:szCs w:val="22"/>
              </w:rPr>
              <w:t>27.21(1.44)</w:t>
            </w:r>
          </w:p>
        </w:tc>
        <w:tc>
          <w:tcPr>
            <w:tcW w:w="0" w:type="auto"/>
            <w:tcBorders>
              <w:top w:val="single" w:sz="2" w:space="0" w:color="auto"/>
              <w:bottom w:val="single" w:sz="2" w:space="0" w:color="auto"/>
            </w:tcBorders>
            <w:shd w:val="clear" w:color="auto" w:fill="auto"/>
            <w:tcMar>
              <w:top w:w="15" w:type="dxa"/>
              <w:left w:w="68" w:type="dxa"/>
              <w:bottom w:w="0" w:type="dxa"/>
              <w:right w:w="68" w:type="dxa"/>
            </w:tcMar>
            <w:vAlign w:val="center"/>
            <w:hideMark/>
          </w:tcPr>
          <w:p w14:paraId="7B4B3056" w14:textId="77777777" w:rsidR="0099247D" w:rsidRPr="008438F4" w:rsidRDefault="0099247D" w:rsidP="00633C60">
            <w:pPr>
              <w:spacing w:line="240" w:lineRule="auto"/>
              <w:ind w:firstLine="0"/>
              <w:jc w:val="center"/>
              <w:rPr>
                <w:rFonts w:ascii="Calibri" w:hAnsi="Calibri" w:cs="Calibri"/>
                <w:sz w:val="22"/>
                <w:szCs w:val="22"/>
              </w:rPr>
            </w:pPr>
            <w:r w:rsidRPr="008438F4">
              <w:rPr>
                <w:rFonts w:ascii="Calibri" w:eastAsia="Calibri" w:hAnsi="Calibri" w:cs="Calibri"/>
                <w:color w:val="000000"/>
                <w:kern w:val="24"/>
                <w:sz w:val="22"/>
                <w:szCs w:val="22"/>
              </w:rPr>
              <w:t>27.54(1.05)</w:t>
            </w:r>
          </w:p>
        </w:tc>
        <w:tc>
          <w:tcPr>
            <w:tcW w:w="0" w:type="auto"/>
            <w:tcBorders>
              <w:top w:val="single" w:sz="2" w:space="0" w:color="auto"/>
              <w:bottom w:val="single" w:sz="2" w:space="0" w:color="auto"/>
            </w:tcBorders>
            <w:shd w:val="clear" w:color="auto" w:fill="auto"/>
            <w:tcMar>
              <w:top w:w="15" w:type="dxa"/>
              <w:left w:w="68" w:type="dxa"/>
              <w:bottom w:w="0" w:type="dxa"/>
              <w:right w:w="68" w:type="dxa"/>
            </w:tcMar>
            <w:vAlign w:val="center"/>
            <w:hideMark/>
          </w:tcPr>
          <w:p w14:paraId="0E8A59F7" w14:textId="77777777" w:rsidR="0099247D" w:rsidRPr="008438F4" w:rsidRDefault="0099247D" w:rsidP="00633C60">
            <w:pPr>
              <w:spacing w:line="240" w:lineRule="auto"/>
              <w:ind w:firstLine="211"/>
              <w:jc w:val="center"/>
              <w:rPr>
                <w:rFonts w:ascii="Calibri" w:hAnsi="Calibri" w:cs="Calibri"/>
                <w:sz w:val="22"/>
                <w:szCs w:val="22"/>
              </w:rPr>
            </w:pPr>
            <w:r w:rsidRPr="008438F4">
              <w:rPr>
                <w:rFonts w:ascii="Calibri" w:eastAsia="Calibri" w:hAnsi="Calibri" w:cs="Calibri"/>
                <w:color w:val="000000"/>
                <w:kern w:val="24"/>
                <w:sz w:val="22"/>
                <w:szCs w:val="22"/>
              </w:rPr>
              <w:t>27.20(1.49)</w:t>
            </w:r>
          </w:p>
        </w:tc>
        <w:tc>
          <w:tcPr>
            <w:tcW w:w="0" w:type="auto"/>
            <w:tcBorders>
              <w:top w:val="single" w:sz="2" w:space="0" w:color="auto"/>
              <w:bottom w:val="single" w:sz="2" w:space="0" w:color="auto"/>
            </w:tcBorders>
            <w:shd w:val="clear" w:color="auto" w:fill="auto"/>
            <w:tcMar>
              <w:top w:w="15" w:type="dxa"/>
              <w:left w:w="68" w:type="dxa"/>
              <w:bottom w:w="0" w:type="dxa"/>
              <w:right w:w="68" w:type="dxa"/>
            </w:tcMar>
            <w:vAlign w:val="center"/>
            <w:hideMark/>
          </w:tcPr>
          <w:p w14:paraId="6CAA22FB" w14:textId="77777777" w:rsidR="0099247D" w:rsidRPr="008438F4" w:rsidRDefault="0099247D" w:rsidP="00633C60">
            <w:pPr>
              <w:spacing w:line="240" w:lineRule="auto"/>
              <w:ind w:firstLine="62"/>
              <w:jc w:val="center"/>
              <w:rPr>
                <w:rFonts w:ascii="Calibri" w:hAnsi="Calibri" w:cs="Calibri"/>
                <w:sz w:val="22"/>
                <w:szCs w:val="22"/>
              </w:rPr>
            </w:pPr>
            <w:r w:rsidRPr="008438F4">
              <w:rPr>
                <w:rFonts w:ascii="Calibri" w:eastAsia="Calibri" w:hAnsi="Calibri" w:cs="Calibri"/>
                <w:color w:val="000000"/>
                <w:kern w:val="24"/>
                <w:sz w:val="22"/>
                <w:szCs w:val="22"/>
              </w:rPr>
              <w:t>27.56(0.91)</w:t>
            </w:r>
          </w:p>
        </w:tc>
      </w:tr>
      <w:tr w:rsidR="0099247D" w:rsidRPr="008438F4" w14:paraId="08916732" w14:textId="77777777" w:rsidTr="00A303F6">
        <w:trPr>
          <w:trHeight w:val="20"/>
          <w:jc w:val="right"/>
        </w:trPr>
        <w:tc>
          <w:tcPr>
            <w:tcW w:w="4173" w:type="dxa"/>
            <w:tcBorders>
              <w:top w:val="single" w:sz="2" w:space="0" w:color="auto"/>
            </w:tcBorders>
            <w:shd w:val="clear" w:color="auto" w:fill="auto"/>
            <w:tcMar>
              <w:top w:w="15" w:type="dxa"/>
              <w:left w:w="68" w:type="dxa"/>
              <w:bottom w:w="0" w:type="dxa"/>
              <w:right w:w="68" w:type="dxa"/>
            </w:tcMar>
          </w:tcPr>
          <w:p w14:paraId="4A840266" w14:textId="77777777" w:rsidR="0099247D" w:rsidRPr="008438F4" w:rsidRDefault="0099247D" w:rsidP="002E5A98">
            <w:pPr>
              <w:spacing w:line="240" w:lineRule="auto"/>
              <w:rPr>
                <w:rFonts w:ascii="Calibri" w:eastAsia="Calibri" w:hAnsi="Calibri" w:cs="Calibri"/>
                <w:b/>
                <w:color w:val="000000"/>
                <w:kern w:val="24"/>
                <w:sz w:val="22"/>
                <w:szCs w:val="22"/>
              </w:rPr>
            </w:pPr>
            <w:r w:rsidRPr="008438F4">
              <w:rPr>
                <w:rFonts w:ascii="Calibri" w:eastAsia="Calibri" w:hAnsi="Calibri" w:cs="Calibri"/>
                <w:b/>
                <w:color w:val="000000"/>
                <w:kern w:val="24"/>
                <w:sz w:val="22"/>
                <w:szCs w:val="22"/>
              </w:rPr>
              <w:t xml:space="preserve">Left Subcortical Structures </w:t>
            </w:r>
          </w:p>
        </w:tc>
        <w:tc>
          <w:tcPr>
            <w:tcW w:w="0" w:type="auto"/>
            <w:tcBorders>
              <w:top w:val="single" w:sz="2" w:space="0" w:color="auto"/>
            </w:tcBorders>
            <w:shd w:val="clear" w:color="auto" w:fill="auto"/>
            <w:tcMar>
              <w:top w:w="15" w:type="dxa"/>
              <w:left w:w="68" w:type="dxa"/>
              <w:bottom w:w="0" w:type="dxa"/>
              <w:right w:w="68" w:type="dxa"/>
            </w:tcMar>
          </w:tcPr>
          <w:p w14:paraId="455CDE05" w14:textId="77777777" w:rsidR="0099247D" w:rsidRPr="008438F4" w:rsidRDefault="0099247D" w:rsidP="00BE6597">
            <w:pPr>
              <w:spacing w:line="240" w:lineRule="auto"/>
              <w:jc w:val="center"/>
              <w:rPr>
                <w:rFonts w:ascii="Calibri" w:eastAsia="Calibri" w:hAnsi="Calibri" w:cs="Calibri"/>
                <w:color w:val="000000"/>
                <w:kern w:val="24"/>
                <w:sz w:val="22"/>
                <w:szCs w:val="22"/>
              </w:rPr>
            </w:pPr>
          </w:p>
        </w:tc>
        <w:tc>
          <w:tcPr>
            <w:tcW w:w="0" w:type="auto"/>
            <w:tcBorders>
              <w:top w:val="single" w:sz="2" w:space="0" w:color="auto"/>
            </w:tcBorders>
            <w:shd w:val="clear" w:color="auto" w:fill="auto"/>
            <w:tcMar>
              <w:top w:w="15" w:type="dxa"/>
              <w:left w:w="68" w:type="dxa"/>
              <w:bottom w:w="0" w:type="dxa"/>
              <w:right w:w="68" w:type="dxa"/>
            </w:tcMar>
          </w:tcPr>
          <w:p w14:paraId="16BE2CED" w14:textId="77777777" w:rsidR="0099247D" w:rsidRPr="008438F4" w:rsidRDefault="0099247D" w:rsidP="00BE6597">
            <w:pPr>
              <w:spacing w:line="240" w:lineRule="auto"/>
              <w:jc w:val="center"/>
              <w:rPr>
                <w:rFonts w:ascii="Calibri" w:eastAsia="Calibri" w:hAnsi="Calibri" w:cs="Calibri"/>
                <w:color w:val="000000"/>
                <w:kern w:val="24"/>
                <w:sz w:val="22"/>
                <w:szCs w:val="22"/>
              </w:rPr>
            </w:pPr>
          </w:p>
        </w:tc>
        <w:tc>
          <w:tcPr>
            <w:tcW w:w="0" w:type="auto"/>
            <w:tcBorders>
              <w:top w:val="single" w:sz="2" w:space="0" w:color="auto"/>
            </w:tcBorders>
            <w:shd w:val="clear" w:color="auto" w:fill="auto"/>
            <w:tcMar>
              <w:top w:w="15" w:type="dxa"/>
              <w:left w:w="68" w:type="dxa"/>
              <w:bottom w:w="0" w:type="dxa"/>
              <w:right w:w="68" w:type="dxa"/>
            </w:tcMar>
          </w:tcPr>
          <w:p w14:paraId="18CE420A" w14:textId="77777777" w:rsidR="0099247D" w:rsidRPr="008438F4" w:rsidRDefault="0099247D" w:rsidP="00BE6597">
            <w:pPr>
              <w:spacing w:line="240" w:lineRule="auto"/>
              <w:jc w:val="center"/>
              <w:rPr>
                <w:rFonts w:ascii="Calibri" w:eastAsia="Calibri" w:hAnsi="Calibri" w:cs="Calibri"/>
                <w:b/>
                <w:bCs/>
                <w:color w:val="000000"/>
                <w:kern w:val="24"/>
                <w:sz w:val="22"/>
                <w:szCs w:val="22"/>
              </w:rPr>
            </w:pPr>
          </w:p>
        </w:tc>
        <w:tc>
          <w:tcPr>
            <w:tcW w:w="0" w:type="auto"/>
            <w:tcBorders>
              <w:top w:val="single" w:sz="2" w:space="0" w:color="auto"/>
            </w:tcBorders>
            <w:shd w:val="clear" w:color="auto" w:fill="auto"/>
            <w:tcMar>
              <w:top w:w="15" w:type="dxa"/>
              <w:left w:w="68" w:type="dxa"/>
              <w:bottom w:w="0" w:type="dxa"/>
              <w:right w:w="68" w:type="dxa"/>
            </w:tcMar>
          </w:tcPr>
          <w:p w14:paraId="3BC8271D" w14:textId="77777777" w:rsidR="0099247D" w:rsidRPr="008438F4" w:rsidRDefault="0099247D" w:rsidP="00BE6597">
            <w:pPr>
              <w:spacing w:line="240" w:lineRule="auto"/>
              <w:jc w:val="center"/>
              <w:rPr>
                <w:rFonts w:ascii="Calibri" w:eastAsia="Calibri" w:hAnsi="Calibri" w:cs="Calibri"/>
                <w:b/>
                <w:bCs/>
                <w:color w:val="000000"/>
                <w:kern w:val="24"/>
                <w:sz w:val="22"/>
                <w:szCs w:val="22"/>
              </w:rPr>
            </w:pPr>
          </w:p>
        </w:tc>
      </w:tr>
      <w:tr w:rsidR="0099247D" w:rsidRPr="008438F4" w14:paraId="1C617ADB" w14:textId="77777777" w:rsidTr="00A303F6">
        <w:trPr>
          <w:trHeight w:val="20"/>
          <w:jc w:val="right"/>
        </w:trPr>
        <w:tc>
          <w:tcPr>
            <w:tcW w:w="4173" w:type="dxa"/>
            <w:shd w:val="clear" w:color="auto" w:fill="auto"/>
            <w:tcMar>
              <w:top w:w="15" w:type="dxa"/>
              <w:left w:w="68" w:type="dxa"/>
              <w:bottom w:w="0" w:type="dxa"/>
              <w:right w:w="68" w:type="dxa"/>
            </w:tcMar>
            <w:hideMark/>
          </w:tcPr>
          <w:p w14:paraId="4D308C9B"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Amygdala</w:t>
            </w:r>
          </w:p>
        </w:tc>
        <w:tc>
          <w:tcPr>
            <w:tcW w:w="0" w:type="auto"/>
            <w:shd w:val="clear" w:color="auto" w:fill="auto"/>
            <w:tcMar>
              <w:top w:w="15" w:type="dxa"/>
              <w:left w:w="68" w:type="dxa"/>
              <w:bottom w:w="0" w:type="dxa"/>
              <w:right w:w="68" w:type="dxa"/>
            </w:tcMar>
            <w:hideMark/>
          </w:tcPr>
          <w:p w14:paraId="5A8EECE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0.07(0.01)</w:t>
            </w:r>
          </w:p>
        </w:tc>
        <w:tc>
          <w:tcPr>
            <w:tcW w:w="0" w:type="auto"/>
            <w:shd w:val="clear" w:color="auto" w:fill="auto"/>
            <w:tcMar>
              <w:top w:w="15" w:type="dxa"/>
              <w:left w:w="68" w:type="dxa"/>
              <w:bottom w:w="0" w:type="dxa"/>
              <w:right w:w="68" w:type="dxa"/>
            </w:tcMar>
            <w:hideMark/>
          </w:tcPr>
          <w:p w14:paraId="3824190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0.08(0.01)</w:t>
            </w:r>
          </w:p>
        </w:tc>
        <w:tc>
          <w:tcPr>
            <w:tcW w:w="0" w:type="auto"/>
            <w:shd w:val="clear" w:color="auto" w:fill="auto"/>
            <w:tcMar>
              <w:top w:w="15" w:type="dxa"/>
              <w:left w:w="68" w:type="dxa"/>
              <w:bottom w:w="0" w:type="dxa"/>
              <w:right w:w="68" w:type="dxa"/>
            </w:tcMar>
            <w:hideMark/>
          </w:tcPr>
          <w:p w14:paraId="5BE15F69"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b/>
                <w:bCs/>
                <w:color w:val="000000"/>
                <w:kern w:val="24"/>
                <w:sz w:val="22"/>
                <w:szCs w:val="22"/>
              </w:rPr>
              <w:t>0.07(0.01)</w:t>
            </w:r>
            <w:r w:rsidRPr="008438F4">
              <w:rPr>
                <w:rFonts w:ascii="Calibri" w:eastAsia="Calibri" w:hAnsi="Calibri" w:cs="Calibri"/>
                <w:b/>
                <w:bCs/>
                <w:color w:val="000000"/>
                <w:kern w:val="24"/>
                <w:position w:val="8"/>
                <w:sz w:val="22"/>
                <w:szCs w:val="22"/>
                <w:vertAlign w:val="superscript"/>
              </w:rPr>
              <w:t>b</w:t>
            </w:r>
          </w:p>
        </w:tc>
        <w:tc>
          <w:tcPr>
            <w:tcW w:w="0" w:type="auto"/>
            <w:shd w:val="clear" w:color="auto" w:fill="auto"/>
            <w:tcMar>
              <w:top w:w="15" w:type="dxa"/>
              <w:left w:w="68" w:type="dxa"/>
              <w:bottom w:w="0" w:type="dxa"/>
              <w:right w:w="68" w:type="dxa"/>
            </w:tcMar>
            <w:hideMark/>
          </w:tcPr>
          <w:p w14:paraId="7016239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b/>
                <w:bCs/>
                <w:color w:val="000000"/>
                <w:kern w:val="24"/>
                <w:sz w:val="22"/>
                <w:szCs w:val="22"/>
              </w:rPr>
              <w:t>0.09(0.01)</w:t>
            </w:r>
            <w:r w:rsidRPr="008438F4">
              <w:rPr>
                <w:rFonts w:ascii="Calibri" w:eastAsia="Calibri" w:hAnsi="Calibri" w:cs="Calibri"/>
                <w:b/>
                <w:bCs/>
                <w:color w:val="000000"/>
                <w:kern w:val="24"/>
                <w:position w:val="8"/>
                <w:sz w:val="22"/>
                <w:szCs w:val="22"/>
                <w:vertAlign w:val="superscript"/>
              </w:rPr>
              <w:t>b</w:t>
            </w:r>
          </w:p>
        </w:tc>
      </w:tr>
      <w:tr w:rsidR="0099247D" w:rsidRPr="008438F4" w14:paraId="5A27E93B" w14:textId="77777777" w:rsidTr="00A303F6">
        <w:trPr>
          <w:trHeight w:val="20"/>
          <w:jc w:val="right"/>
        </w:trPr>
        <w:tc>
          <w:tcPr>
            <w:tcW w:w="4173" w:type="dxa"/>
            <w:shd w:val="clear" w:color="auto" w:fill="auto"/>
            <w:tcMar>
              <w:top w:w="15" w:type="dxa"/>
              <w:left w:w="68" w:type="dxa"/>
              <w:bottom w:w="0" w:type="dxa"/>
              <w:right w:w="68" w:type="dxa"/>
            </w:tcMar>
            <w:hideMark/>
          </w:tcPr>
          <w:p w14:paraId="62B2F335"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Caudate</w:t>
            </w:r>
          </w:p>
        </w:tc>
        <w:tc>
          <w:tcPr>
            <w:tcW w:w="0" w:type="auto"/>
            <w:shd w:val="clear" w:color="auto" w:fill="auto"/>
            <w:tcMar>
              <w:top w:w="15" w:type="dxa"/>
              <w:left w:w="68" w:type="dxa"/>
              <w:bottom w:w="0" w:type="dxa"/>
              <w:right w:w="68" w:type="dxa"/>
            </w:tcMar>
            <w:hideMark/>
          </w:tcPr>
          <w:p w14:paraId="0629155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0.26(0.03)</w:t>
            </w:r>
          </w:p>
        </w:tc>
        <w:tc>
          <w:tcPr>
            <w:tcW w:w="0" w:type="auto"/>
            <w:shd w:val="clear" w:color="auto" w:fill="auto"/>
            <w:tcMar>
              <w:top w:w="15" w:type="dxa"/>
              <w:left w:w="68" w:type="dxa"/>
              <w:bottom w:w="0" w:type="dxa"/>
              <w:right w:w="68" w:type="dxa"/>
            </w:tcMar>
            <w:hideMark/>
          </w:tcPr>
          <w:p w14:paraId="71238ED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0.26(0.03)</w:t>
            </w:r>
          </w:p>
        </w:tc>
        <w:tc>
          <w:tcPr>
            <w:tcW w:w="0" w:type="auto"/>
            <w:shd w:val="clear" w:color="auto" w:fill="auto"/>
            <w:tcMar>
              <w:top w:w="15" w:type="dxa"/>
              <w:left w:w="68" w:type="dxa"/>
              <w:bottom w:w="0" w:type="dxa"/>
              <w:right w:w="68" w:type="dxa"/>
            </w:tcMar>
            <w:hideMark/>
          </w:tcPr>
          <w:p w14:paraId="7C2B4303"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0.26(0.03)</w:t>
            </w:r>
          </w:p>
        </w:tc>
        <w:tc>
          <w:tcPr>
            <w:tcW w:w="0" w:type="auto"/>
            <w:shd w:val="clear" w:color="auto" w:fill="auto"/>
            <w:tcMar>
              <w:top w:w="15" w:type="dxa"/>
              <w:left w:w="68" w:type="dxa"/>
              <w:bottom w:w="0" w:type="dxa"/>
              <w:right w:w="68" w:type="dxa"/>
            </w:tcMar>
            <w:hideMark/>
          </w:tcPr>
          <w:p w14:paraId="22B6CEC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0.26(0.04)</w:t>
            </w:r>
          </w:p>
        </w:tc>
      </w:tr>
      <w:tr w:rsidR="0099247D" w:rsidRPr="008438F4" w14:paraId="569D3219" w14:textId="77777777" w:rsidTr="00A303F6">
        <w:trPr>
          <w:trHeight w:val="20"/>
          <w:jc w:val="right"/>
        </w:trPr>
        <w:tc>
          <w:tcPr>
            <w:tcW w:w="4173" w:type="dxa"/>
            <w:shd w:val="clear" w:color="auto" w:fill="auto"/>
            <w:tcMar>
              <w:top w:w="15" w:type="dxa"/>
              <w:left w:w="68" w:type="dxa"/>
              <w:bottom w:w="0" w:type="dxa"/>
              <w:right w:w="68" w:type="dxa"/>
            </w:tcMar>
            <w:hideMark/>
          </w:tcPr>
          <w:p w14:paraId="482B7212"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Cingulate Anterior</w:t>
            </w:r>
          </w:p>
        </w:tc>
        <w:tc>
          <w:tcPr>
            <w:tcW w:w="0" w:type="auto"/>
            <w:shd w:val="clear" w:color="auto" w:fill="auto"/>
            <w:tcMar>
              <w:top w:w="15" w:type="dxa"/>
              <w:left w:w="68" w:type="dxa"/>
              <w:bottom w:w="0" w:type="dxa"/>
              <w:right w:w="68" w:type="dxa"/>
            </w:tcMar>
            <w:hideMark/>
          </w:tcPr>
          <w:p w14:paraId="45C3FD1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0.24(0.05)</w:t>
            </w:r>
          </w:p>
        </w:tc>
        <w:tc>
          <w:tcPr>
            <w:tcW w:w="0" w:type="auto"/>
            <w:shd w:val="clear" w:color="auto" w:fill="auto"/>
            <w:tcMar>
              <w:top w:w="15" w:type="dxa"/>
              <w:left w:w="68" w:type="dxa"/>
              <w:bottom w:w="0" w:type="dxa"/>
              <w:right w:w="68" w:type="dxa"/>
            </w:tcMar>
            <w:hideMark/>
          </w:tcPr>
          <w:p w14:paraId="0AD26D46"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0.23(0.04)</w:t>
            </w:r>
          </w:p>
        </w:tc>
        <w:tc>
          <w:tcPr>
            <w:tcW w:w="0" w:type="auto"/>
            <w:shd w:val="clear" w:color="auto" w:fill="auto"/>
            <w:tcMar>
              <w:top w:w="15" w:type="dxa"/>
              <w:left w:w="68" w:type="dxa"/>
              <w:bottom w:w="0" w:type="dxa"/>
              <w:right w:w="68" w:type="dxa"/>
            </w:tcMar>
            <w:hideMark/>
          </w:tcPr>
          <w:p w14:paraId="45B6D63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0.24(0.03)</w:t>
            </w:r>
          </w:p>
        </w:tc>
        <w:tc>
          <w:tcPr>
            <w:tcW w:w="0" w:type="auto"/>
            <w:shd w:val="clear" w:color="auto" w:fill="auto"/>
            <w:tcMar>
              <w:top w:w="15" w:type="dxa"/>
              <w:left w:w="68" w:type="dxa"/>
              <w:bottom w:w="0" w:type="dxa"/>
              <w:right w:w="68" w:type="dxa"/>
            </w:tcMar>
            <w:hideMark/>
          </w:tcPr>
          <w:p w14:paraId="124405B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0.24(0.04)</w:t>
            </w:r>
          </w:p>
        </w:tc>
      </w:tr>
      <w:tr w:rsidR="0099247D" w:rsidRPr="008438F4" w14:paraId="6586B62C" w14:textId="77777777" w:rsidTr="00A303F6">
        <w:trPr>
          <w:trHeight w:val="20"/>
          <w:jc w:val="right"/>
        </w:trPr>
        <w:tc>
          <w:tcPr>
            <w:tcW w:w="4173" w:type="dxa"/>
            <w:shd w:val="clear" w:color="auto" w:fill="auto"/>
            <w:tcMar>
              <w:top w:w="15" w:type="dxa"/>
              <w:left w:w="68" w:type="dxa"/>
              <w:bottom w:w="0" w:type="dxa"/>
              <w:right w:w="68" w:type="dxa"/>
            </w:tcMar>
            <w:hideMark/>
          </w:tcPr>
          <w:p w14:paraId="6797CE62"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Cingulate Middle</w:t>
            </w:r>
          </w:p>
        </w:tc>
        <w:tc>
          <w:tcPr>
            <w:tcW w:w="0" w:type="auto"/>
            <w:shd w:val="clear" w:color="auto" w:fill="auto"/>
            <w:tcMar>
              <w:top w:w="15" w:type="dxa"/>
              <w:left w:w="68" w:type="dxa"/>
              <w:bottom w:w="0" w:type="dxa"/>
              <w:right w:w="68" w:type="dxa"/>
            </w:tcMar>
            <w:hideMark/>
          </w:tcPr>
          <w:p w14:paraId="45D5759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0.28(0.06)</w:t>
            </w:r>
          </w:p>
        </w:tc>
        <w:tc>
          <w:tcPr>
            <w:tcW w:w="0" w:type="auto"/>
            <w:shd w:val="clear" w:color="auto" w:fill="auto"/>
            <w:tcMar>
              <w:top w:w="15" w:type="dxa"/>
              <w:left w:w="68" w:type="dxa"/>
              <w:bottom w:w="0" w:type="dxa"/>
              <w:right w:w="68" w:type="dxa"/>
            </w:tcMar>
            <w:hideMark/>
          </w:tcPr>
          <w:p w14:paraId="290E1D7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0.25(0.04)</w:t>
            </w:r>
          </w:p>
        </w:tc>
        <w:tc>
          <w:tcPr>
            <w:tcW w:w="0" w:type="auto"/>
            <w:shd w:val="clear" w:color="auto" w:fill="auto"/>
            <w:tcMar>
              <w:top w:w="15" w:type="dxa"/>
              <w:left w:w="68" w:type="dxa"/>
              <w:bottom w:w="0" w:type="dxa"/>
              <w:right w:w="68" w:type="dxa"/>
            </w:tcMar>
            <w:hideMark/>
          </w:tcPr>
          <w:p w14:paraId="1D8C593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0.27(0.06)</w:t>
            </w:r>
          </w:p>
        </w:tc>
        <w:tc>
          <w:tcPr>
            <w:tcW w:w="0" w:type="auto"/>
            <w:shd w:val="clear" w:color="auto" w:fill="auto"/>
            <w:tcMar>
              <w:top w:w="15" w:type="dxa"/>
              <w:left w:w="68" w:type="dxa"/>
              <w:bottom w:w="0" w:type="dxa"/>
              <w:right w:w="68" w:type="dxa"/>
            </w:tcMar>
            <w:hideMark/>
          </w:tcPr>
          <w:p w14:paraId="2C481CD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0.26(0.04)</w:t>
            </w:r>
          </w:p>
        </w:tc>
      </w:tr>
      <w:tr w:rsidR="0099247D" w:rsidRPr="008438F4" w14:paraId="5382ED34" w14:textId="77777777" w:rsidTr="00A303F6">
        <w:trPr>
          <w:trHeight w:val="20"/>
          <w:jc w:val="right"/>
        </w:trPr>
        <w:tc>
          <w:tcPr>
            <w:tcW w:w="4173" w:type="dxa"/>
            <w:shd w:val="clear" w:color="auto" w:fill="auto"/>
            <w:tcMar>
              <w:top w:w="15" w:type="dxa"/>
              <w:left w:w="68" w:type="dxa"/>
              <w:bottom w:w="0" w:type="dxa"/>
              <w:right w:w="68" w:type="dxa"/>
            </w:tcMar>
            <w:hideMark/>
          </w:tcPr>
          <w:p w14:paraId="7C07A8EC"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 xml:space="preserve">Cingulate Posterior </w:t>
            </w:r>
            <w:r w:rsidRPr="008438F4">
              <w:rPr>
                <w:rFonts w:ascii="Calibri" w:eastAsia="Calibri" w:hAnsi="Calibri" w:cs="Calibri"/>
                <w:b/>
                <w:color w:val="000000"/>
                <w:kern w:val="24"/>
                <w:position w:val="8"/>
                <w:sz w:val="22"/>
                <w:szCs w:val="22"/>
                <w:vertAlign w:val="superscript"/>
              </w:rPr>
              <w:t>d</w:t>
            </w:r>
          </w:p>
        </w:tc>
        <w:tc>
          <w:tcPr>
            <w:tcW w:w="0" w:type="auto"/>
            <w:shd w:val="clear" w:color="auto" w:fill="auto"/>
            <w:tcMar>
              <w:top w:w="15" w:type="dxa"/>
              <w:left w:w="68" w:type="dxa"/>
              <w:bottom w:w="0" w:type="dxa"/>
              <w:right w:w="68" w:type="dxa"/>
            </w:tcMar>
            <w:hideMark/>
          </w:tcPr>
          <w:p w14:paraId="4CE85800"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0.07(0.02)</w:t>
            </w:r>
          </w:p>
        </w:tc>
        <w:tc>
          <w:tcPr>
            <w:tcW w:w="0" w:type="auto"/>
            <w:shd w:val="clear" w:color="auto" w:fill="auto"/>
            <w:tcMar>
              <w:top w:w="15" w:type="dxa"/>
              <w:left w:w="68" w:type="dxa"/>
              <w:bottom w:w="0" w:type="dxa"/>
              <w:right w:w="68" w:type="dxa"/>
            </w:tcMar>
            <w:hideMark/>
          </w:tcPr>
          <w:p w14:paraId="0884D1FE"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0.06(0.01)</w:t>
            </w:r>
          </w:p>
        </w:tc>
        <w:tc>
          <w:tcPr>
            <w:tcW w:w="0" w:type="auto"/>
            <w:shd w:val="clear" w:color="auto" w:fill="auto"/>
            <w:tcMar>
              <w:top w:w="15" w:type="dxa"/>
              <w:left w:w="68" w:type="dxa"/>
              <w:bottom w:w="0" w:type="dxa"/>
              <w:right w:w="68" w:type="dxa"/>
            </w:tcMar>
            <w:hideMark/>
          </w:tcPr>
          <w:p w14:paraId="6A78B68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0.07(0.02)</w:t>
            </w:r>
          </w:p>
        </w:tc>
        <w:tc>
          <w:tcPr>
            <w:tcW w:w="0" w:type="auto"/>
            <w:shd w:val="clear" w:color="auto" w:fill="auto"/>
            <w:tcMar>
              <w:top w:w="15" w:type="dxa"/>
              <w:left w:w="68" w:type="dxa"/>
              <w:bottom w:w="0" w:type="dxa"/>
              <w:right w:w="68" w:type="dxa"/>
            </w:tcMar>
            <w:hideMark/>
          </w:tcPr>
          <w:p w14:paraId="33FEDD77"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0.07(0.01)</w:t>
            </w:r>
          </w:p>
        </w:tc>
      </w:tr>
      <w:tr w:rsidR="0099247D" w:rsidRPr="008438F4" w14:paraId="3FC50BAF" w14:textId="77777777" w:rsidTr="00A303F6">
        <w:trPr>
          <w:trHeight w:val="20"/>
          <w:jc w:val="right"/>
        </w:trPr>
        <w:tc>
          <w:tcPr>
            <w:tcW w:w="4173" w:type="dxa"/>
            <w:shd w:val="clear" w:color="auto" w:fill="auto"/>
            <w:tcMar>
              <w:top w:w="15" w:type="dxa"/>
              <w:left w:w="68" w:type="dxa"/>
              <w:bottom w:w="0" w:type="dxa"/>
              <w:right w:w="68" w:type="dxa"/>
            </w:tcMar>
            <w:hideMark/>
          </w:tcPr>
          <w:p w14:paraId="60D2CEF6"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Frontal Middle</w:t>
            </w:r>
          </w:p>
        </w:tc>
        <w:tc>
          <w:tcPr>
            <w:tcW w:w="0" w:type="auto"/>
            <w:shd w:val="clear" w:color="auto" w:fill="auto"/>
            <w:tcMar>
              <w:top w:w="15" w:type="dxa"/>
              <w:left w:w="68" w:type="dxa"/>
              <w:bottom w:w="0" w:type="dxa"/>
              <w:right w:w="68" w:type="dxa"/>
            </w:tcMar>
            <w:hideMark/>
          </w:tcPr>
          <w:p w14:paraId="125AA2D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0.69(0.06)</w:t>
            </w:r>
          </w:p>
        </w:tc>
        <w:tc>
          <w:tcPr>
            <w:tcW w:w="0" w:type="auto"/>
            <w:shd w:val="clear" w:color="auto" w:fill="auto"/>
            <w:tcMar>
              <w:top w:w="15" w:type="dxa"/>
              <w:left w:w="68" w:type="dxa"/>
              <w:bottom w:w="0" w:type="dxa"/>
              <w:right w:w="68" w:type="dxa"/>
            </w:tcMar>
            <w:hideMark/>
          </w:tcPr>
          <w:p w14:paraId="3A26B68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0.69(0.05)</w:t>
            </w:r>
          </w:p>
        </w:tc>
        <w:tc>
          <w:tcPr>
            <w:tcW w:w="0" w:type="auto"/>
            <w:shd w:val="clear" w:color="auto" w:fill="auto"/>
            <w:tcMar>
              <w:top w:w="15" w:type="dxa"/>
              <w:left w:w="68" w:type="dxa"/>
              <w:bottom w:w="0" w:type="dxa"/>
              <w:right w:w="68" w:type="dxa"/>
            </w:tcMar>
            <w:hideMark/>
          </w:tcPr>
          <w:p w14:paraId="7A3616E3"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0.69(0.06)</w:t>
            </w:r>
          </w:p>
        </w:tc>
        <w:tc>
          <w:tcPr>
            <w:tcW w:w="0" w:type="auto"/>
            <w:shd w:val="clear" w:color="auto" w:fill="auto"/>
            <w:tcMar>
              <w:top w:w="15" w:type="dxa"/>
              <w:left w:w="68" w:type="dxa"/>
              <w:bottom w:w="0" w:type="dxa"/>
              <w:right w:w="68" w:type="dxa"/>
            </w:tcMar>
            <w:hideMark/>
          </w:tcPr>
          <w:p w14:paraId="0818F03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0.68(0.05)</w:t>
            </w:r>
          </w:p>
        </w:tc>
      </w:tr>
      <w:tr w:rsidR="0099247D" w:rsidRPr="008438F4" w14:paraId="51C737CD" w14:textId="77777777" w:rsidTr="00A303F6">
        <w:trPr>
          <w:trHeight w:val="20"/>
          <w:jc w:val="right"/>
        </w:trPr>
        <w:tc>
          <w:tcPr>
            <w:tcW w:w="4173" w:type="dxa"/>
            <w:shd w:val="clear" w:color="auto" w:fill="auto"/>
            <w:tcMar>
              <w:top w:w="15" w:type="dxa"/>
              <w:left w:w="68" w:type="dxa"/>
              <w:bottom w:w="0" w:type="dxa"/>
              <w:right w:w="68" w:type="dxa"/>
            </w:tcMar>
            <w:hideMark/>
          </w:tcPr>
          <w:p w14:paraId="055E02E8"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 xml:space="preserve">Frontal Middle Orbital </w:t>
            </w:r>
            <w:r w:rsidRPr="008438F4">
              <w:rPr>
                <w:rFonts w:ascii="Calibri" w:eastAsia="Calibri" w:hAnsi="Calibri" w:cs="Calibri"/>
                <w:b/>
                <w:color w:val="000000"/>
                <w:kern w:val="24"/>
                <w:position w:val="8"/>
                <w:sz w:val="22"/>
                <w:szCs w:val="22"/>
                <w:vertAlign w:val="superscript"/>
              </w:rPr>
              <w:t>d</w:t>
            </w:r>
          </w:p>
        </w:tc>
        <w:tc>
          <w:tcPr>
            <w:tcW w:w="0" w:type="auto"/>
            <w:shd w:val="clear" w:color="auto" w:fill="auto"/>
            <w:tcMar>
              <w:top w:w="15" w:type="dxa"/>
              <w:left w:w="68" w:type="dxa"/>
              <w:bottom w:w="0" w:type="dxa"/>
              <w:right w:w="68" w:type="dxa"/>
            </w:tcMar>
            <w:hideMark/>
          </w:tcPr>
          <w:p w14:paraId="02A238F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0.12(0.03)</w:t>
            </w:r>
          </w:p>
        </w:tc>
        <w:tc>
          <w:tcPr>
            <w:tcW w:w="0" w:type="auto"/>
            <w:shd w:val="clear" w:color="auto" w:fill="auto"/>
            <w:tcMar>
              <w:top w:w="15" w:type="dxa"/>
              <w:left w:w="68" w:type="dxa"/>
              <w:bottom w:w="0" w:type="dxa"/>
              <w:right w:w="68" w:type="dxa"/>
            </w:tcMar>
            <w:hideMark/>
          </w:tcPr>
          <w:p w14:paraId="246FA4B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0.12(0.02)</w:t>
            </w:r>
          </w:p>
        </w:tc>
        <w:tc>
          <w:tcPr>
            <w:tcW w:w="0" w:type="auto"/>
            <w:shd w:val="clear" w:color="auto" w:fill="auto"/>
            <w:tcMar>
              <w:top w:w="15" w:type="dxa"/>
              <w:left w:w="68" w:type="dxa"/>
              <w:bottom w:w="0" w:type="dxa"/>
              <w:right w:w="68" w:type="dxa"/>
            </w:tcMar>
            <w:hideMark/>
          </w:tcPr>
          <w:p w14:paraId="6A0F8DB3"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0.12(0.03)</w:t>
            </w:r>
          </w:p>
        </w:tc>
        <w:tc>
          <w:tcPr>
            <w:tcW w:w="0" w:type="auto"/>
            <w:shd w:val="clear" w:color="auto" w:fill="auto"/>
            <w:tcMar>
              <w:top w:w="15" w:type="dxa"/>
              <w:left w:w="68" w:type="dxa"/>
              <w:bottom w:w="0" w:type="dxa"/>
              <w:right w:w="68" w:type="dxa"/>
            </w:tcMar>
            <w:hideMark/>
          </w:tcPr>
          <w:p w14:paraId="71BBEEDB"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0.11(0.02)</w:t>
            </w:r>
          </w:p>
        </w:tc>
      </w:tr>
      <w:tr w:rsidR="0099247D" w:rsidRPr="008438F4" w14:paraId="676F1F33" w14:textId="77777777" w:rsidTr="00A303F6">
        <w:trPr>
          <w:trHeight w:val="20"/>
          <w:jc w:val="right"/>
        </w:trPr>
        <w:tc>
          <w:tcPr>
            <w:tcW w:w="4173" w:type="dxa"/>
            <w:shd w:val="clear" w:color="auto" w:fill="auto"/>
            <w:tcMar>
              <w:top w:w="15" w:type="dxa"/>
              <w:left w:w="68" w:type="dxa"/>
              <w:bottom w:w="0" w:type="dxa"/>
              <w:right w:w="68" w:type="dxa"/>
            </w:tcMar>
            <w:hideMark/>
          </w:tcPr>
          <w:p w14:paraId="62B49135"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Frontal Superior Medial</w:t>
            </w:r>
          </w:p>
        </w:tc>
        <w:tc>
          <w:tcPr>
            <w:tcW w:w="0" w:type="auto"/>
            <w:shd w:val="clear" w:color="auto" w:fill="auto"/>
            <w:tcMar>
              <w:top w:w="15" w:type="dxa"/>
              <w:left w:w="68" w:type="dxa"/>
              <w:bottom w:w="0" w:type="dxa"/>
              <w:right w:w="68" w:type="dxa"/>
            </w:tcMar>
            <w:hideMark/>
          </w:tcPr>
          <w:p w14:paraId="4433810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0.41(0.06)</w:t>
            </w:r>
          </w:p>
        </w:tc>
        <w:tc>
          <w:tcPr>
            <w:tcW w:w="0" w:type="auto"/>
            <w:shd w:val="clear" w:color="auto" w:fill="auto"/>
            <w:tcMar>
              <w:top w:w="15" w:type="dxa"/>
              <w:left w:w="68" w:type="dxa"/>
              <w:bottom w:w="0" w:type="dxa"/>
              <w:right w:w="68" w:type="dxa"/>
            </w:tcMar>
            <w:hideMark/>
          </w:tcPr>
          <w:p w14:paraId="06E91301"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0.42(0.04)</w:t>
            </w:r>
          </w:p>
        </w:tc>
        <w:tc>
          <w:tcPr>
            <w:tcW w:w="0" w:type="auto"/>
            <w:shd w:val="clear" w:color="auto" w:fill="auto"/>
            <w:tcMar>
              <w:top w:w="15" w:type="dxa"/>
              <w:left w:w="68" w:type="dxa"/>
              <w:bottom w:w="0" w:type="dxa"/>
              <w:right w:w="68" w:type="dxa"/>
            </w:tcMar>
            <w:hideMark/>
          </w:tcPr>
          <w:p w14:paraId="368AC8B5"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0.41(0.06)</w:t>
            </w:r>
          </w:p>
        </w:tc>
        <w:tc>
          <w:tcPr>
            <w:tcW w:w="0" w:type="auto"/>
            <w:shd w:val="clear" w:color="auto" w:fill="auto"/>
            <w:tcMar>
              <w:top w:w="15" w:type="dxa"/>
              <w:left w:w="68" w:type="dxa"/>
              <w:bottom w:w="0" w:type="dxa"/>
              <w:right w:w="68" w:type="dxa"/>
            </w:tcMar>
            <w:hideMark/>
          </w:tcPr>
          <w:p w14:paraId="05429C3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0.41(0.04)</w:t>
            </w:r>
          </w:p>
        </w:tc>
      </w:tr>
      <w:tr w:rsidR="0099247D" w:rsidRPr="008438F4" w14:paraId="5FDCB469" w14:textId="77777777" w:rsidTr="00A303F6">
        <w:trPr>
          <w:trHeight w:val="20"/>
          <w:jc w:val="right"/>
        </w:trPr>
        <w:tc>
          <w:tcPr>
            <w:tcW w:w="4173" w:type="dxa"/>
            <w:shd w:val="clear" w:color="auto" w:fill="auto"/>
            <w:tcMar>
              <w:top w:w="15" w:type="dxa"/>
              <w:left w:w="68" w:type="dxa"/>
              <w:bottom w:w="0" w:type="dxa"/>
              <w:right w:w="68" w:type="dxa"/>
            </w:tcMar>
            <w:hideMark/>
          </w:tcPr>
          <w:p w14:paraId="2D0CDD17"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Hippocampus</w:t>
            </w:r>
            <w:r w:rsidRPr="008438F4">
              <w:rPr>
                <w:rFonts w:ascii="Calibri" w:eastAsia="Calibri" w:hAnsi="Calibri" w:cs="Calibri"/>
                <w:b/>
                <w:color w:val="000000"/>
                <w:kern w:val="24"/>
                <w:position w:val="8"/>
                <w:sz w:val="22"/>
                <w:szCs w:val="22"/>
                <w:vertAlign w:val="superscript"/>
              </w:rPr>
              <w:t>d</w:t>
            </w:r>
          </w:p>
        </w:tc>
        <w:tc>
          <w:tcPr>
            <w:tcW w:w="0" w:type="auto"/>
            <w:shd w:val="clear" w:color="auto" w:fill="auto"/>
            <w:tcMar>
              <w:top w:w="15" w:type="dxa"/>
              <w:left w:w="68" w:type="dxa"/>
              <w:bottom w:w="0" w:type="dxa"/>
              <w:right w:w="68" w:type="dxa"/>
            </w:tcMar>
            <w:hideMark/>
          </w:tcPr>
          <w:p w14:paraId="618A94F8"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0.28(0.04)</w:t>
            </w:r>
          </w:p>
        </w:tc>
        <w:tc>
          <w:tcPr>
            <w:tcW w:w="0" w:type="auto"/>
            <w:shd w:val="clear" w:color="auto" w:fill="auto"/>
            <w:tcMar>
              <w:top w:w="15" w:type="dxa"/>
              <w:left w:w="68" w:type="dxa"/>
              <w:bottom w:w="0" w:type="dxa"/>
              <w:right w:w="68" w:type="dxa"/>
            </w:tcMar>
            <w:hideMark/>
          </w:tcPr>
          <w:p w14:paraId="1C81D13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0.28(0.02)</w:t>
            </w:r>
          </w:p>
        </w:tc>
        <w:tc>
          <w:tcPr>
            <w:tcW w:w="0" w:type="auto"/>
            <w:shd w:val="clear" w:color="auto" w:fill="auto"/>
            <w:tcMar>
              <w:top w:w="15" w:type="dxa"/>
              <w:left w:w="68" w:type="dxa"/>
              <w:bottom w:w="0" w:type="dxa"/>
              <w:right w:w="68" w:type="dxa"/>
            </w:tcMar>
            <w:hideMark/>
          </w:tcPr>
          <w:p w14:paraId="3B445D76"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0.27(0.04)</w:t>
            </w:r>
          </w:p>
        </w:tc>
        <w:tc>
          <w:tcPr>
            <w:tcW w:w="0" w:type="auto"/>
            <w:shd w:val="clear" w:color="auto" w:fill="auto"/>
            <w:tcMar>
              <w:top w:w="15" w:type="dxa"/>
              <w:left w:w="68" w:type="dxa"/>
              <w:bottom w:w="0" w:type="dxa"/>
              <w:right w:w="68" w:type="dxa"/>
            </w:tcMar>
            <w:hideMark/>
          </w:tcPr>
          <w:p w14:paraId="48C244F8"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0.28(0.02)</w:t>
            </w:r>
          </w:p>
        </w:tc>
      </w:tr>
      <w:tr w:rsidR="0099247D" w:rsidRPr="008438F4" w14:paraId="482EE753" w14:textId="77777777" w:rsidTr="00085644">
        <w:trPr>
          <w:trHeight w:val="192"/>
          <w:jc w:val="right"/>
        </w:trPr>
        <w:tc>
          <w:tcPr>
            <w:tcW w:w="4173" w:type="dxa"/>
            <w:shd w:val="clear" w:color="auto" w:fill="auto"/>
            <w:tcMar>
              <w:top w:w="15" w:type="dxa"/>
              <w:left w:w="68" w:type="dxa"/>
              <w:bottom w:w="0" w:type="dxa"/>
              <w:right w:w="68" w:type="dxa"/>
            </w:tcMar>
            <w:hideMark/>
          </w:tcPr>
          <w:p w14:paraId="31020393"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Putamen</w:t>
            </w:r>
            <w:r w:rsidRPr="008438F4">
              <w:rPr>
                <w:rFonts w:ascii="Calibri" w:eastAsia="Calibri" w:hAnsi="Calibri" w:cs="Calibri"/>
                <w:b/>
                <w:color w:val="000000"/>
                <w:kern w:val="24"/>
                <w:position w:val="8"/>
                <w:sz w:val="22"/>
                <w:szCs w:val="22"/>
                <w:vertAlign w:val="superscript"/>
              </w:rPr>
              <w:t>d</w:t>
            </w:r>
          </w:p>
        </w:tc>
        <w:tc>
          <w:tcPr>
            <w:tcW w:w="0" w:type="auto"/>
            <w:shd w:val="clear" w:color="auto" w:fill="auto"/>
            <w:tcMar>
              <w:top w:w="15" w:type="dxa"/>
              <w:left w:w="68" w:type="dxa"/>
              <w:bottom w:w="0" w:type="dxa"/>
              <w:right w:w="68" w:type="dxa"/>
            </w:tcMar>
            <w:hideMark/>
          </w:tcPr>
          <w:p w14:paraId="354FF9A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0.25(0.04)</w:t>
            </w:r>
          </w:p>
        </w:tc>
        <w:tc>
          <w:tcPr>
            <w:tcW w:w="0" w:type="auto"/>
            <w:shd w:val="clear" w:color="auto" w:fill="auto"/>
            <w:tcMar>
              <w:top w:w="15" w:type="dxa"/>
              <w:left w:w="68" w:type="dxa"/>
              <w:bottom w:w="0" w:type="dxa"/>
              <w:right w:w="68" w:type="dxa"/>
            </w:tcMar>
            <w:hideMark/>
          </w:tcPr>
          <w:p w14:paraId="5829D1B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0.27(0.04)</w:t>
            </w:r>
          </w:p>
        </w:tc>
        <w:tc>
          <w:tcPr>
            <w:tcW w:w="0" w:type="auto"/>
            <w:shd w:val="clear" w:color="auto" w:fill="auto"/>
            <w:tcMar>
              <w:top w:w="15" w:type="dxa"/>
              <w:left w:w="68" w:type="dxa"/>
              <w:bottom w:w="0" w:type="dxa"/>
              <w:right w:w="68" w:type="dxa"/>
            </w:tcMar>
            <w:hideMark/>
          </w:tcPr>
          <w:p w14:paraId="5760177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0.25(0.03)</w:t>
            </w:r>
          </w:p>
        </w:tc>
        <w:tc>
          <w:tcPr>
            <w:tcW w:w="0" w:type="auto"/>
            <w:shd w:val="clear" w:color="auto" w:fill="auto"/>
            <w:tcMar>
              <w:top w:w="15" w:type="dxa"/>
              <w:left w:w="68" w:type="dxa"/>
              <w:bottom w:w="0" w:type="dxa"/>
              <w:right w:w="68" w:type="dxa"/>
            </w:tcMar>
            <w:hideMark/>
          </w:tcPr>
          <w:p w14:paraId="1C7178AB"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color w:val="000000"/>
                <w:kern w:val="24"/>
                <w:sz w:val="22"/>
                <w:szCs w:val="22"/>
              </w:rPr>
              <w:t>0.28(0.06)</w:t>
            </w:r>
          </w:p>
        </w:tc>
      </w:tr>
      <w:tr w:rsidR="0099247D" w:rsidRPr="008438F4" w14:paraId="42B29162" w14:textId="77777777" w:rsidTr="00085644">
        <w:trPr>
          <w:trHeight w:val="273"/>
          <w:jc w:val="right"/>
        </w:trPr>
        <w:tc>
          <w:tcPr>
            <w:tcW w:w="4173" w:type="dxa"/>
            <w:tcBorders>
              <w:bottom w:val="single" w:sz="2" w:space="0" w:color="auto"/>
            </w:tcBorders>
            <w:shd w:val="clear" w:color="auto" w:fill="auto"/>
            <w:tcMar>
              <w:top w:w="15" w:type="dxa"/>
              <w:left w:w="68" w:type="dxa"/>
              <w:bottom w:w="0" w:type="dxa"/>
              <w:right w:w="68" w:type="dxa"/>
            </w:tcMar>
            <w:hideMark/>
          </w:tcPr>
          <w:p w14:paraId="4A6D45A0" w14:textId="77777777" w:rsidR="0099247D" w:rsidRPr="008438F4" w:rsidRDefault="0099247D" w:rsidP="002E5A98">
            <w:pPr>
              <w:spacing w:line="240" w:lineRule="auto"/>
              <w:jc w:val="right"/>
              <w:rPr>
                <w:rFonts w:ascii="Calibri" w:hAnsi="Calibri" w:cs="Calibri"/>
                <w:b/>
                <w:sz w:val="22"/>
                <w:szCs w:val="22"/>
              </w:rPr>
            </w:pPr>
            <w:r w:rsidRPr="008438F4">
              <w:rPr>
                <w:rFonts w:ascii="Calibri" w:eastAsia="Calibri" w:hAnsi="Calibri" w:cs="Calibri"/>
                <w:b/>
                <w:color w:val="000000"/>
                <w:kern w:val="24"/>
                <w:sz w:val="22"/>
                <w:szCs w:val="22"/>
              </w:rPr>
              <w:t>Thalamus</w:t>
            </w:r>
          </w:p>
        </w:tc>
        <w:tc>
          <w:tcPr>
            <w:tcW w:w="0" w:type="auto"/>
            <w:tcBorders>
              <w:bottom w:val="single" w:sz="2" w:space="0" w:color="auto"/>
            </w:tcBorders>
            <w:shd w:val="clear" w:color="auto" w:fill="auto"/>
            <w:tcMar>
              <w:top w:w="15" w:type="dxa"/>
              <w:left w:w="68" w:type="dxa"/>
              <w:bottom w:w="0" w:type="dxa"/>
              <w:right w:w="68" w:type="dxa"/>
            </w:tcMar>
            <w:hideMark/>
          </w:tcPr>
          <w:p w14:paraId="5D14E93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b/>
                <w:bCs/>
                <w:color w:val="000000"/>
                <w:kern w:val="24"/>
                <w:sz w:val="22"/>
                <w:szCs w:val="22"/>
              </w:rPr>
              <w:t>0.29(0.03)</w:t>
            </w:r>
            <w:r w:rsidRPr="008438F4">
              <w:rPr>
                <w:rFonts w:ascii="Calibri" w:eastAsia="Calibri" w:hAnsi="Calibri" w:cs="Calibri"/>
                <w:b/>
                <w:bCs/>
                <w:color w:val="000000"/>
                <w:kern w:val="24"/>
                <w:position w:val="8"/>
                <w:sz w:val="22"/>
                <w:szCs w:val="22"/>
                <w:vertAlign w:val="superscript"/>
              </w:rPr>
              <w:t>b</w:t>
            </w:r>
          </w:p>
        </w:tc>
        <w:tc>
          <w:tcPr>
            <w:tcW w:w="0" w:type="auto"/>
            <w:tcBorders>
              <w:bottom w:val="single" w:sz="2" w:space="0" w:color="auto"/>
            </w:tcBorders>
            <w:shd w:val="clear" w:color="auto" w:fill="auto"/>
            <w:tcMar>
              <w:top w:w="15" w:type="dxa"/>
              <w:left w:w="68" w:type="dxa"/>
              <w:bottom w:w="0" w:type="dxa"/>
              <w:right w:w="68" w:type="dxa"/>
            </w:tcMar>
            <w:hideMark/>
          </w:tcPr>
          <w:p w14:paraId="06448209"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b/>
                <w:bCs/>
                <w:color w:val="000000"/>
                <w:kern w:val="24"/>
                <w:sz w:val="22"/>
                <w:szCs w:val="22"/>
              </w:rPr>
              <w:t>0.31(0.02)</w:t>
            </w:r>
            <w:r w:rsidRPr="008438F4">
              <w:rPr>
                <w:rFonts w:ascii="Calibri" w:eastAsia="Calibri" w:hAnsi="Calibri" w:cs="Calibri"/>
                <w:b/>
                <w:bCs/>
                <w:color w:val="000000"/>
                <w:kern w:val="24"/>
                <w:position w:val="8"/>
                <w:sz w:val="22"/>
                <w:szCs w:val="22"/>
                <w:vertAlign w:val="superscript"/>
              </w:rPr>
              <w:t>b</w:t>
            </w:r>
          </w:p>
        </w:tc>
        <w:tc>
          <w:tcPr>
            <w:tcW w:w="0" w:type="auto"/>
            <w:tcBorders>
              <w:bottom w:val="single" w:sz="2" w:space="0" w:color="auto"/>
            </w:tcBorders>
            <w:shd w:val="clear" w:color="auto" w:fill="auto"/>
            <w:tcMar>
              <w:top w:w="15" w:type="dxa"/>
              <w:left w:w="68" w:type="dxa"/>
              <w:bottom w:w="0" w:type="dxa"/>
              <w:right w:w="68" w:type="dxa"/>
            </w:tcMar>
            <w:hideMark/>
          </w:tcPr>
          <w:p w14:paraId="0D3D419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b/>
                <w:bCs/>
                <w:color w:val="000000"/>
                <w:kern w:val="24"/>
                <w:sz w:val="22"/>
                <w:szCs w:val="22"/>
              </w:rPr>
              <w:t>0.29(0.03)</w:t>
            </w:r>
            <w:r w:rsidRPr="008438F4">
              <w:rPr>
                <w:rFonts w:ascii="Calibri" w:eastAsia="Calibri" w:hAnsi="Calibri" w:cs="Calibri"/>
                <w:b/>
                <w:bCs/>
                <w:color w:val="000000"/>
                <w:kern w:val="24"/>
                <w:position w:val="8"/>
                <w:sz w:val="22"/>
                <w:szCs w:val="22"/>
                <w:vertAlign w:val="superscript"/>
              </w:rPr>
              <w:t>b</w:t>
            </w:r>
          </w:p>
        </w:tc>
        <w:tc>
          <w:tcPr>
            <w:tcW w:w="0" w:type="auto"/>
            <w:tcBorders>
              <w:bottom w:val="single" w:sz="2" w:space="0" w:color="auto"/>
            </w:tcBorders>
            <w:shd w:val="clear" w:color="auto" w:fill="auto"/>
            <w:tcMar>
              <w:top w:w="15" w:type="dxa"/>
              <w:left w:w="68" w:type="dxa"/>
              <w:bottom w:w="0" w:type="dxa"/>
              <w:right w:w="68" w:type="dxa"/>
            </w:tcMar>
            <w:hideMark/>
          </w:tcPr>
          <w:p w14:paraId="020987F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eastAsia="Calibri" w:hAnsi="Calibri" w:cs="Calibri"/>
                <w:b/>
                <w:bCs/>
                <w:color w:val="000000"/>
                <w:kern w:val="24"/>
                <w:sz w:val="22"/>
                <w:szCs w:val="22"/>
              </w:rPr>
              <w:t>0.31(0.02)</w:t>
            </w:r>
            <w:r w:rsidRPr="008438F4">
              <w:rPr>
                <w:rFonts w:ascii="Calibri" w:eastAsia="Calibri" w:hAnsi="Calibri" w:cs="Calibri"/>
                <w:b/>
                <w:bCs/>
                <w:color w:val="000000"/>
                <w:kern w:val="24"/>
                <w:position w:val="8"/>
                <w:sz w:val="22"/>
                <w:szCs w:val="22"/>
                <w:vertAlign w:val="superscript"/>
              </w:rPr>
              <w:t>b</w:t>
            </w:r>
          </w:p>
        </w:tc>
      </w:tr>
      <w:tr w:rsidR="0099247D" w:rsidRPr="008438F4" w14:paraId="1084C0C8" w14:textId="77777777" w:rsidTr="00A303F6">
        <w:trPr>
          <w:trHeight w:val="20"/>
          <w:jc w:val="right"/>
        </w:trPr>
        <w:tc>
          <w:tcPr>
            <w:tcW w:w="4173" w:type="dxa"/>
            <w:tcBorders>
              <w:top w:val="single" w:sz="2" w:space="0" w:color="auto"/>
            </w:tcBorders>
            <w:shd w:val="clear" w:color="auto" w:fill="auto"/>
            <w:tcMar>
              <w:top w:w="15" w:type="dxa"/>
              <w:left w:w="68" w:type="dxa"/>
              <w:bottom w:w="0" w:type="dxa"/>
              <w:right w:w="68" w:type="dxa"/>
            </w:tcMar>
          </w:tcPr>
          <w:p w14:paraId="57803757" w14:textId="77777777" w:rsidR="0099247D" w:rsidRPr="008438F4" w:rsidRDefault="0099247D" w:rsidP="002E5A98">
            <w:pPr>
              <w:spacing w:line="240" w:lineRule="auto"/>
              <w:rPr>
                <w:rFonts w:ascii="Calibri" w:hAnsi="Calibri" w:cs="Calibri"/>
                <w:b/>
                <w:sz w:val="22"/>
                <w:szCs w:val="22"/>
              </w:rPr>
            </w:pPr>
            <w:r w:rsidRPr="008438F4">
              <w:rPr>
                <w:rFonts w:ascii="Calibri" w:hAnsi="Calibri" w:cs="Calibri"/>
                <w:b/>
                <w:sz w:val="22"/>
                <w:szCs w:val="22"/>
              </w:rPr>
              <w:t>Right Subcortical Structures</w:t>
            </w:r>
          </w:p>
        </w:tc>
        <w:tc>
          <w:tcPr>
            <w:tcW w:w="0" w:type="auto"/>
            <w:tcBorders>
              <w:top w:val="single" w:sz="2" w:space="0" w:color="auto"/>
            </w:tcBorders>
            <w:shd w:val="clear" w:color="auto" w:fill="auto"/>
            <w:tcMar>
              <w:top w:w="15" w:type="dxa"/>
              <w:left w:w="68" w:type="dxa"/>
              <w:bottom w:w="0" w:type="dxa"/>
              <w:right w:w="68" w:type="dxa"/>
            </w:tcMar>
          </w:tcPr>
          <w:p w14:paraId="6CD7F42C" w14:textId="77777777" w:rsidR="0099247D" w:rsidRPr="008438F4" w:rsidRDefault="0099247D" w:rsidP="00746A2C">
            <w:pPr>
              <w:spacing w:line="240" w:lineRule="auto"/>
              <w:ind w:firstLine="165"/>
              <w:jc w:val="center"/>
              <w:rPr>
                <w:rFonts w:ascii="Calibri" w:hAnsi="Calibri" w:cs="Calibri"/>
                <w:sz w:val="22"/>
                <w:szCs w:val="22"/>
              </w:rPr>
            </w:pPr>
          </w:p>
        </w:tc>
        <w:tc>
          <w:tcPr>
            <w:tcW w:w="0" w:type="auto"/>
            <w:tcBorders>
              <w:top w:val="single" w:sz="2" w:space="0" w:color="auto"/>
            </w:tcBorders>
            <w:shd w:val="clear" w:color="auto" w:fill="auto"/>
            <w:tcMar>
              <w:top w:w="15" w:type="dxa"/>
              <w:left w:w="68" w:type="dxa"/>
              <w:bottom w:w="0" w:type="dxa"/>
              <w:right w:w="68" w:type="dxa"/>
            </w:tcMar>
          </w:tcPr>
          <w:p w14:paraId="33BF2795" w14:textId="77777777" w:rsidR="0099247D" w:rsidRPr="008438F4" w:rsidRDefault="0099247D" w:rsidP="00746A2C">
            <w:pPr>
              <w:spacing w:line="240" w:lineRule="auto"/>
              <w:ind w:firstLine="165"/>
              <w:jc w:val="center"/>
              <w:rPr>
                <w:rFonts w:ascii="Calibri" w:hAnsi="Calibri" w:cs="Calibri"/>
                <w:sz w:val="22"/>
                <w:szCs w:val="22"/>
              </w:rPr>
            </w:pPr>
          </w:p>
        </w:tc>
        <w:tc>
          <w:tcPr>
            <w:tcW w:w="0" w:type="auto"/>
            <w:tcBorders>
              <w:top w:val="single" w:sz="2" w:space="0" w:color="auto"/>
            </w:tcBorders>
            <w:shd w:val="clear" w:color="auto" w:fill="auto"/>
            <w:tcMar>
              <w:top w:w="15" w:type="dxa"/>
              <w:left w:w="68" w:type="dxa"/>
              <w:bottom w:w="0" w:type="dxa"/>
              <w:right w:w="68" w:type="dxa"/>
            </w:tcMar>
          </w:tcPr>
          <w:p w14:paraId="475E52AD" w14:textId="77777777" w:rsidR="0099247D" w:rsidRPr="008438F4" w:rsidRDefault="0099247D" w:rsidP="00746A2C">
            <w:pPr>
              <w:spacing w:line="240" w:lineRule="auto"/>
              <w:ind w:firstLine="165"/>
              <w:jc w:val="center"/>
              <w:rPr>
                <w:rFonts w:ascii="Calibri" w:hAnsi="Calibri" w:cs="Calibri"/>
                <w:b/>
                <w:bCs/>
                <w:sz w:val="22"/>
                <w:szCs w:val="22"/>
              </w:rPr>
            </w:pPr>
          </w:p>
        </w:tc>
        <w:tc>
          <w:tcPr>
            <w:tcW w:w="0" w:type="auto"/>
            <w:tcBorders>
              <w:top w:val="single" w:sz="2" w:space="0" w:color="auto"/>
            </w:tcBorders>
            <w:shd w:val="clear" w:color="auto" w:fill="auto"/>
            <w:tcMar>
              <w:top w:w="15" w:type="dxa"/>
              <w:left w:w="68" w:type="dxa"/>
              <w:bottom w:w="0" w:type="dxa"/>
              <w:right w:w="68" w:type="dxa"/>
            </w:tcMar>
          </w:tcPr>
          <w:p w14:paraId="08967EA2" w14:textId="77777777" w:rsidR="0099247D" w:rsidRPr="008438F4" w:rsidRDefault="0099247D" w:rsidP="00746A2C">
            <w:pPr>
              <w:spacing w:line="240" w:lineRule="auto"/>
              <w:ind w:firstLine="165"/>
              <w:jc w:val="center"/>
              <w:rPr>
                <w:rFonts w:ascii="Calibri" w:hAnsi="Calibri" w:cs="Calibri"/>
                <w:b/>
                <w:bCs/>
                <w:sz w:val="22"/>
                <w:szCs w:val="22"/>
              </w:rPr>
            </w:pPr>
          </w:p>
        </w:tc>
      </w:tr>
      <w:tr w:rsidR="0099247D" w:rsidRPr="008438F4" w14:paraId="632E9160" w14:textId="77777777" w:rsidTr="00A303F6">
        <w:trPr>
          <w:trHeight w:val="20"/>
          <w:jc w:val="right"/>
        </w:trPr>
        <w:tc>
          <w:tcPr>
            <w:tcW w:w="4173" w:type="dxa"/>
            <w:shd w:val="clear" w:color="auto" w:fill="auto"/>
            <w:tcMar>
              <w:top w:w="15" w:type="dxa"/>
              <w:left w:w="68" w:type="dxa"/>
              <w:bottom w:w="0" w:type="dxa"/>
              <w:right w:w="68" w:type="dxa"/>
            </w:tcMar>
          </w:tcPr>
          <w:p w14:paraId="4FE46769"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Amygdala</w:t>
            </w:r>
          </w:p>
        </w:tc>
        <w:tc>
          <w:tcPr>
            <w:tcW w:w="0" w:type="auto"/>
            <w:shd w:val="clear" w:color="auto" w:fill="auto"/>
            <w:tcMar>
              <w:top w:w="15" w:type="dxa"/>
              <w:left w:w="68" w:type="dxa"/>
              <w:bottom w:w="0" w:type="dxa"/>
              <w:right w:w="68" w:type="dxa"/>
            </w:tcMar>
          </w:tcPr>
          <w:p w14:paraId="08600E2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0.08(0.02)</w:t>
            </w:r>
          </w:p>
        </w:tc>
        <w:tc>
          <w:tcPr>
            <w:tcW w:w="0" w:type="auto"/>
            <w:shd w:val="clear" w:color="auto" w:fill="auto"/>
            <w:tcMar>
              <w:top w:w="15" w:type="dxa"/>
              <w:left w:w="68" w:type="dxa"/>
              <w:bottom w:w="0" w:type="dxa"/>
              <w:right w:w="68" w:type="dxa"/>
            </w:tcMar>
          </w:tcPr>
          <w:p w14:paraId="680C7E75"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0.09(0.01)</w:t>
            </w:r>
          </w:p>
        </w:tc>
        <w:tc>
          <w:tcPr>
            <w:tcW w:w="0" w:type="auto"/>
            <w:shd w:val="clear" w:color="auto" w:fill="auto"/>
            <w:tcMar>
              <w:top w:w="15" w:type="dxa"/>
              <w:left w:w="68" w:type="dxa"/>
              <w:bottom w:w="0" w:type="dxa"/>
              <w:right w:w="68" w:type="dxa"/>
            </w:tcMar>
          </w:tcPr>
          <w:p w14:paraId="425C2B7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0.08(0.01)</w:t>
            </w:r>
            <w:r w:rsidRPr="008438F4">
              <w:rPr>
                <w:rFonts w:ascii="Calibri" w:hAnsi="Calibri" w:cs="Calibri"/>
                <w:b/>
                <w:bCs/>
                <w:sz w:val="22"/>
                <w:szCs w:val="22"/>
                <w:vertAlign w:val="superscript"/>
              </w:rPr>
              <w:t>a</w:t>
            </w:r>
          </w:p>
        </w:tc>
        <w:tc>
          <w:tcPr>
            <w:tcW w:w="0" w:type="auto"/>
            <w:shd w:val="clear" w:color="auto" w:fill="auto"/>
            <w:tcMar>
              <w:top w:w="15" w:type="dxa"/>
              <w:left w:w="68" w:type="dxa"/>
              <w:bottom w:w="0" w:type="dxa"/>
              <w:right w:w="68" w:type="dxa"/>
            </w:tcMar>
          </w:tcPr>
          <w:p w14:paraId="64FD4435"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0.09(0.01)</w:t>
            </w:r>
            <w:r w:rsidRPr="008438F4">
              <w:rPr>
                <w:rFonts w:ascii="Calibri" w:hAnsi="Calibri" w:cs="Calibri"/>
                <w:b/>
                <w:bCs/>
                <w:sz w:val="22"/>
                <w:szCs w:val="22"/>
                <w:vertAlign w:val="superscript"/>
              </w:rPr>
              <w:t>a</w:t>
            </w:r>
          </w:p>
        </w:tc>
      </w:tr>
      <w:tr w:rsidR="0099247D" w:rsidRPr="008438F4" w14:paraId="19E01748" w14:textId="77777777" w:rsidTr="00A303F6">
        <w:trPr>
          <w:trHeight w:val="20"/>
          <w:jc w:val="right"/>
        </w:trPr>
        <w:tc>
          <w:tcPr>
            <w:tcW w:w="4173" w:type="dxa"/>
            <w:shd w:val="clear" w:color="auto" w:fill="auto"/>
            <w:tcMar>
              <w:top w:w="15" w:type="dxa"/>
              <w:left w:w="68" w:type="dxa"/>
              <w:bottom w:w="0" w:type="dxa"/>
              <w:right w:w="68" w:type="dxa"/>
            </w:tcMar>
            <w:hideMark/>
          </w:tcPr>
          <w:p w14:paraId="0C8BEDD7"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Caudate</w:t>
            </w:r>
          </w:p>
        </w:tc>
        <w:tc>
          <w:tcPr>
            <w:tcW w:w="0" w:type="auto"/>
            <w:shd w:val="clear" w:color="auto" w:fill="auto"/>
            <w:tcMar>
              <w:top w:w="15" w:type="dxa"/>
              <w:left w:w="68" w:type="dxa"/>
              <w:bottom w:w="0" w:type="dxa"/>
              <w:right w:w="68" w:type="dxa"/>
            </w:tcMar>
            <w:hideMark/>
          </w:tcPr>
          <w:p w14:paraId="6F2FFC09"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0.29(0.04)</w:t>
            </w:r>
          </w:p>
        </w:tc>
        <w:tc>
          <w:tcPr>
            <w:tcW w:w="0" w:type="auto"/>
            <w:shd w:val="clear" w:color="auto" w:fill="auto"/>
            <w:tcMar>
              <w:top w:w="15" w:type="dxa"/>
              <w:left w:w="68" w:type="dxa"/>
              <w:bottom w:w="0" w:type="dxa"/>
              <w:right w:w="68" w:type="dxa"/>
            </w:tcMar>
            <w:hideMark/>
          </w:tcPr>
          <w:p w14:paraId="1EE4E88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0.29(0.06)</w:t>
            </w:r>
          </w:p>
        </w:tc>
        <w:tc>
          <w:tcPr>
            <w:tcW w:w="0" w:type="auto"/>
            <w:shd w:val="clear" w:color="auto" w:fill="auto"/>
            <w:tcMar>
              <w:top w:w="15" w:type="dxa"/>
              <w:left w:w="68" w:type="dxa"/>
              <w:bottom w:w="0" w:type="dxa"/>
              <w:right w:w="68" w:type="dxa"/>
            </w:tcMar>
            <w:hideMark/>
          </w:tcPr>
          <w:p w14:paraId="4EB9FF53"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0.29(0.04)</w:t>
            </w:r>
          </w:p>
        </w:tc>
        <w:tc>
          <w:tcPr>
            <w:tcW w:w="0" w:type="auto"/>
            <w:shd w:val="clear" w:color="auto" w:fill="auto"/>
            <w:tcMar>
              <w:top w:w="15" w:type="dxa"/>
              <w:left w:w="68" w:type="dxa"/>
              <w:bottom w:w="0" w:type="dxa"/>
              <w:right w:w="68" w:type="dxa"/>
            </w:tcMar>
            <w:hideMark/>
          </w:tcPr>
          <w:p w14:paraId="50850365"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0.28(0.04)</w:t>
            </w:r>
          </w:p>
        </w:tc>
      </w:tr>
      <w:tr w:rsidR="0099247D" w:rsidRPr="008438F4" w14:paraId="5248F840" w14:textId="77777777" w:rsidTr="00A303F6">
        <w:trPr>
          <w:trHeight w:val="20"/>
          <w:jc w:val="right"/>
        </w:trPr>
        <w:tc>
          <w:tcPr>
            <w:tcW w:w="4173" w:type="dxa"/>
            <w:shd w:val="clear" w:color="auto" w:fill="auto"/>
            <w:tcMar>
              <w:top w:w="15" w:type="dxa"/>
              <w:left w:w="68" w:type="dxa"/>
              <w:bottom w:w="0" w:type="dxa"/>
              <w:right w:w="68" w:type="dxa"/>
            </w:tcMar>
          </w:tcPr>
          <w:p w14:paraId="44E9D39D"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Cingulate Anterior</w:t>
            </w:r>
          </w:p>
        </w:tc>
        <w:tc>
          <w:tcPr>
            <w:tcW w:w="0" w:type="auto"/>
            <w:shd w:val="clear" w:color="auto" w:fill="auto"/>
            <w:tcMar>
              <w:top w:w="15" w:type="dxa"/>
              <w:left w:w="68" w:type="dxa"/>
              <w:bottom w:w="0" w:type="dxa"/>
              <w:right w:w="68" w:type="dxa"/>
            </w:tcMar>
          </w:tcPr>
          <w:p w14:paraId="5967F930"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0.23(0.04)</w:t>
            </w:r>
          </w:p>
        </w:tc>
        <w:tc>
          <w:tcPr>
            <w:tcW w:w="0" w:type="auto"/>
            <w:shd w:val="clear" w:color="auto" w:fill="auto"/>
            <w:tcMar>
              <w:top w:w="15" w:type="dxa"/>
              <w:left w:w="68" w:type="dxa"/>
              <w:bottom w:w="0" w:type="dxa"/>
              <w:right w:w="68" w:type="dxa"/>
            </w:tcMar>
          </w:tcPr>
          <w:p w14:paraId="04CF8766"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0.22(0.03)</w:t>
            </w:r>
          </w:p>
        </w:tc>
        <w:tc>
          <w:tcPr>
            <w:tcW w:w="0" w:type="auto"/>
            <w:shd w:val="clear" w:color="auto" w:fill="auto"/>
            <w:tcMar>
              <w:top w:w="15" w:type="dxa"/>
              <w:left w:w="68" w:type="dxa"/>
              <w:bottom w:w="0" w:type="dxa"/>
              <w:right w:w="68" w:type="dxa"/>
            </w:tcMar>
          </w:tcPr>
          <w:p w14:paraId="288A092E"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0.22(0.03)</w:t>
            </w:r>
          </w:p>
        </w:tc>
        <w:tc>
          <w:tcPr>
            <w:tcW w:w="0" w:type="auto"/>
            <w:shd w:val="clear" w:color="auto" w:fill="auto"/>
            <w:tcMar>
              <w:top w:w="15" w:type="dxa"/>
              <w:left w:w="68" w:type="dxa"/>
              <w:bottom w:w="0" w:type="dxa"/>
              <w:right w:w="68" w:type="dxa"/>
            </w:tcMar>
          </w:tcPr>
          <w:p w14:paraId="528EFB3B"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0.23(0.04)</w:t>
            </w:r>
          </w:p>
        </w:tc>
      </w:tr>
      <w:tr w:rsidR="0099247D" w:rsidRPr="008438F4" w14:paraId="11780083" w14:textId="77777777" w:rsidTr="00A303F6">
        <w:trPr>
          <w:trHeight w:val="20"/>
          <w:jc w:val="right"/>
        </w:trPr>
        <w:tc>
          <w:tcPr>
            <w:tcW w:w="4173" w:type="dxa"/>
            <w:shd w:val="clear" w:color="auto" w:fill="auto"/>
            <w:tcMar>
              <w:top w:w="15" w:type="dxa"/>
              <w:left w:w="68" w:type="dxa"/>
              <w:bottom w:w="0" w:type="dxa"/>
              <w:right w:w="68" w:type="dxa"/>
            </w:tcMar>
          </w:tcPr>
          <w:p w14:paraId="546885B7"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Cingulate Middle</w:t>
            </w:r>
          </w:p>
        </w:tc>
        <w:tc>
          <w:tcPr>
            <w:tcW w:w="0" w:type="auto"/>
            <w:shd w:val="clear" w:color="auto" w:fill="auto"/>
            <w:tcMar>
              <w:top w:w="15" w:type="dxa"/>
              <w:left w:w="68" w:type="dxa"/>
              <w:bottom w:w="0" w:type="dxa"/>
              <w:right w:w="68" w:type="dxa"/>
            </w:tcMar>
          </w:tcPr>
          <w:p w14:paraId="48DEAED9"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0.31(0.06)</w:t>
            </w:r>
          </w:p>
        </w:tc>
        <w:tc>
          <w:tcPr>
            <w:tcW w:w="0" w:type="auto"/>
            <w:shd w:val="clear" w:color="auto" w:fill="auto"/>
            <w:tcMar>
              <w:top w:w="15" w:type="dxa"/>
              <w:left w:w="68" w:type="dxa"/>
              <w:bottom w:w="0" w:type="dxa"/>
              <w:right w:w="68" w:type="dxa"/>
            </w:tcMar>
          </w:tcPr>
          <w:p w14:paraId="21E68DDB"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0.30(0.04)</w:t>
            </w:r>
          </w:p>
        </w:tc>
        <w:tc>
          <w:tcPr>
            <w:tcW w:w="0" w:type="auto"/>
            <w:shd w:val="clear" w:color="auto" w:fill="auto"/>
            <w:tcMar>
              <w:top w:w="15" w:type="dxa"/>
              <w:left w:w="68" w:type="dxa"/>
              <w:bottom w:w="0" w:type="dxa"/>
              <w:right w:w="68" w:type="dxa"/>
            </w:tcMar>
          </w:tcPr>
          <w:p w14:paraId="24DCC7E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0.31(0.07)</w:t>
            </w:r>
          </w:p>
        </w:tc>
        <w:tc>
          <w:tcPr>
            <w:tcW w:w="0" w:type="auto"/>
            <w:shd w:val="clear" w:color="auto" w:fill="auto"/>
            <w:tcMar>
              <w:top w:w="15" w:type="dxa"/>
              <w:left w:w="68" w:type="dxa"/>
              <w:bottom w:w="0" w:type="dxa"/>
              <w:right w:w="68" w:type="dxa"/>
            </w:tcMar>
          </w:tcPr>
          <w:p w14:paraId="44EE9FD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0.30(0.04)</w:t>
            </w:r>
          </w:p>
        </w:tc>
      </w:tr>
      <w:tr w:rsidR="0099247D" w:rsidRPr="008438F4" w14:paraId="153D5D67" w14:textId="77777777" w:rsidTr="00A303F6">
        <w:trPr>
          <w:trHeight w:val="20"/>
          <w:jc w:val="right"/>
        </w:trPr>
        <w:tc>
          <w:tcPr>
            <w:tcW w:w="4173" w:type="dxa"/>
            <w:shd w:val="clear" w:color="auto" w:fill="auto"/>
            <w:tcMar>
              <w:top w:w="15" w:type="dxa"/>
              <w:left w:w="68" w:type="dxa"/>
              <w:bottom w:w="0" w:type="dxa"/>
              <w:right w:w="68" w:type="dxa"/>
            </w:tcMar>
          </w:tcPr>
          <w:p w14:paraId="43B8548B"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 xml:space="preserve">Cingulate Posterior </w:t>
            </w:r>
            <w:r w:rsidRPr="008438F4">
              <w:rPr>
                <w:rFonts w:ascii="Calibri" w:hAnsi="Calibri" w:cs="Calibri"/>
                <w:b/>
                <w:sz w:val="22"/>
                <w:szCs w:val="22"/>
                <w:vertAlign w:val="superscript"/>
              </w:rPr>
              <w:t>d</w:t>
            </w:r>
          </w:p>
        </w:tc>
        <w:tc>
          <w:tcPr>
            <w:tcW w:w="0" w:type="auto"/>
            <w:shd w:val="clear" w:color="auto" w:fill="auto"/>
            <w:tcMar>
              <w:top w:w="15" w:type="dxa"/>
              <w:left w:w="68" w:type="dxa"/>
              <w:bottom w:w="0" w:type="dxa"/>
              <w:right w:w="68" w:type="dxa"/>
            </w:tcMar>
          </w:tcPr>
          <w:p w14:paraId="11901FC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0.05(0.01)</w:t>
            </w:r>
          </w:p>
        </w:tc>
        <w:tc>
          <w:tcPr>
            <w:tcW w:w="0" w:type="auto"/>
            <w:shd w:val="clear" w:color="auto" w:fill="auto"/>
            <w:tcMar>
              <w:top w:w="15" w:type="dxa"/>
              <w:left w:w="68" w:type="dxa"/>
              <w:bottom w:w="0" w:type="dxa"/>
              <w:right w:w="68" w:type="dxa"/>
            </w:tcMar>
          </w:tcPr>
          <w:p w14:paraId="611EFEF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0.05(0.01)</w:t>
            </w:r>
          </w:p>
        </w:tc>
        <w:tc>
          <w:tcPr>
            <w:tcW w:w="0" w:type="auto"/>
            <w:shd w:val="clear" w:color="auto" w:fill="auto"/>
            <w:tcMar>
              <w:top w:w="15" w:type="dxa"/>
              <w:left w:w="68" w:type="dxa"/>
              <w:bottom w:w="0" w:type="dxa"/>
              <w:right w:w="68" w:type="dxa"/>
            </w:tcMar>
          </w:tcPr>
          <w:p w14:paraId="7D28FB8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0.04(0.01)</w:t>
            </w:r>
            <w:r w:rsidRPr="008438F4">
              <w:rPr>
                <w:rFonts w:ascii="Calibri" w:hAnsi="Calibri" w:cs="Calibri"/>
                <w:b/>
                <w:bCs/>
                <w:sz w:val="22"/>
                <w:szCs w:val="22"/>
                <w:vertAlign w:val="superscript"/>
              </w:rPr>
              <w:t>b</w:t>
            </w:r>
          </w:p>
        </w:tc>
        <w:tc>
          <w:tcPr>
            <w:tcW w:w="0" w:type="auto"/>
            <w:shd w:val="clear" w:color="auto" w:fill="auto"/>
            <w:tcMar>
              <w:top w:w="15" w:type="dxa"/>
              <w:left w:w="68" w:type="dxa"/>
              <w:bottom w:w="0" w:type="dxa"/>
              <w:right w:w="68" w:type="dxa"/>
            </w:tcMar>
          </w:tcPr>
          <w:p w14:paraId="2845B4F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0.05(0.01)</w:t>
            </w:r>
            <w:r w:rsidRPr="008438F4">
              <w:rPr>
                <w:rFonts w:ascii="Calibri" w:hAnsi="Calibri" w:cs="Calibri"/>
                <w:b/>
                <w:bCs/>
                <w:sz w:val="22"/>
                <w:szCs w:val="22"/>
                <w:vertAlign w:val="superscript"/>
              </w:rPr>
              <w:t>b</w:t>
            </w:r>
          </w:p>
        </w:tc>
      </w:tr>
      <w:tr w:rsidR="0099247D" w:rsidRPr="008438F4" w14:paraId="457412AE" w14:textId="77777777" w:rsidTr="00A303F6">
        <w:trPr>
          <w:trHeight w:val="20"/>
          <w:jc w:val="right"/>
        </w:trPr>
        <w:tc>
          <w:tcPr>
            <w:tcW w:w="4173" w:type="dxa"/>
            <w:shd w:val="clear" w:color="auto" w:fill="auto"/>
            <w:tcMar>
              <w:top w:w="15" w:type="dxa"/>
              <w:left w:w="68" w:type="dxa"/>
              <w:bottom w:w="0" w:type="dxa"/>
              <w:right w:w="68" w:type="dxa"/>
            </w:tcMar>
          </w:tcPr>
          <w:p w14:paraId="6E34E5D2"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Frontal Middle</w:t>
            </w:r>
          </w:p>
        </w:tc>
        <w:tc>
          <w:tcPr>
            <w:tcW w:w="0" w:type="auto"/>
            <w:shd w:val="clear" w:color="auto" w:fill="auto"/>
            <w:tcMar>
              <w:top w:w="15" w:type="dxa"/>
              <w:left w:w="68" w:type="dxa"/>
              <w:bottom w:w="0" w:type="dxa"/>
              <w:right w:w="68" w:type="dxa"/>
            </w:tcMar>
          </w:tcPr>
          <w:p w14:paraId="7E61AC56"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0.67(0.07)</w:t>
            </w:r>
          </w:p>
        </w:tc>
        <w:tc>
          <w:tcPr>
            <w:tcW w:w="0" w:type="auto"/>
            <w:shd w:val="clear" w:color="auto" w:fill="auto"/>
            <w:tcMar>
              <w:top w:w="15" w:type="dxa"/>
              <w:left w:w="68" w:type="dxa"/>
              <w:bottom w:w="0" w:type="dxa"/>
              <w:right w:w="68" w:type="dxa"/>
            </w:tcMar>
          </w:tcPr>
          <w:p w14:paraId="041D539C"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0.67(0.05)</w:t>
            </w:r>
          </w:p>
        </w:tc>
        <w:tc>
          <w:tcPr>
            <w:tcW w:w="0" w:type="auto"/>
            <w:shd w:val="clear" w:color="auto" w:fill="auto"/>
            <w:tcMar>
              <w:top w:w="15" w:type="dxa"/>
              <w:left w:w="68" w:type="dxa"/>
              <w:bottom w:w="0" w:type="dxa"/>
              <w:right w:w="68" w:type="dxa"/>
            </w:tcMar>
          </w:tcPr>
          <w:p w14:paraId="741D3E97"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0.68(0.07)</w:t>
            </w:r>
          </w:p>
        </w:tc>
        <w:tc>
          <w:tcPr>
            <w:tcW w:w="0" w:type="auto"/>
            <w:shd w:val="clear" w:color="auto" w:fill="auto"/>
            <w:tcMar>
              <w:top w:w="15" w:type="dxa"/>
              <w:left w:w="68" w:type="dxa"/>
              <w:bottom w:w="0" w:type="dxa"/>
              <w:right w:w="68" w:type="dxa"/>
            </w:tcMar>
          </w:tcPr>
          <w:p w14:paraId="20F72C88"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0.64(0.02)</w:t>
            </w:r>
          </w:p>
        </w:tc>
      </w:tr>
      <w:tr w:rsidR="0099247D" w:rsidRPr="008438F4" w14:paraId="293C5206" w14:textId="77777777" w:rsidTr="00A303F6">
        <w:trPr>
          <w:trHeight w:val="20"/>
          <w:jc w:val="right"/>
        </w:trPr>
        <w:tc>
          <w:tcPr>
            <w:tcW w:w="4173" w:type="dxa"/>
            <w:shd w:val="clear" w:color="auto" w:fill="auto"/>
            <w:tcMar>
              <w:top w:w="15" w:type="dxa"/>
              <w:left w:w="68" w:type="dxa"/>
              <w:bottom w:w="0" w:type="dxa"/>
              <w:right w:w="68" w:type="dxa"/>
            </w:tcMar>
          </w:tcPr>
          <w:p w14:paraId="10FD7CAC"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 xml:space="preserve">Frontal Middle Orbital </w:t>
            </w:r>
            <w:r w:rsidRPr="008438F4">
              <w:rPr>
                <w:rFonts w:ascii="Calibri" w:hAnsi="Calibri" w:cs="Calibri"/>
                <w:b/>
                <w:sz w:val="22"/>
                <w:szCs w:val="22"/>
                <w:vertAlign w:val="superscript"/>
              </w:rPr>
              <w:t>d</w:t>
            </w:r>
          </w:p>
        </w:tc>
        <w:tc>
          <w:tcPr>
            <w:tcW w:w="0" w:type="auto"/>
            <w:shd w:val="clear" w:color="auto" w:fill="auto"/>
            <w:tcMar>
              <w:top w:w="15" w:type="dxa"/>
              <w:left w:w="68" w:type="dxa"/>
              <w:bottom w:w="0" w:type="dxa"/>
              <w:right w:w="68" w:type="dxa"/>
            </w:tcMar>
          </w:tcPr>
          <w:p w14:paraId="67A495B1"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0.14(0.02)</w:t>
            </w:r>
          </w:p>
        </w:tc>
        <w:tc>
          <w:tcPr>
            <w:tcW w:w="0" w:type="auto"/>
            <w:shd w:val="clear" w:color="auto" w:fill="auto"/>
            <w:tcMar>
              <w:top w:w="15" w:type="dxa"/>
              <w:left w:w="68" w:type="dxa"/>
              <w:bottom w:w="0" w:type="dxa"/>
              <w:right w:w="68" w:type="dxa"/>
            </w:tcMar>
          </w:tcPr>
          <w:p w14:paraId="300FA4E2"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0.13(0.02)</w:t>
            </w:r>
          </w:p>
        </w:tc>
        <w:tc>
          <w:tcPr>
            <w:tcW w:w="0" w:type="auto"/>
            <w:shd w:val="clear" w:color="auto" w:fill="auto"/>
            <w:tcMar>
              <w:top w:w="15" w:type="dxa"/>
              <w:left w:w="68" w:type="dxa"/>
              <w:bottom w:w="0" w:type="dxa"/>
              <w:right w:w="68" w:type="dxa"/>
            </w:tcMar>
          </w:tcPr>
          <w:p w14:paraId="6335360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0.14(0.02)</w:t>
            </w:r>
          </w:p>
        </w:tc>
        <w:tc>
          <w:tcPr>
            <w:tcW w:w="0" w:type="auto"/>
            <w:shd w:val="clear" w:color="auto" w:fill="auto"/>
            <w:tcMar>
              <w:top w:w="15" w:type="dxa"/>
              <w:left w:w="68" w:type="dxa"/>
              <w:bottom w:w="0" w:type="dxa"/>
              <w:right w:w="68" w:type="dxa"/>
            </w:tcMar>
          </w:tcPr>
          <w:p w14:paraId="0B67D3F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0.13(0.02)</w:t>
            </w:r>
          </w:p>
        </w:tc>
      </w:tr>
      <w:tr w:rsidR="0099247D" w:rsidRPr="008438F4" w14:paraId="1675C207" w14:textId="77777777" w:rsidTr="00A303F6">
        <w:trPr>
          <w:trHeight w:val="20"/>
          <w:jc w:val="right"/>
        </w:trPr>
        <w:tc>
          <w:tcPr>
            <w:tcW w:w="4173" w:type="dxa"/>
            <w:shd w:val="clear" w:color="auto" w:fill="auto"/>
            <w:tcMar>
              <w:top w:w="15" w:type="dxa"/>
              <w:left w:w="68" w:type="dxa"/>
              <w:bottom w:w="0" w:type="dxa"/>
              <w:right w:w="68" w:type="dxa"/>
            </w:tcMar>
          </w:tcPr>
          <w:p w14:paraId="0A23841A"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Frontal Superior Medial</w:t>
            </w:r>
          </w:p>
        </w:tc>
        <w:tc>
          <w:tcPr>
            <w:tcW w:w="0" w:type="auto"/>
            <w:shd w:val="clear" w:color="auto" w:fill="auto"/>
            <w:tcMar>
              <w:top w:w="15" w:type="dxa"/>
              <w:left w:w="68" w:type="dxa"/>
              <w:bottom w:w="0" w:type="dxa"/>
              <w:right w:w="68" w:type="dxa"/>
            </w:tcMar>
          </w:tcPr>
          <w:p w14:paraId="0F8F9DB5"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0.33(0.05)</w:t>
            </w:r>
          </w:p>
        </w:tc>
        <w:tc>
          <w:tcPr>
            <w:tcW w:w="0" w:type="auto"/>
            <w:shd w:val="clear" w:color="auto" w:fill="auto"/>
            <w:tcMar>
              <w:top w:w="15" w:type="dxa"/>
              <w:left w:w="68" w:type="dxa"/>
              <w:bottom w:w="0" w:type="dxa"/>
              <w:right w:w="68" w:type="dxa"/>
            </w:tcMar>
          </w:tcPr>
          <w:p w14:paraId="13A1EE71"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0.33(0.04)</w:t>
            </w:r>
          </w:p>
        </w:tc>
        <w:tc>
          <w:tcPr>
            <w:tcW w:w="0" w:type="auto"/>
            <w:shd w:val="clear" w:color="auto" w:fill="auto"/>
            <w:tcMar>
              <w:top w:w="15" w:type="dxa"/>
              <w:left w:w="68" w:type="dxa"/>
              <w:bottom w:w="0" w:type="dxa"/>
              <w:right w:w="68" w:type="dxa"/>
            </w:tcMar>
          </w:tcPr>
          <w:p w14:paraId="464515AE"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0.32(0.06)</w:t>
            </w:r>
          </w:p>
        </w:tc>
        <w:tc>
          <w:tcPr>
            <w:tcW w:w="0" w:type="auto"/>
            <w:shd w:val="clear" w:color="auto" w:fill="auto"/>
            <w:tcMar>
              <w:top w:w="15" w:type="dxa"/>
              <w:left w:w="68" w:type="dxa"/>
              <w:bottom w:w="0" w:type="dxa"/>
              <w:right w:w="68" w:type="dxa"/>
            </w:tcMar>
          </w:tcPr>
          <w:p w14:paraId="635D89A1"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0.33(0.04)</w:t>
            </w:r>
          </w:p>
        </w:tc>
      </w:tr>
      <w:tr w:rsidR="0099247D" w:rsidRPr="008438F4" w14:paraId="2E55FD03" w14:textId="77777777" w:rsidTr="00A303F6">
        <w:trPr>
          <w:trHeight w:val="20"/>
          <w:jc w:val="right"/>
        </w:trPr>
        <w:tc>
          <w:tcPr>
            <w:tcW w:w="4173" w:type="dxa"/>
            <w:shd w:val="clear" w:color="auto" w:fill="auto"/>
            <w:tcMar>
              <w:top w:w="15" w:type="dxa"/>
              <w:left w:w="68" w:type="dxa"/>
              <w:bottom w:w="0" w:type="dxa"/>
              <w:right w:w="68" w:type="dxa"/>
            </w:tcMar>
          </w:tcPr>
          <w:p w14:paraId="3EA14688"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 xml:space="preserve">Hippocampus </w:t>
            </w:r>
            <w:r w:rsidRPr="008438F4">
              <w:rPr>
                <w:rFonts w:ascii="Calibri" w:hAnsi="Calibri" w:cs="Calibri"/>
                <w:b/>
                <w:sz w:val="22"/>
                <w:szCs w:val="22"/>
                <w:vertAlign w:val="superscript"/>
              </w:rPr>
              <w:t>d</w:t>
            </w:r>
          </w:p>
        </w:tc>
        <w:tc>
          <w:tcPr>
            <w:tcW w:w="0" w:type="auto"/>
            <w:shd w:val="clear" w:color="auto" w:fill="auto"/>
            <w:tcMar>
              <w:top w:w="15" w:type="dxa"/>
              <w:left w:w="68" w:type="dxa"/>
              <w:bottom w:w="0" w:type="dxa"/>
              <w:right w:w="68" w:type="dxa"/>
            </w:tcMar>
          </w:tcPr>
          <w:p w14:paraId="4C1BADE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0.26(0.04)</w:t>
            </w:r>
            <w:r w:rsidRPr="008438F4">
              <w:rPr>
                <w:rFonts w:ascii="Calibri" w:hAnsi="Calibri" w:cs="Calibri"/>
                <w:b/>
                <w:bCs/>
                <w:sz w:val="22"/>
                <w:szCs w:val="22"/>
                <w:vertAlign w:val="superscript"/>
              </w:rPr>
              <w:t>b</w:t>
            </w:r>
          </w:p>
        </w:tc>
        <w:tc>
          <w:tcPr>
            <w:tcW w:w="0" w:type="auto"/>
            <w:shd w:val="clear" w:color="auto" w:fill="auto"/>
            <w:tcMar>
              <w:top w:w="15" w:type="dxa"/>
              <w:left w:w="68" w:type="dxa"/>
              <w:bottom w:w="0" w:type="dxa"/>
              <w:right w:w="68" w:type="dxa"/>
            </w:tcMar>
          </w:tcPr>
          <w:p w14:paraId="5CEADF8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0.27(0.02)</w:t>
            </w:r>
            <w:r w:rsidRPr="008438F4">
              <w:rPr>
                <w:rFonts w:ascii="Calibri" w:hAnsi="Calibri" w:cs="Calibri"/>
                <w:b/>
                <w:bCs/>
                <w:sz w:val="22"/>
                <w:szCs w:val="22"/>
                <w:vertAlign w:val="superscript"/>
              </w:rPr>
              <w:t>b</w:t>
            </w:r>
          </w:p>
        </w:tc>
        <w:tc>
          <w:tcPr>
            <w:tcW w:w="0" w:type="auto"/>
            <w:shd w:val="clear" w:color="auto" w:fill="auto"/>
            <w:tcMar>
              <w:top w:w="15" w:type="dxa"/>
              <w:left w:w="68" w:type="dxa"/>
              <w:bottom w:w="0" w:type="dxa"/>
              <w:right w:w="68" w:type="dxa"/>
            </w:tcMar>
          </w:tcPr>
          <w:p w14:paraId="398E978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0.26(0.04)</w:t>
            </w:r>
          </w:p>
        </w:tc>
        <w:tc>
          <w:tcPr>
            <w:tcW w:w="0" w:type="auto"/>
            <w:shd w:val="clear" w:color="auto" w:fill="auto"/>
            <w:tcMar>
              <w:top w:w="15" w:type="dxa"/>
              <w:left w:w="68" w:type="dxa"/>
              <w:bottom w:w="0" w:type="dxa"/>
              <w:right w:w="68" w:type="dxa"/>
            </w:tcMar>
          </w:tcPr>
          <w:p w14:paraId="2E592E67"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0.28(0.02)</w:t>
            </w:r>
          </w:p>
        </w:tc>
      </w:tr>
      <w:tr w:rsidR="0099247D" w:rsidRPr="008438F4" w14:paraId="5A7A110F" w14:textId="77777777" w:rsidTr="00233817">
        <w:trPr>
          <w:trHeight w:val="20"/>
          <w:jc w:val="right"/>
        </w:trPr>
        <w:tc>
          <w:tcPr>
            <w:tcW w:w="4173" w:type="dxa"/>
            <w:shd w:val="clear" w:color="auto" w:fill="auto"/>
            <w:tcMar>
              <w:top w:w="15" w:type="dxa"/>
              <w:left w:w="68" w:type="dxa"/>
              <w:bottom w:w="0" w:type="dxa"/>
              <w:right w:w="68" w:type="dxa"/>
            </w:tcMar>
          </w:tcPr>
          <w:p w14:paraId="33D81C87"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 xml:space="preserve">Putamen </w:t>
            </w:r>
            <w:r w:rsidRPr="008438F4">
              <w:rPr>
                <w:rFonts w:ascii="Calibri" w:hAnsi="Calibri" w:cs="Calibri"/>
                <w:b/>
                <w:sz w:val="22"/>
                <w:szCs w:val="22"/>
                <w:vertAlign w:val="superscript"/>
              </w:rPr>
              <w:t>d</w:t>
            </w:r>
          </w:p>
        </w:tc>
        <w:tc>
          <w:tcPr>
            <w:tcW w:w="0" w:type="auto"/>
            <w:shd w:val="clear" w:color="auto" w:fill="auto"/>
            <w:tcMar>
              <w:top w:w="15" w:type="dxa"/>
              <w:left w:w="68" w:type="dxa"/>
              <w:bottom w:w="0" w:type="dxa"/>
              <w:right w:w="68" w:type="dxa"/>
            </w:tcMar>
          </w:tcPr>
          <w:p w14:paraId="04CB48F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0.27(0.05)</w:t>
            </w:r>
            <w:r w:rsidRPr="008438F4">
              <w:rPr>
                <w:rFonts w:ascii="Calibri" w:hAnsi="Calibri" w:cs="Calibri"/>
                <w:b/>
                <w:bCs/>
                <w:sz w:val="22"/>
                <w:szCs w:val="22"/>
                <w:vertAlign w:val="superscript"/>
              </w:rPr>
              <w:t>b</w:t>
            </w:r>
          </w:p>
        </w:tc>
        <w:tc>
          <w:tcPr>
            <w:tcW w:w="0" w:type="auto"/>
            <w:shd w:val="clear" w:color="auto" w:fill="auto"/>
            <w:tcMar>
              <w:top w:w="15" w:type="dxa"/>
              <w:left w:w="68" w:type="dxa"/>
              <w:bottom w:w="0" w:type="dxa"/>
              <w:right w:w="68" w:type="dxa"/>
            </w:tcMar>
          </w:tcPr>
          <w:p w14:paraId="05BB61CF"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0.29(0.03)</w:t>
            </w:r>
            <w:r w:rsidRPr="008438F4">
              <w:rPr>
                <w:rFonts w:ascii="Calibri" w:hAnsi="Calibri" w:cs="Calibri"/>
                <w:b/>
                <w:bCs/>
                <w:sz w:val="22"/>
                <w:szCs w:val="22"/>
                <w:vertAlign w:val="superscript"/>
              </w:rPr>
              <w:t>b</w:t>
            </w:r>
          </w:p>
        </w:tc>
        <w:tc>
          <w:tcPr>
            <w:tcW w:w="0" w:type="auto"/>
            <w:shd w:val="clear" w:color="auto" w:fill="auto"/>
            <w:tcMar>
              <w:top w:w="15" w:type="dxa"/>
              <w:left w:w="68" w:type="dxa"/>
              <w:bottom w:w="0" w:type="dxa"/>
              <w:right w:w="68" w:type="dxa"/>
            </w:tcMar>
          </w:tcPr>
          <w:p w14:paraId="00A40484"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0.27(0.04)</w:t>
            </w:r>
          </w:p>
        </w:tc>
        <w:tc>
          <w:tcPr>
            <w:tcW w:w="0" w:type="auto"/>
            <w:shd w:val="clear" w:color="auto" w:fill="auto"/>
            <w:tcMar>
              <w:top w:w="15" w:type="dxa"/>
              <w:left w:w="68" w:type="dxa"/>
              <w:bottom w:w="0" w:type="dxa"/>
              <w:right w:w="68" w:type="dxa"/>
            </w:tcMar>
          </w:tcPr>
          <w:p w14:paraId="2F4DE5EA"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sz w:val="22"/>
                <w:szCs w:val="22"/>
              </w:rPr>
              <w:t>0.30(0.06)</w:t>
            </w:r>
          </w:p>
        </w:tc>
      </w:tr>
      <w:tr w:rsidR="0099247D" w:rsidRPr="008438F4" w14:paraId="4671ACA6" w14:textId="77777777" w:rsidTr="00233817">
        <w:trPr>
          <w:trHeight w:val="20"/>
          <w:jc w:val="right"/>
        </w:trPr>
        <w:tc>
          <w:tcPr>
            <w:tcW w:w="4173" w:type="dxa"/>
            <w:tcBorders>
              <w:bottom w:val="single" w:sz="8" w:space="0" w:color="auto"/>
            </w:tcBorders>
            <w:shd w:val="clear" w:color="auto" w:fill="auto"/>
            <w:tcMar>
              <w:top w:w="15" w:type="dxa"/>
              <w:left w:w="68" w:type="dxa"/>
              <w:bottom w:w="0" w:type="dxa"/>
              <w:right w:w="68" w:type="dxa"/>
            </w:tcMar>
          </w:tcPr>
          <w:p w14:paraId="17ED43A2" w14:textId="77777777" w:rsidR="0099247D" w:rsidRPr="008438F4" w:rsidRDefault="0099247D" w:rsidP="002E5A98">
            <w:pPr>
              <w:spacing w:line="240" w:lineRule="auto"/>
              <w:jc w:val="right"/>
              <w:rPr>
                <w:rFonts w:ascii="Calibri" w:hAnsi="Calibri" w:cs="Calibri"/>
                <w:b/>
                <w:sz w:val="22"/>
                <w:szCs w:val="22"/>
              </w:rPr>
            </w:pPr>
            <w:r w:rsidRPr="008438F4">
              <w:rPr>
                <w:rFonts w:ascii="Calibri" w:hAnsi="Calibri" w:cs="Calibri"/>
                <w:b/>
                <w:sz w:val="22"/>
                <w:szCs w:val="22"/>
              </w:rPr>
              <w:t>Thalamus</w:t>
            </w:r>
          </w:p>
        </w:tc>
        <w:tc>
          <w:tcPr>
            <w:tcW w:w="0" w:type="auto"/>
            <w:tcBorders>
              <w:bottom w:val="single" w:sz="8" w:space="0" w:color="auto"/>
            </w:tcBorders>
            <w:shd w:val="clear" w:color="auto" w:fill="auto"/>
            <w:tcMar>
              <w:top w:w="15" w:type="dxa"/>
              <w:left w:w="68" w:type="dxa"/>
              <w:bottom w:w="0" w:type="dxa"/>
              <w:right w:w="68" w:type="dxa"/>
            </w:tcMar>
          </w:tcPr>
          <w:p w14:paraId="04484B1D"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0.28(0.03)</w:t>
            </w:r>
            <w:r w:rsidRPr="008438F4">
              <w:rPr>
                <w:rFonts w:ascii="Calibri" w:hAnsi="Calibri" w:cs="Calibri"/>
                <w:b/>
                <w:bCs/>
                <w:sz w:val="22"/>
                <w:szCs w:val="22"/>
                <w:vertAlign w:val="superscript"/>
              </w:rPr>
              <w:t>a</w:t>
            </w:r>
          </w:p>
        </w:tc>
        <w:tc>
          <w:tcPr>
            <w:tcW w:w="0" w:type="auto"/>
            <w:tcBorders>
              <w:bottom w:val="single" w:sz="8" w:space="0" w:color="auto"/>
            </w:tcBorders>
            <w:shd w:val="clear" w:color="auto" w:fill="auto"/>
            <w:tcMar>
              <w:top w:w="15" w:type="dxa"/>
              <w:left w:w="68" w:type="dxa"/>
              <w:bottom w:w="0" w:type="dxa"/>
              <w:right w:w="68" w:type="dxa"/>
            </w:tcMar>
          </w:tcPr>
          <w:p w14:paraId="64763FEB"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0.31(0.02)</w:t>
            </w:r>
            <w:r w:rsidRPr="008438F4">
              <w:rPr>
                <w:rFonts w:ascii="Calibri" w:hAnsi="Calibri" w:cs="Calibri"/>
                <w:b/>
                <w:bCs/>
                <w:sz w:val="22"/>
                <w:szCs w:val="22"/>
                <w:vertAlign w:val="superscript"/>
              </w:rPr>
              <w:t>a</w:t>
            </w:r>
          </w:p>
        </w:tc>
        <w:tc>
          <w:tcPr>
            <w:tcW w:w="0" w:type="auto"/>
            <w:tcBorders>
              <w:bottom w:val="single" w:sz="8" w:space="0" w:color="auto"/>
            </w:tcBorders>
            <w:shd w:val="clear" w:color="auto" w:fill="auto"/>
            <w:tcMar>
              <w:top w:w="15" w:type="dxa"/>
              <w:left w:w="68" w:type="dxa"/>
              <w:bottom w:w="0" w:type="dxa"/>
              <w:right w:w="68" w:type="dxa"/>
            </w:tcMar>
          </w:tcPr>
          <w:p w14:paraId="277F16E7"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0.28(0.03)</w:t>
            </w:r>
            <w:r w:rsidRPr="008438F4">
              <w:rPr>
                <w:rFonts w:ascii="Calibri" w:hAnsi="Calibri" w:cs="Calibri"/>
                <w:b/>
                <w:bCs/>
                <w:sz w:val="22"/>
                <w:szCs w:val="22"/>
                <w:vertAlign w:val="superscript"/>
              </w:rPr>
              <w:t>c</w:t>
            </w:r>
          </w:p>
        </w:tc>
        <w:tc>
          <w:tcPr>
            <w:tcW w:w="0" w:type="auto"/>
            <w:tcBorders>
              <w:bottom w:val="single" w:sz="8" w:space="0" w:color="auto"/>
            </w:tcBorders>
            <w:shd w:val="clear" w:color="auto" w:fill="auto"/>
            <w:tcMar>
              <w:top w:w="15" w:type="dxa"/>
              <w:left w:w="68" w:type="dxa"/>
              <w:bottom w:w="0" w:type="dxa"/>
              <w:right w:w="68" w:type="dxa"/>
            </w:tcMar>
          </w:tcPr>
          <w:p w14:paraId="519E7169" w14:textId="77777777" w:rsidR="0099247D" w:rsidRPr="008438F4" w:rsidRDefault="0099247D" w:rsidP="00746A2C">
            <w:pPr>
              <w:spacing w:line="240" w:lineRule="auto"/>
              <w:ind w:firstLine="165"/>
              <w:jc w:val="center"/>
              <w:rPr>
                <w:rFonts w:ascii="Calibri" w:hAnsi="Calibri" w:cs="Calibri"/>
                <w:sz w:val="22"/>
                <w:szCs w:val="22"/>
              </w:rPr>
            </w:pPr>
            <w:r w:rsidRPr="008438F4">
              <w:rPr>
                <w:rFonts w:ascii="Calibri" w:hAnsi="Calibri" w:cs="Calibri"/>
                <w:b/>
                <w:bCs/>
                <w:sz w:val="22"/>
                <w:szCs w:val="22"/>
              </w:rPr>
              <w:t>0.31(0.02)</w:t>
            </w:r>
            <w:r w:rsidRPr="008438F4">
              <w:rPr>
                <w:rFonts w:ascii="Calibri" w:hAnsi="Calibri" w:cs="Calibri"/>
                <w:b/>
                <w:bCs/>
                <w:sz w:val="22"/>
                <w:szCs w:val="22"/>
                <w:vertAlign w:val="superscript"/>
              </w:rPr>
              <w:t>c</w:t>
            </w:r>
          </w:p>
        </w:tc>
      </w:tr>
      <w:tr w:rsidR="0099247D" w:rsidRPr="008438F4" w14:paraId="47109F3B" w14:textId="77777777" w:rsidTr="00233817">
        <w:trPr>
          <w:trHeight w:val="20"/>
          <w:jc w:val="right"/>
        </w:trPr>
        <w:tc>
          <w:tcPr>
            <w:tcW w:w="9878" w:type="dxa"/>
            <w:gridSpan w:val="5"/>
            <w:tcBorders>
              <w:top w:val="single" w:sz="8" w:space="0" w:color="auto"/>
            </w:tcBorders>
            <w:shd w:val="clear" w:color="auto" w:fill="auto"/>
            <w:tcMar>
              <w:top w:w="15" w:type="dxa"/>
              <w:left w:w="68" w:type="dxa"/>
              <w:bottom w:w="0" w:type="dxa"/>
              <w:right w:w="68" w:type="dxa"/>
            </w:tcMar>
          </w:tcPr>
          <w:p w14:paraId="11F93E8A" w14:textId="77777777" w:rsidR="0099247D" w:rsidRPr="008438F4" w:rsidRDefault="00053A61" w:rsidP="00053A61">
            <w:pPr>
              <w:pStyle w:val="ListParagraph"/>
              <w:spacing w:after="0" w:line="240" w:lineRule="auto"/>
              <w:ind w:left="0"/>
              <w:rPr>
                <w:rFonts w:eastAsia="Times New Roman" w:cs="Calibri"/>
              </w:rPr>
            </w:pPr>
            <w:r w:rsidRPr="008438F4">
              <w:rPr>
                <w:rFonts w:cs="Calibri"/>
                <w:i/>
                <w:iCs/>
                <w:color w:val="000000"/>
                <w:kern w:val="24"/>
              </w:rPr>
              <w:t xml:space="preserve">a.    </w:t>
            </w:r>
            <w:r w:rsidR="0099247D" w:rsidRPr="008438F4">
              <w:rPr>
                <w:rFonts w:cs="Calibri"/>
                <w:i/>
                <w:iCs/>
                <w:color w:val="000000"/>
                <w:kern w:val="24"/>
              </w:rPr>
              <w:t>Significant at p&lt;0.1</w:t>
            </w:r>
          </w:p>
          <w:p w14:paraId="21E0ECA2" w14:textId="77777777" w:rsidR="0099247D" w:rsidRPr="008438F4" w:rsidRDefault="0099247D" w:rsidP="00C041A2">
            <w:pPr>
              <w:pStyle w:val="ListParagraph"/>
              <w:numPr>
                <w:ilvl w:val="0"/>
                <w:numId w:val="3"/>
              </w:numPr>
              <w:spacing w:after="0" w:line="240" w:lineRule="auto"/>
              <w:rPr>
                <w:rFonts w:eastAsia="Times New Roman" w:cs="Calibri"/>
              </w:rPr>
            </w:pPr>
            <w:r w:rsidRPr="008438F4">
              <w:rPr>
                <w:rFonts w:cs="Calibri"/>
                <w:i/>
                <w:iCs/>
                <w:color w:val="000000"/>
                <w:kern w:val="24"/>
              </w:rPr>
              <w:t>Significant at p&lt;0.05</w:t>
            </w:r>
          </w:p>
          <w:p w14:paraId="4CE2B4AE" w14:textId="77777777" w:rsidR="0099247D" w:rsidRPr="008438F4" w:rsidRDefault="0099247D" w:rsidP="00C041A2">
            <w:pPr>
              <w:pStyle w:val="ListParagraph"/>
              <w:numPr>
                <w:ilvl w:val="0"/>
                <w:numId w:val="3"/>
              </w:numPr>
              <w:spacing w:after="0" w:line="240" w:lineRule="auto"/>
              <w:rPr>
                <w:rFonts w:eastAsia="Times New Roman" w:cs="Calibri"/>
              </w:rPr>
            </w:pPr>
            <w:r w:rsidRPr="008438F4">
              <w:rPr>
                <w:rFonts w:cs="Calibri"/>
                <w:i/>
                <w:iCs/>
                <w:color w:val="000000"/>
                <w:kern w:val="24"/>
              </w:rPr>
              <w:t>Significant at p&lt;0.01</w:t>
            </w:r>
          </w:p>
          <w:p w14:paraId="303A4909" w14:textId="77777777" w:rsidR="0099247D" w:rsidRPr="008438F4" w:rsidRDefault="0099247D" w:rsidP="00C041A2">
            <w:pPr>
              <w:pStyle w:val="ListParagraph"/>
              <w:numPr>
                <w:ilvl w:val="0"/>
                <w:numId w:val="3"/>
              </w:numPr>
              <w:spacing w:after="0" w:line="240" w:lineRule="auto"/>
              <w:rPr>
                <w:rFonts w:eastAsia="Times New Roman" w:cs="Calibri"/>
              </w:rPr>
            </w:pPr>
            <w:r w:rsidRPr="008438F4">
              <w:rPr>
                <w:rFonts w:cs="Calibri"/>
                <w:i/>
                <w:iCs/>
                <w:color w:val="000000"/>
                <w:kern w:val="24"/>
              </w:rPr>
              <w:t>Non=parametric test</w:t>
            </w:r>
          </w:p>
        </w:tc>
      </w:tr>
    </w:tbl>
    <w:p w14:paraId="63B986C7" w14:textId="77777777" w:rsidR="00615394" w:rsidRPr="008438F4" w:rsidRDefault="00615394" w:rsidP="0099247D">
      <w:pPr>
        <w:spacing w:line="360" w:lineRule="auto"/>
        <w:rPr>
          <w:rFonts w:ascii="Calibri" w:hAnsi="Calibri" w:cs="Calibri"/>
          <w:b/>
        </w:rPr>
      </w:pPr>
    </w:p>
    <w:p w14:paraId="497431FD" w14:textId="74D77233" w:rsidR="00615394" w:rsidRPr="008438F4" w:rsidRDefault="0099247D" w:rsidP="0099247D">
      <w:pPr>
        <w:spacing w:line="360" w:lineRule="auto"/>
        <w:rPr>
          <w:rFonts w:ascii="Calibri" w:hAnsi="Calibri" w:cs="Calibri"/>
        </w:rPr>
      </w:pPr>
      <w:r w:rsidRPr="008438F4">
        <w:rPr>
          <w:rFonts w:ascii="Calibri" w:hAnsi="Calibri" w:cs="Calibri"/>
          <w:b/>
        </w:rPr>
        <w:t>Table 4</w:t>
      </w:r>
      <w:r w:rsidRPr="008438F4">
        <w:rPr>
          <w:rFonts w:ascii="Calibri" w:hAnsi="Calibri" w:cs="Calibri"/>
        </w:rPr>
        <w:t xml:space="preserve"> includes the logistic regression models for each brain region that was significantly associated with physical and mental fatigability identified by </w:t>
      </w:r>
      <w:r w:rsidR="004E4D6F">
        <w:rPr>
          <w:rFonts w:ascii="Calibri" w:hAnsi="Calibri" w:cs="Calibri"/>
        </w:rPr>
        <w:t xml:space="preserve">univariate </w:t>
      </w:r>
      <w:r w:rsidRPr="008438F4">
        <w:rPr>
          <w:rFonts w:ascii="Calibri" w:hAnsi="Calibri" w:cs="Calibri"/>
        </w:rPr>
        <w:t xml:space="preserve">t-tests.  </w:t>
      </w:r>
      <w:r w:rsidR="009C4136" w:rsidRPr="008438F4">
        <w:rPr>
          <w:rFonts w:ascii="Calibri" w:hAnsi="Calibri" w:cs="Calibri"/>
        </w:rPr>
        <w:t xml:space="preserve"> </w:t>
      </w:r>
      <w:r w:rsidR="000C798D">
        <w:rPr>
          <w:rFonts w:ascii="Calibri" w:hAnsi="Calibri" w:cs="Calibri"/>
        </w:rPr>
        <w:t>E</w:t>
      </w:r>
      <w:r w:rsidR="009C4136" w:rsidRPr="008438F4">
        <w:rPr>
          <w:rFonts w:ascii="Calibri" w:hAnsi="Calibri" w:cs="Calibri"/>
        </w:rPr>
        <w:t>very one</w:t>
      </w:r>
      <w:r w:rsidRPr="008438F4">
        <w:rPr>
          <w:rFonts w:ascii="Calibri" w:hAnsi="Calibri" w:cs="Calibri"/>
        </w:rPr>
        <w:t xml:space="preserve"> unit decrease in GMV in the left thalamus, the odds of higher mental fatigability significantly increased by 27.6% (OR=0.724, 95%CI: 0.529</w:t>
      </w:r>
      <w:r w:rsidR="009C4136" w:rsidRPr="008438F4">
        <w:rPr>
          <w:rFonts w:ascii="Calibri" w:hAnsi="Calibri" w:cs="Calibri"/>
        </w:rPr>
        <w:t>, 0.991, p=0.04). For every one</w:t>
      </w:r>
      <w:r w:rsidRPr="008438F4">
        <w:rPr>
          <w:rFonts w:ascii="Calibri" w:hAnsi="Calibri" w:cs="Calibri"/>
        </w:rPr>
        <w:t xml:space="preserve"> unit decrease in GMV in the right thalamus, the odds of higher mental fatigability significantly increased by 39% (OR: 0.610, 95% CI: 0.407, 0.912</w:t>
      </w:r>
      <w:r w:rsidR="009C4136" w:rsidRPr="008438F4">
        <w:rPr>
          <w:rFonts w:ascii="Calibri" w:hAnsi="Calibri" w:cs="Calibri"/>
        </w:rPr>
        <w:t>, p=0.02</w:t>
      </w:r>
      <w:r w:rsidRPr="008438F4">
        <w:rPr>
          <w:rFonts w:ascii="Calibri" w:hAnsi="Calibri" w:cs="Calibri"/>
        </w:rPr>
        <w:t xml:space="preserve">). </w:t>
      </w:r>
      <w:r w:rsidR="009C4136" w:rsidRPr="008438F4">
        <w:rPr>
          <w:rFonts w:ascii="Calibri" w:hAnsi="Calibri" w:cs="Calibri"/>
        </w:rPr>
        <w:t>Adjusting for age, for every one</w:t>
      </w:r>
      <w:r w:rsidRPr="008438F4">
        <w:rPr>
          <w:rFonts w:ascii="Calibri" w:hAnsi="Calibri" w:cs="Calibri"/>
        </w:rPr>
        <w:t xml:space="preserve"> unit decrease in GMV in the right thalamus, the odds of higher mental fatigability significantly increased by 36.5% (OR: 0.635, 95% CI: 0.418</w:t>
      </w:r>
      <w:r w:rsidR="009C4136" w:rsidRPr="008438F4">
        <w:rPr>
          <w:rFonts w:ascii="Calibri" w:hAnsi="Calibri" w:cs="Calibri"/>
        </w:rPr>
        <w:t>, 0.964, p=0.03</w:t>
      </w:r>
      <w:r w:rsidRPr="008438F4">
        <w:rPr>
          <w:rFonts w:ascii="Calibri" w:hAnsi="Calibri" w:cs="Calibri"/>
        </w:rPr>
        <w:t>). Adjusting</w:t>
      </w:r>
      <w:r w:rsidR="009C4136" w:rsidRPr="008438F4">
        <w:rPr>
          <w:rFonts w:ascii="Calibri" w:hAnsi="Calibri" w:cs="Calibri"/>
        </w:rPr>
        <w:t xml:space="preserve"> for smoking status, for every one</w:t>
      </w:r>
      <w:r w:rsidRPr="008438F4">
        <w:rPr>
          <w:rFonts w:ascii="Calibri" w:hAnsi="Calibri" w:cs="Calibri"/>
        </w:rPr>
        <w:t xml:space="preserve"> unit decrease in GMV in the left thalamus, the odds of higher physical fatigability significantly increased by 28.6% (OR: 0.7</w:t>
      </w:r>
      <w:r w:rsidR="009C4136" w:rsidRPr="008438F4">
        <w:rPr>
          <w:rFonts w:ascii="Calibri" w:hAnsi="Calibri" w:cs="Calibri"/>
        </w:rPr>
        <w:t>14, 95%CI: 0.517, 0.985, p=0.04</w:t>
      </w:r>
      <w:r w:rsidRPr="008438F4">
        <w:rPr>
          <w:rFonts w:ascii="Calibri" w:hAnsi="Calibri" w:cs="Calibri"/>
        </w:rPr>
        <w:t>). For every 1 unit decrease in GMV in the left thalamus, the odds of higher mental fatigability significantly increased by 35.4% (OR: 0.646</w:t>
      </w:r>
      <w:r w:rsidR="009C4136" w:rsidRPr="008438F4">
        <w:rPr>
          <w:rFonts w:ascii="Calibri" w:hAnsi="Calibri" w:cs="Calibri"/>
        </w:rPr>
        <w:t>, 95% CI: 0.444, 0.939, p=0.02). For every one</w:t>
      </w:r>
      <w:r w:rsidRPr="008438F4">
        <w:rPr>
          <w:rFonts w:ascii="Calibri" w:hAnsi="Calibri" w:cs="Calibri"/>
        </w:rPr>
        <w:t xml:space="preserve"> unit decrease in GMV in the right thalamus, the odds of higher mental fatigability significantly increased by 54.3% (OR: 0.457</w:t>
      </w:r>
      <w:r w:rsidR="009C4136" w:rsidRPr="008438F4">
        <w:rPr>
          <w:rFonts w:ascii="Calibri" w:hAnsi="Calibri" w:cs="Calibri"/>
        </w:rPr>
        <w:t>, 95% CI: 0.240, 0.869, p=0.02</w:t>
      </w:r>
      <w:r w:rsidRPr="008438F4">
        <w:rPr>
          <w:rFonts w:ascii="Calibri" w:hAnsi="Calibri" w:cs="Calibri"/>
        </w:rPr>
        <w:t>).</w:t>
      </w:r>
      <w:r w:rsidR="00085644">
        <w:rPr>
          <w:rFonts w:ascii="Calibri" w:hAnsi="Calibri" w:cs="Calibri"/>
        </w:rPr>
        <w:t xml:space="preserve"> There were no significant associations between brain regions of interest and fatigability except for the thalamus. </w:t>
      </w:r>
    </w:p>
    <w:p w14:paraId="09AE8FDB" w14:textId="77777777" w:rsidR="0099247D" w:rsidRPr="008438F4" w:rsidRDefault="0099247D" w:rsidP="0099247D">
      <w:pPr>
        <w:spacing w:line="360" w:lineRule="auto"/>
        <w:rPr>
          <w:rFonts w:ascii="Calibri" w:hAnsi="Calibri" w:cs="Calibri"/>
        </w:rPr>
      </w:pPr>
      <w:r w:rsidRPr="008438F4">
        <w:rPr>
          <w:rFonts w:ascii="Calibri" w:hAnsi="Calibri" w:cs="Calibri"/>
        </w:rPr>
        <w:br w:type="page"/>
      </w:r>
    </w:p>
    <w:p w14:paraId="08D168FA" w14:textId="13A73130" w:rsidR="002045C7" w:rsidRPr="008438F4" w:rsidRDefault="002045C7" w:rsidP="002045C7">
      <w:pPr>
        <w:pStyle w:val="Caption"/>
        <w:spacing w:line="240" w:lineRule="auto"/>
        <w:ind w:firstLine="0"/>
        <w:rPr>
          <w:rFonts w:ascii="Calibri" w:hAnsi="Calibri" w:cs="Calibri"/>
          <w:color w:val="000000"/>
          <w:sz w:val="24"/>
          <w:szCs w:val="24"/>
        </w:rPr>
      </w:pPr>
      <w:bookmarkStart w:id="50" w:name="_Toc499755707"/>
      <w:r w:rsidRPr="008438F4">
        <w:rPr>
          <w:rFonts w:ascii="Calibri" w:hAnsi="Calibri" w:cs="Calibri"/>
          <w:sz w:val="24"/>
          <w:szCs w:val="24"/>
        </w:rPr>
        <w:t xml:space="preserve">Table </w:t>
      </w:r>
      <w:r w:rsidRPr="008438F4">
        <w:rPr>
          <w:rFonts w:ascii="Calibri" w:hAnsi="Calibri" w:cs="Calibri"/>
          <w:sz w:val="24"/>
          <w:szCs w:val="24"/>
        </w:rPr>
        <w:fldChar w:fldCharType="begin"/>
      </w:r>
      <w:r w:rsidRPr="008438F4">
        <w:rPr>
          <w:rFonts w:ascii="Calibri" w:hAnsi="Calibri" w:cs="Calibri"/>
          <w:sz w:val="24"/>
          <w:szCs w:val="24"/>
        </w:rPr>
        <w:instrText xml:space="preserve"> SEQ Table \* ARABIC </w:instrText>
      </w:r>
      <w:r w:rsidRPr="008438F4">
        <w:rPr>
          <w:rFonts w:ascii="Calibri" w:hAnsi="Calibri" w:cs="Calibri"/>
          <w:sz w:val="24"/>
          <w:szCs w:val="24"/>
        </w:rPr>
        <w:fldChar w:fldCharType="separate"/>
      </w:r>
      <w:r w:rsidR="003B7E02">
        <w:rPr>
          <w:rFonts w:ascii="Calibri" w:hAnsi="Calibri" w:cs="Calibri"/>
          <w:noProof/>
          <w:sz w:val="24"/>
          <w:szCs w:val="24"/>
        </w:rPr>
        <w:t>4</w:t>
      </w:r>
      <w:r w:rsidRPr="008438F4">
        <w:rPr>
          <w:rFonts w:ascii="Calibri" w:hAnsi="Calibri" w:cs="Calibri"/>
          <w:sz w:val="24"/>
          <w:szCs w:val="24"/>
        </w:rPr>
        <w:fldChar w:fldCharType="end"/>
      </w:r>
      <w:r w:rsidRPr="008438F4">
        <w:rPr>
          <w:rFonts w:ascii="Calibri" w:hAnsi="Calibri" w:cs="Calibri"/>
          <w:sz w:val="24"/>
          <w:szCs w:val="24"/>
        </w:rPr>
        <w:t xml:space="preserve">. </w:t>
      </w:r>
      <w:r w:rsidRPr="008438F4">
        <w:rPr>
          <w:rFonts w:ascii="Calibri" w:hAnsi="Calibri" w:cs="Calibri"/>
          <w:color w:val="000000"/>
          <w:sz w:val="24"/>
          <w:szCs w:val="24"/>
        </w:rPr>
        <w:t>Associations of Anatomical Brain Regions from 7T MRI Scans on Categorical Physical and Mental</w:t>
      </w:r>
      <w:r w:rsidRPr="008438F4">
        <w:rPr>
          <w:rFonts w:ascii="Calibri" w:hAnsi="Calibri" w:cs="Calibri"/>
          <w:i/>
          <w:color w:val="000000"/>
          <w:sz w:val="24"/>
          <w:szCs w:val="24"/>
        </w:rPr>
        <w:t xml:space="preserve"> </w:t>
      </w:r>
      <w:r w:rsidRPr="008438F4">
        <w:rPr>
          <w:rFonts w:ascii="Calibri" w:hAnsi="Calibri" w:cs="Calibri"/>
          <w:color w:val="000000"/>
          <w:sz w:val="24"/>
          <w:szCs w:val="24"/>
        </w:rPr>
        <w:t>Fatigability Scale (LIFE, N=29)</w:t>
      </w:r>
      <w:bookmarkEnd w:id="50"/>
    </w:p>
    <w:p w14:paraId="64B4FCEF" w14:textId="77777777" w:rsidR="002045C7" w:rsidRPr="008438F4" w:rsidRDefault="002045C7" w:rsidP="002045C7">
      <w:pPr>
        <w:spacing w:line="240" w:lineRule="auto"/>
        <w:rPr>
          <w:rFonts w:ascii="Calibri" w:hAnsi="Calibri" w:cs="Calibri"/>
        </w:rPr>
      </w:pPr>
    </w:p>
    <w:tbl>
      <w:tblPr>
        <w:tblW w:w="498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90"/>
        <w:gridCol w:w="2587"/>
        <w:gridCol w:w="1919"/>
        <w:gridCol w:w="2442"/>
      </w:tblGrid>
      <w:tr w:rsidR="0099247D" w:rsidRPr="008438F4" w14:paraId="43F9D3E1" w14:textId="77777777" w:rsidTr="006C7899">
        <w:trPr>
          <w:trHeight w:val="343"/>
          <w:jc w:val="center"/>
        </w:trPr>
        <w:tc>
          <w:tcPr>
            <w:tcW w:w="1358" w:type="pct"/>
            <w:tcBorders>
              <w:top w:val="single" w:sz="8" w:space="0" w:color="auto"/>
              <w:left w:val="nil"/>
              <w:bottom w:val="nil"/>
              <w:right w:val="nil"/>
            </w:tcBorders>
            <w:shd w:val="clear" w:color="auto" w:fill="auto"/>
          </w:tcPr>
          <w:p w14:paraId="0E584CEC" w14:textId="77777777" w:rsidR="0099247D" w:rsidRPr="008438F4" w:rsidRDefault="0099247D" w:rsidP="00C041A2">
            <w:pPr>
              <w:spacing w:line="240" w:lineRule="auto"/>
              <w:rPr>
                <w:rFonts w:ascii="Calibri" w:hAnsi="Calibri" w:cs="Calibri"/>
                <w:b/>
                <w:bCs/>
                <w:color w:val="000000"/>
                <w:sz w:val="22"/>
                <w:szCs w:val="22"/>
                <w:shd w:val="clear" w:color="auto" w:fill="FFFFFF"/>
              </w:rPr>
            </w:pPr>
          </w:p>
        </w:tc>
        <w:tc>
          <w:tcPr>
            <w:tcW w:w="3642" w:type="pct"/>
            <w:gridSpan w:val="3"/>
            <w:tcBorders>
              <w:top w:val="single" w:sz="8" w:space="0" w:color="auto"/>
              <w:left w:val="nil"/>
              <w:bottom w:val="nil"/>
              <w:right w:val="nil"/>
            </w:tcBorders>
            <w:shd w:val="clear" w:color="auto" w:fill="auto"/>
          </w:tcPr>
          <w:p w14:paraId="6C8BA304" w14:textId="77777777" w:rsidR="0099247D" w:rsidRPr="008438F4" w:rsidRDefault="0099247D" w:rsidP="006C7899">
            <w:pPr>
              <w:spacing w:line="240" w:lineRule="auto"/>
              <w:ind w:firstLine="79"/>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Physical Fatigability</w:t>
            </w:r>
          </w:p>
        </w:tc>
      </w:tr>
      <w:tr w:rsidR="006C7899" w:rsidRPr="008438F4" w14:paraId="422E0B9B" w14:textId="77777777" w:rsidTr="006C7899">
        <w:trPr>
          <w:trHeight w:val="324"/>
          <w:jc w:val="center"/>
        </w:trPr>
        <w:tc>
          <w:tcPr>
            <w:tcW w:w="1358" w:type="pct"/>
            <w:tcBorders>
              <w:top w:val="nil"/>
              <w:left w:val="nil"/>
              <w:bottom w:val="nil"/>
              <w:right w:val="nil"/>
            </w:tcBorders>
            <w:shd w:val="clear" w:color="auto" w:fill="auto"/>
          </w:tcPr>
          <w:p w14:paraId="6242294A" w14:textId="77777777" w:rsidR="0099247D" w:rsidRPr="008438F4" w:rsidRDefault="0099247D" w:rsidP="00C041A2">
            <w:pPr>
              <w:spacing w:line="240" w:lineRule="auto"/>
              <w:rPr>
                <w:rFonts w:ascii="Calibri" w:hAnsi="Calibri" w:cs="Calibri"/>
                <w:b/>
                <w:bCs/>
                <w:color w:val="000000"/>
                <w:sz w:val="22"/>
                <w:szCs w:val="22"/>
                <w:shd w:val="clear" w:color="auto" w:fill="FFFFFF"/>
              </w:rPr>
            </w:pPr>
          </w:p>
        </w:tc>
        <w:tc>
          <w:tcPr>
            <w:tcW w:w="1356" w:type="pct"/>
            <w:tcBorders>
              <w:top w:val="nil"/>
              <w:left w:val="nil"/>
              <w:bottom w:val="nil"/>
              <w:right w:val="nil"/>
            </w:tcBorders>
            <w:shd w:val="clear" w:color="auto" w:fill="auto"/>
          </w:tcPr>
          <w:p w14:paraId="1F36F1D3" w14:textId="77777777" w:rsidR="00233817" w:rsidRPr="008438F4" w:rsidRDefault="0099247D" w:rsidP="00C041A2">
            <w:pPr>
              <w:spacing w:line="240" w:lineRule="auto"/>
              <w:ind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Model 1. </w:t>
            </w:r>
          </w:p>
          <w:p w14:paraId="19E7DB62" w14:textId="77777777" w:rsidR="0099247D" w:rsidRPr="008438F4" w:rsidRDefault="0099247D" w:rsidP="00C041A2">
            <w:pPr>
              <w:spacing w:line="240" w:lineRule="auto"/>
              <w:ind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Unadjusted</w:t>
            </w:r>
          </w:p>
        </w:tc>
        <w:tc>
          <w:tcPr>
            <w:tcW w:w="1006" w:type="pct"/>
            <w:tcBorders>
              <w:top w:val="nil"/>
              <w:left w:val="nil"/>
              <w:bottom w:val="nil"/>
              <w:right w:val="nil"/>
            </w:tcBorders>
            <w:shd w:val="clear" w:color="auto" w:fill="auto"/>
          </w:tcPr>
          <w:p w14:paraId="6ED80D20" w14:textId="77777777" w:rsidR="00DE5C69"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Model 2. </w:t>
            </w:r>
          </w:p>
          <w:p w14:paraId="717C6C40" w14:textId="77777777" w:rsidR="006C7899"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Adjusted for</w:t>
            </w:r>
          </w:p>
          <w:p w14:paraId="4D51B52E" w14:textId="77777777" w:rsidR="0099247D"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 age</w:t>
            </w:r>
          </w:p>
        </w:tc>
        <w:tc>
          <w:tcPr>
            <w:tcW w:w="1281" w:type="pct"/>
            <w:tcBorders>
              <w:top w:val="nil"/>
              <w:left w:val="nil"/>
              <w:bottom w:val="nil"/>
              <w:right w:val="nil"/>
            </w:tcBorders>
            <w:shd w:val="clear" w:color="auto" w:fill="auto"/>
          </w:tcPr>
          <w:p w14:paraId="52A08F22" w14:textId="77777777" w:rsidR="00DE5C69" w:rsidRPr="008438F4" w:rsidRDefault="0099247D" w:rsidP="00233817">
            <w:pPr>
              <w:spacing w:line="24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Model 3. </w:t>
            </w:r>
          </w:p>
          <w:p w14:paraId="749FFAFE" w14:textId="77777777" w:rsidR="006C7899" w:rsidRPr="008438F4" w:rsidRDefault="0099247D" w:rsidP="00233817">
            <w:pPr>
              <w:spacing w:line="24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Adjusted for </w:t>
            </w:r>
          </w:p>
          <w:p w14:paraId="386CD4D7" w14:textId="77777777" w:rsidR="0099247D" w:rsidRPr="008438F4" w:rsidRDefault="0099247D" w:rsidP="00233817">
            <w:pPr>
              <w:spacing w:line="24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smoking status</w:t>
            </w:r>
          </w:p>
        </w:tc>
      </w:tr>
      <w:tr w:rsidR="006C7899" w:rsidRPr="008438F4" w14:paraId="3DC936B7" w14:textId="77777777" w:rsidTr="006C7899">
        <w:trPr>
          <w:trHeight w:val="348"/>
          <w:jc w:val="center"/>
        </w:trPr>
        <w:tc>
          <w:tcPr>
            <w:tcW w:w="1358" w:type="pct"/>
            <w:tcBorders>
              <w:top w:val="nil"/>
              <w:left w:val="nil"/>
              <w:bottom w:val="single" w:sz="8" w:space="0" w:color="auto"/>
              <w:right w:val="nil"/>
            </w:tcBorders>
            <w:shd w:val="clear" w:color="auto" w:fill="auto"/>
          </w:tcPr>
          <w:p w14:paraId="7B80086E" w14:textId="77777777" w:rsidR="0099247D" w:rsidRPr="008438F4" w:rsidRDefault="0099247D" w:rsidP="00111D2B">
            <w:pPr>
              <w:spacing w:line="240" w:lineRule="auto"/>
              <w:ind w:left="-180"/>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Region of Interest </w:t>
            </w:r>
          </w:p>
        </w:tc>
        <w:tc>
          <w:tcPr>
            <w:tcW w:w="1356" w:type="pct"/>
            <w:tcBorders>
              <w:top w:val="nil"/>
              <w:left w:val="nil"/>
              <w:bottom w:val="single" w:sz="8" w:space="0" w:color="auto"/>
              <w:right w:val="nil"/>
            </w:tcBorders>
            <w:shd w:val="clear" w:color="auto" w:fill="auto"/>
          </w:tcPr>
          <w:p w14:paraId="79D05CF8" w14:textId="77777777" w:rsidR="0099247D" w:rsidRPr="008438F4" w:rsidRDefault="0099247D" w:rsidP="00885D4B">
            <w:pPr>
              <w:spacing w:line="240" w:lineRule="auto"/>
              <w:ind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OR (95% CI)</w:t>
            </w:r>
          </w:p>
        </w:tc>
        <w:tc>
          <w:tcPr>
            <w:tcW w:w="1006" w:type="pct"/>
            <w:tcBorders>
              <w:top w:val="nil"/>
              <w:left w:val="nil"/>
              <w:bottom w:val="single" w:sz="8" w:space="0" w:color="auto"/>
              <w:right w:val="nil"/>
            </w:tcBorders>
            <w:shd w:val="clear" w:color="auto" w:fill="auto"/>
          </w:tcPr>
          <w:p w14:paraId="498B7D6B" w14:textId="77777777" w:rsidR="0099247D"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OR(95% CI)</w:t>
            </w:r>
          </w:p>
        </w:tc>
        <w:tc>
          <w:tcPr>
            <w:tcW w:w="1281" w:type="pct"/>
            <w:tcBorders>
              <w:top w:val="nil"/>
              <w:left w:val="nil"/>
              <w:bottom w:val="single" w:sz="8" w:space="0" w:color="auto"/>
              <w:right w:val="nil"/>
            </w:tcBorders>
            <w:shd w:val="clear" w:color="auto" w:fill="auto"/>
          </w:tcPr>
          <w:p w14:paraId="07575E4C" w14:textId="77777777" w:rsidR="0099247D" w:rsidRPr="008438F4" w:rsidRDefault="0099247D" w:rsidP="00233817">
            <w:pPr>
              <w:spacing w:line="36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OR(95% CI)</w:t>
            </w:r>
          </w:p>
        </w:tc>
      </w:tr>
      <w:tr w:rsidR="006C7899" w:rsidRPr="008438F4" w14:paraId="6A857352" w14:textId="77777777" w:rsidTr="006C7899">
        <w:trPr>
          <w:trHeight w:val="343"/>
          <w:jc w:val="center"/>
        </w:trPr>
        <w:tc>
          <w:tcPr>
            <w:tcW w:w="1358" w:type="pct"/>
            <w:tcBorders>
              <w:top w:val="single" w:sz="8" w:space="0" w:color="auto"/>
              <w:left w:val="nil"/>
              <w:bottom w:val="nil"/>
              <w:right w:val="nil"/>
            </w:tcBorders>
            <w:shd w:val="clear" w:color="auto" w:fill="auto"/>
          </w:tcPr>
          <w:p w14:paraId="6B44F1A8" w14:textId="77777777" w:rsidR="0099247D" w:rsidRPr="008438F4" w:rsidRDefault="0099247D" w:rsidP="00111D2B">
            <w:pPr>
              <w:pStyle w:val="ListParagraph"/>
              <w:spacing w:line="240" w:lineRule="auto"/>
              <w:ind w:left="-180"/>
              <w:jc w:val="right"/>
              <w:rPr>
                <w:rFonts w:cs="Calibri"/>
                <w:b/>
                <w:bCs/>
                <w:color w:val="000000"/>
                <w:shd w:val="clear" w:color="auto" w:fill="FFFFFF"/>
              </w:rPr>
            </w:pPr>
            <w:r w:rsidRPr="008438F4">
              <w:rPr>
                <w:rFonts w:cs="Calibri"/>
                <w:b/>
                <w:bCs/>
                <w:color w:val="000000"/>
                <w:shd w:val="clear" w:color="auto" w:fill="FFFFFF"/>
              </w:rPr>
              <w:t>Amygdala (L)</w:t>
            </w:r>
          </w:p>
        </w:tc>
        <w:tc>
          <w:tcPr>
            <w:tcW w:w="1356" w:type="pct"/>
            <w:tcBorders>
              <w:top w:val="single" w:sz="8" w:space="0" w:color="auto"/>
              <w:left w:val="nil"/>
              <w:bottom w:val="nil"/>
              <w:right w:val="nil"/>
            </w:tcBorders>
            <w:shd w:val="clear" w:color="auto" w:fill="auto"/>
          </w:tcPr>
          <w:p w14:paraId="4EF79871"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0.600(0.264, 1.367)</w:t>
            </w:r>
          </w:p>
        </w:tc>
        <w:tc>
          <w:tcPr>
            <w:tcW w:w="1006" w:type="pct"/>
            <w:tcBorders>
              <w:top w:val="single" w:sz="8" w:space="0" w:color="auto"/>
              <w:left w:val="nil"/>
              <w:bottom w:val="nil"/>
              <w:right w:val="nil"/>
            </w:tcBorders>
            <w:shd w:val="clear" w:color="auto" w:fill="auto"/>
          </w:tcPr>
          <w:p w14:paraId="0B9FFBCC"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0.600(0.250, 1.441)</w:t>
            </w:r>
          </w:p>
        </w:tc>
        <w:tc>
          <w:tcPr>
            <w:tcW w:w="1281" w:type="pct"/>
            <w:tcBorders>
              <w:top w:val="single" w:sz="8" w:space="0" w:color="auto"/>
              <w:left w:val="nil"/>
              <w:bottom w:val="nil"/>
              <w:right w:val="nil"/>
            </w:tcBorders>
            <w:shd w:val="clear" w:color="auto" w:fill="auto"/>
          </w:tcPr>
          <w:p w14:paraId="138B854C"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0.622(0.266, 1.454)</w:t>
            </w:r>
          </w:p>
        </w:tc>
      </w:tr>
      <w:tr w:rsidR="006C7899" w:rsidRPr="008438F4" w14:paraId="342CAD57" w14:textId="77777777" w:rsidTr="006C7899">
        <w:trPr>
          <w:trHeight w:val="384"/>
          <w:jc w:val="center"/>
        </w:trPr>
        <w:tc>
          <w:tcPr>
            <w:tcW w:w="1358" w:type="pct"/>
            <w:tcBorders>
              <w:top w:val="nil"/>
              <w:left w:val="nil"/>
              <w:bottom w:val="nil"/>
              <w:right w:val="nil"/>
            </w:tcBorders>
            <w:shd w:val="clear" w:color="auto" w:fill="auto"/>
          </w:tcPr>
          <w:p w14:paraId="1CA61245"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Amygdala(R)</w:t>
            </w:r>
          </w:p>
        </w:tc>
        <w:tc>
          <w:tcPr>
            <w:tcW w:w="1356" w:type="pct"/>
            <w:tcBorders>
              <w:top w:val="nil"/>
              <w:left w:val="nil"/>
              <w:bottom w:val="nil"/>
              <w:right w:val="nil"/>
            </w:tcBorders>
            <w:shd w:val="clear" w:color="auto" w:fill="auto"/>
          </w:tcPr>
          <w:p w14:paraId="2A178FC0"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0.716(0.385, 1.333)</w:t>
            </w:r>
          </w:p>
        </w:tc>
        <w:tc>
          <w:tcPr>
            <w:tcW w:w="1006" w:type="pct"/>
            <w:tcBorders>
              <w:top w:val="nil"/>
              <w:left w:val="nil"/>
              <w:bottom w:val="nil"/>
              <w:right w:val="nil"/>
            </w:tcBorders>
            <w:shd w:val="clear" w:color="auto" w:fill="auto"/>
          </w:tcPr>
          <w:p w14:paraId="64F27271"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0.725(0.380, 1.384)</w:t>
            </w:r>
          </w:p>
        </w:tc>
        <w:tc>
          <w:tcPr>
            <w:tcW w:w="1281" w:type="pct"/>
            <w:tcBorders>
              <w:top w:val="nil"/>
              <w:left w:val="nil"/>
              <w:bottom w:val="nil"/>
              <w:right w:val="nil"/>
            </w:tcBorders>
            <w:shd w:val="clear" w:color="auto" w:fill="auto"/>
          </w:tcPr>
          <w:p w14:paraId="441D5402"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0.821(0.408, 1.654)</w:t>
            </w:r>
          </w:p>
        </w:tc>
      </w:tr>
      <w:tr w:rsidR="006C7899" w:rsidRPr="008438F4" w14:paraId="2E4E04C8" w14:textId="77777777" w:rsidTr="006C7899">
        <w:trPr>
          <w:trHeight w:val="343"/>
          <w:jc w:val="center"/>
        </w:trPr>
        <w:tc>
          <w:tcPr>
            <w:tcW w:w="1358" w:type="pct"/>
            <w:tcBorders>
              <w:top w:val="nil"/>
              <w:left w:val="nil"/>
              <w:bottom w:val="nil"/>
              <w:right w:val="nil"/>
            </w:tcBorders>
            <w:shd w:val="clear" w:color="auto" w:fill="auto"/>
          </w:tcPr>
          <w:p w14:paraId="3102A990"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Cingulate Posterior(R)</w:t>
            </w:r>
          </w:p>
        </w:tc>
        <w:tc>
          <w:tcPr>
            <w:tcW w:w="1356" w:type="pct"/>
            <w:tcBorders>
              <w:top w:val="nil"/>
              <w:left w:val="nil"/>
              <w:bottom w:val="nil"/>
              <w:right w:val="nil"/>
            </w:tcBorders>
            <w:shd w:val="clear" w:color="auto" w:fill="auto"/>
          </w:tcPr>
          <w:p w14:paraId="4E2FD3AD"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1.016(0.475, 2.174)</w:t>
            </w:r>
          </w:p>
        </w:tc>
        <w:tc>
          <w:tcPr>
            <w:tcW w:w="1006" w:type="pct"/>
            <w:tcBorders>
              <w:top w:val="nil"/>
              <w:left w:val="nil"/>
              <w:bottom w:val="nil"/>
              <w:right w:val="nil"/>
            </w:tcBorders>
            <w:shd w:val="clear" w:color="auto" w:fill="auto"/>
          </w:tcPr>
          <w:p w14:paraId="1BD86FF0"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1.039(0.481, 2.243)</w:t>
            </w:r>
          </w:p>
        </w:tc>
        <w:tc>
          <w:tcPr>
            <w:tcW w:w="1281" w:type="pct"/>
            <w:tcBorders>
              <w:top w:val="nil"/>
              <w:left w:val="nil"/>
              <w:bottom w:val="nil"/>
              <w:right w:val="nil"/>
            </w:tcBorders>
            <w:shd w:val="clear" w:color="auto" w:fill="auto"/>
          </w:tcPr>
          <w:p w14:paraId="594B06BA"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0.918(0.414, 2.038)</w:t>
            </w:r>
          </w:p>
        </w:tc>
      </w:tr>
      <w:tr w:rsidR="006C7899" w:rsidRPr="008438F4" w14:paraId="43D338D5" w14:textId="77777777" w:rsidTr="006C7899">
        <w:trPr>
          <w:trHeight w:val="348"/>
          <w:jc w:val="center"/>
        </w:trPr>
        <w:tc>
          <w:tcPr>
            <w:tcW w:w="1358" w:type="pct"/>
            <w:tcBorders>
              <w:top w:val="nil"/>
              <w:left w:val="nil"/>
              <w:bottom w:val="nil"/>
              <w:right w:val="nil"/>
            </w:tcBorders>
            <w:shd w:val="clear" w:color="auto" w:fill="auto"/>
          </w:tcPr>
          <w:p w14:paraId="021A4620"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Hippocampus(R)</w:t>
            </w:r>
          </w:p>
        </w:tc>
        <w:tc>
          <w:tcPr>
            <w:tcW w:w="1356" w:type="pct"/>
            <w:tcBorders>
              <w:top w:val="nil"/>
              <w:left w:val="nil"/>
              <w:bottom w:val="nil"/>
              <w:right w:val="nil"/>
            </w:tcBorders>
            <w:shd w:val="clear" w:color="auto" w:fill="auto"/>
          </w:tcPr>
          <w:p w14:paraId="4500E875"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0.898(0.712, 1.131)</w:t>
            </w:r>
          </w:p>
        </w:tc>
        <w:tc>
          <w:tcPr>
            <w:tcW w:w="1006" w:type="pct"/>
            <w:tcBorders>
              <w:top w:val="nil"/>
              <w:left w:val="nil"/>
              <w:bottom w:val="nil"/>
              <w:right w:val="nil"/>
            </w:tcBorders>
            <w:shd w:val="clear" w:color="auto" w:fill="auto"/>
          </w:tcPr>
          <w:p w14:paraId="4EE29823"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0.902(0.714, 1.139)</w:t>
            </w:r>
          </w:p>
        </w:tc>
        <w:tc>
          <w:tcPr>
            <w:tcW w:w="1281" w:type="pct"/>
            <w:tcBorders>
              <w:top w:val="nil"/>
              <w:left w:val="nil"/>
              <w:bottom w:val="nil"/>
              <w:right w:val="nil"/>
            </w:tcBorders>
            <w:shd w:val="clear" w:color="auto" w:fill="auto"/>
          </w:tcPr>
          <w:p w14:paraId="65F35A11"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0.870(0.683, 1.108)</w:t>
            </w:r>
          </w:p>
        </w:tc>
      </w:tr>
      <w:tr w:rsidR="006C7899" w:rsidRPr="008438F4" w14:paraId="631A99BA" w14:textId="77777777" w:rsidTr="006C7899">
        <w:trPr>
          <w:trHeight w:val="348"/>
          <w:jc w:val="center"/>
        </w:trPr>
        <w:tc>
          <w:tcPr>
            <w:tcW w:w="1358" w:type="pct"/>
            <w:tcBorders>
              <w:top w:val="nil"/>
              <w:left w:val="nil"/>
              <w:bottom w:val="nil"/>
              <w:right w:val="nil"/>
            </w:tcBorders>
            <w:shd w:val="clear" w:color="auto" w:fill="auto"/>
          </w:tcPr>
          <w:p w14:paraId="19382A7C"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Putamen(R)</w:t>
            </w:r>
          </w:p>
        </w:tc>
        <w:tc>
          <w:tcPr>
            <w:tcW w:w="1356" w:type="pct"/>
            <w:tcBorders>
              <w:top w:val="nil"/>
              <w:left w:val="nil"/>
              <w:bottom w:val="nil"/>
              <w:right w:val="nil"/>
            </w:tcBorders>
            <w:shd w:val="clear" w:color="auto" w:fill="auto"/>
          </w:tcPr>
          <w:p w14:paraId="1AC28821"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0.907(0.756, 1.089)</w:t>
            </w:r>
          </w:p>
        </w:tc>
        <w:tc>
          <w:tcPr>
            <w:tcW w:w="1006" w:type="pct"/>
            <w:tcBorders>
              <w:top w:val="nil"/>
              <w:left w:val="nil"/>
              <w:bottom w:val="nil"/>
              <w:right w:val="nil"/>
            </w:tcBorders>
            <w:shd w:val="clear" w:color="auto" w:fill="auto"/>
          </w:tcPr>
          <w:p w14:paraId="33ED0C7E"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0.909(0.756, 1.093)</w:t>
            </w:r>
          </w:p>
        </w:tc>
        <w:tc>
          <w:tcPr>
            <w:tcW w:w="1281" w:type="pct"/>
            <w:tcBorders>
              <w:top w:val="nil"/>
              <w:left w:val="nil"/>
              <w:bottom w:val="nil"/>
              <w:right w:val="nil"/>
            </w:tcBorders>
            <w:shd w:val="clear" w:color="auto" w:fill="auto"/>
          </w:tcPr>
          <w:p w14:paraId="28050196"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0.937(0.770, 1.140)</w:t>
            </w:r>
          </w:p>
        </w:tc>
      </w:tr>
      <w:tr w:rsidR="006C7899" w:rsidRPr="008438F4" w14:paraId="3E3E392B" w14:textId="77777777" w:rsidTr="006C7899">
        <w:trPr>
          <w:trHeight w:val="343"/>
          <w:jc w:val="center"/>
        </w:trPr>
        <w:tc>
          <w:tcPr>
            <w:tcW w:w="1358" w:type="pct"/>
            <w:tcBorders>
              <w:top w:val="nil"/>
              <w:left w:val="nil"/>
              <w:bottom w:val="nil"/>
              <w:right w:val="nil"/>
            </w:tcBorders>
            <w:shd w:val="clear" w:color="auto" w:fill="auto"/>
          </w:tcPr>
          <w:p w14:paraId="0E88644B"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Thalamus(L)</w:t>
            </w:r>
          </w:p>
        </w:tc>
        <w:tc>
          <w:tcPr>
            <w:tcW w:w="1356" w:type="pct"/>
            <w:tcBorders>
              <w:top w:val="nil"/>
              <w:left w:val="nil"/>
              <w:bottom w:val="nil"/>
              <w:right w:val="nil"/>
            </w:tcBorders>
            <w:shd w:val="clear" w:color="auto" w:fill="auto"/>
          </w:tcPr>
          <w:p w14:paraId="217C3E0E"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0.745(0.550, 1.010)</w:t>
            </w:r>
          </w:p>
        </w:tc>
        <w:tc>
          <w:tcPr>
            <w:tcW w:w="1006" w:type="pct"/>
            <w:tcBorders>
              <w:top w:val="nil"/>
              <w:left w:val="nil"/>
              <w:bottom w:val="nil"/>
              <w:right w:val="nil"/>
            </w:tcBorders>
            <w:shd w:val="clear" w:color="auto" w:fill="auto"/>
          </w:tcPr>
          <w:p w14:paraId="36656A64"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0.747(0.550, 1.014)</w:t>
            </w:r>
          </w:p>
        </w:tc>
        <w:tc>
          <w:tcPr>
            <w:tcW w:w="1281" w:type="pct"/>
            <w:tcBorders>
              <w:top w:val="nil"/>
              <w:left w:val="nil"/>
              <w:bottom w:val="nil"/>
              <w:right w:val="nil"/>
            </w:tcBorders>
            <w:shd w:val="clear" w:color="auto" w:fill="auto"/>
          </w:tcPr>
          <w:p w14:paraId="6BAF46DB" w14:textId="77777777" w:rsidR="0099247D" w:rsidRPr="008438F4" w:rsidRDefault="0099247D" w:rsidP="00233817">
            <w:pPr>
              <w:spacing w:line="360" w:lineRule="auto"/>
              <w:ind w:left="225" w:right="-180" w:hanging="211"/>
              <w:jc w:val="center"/>
              <w:rPr>
                <w:rFonts w:ascii="Calibri" w:hAnsi="Calibri" w:cs="Calibri"/>
                <w:b/>
                <w:bCs/>
                <w:color w:val="000000"/>
                <w:sz w:val="22"/>
                <w:szCs w:val="22"/>
                <w:shd w:val="clear" w:color="auto" w:fill="FFFFFF"/>
                <w:vertAlign w:val="superscript"/>
              </w:rPr>
            </w:pPr>
            <w:r w:rsidRPr="008438F4">
              <w:rPr>
                <w:rFonts w:ascii="Calibri" w:hAnsi="Calibri" w:cs="Calibri"/>
                <w:b/>
                <w:bCs/>
                <w:color w:val="000000"/>
                <w:sz w:val="22"/>
                <w:szCs w:val="22"/>
                <w:shd w:val="clear" w:color="auto" w:fill="FFFFFF"/>
              </w:rPr>
              <w:t>0.714(0.517, 0.985)</w:t>
            </w:r>
            <w:r w:rsidR="002E5A98" w:rsidRPr="008438F4">
              <w:rPr>
                <w:rFonts w:ascii="Calibri" w:hAnsi="Calibri" w:cs="Calibri"/>
                <w:b/>
                <w:bCs/>
                <w:color w:val="000000"/>
                <w:sz w:val="22"/>
                <w:szCs w:val="22"/>
                <w:shd w:val="clear" w:color="auto" w:fill="FFFFFF"/>
                <w:vertAlign w:val="superscript"/>
              </w:rPr>
              <w:t>a</w:t>
            </w:r>
          </w:p>
        </w:tc>
      </w:tr>
      <w:tr w:rsidR="006C7899" w:rsidRPr="008438F4" w14:paraId="57E18802" w14:textId="77777777" w:rsidTr="006C7899">
        <w:trPr>
          <w:trHeight w:val="348"/>
          <w:jc w:val="center"/>
        </w:trPr>
        <w:tc>
          <w:tcPr>
            <w:tcW w:w="1358" w:type="pct"/>
            <w:tcBorders>
              <w:top w:val="nil"/>
              <w:left w:val="nil"/>
              <w:bottom w:val="single" w:sz="8" w:space="0" w:color="auto"/>
              <w:right w:val="nil"/>
            </w:tcBorders>
            <w:shd w:val="clear" w:color="auto" w:fill="auto"/>
          </w:tcPr>
          <w:p w14:paraId="7423F8F7" w14:textId="77777777" w:rsidR="0099247D" w:rsidRPr="008438F4" w:rsidRDefault="0099247D" w:rsidP="00111D2B">
            <w:pPr>
              <w:pStyle w:val="ListParagraph"/>
              <w:spacing w:line="240" w:lineRule="auto"/>
              <w:ind w:left="-180"/>
              <w:jc w:val="right"/>
              <w:rPr>
                <w:rFonts w:cs="Calibri"/>
                <w:b/>
                <w:bCs/>
                <w:color w:val="000000"/>
              </w:rPr>
            </w:pPr>
            <w:r w:rsidRPr="008438F4">
              <w:rPr>
                <w:rFonts w:cs="Calibri"/>
                <w:b/>
                <w:bCs/>
                <w:color w:val="000000"/>
              </w:rPr>
              <w:t>Thalamus(R)</w:t>
            </w:r>
          </w:p>
        </w:tc>
        <w:tc>
          <w:tcPr>
            <w:tcW w:w="1356" w:type="pct"/>
            <w:tcBorders>
              <w:top w:val="nil"/>
              <w:left w:val="nil"/>
              <w:bottom w:val="single" w:sz="8" w:space="0" w:color="auto"/>
              <w:right w:val="nil"/>
            </w:tcBorders>
            <w:shd w:val="clear" w:color="auto" w:fill="auto"/>
          </w:tcPr>
          <w:p w14:paraId="23130D79"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0.750(0.549, 1.024)</w:t>
            </w:r>
          </w:p>
        </w:tc>
        <w:tc>
          <w:tcPr>
            <w:tcW w:w="1006" w:type="pct"/>
            <w:tcBorders>
              <w:top w:val="nil"/>
              <w:left w:val="nil"/>
              <w:bottom w:val="single" w:sz="8" w:space="0" w:color="auto"/>
              <w:right w:val="nil"/>
            </w:tcBorders>
            <w:shd w:val="clear" w:color="auto" w:fill="auto"/>
          </w:tcPr>
          <w:p w14:paraId="2CF8AA9B"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0.730(0.519, 1.028)</w:t>
            </w:r>
          </w:p>
          <w:p w14:paraId="5AB5D95E"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p>
        </w:tc>
        <w:tc>
          <w:tcPr>
            <w:tcW w:w="1281" w:type="pct"/>
            <w:tcBorders>
              <w:top w:val="nil"/>
              <w:left w:val="nil"/>
              <w:bottom w:val="single" w:sz="8" w:space="0" w:color="auto"/>
              <w:right w:val="nil"/>
            </w:tcBorders>
            <w:shd w:val="clear" w:color="auto" w:fill="auto"/>
          </w:tcPr>
          <w:p w14:paraId="0D60DBEB"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0.724(0.516, 1.015)</w:t>
            </w:r>
          </w:p>
        </w:tc>
      </w:tr>
      <w:tr w:rsidR="0099247D" w:rsidRPr="008438F4" w14:paraId="3DF85B2A" w14:textId="77777777" w:rsidTr="006C7899">
        <w:trPr>
          <w:trHeight w:val="343"/>
          <w:jc w:val="center"/>
        </w:trPr>
        <w:tc>
          <w:tcPr>
            <w:tcW w:w="1358" w:type="pct"/>
            <w:tcBorders>
              <w:top w:val="single" w:sz="8" w:space="0" w:color="auto"/>
              <w:left w:val="nil"/>
              <w:bottom w:val="nil"/>
              <w:right w:val="nil"/>
            </w:tcBorders>
            <w:shd w:val="clear" w:color="auto" w:fill="auto"/>
          </w:tcPr>
          <w:p w14:paraId="022B9311" w14:textId="77777777" w:rsidR="0099247D" w:rsidRPr="008438F4" w:rsidRDefault="0099247D" w:rsidP="00111D2B">
            <w:pPr>
              <w:spacing w:line="240" w:lineRule="auto"/>
              <w:ind w:left="-180"/>
              <w:rPr>
                <w:rFonts w:ascii="Calibri" w:hAnsi="Calibri" w:cs="Calibri"/>
                <w:b/>
                <w:bCs/>
                <w:color w:val="000000"/>
                <w:sz w:val="22"/>
                <w:szCs w:val="22"/>
                <w:shd w:val="clear" w:color="auto" w:fill="FFFFFF"/>
              </w:rPr>
            </w:pPr>
          </w:p>
        </w:tc>
        <w:tc>
          <w:tcPr>
            <w:tcW w:w="3642" w:type="pct"/>
            <w:gridSpan w:val="3"/>
            <w:tcBorders>
              <w:top w:val="single" w:sz="8" w:space="0" w:color="auto"/>
              <w:left w:val="nil"/>
              <w:bottom w:val="nil"/>
              <w:right w:val="nil"/>
            </w:tcBorders>
            <w:shd w:val="clear" w:color="auto" w:fill="auto"/>
            <w:vAlign w:val="center"/>
          </w:tcPr>
          <w:p w14:paraId="5CB59A96" w14:textId="77777777" w:rsidR="0099247D" w:rsidRPr="008438F4" w:rsidRDefault="006C7899" w:rsidP="006C7899">
            <w:pPr>
              <w:spacing w:line="240" w:lineRule="auto"/>
              <w:ind w:left="-144" w:right="-81"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M</w:t>
            </w:r>
            <w:r w:rsidR="0099247D" w:rsidRPr="008438F4">
              <w:rPr>
                <w:rFonts w:ascii="Calibri" w:hAnsi="Calibri" w:cs="Calibri"/>
                <w:b/>
                <w:bCs/>
                <w:color w:val="000000"/>
                <w:sz w:val="22"/>
                <w:szCs w:val="22"/>
                <w:shd w:val="clear" w:color="auto" w:fill="FFFFFF"/>
              </w:rPr>
              <w:t>ental Fatigability</w:t>
            </w:r>
          </w:p>
        </w:tc>
      </w:tr>
      <w:tr w:rsidR="006C7899" w:rsidRPr="008438F4" w14:paraId="2AC344BD" w14:textId="77777777" w:rsidTr="006C7899">
        <w:trPr>
          <w:trHeight w:val="348"/>
          <w:jc w:val="center"/>
        </w:trPr>
        <w:tc>
          <w:tcPr>
            <w:tcW w:w="1358" w:type="pct"/>
            <w:tcBorders>
              <w:top w:val="nil"/>
              <w:left w:val="nil"/>
              <w:bottom w:val="nil"/>
              <w:right w:val="nil"/>
            </w:tcBorders>
            <w:shd w:val="clear" w:color="auto" w:fill="auto"/>
          </w:tcPr>
          <w:p w14:paraId="7BCE2F99" w14:textId="77777777" w:rsidR="0099247D" w:rsidRPr="008438F4" w:rsidRDefault="0099247D" w:rsidP="00111D2B">
            <w:pPr>
              <w:spacing w:line="240" w:lineRule="auto"/>
              <w:ind w:left="-180"/>
              <w:jc w:val="center"/>
              <w:rPr>
                <w:rFonts w:ascii="Calibri" w:hAnsi="Calibri" w:cs="Calibri"/>
                <w:b/>
                <w:bCs/>
                <w:color w:val="000000"/>
                <w:sz w:val="22"/>
                <w:szCs w:val="22"/>
                <w:shd w:val="clear" w:color="auto" w:fill="FFFFFF"/>
              </w:rPr>
            </w:pPr>
          </w:p>
        </w:tc>
        <w:tc>
          <w:tcPr>
            <w:tcW w:w="1356" w:type="pct"/>
            <w:tcBorders>
              <w:top w:val="nil"/>
              <w:left w:val="nil"/>
              <w:bottom w:val="nil"/>
              <w:right w:val="nil"/>
            </w:tcBorders>
            <w:shd w:val="clear" w:color="auto" w:fill="auto"/>
          </w:tcPr>
          <w:p w14:paraId="3004FC84" w14:textId="77777777" w:rsidR="0099247D" w:rsidRPr="008438F4" w:rsidRDefault="0099247D" w:rsidP="00885D4B">
            <w:pPr>
              <w:spacing w:line="240" w:lineRule="auto"/>
              <w:ind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Model 1. Unadjusted</w:t>
            </w:r>
          </w:p>
        </w:tc>
        <w:tc>
          <w:tcPr>
            <w:tcW w:w="1006" w:type="pct"/>
            <w:tcBorders>
              <w:top w:val="nil"/>
              <w:left w:val="nil"/>
              <w:bottom w:val="nil"/>
              <w:right w:val="nil"/>
            </w:tcBorders>
            <w:shd w:val="clear" w:color="auto" w:fill="auto"/>
          </w:tcPr>
          <w:p w14:paraId="4A581836" w14:textId="77777777" w:rsidR="00DE5C69"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Model 2.</w:t>
            </w:r>
          </w:p>
          <w:p w14:paraId="30A5BBAA" w14:textId="77777777" w:rsidR="00885D4B"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Adjusted for </w:t>
            </w:r>
          </w:p>
          <w:p w14:paraId="611D3FBF" w14:textId="77777777" w:rsidR="0099247D"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age</w:t>
            </w:r>
          </w:p>
        </w:tc>
        <w:tc>
          <w:tcPr>
            <w:tcW w:w="1281" w:type="pct"/>
            <w:tcBorders>
              <w:top w:val="nil"/>
              <w:left w:val="nil"/>
              <w:bottom w:val="nil"/>
              <w:right w:val="nil"/>
            </w:tcBorders>
            <w:shd w:val="clear" w:color="auto" w:fill="auto"/>
          </w:tcPr>
          <w:p w14:paraId="3A237E2B" w14:textId="77777777" w:rsidR="00DE5C69" w:rsidRPr="008438F4" w:rsidRDefault="0099247D" w:rsidP="00233817">
            <w:pPr>
              <w:spacing w:line="24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Model 3.</w:t>
            </w:r>
          </w:p>
          <w:p w14:paraId="7EAC1427" w14:textId="77777777" w:rsidR="00885D4B" w:rsidRPr="008438F4" w:rsidRDefault="0099247D" w:rsidP="00233817">
            <w:pPr>
              <w:spacing w:line="24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 xml:space="preserve">Adjusted for </w:t>
            </w:r>
          </w:p>
          <w:p w14:paraId="2A8E28E3" w14:textId="77777777" w:rsidR="0099247D" w:rsidRPr="008438F4" w:rsidRDefault="0099247D" w:rsidP="00233817">
            <w:pPr>
              <w:spacing w:line="24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smoking status</w:t>
            </w:r>
          </w:p>
        </w:tc>
      </w:tr>
      <w:tr w:rsidR="006C7899" w:rsidRPr="008438F4" w14:paraId="1771DD22" w14:textId="77777777" w:rsidTr="006C7899">
        <w:trPr>
          <w:trHeight w:val="348"/>
          <w:jc w:val="center"/>
        </w:trPr>
        <w:tc>
          <w:tcPr>
            <w:tcW w:w="1358" w:type="pct"/>
            <w:tcBorders>
              <w:top w:val="nil"/>
              <w:left w:val="nil"/>
              <w:bottom w:val="single" w:sz="8" w:space="0" w:color="auto"/>
              <w:right w:val="nil"/>
            </w:tcBorders>
            <w:shd w:val="clear" w:color="auto" w:fill="auto"/>
          </w:tcPr>
          <w:p w14:paraId="2030C9F3" w14:textId="77777777" w:rsidR="0099247D" w:rsidRPr="008438F4" w:rsidRDefault="0099247D" w:rsidP="00111D2B">
            <w:pPr>
              <w:spacing w:line="240" w:lineRule="auto"/>
              <w:ind w:left="-180"/>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Region of Interest</w:t>
            </w:r>
          </w:p>
        </w:tc>
        <w:tc>
          <w:tcPr>
            <w:tcW w:w="1356" w:type="pct"/>
            <w:tcBorders>
              <w:top w:val="nil"/>
              <w:left w:val="nil"/>
              <w:bottom w:val="single" w:sz="8" w:space="0" w:color="auto"/>
              <w:right w:val="nil"/>
            </w:tcBorders>
            <w:shd w:val="clear" w:color="auto" w:fill="auto"/>
          </w:tcPr>
          <w:p w14:paraId="0AC0271A" w14:textId="77777777" w:rsidR="0099247D" w:rsidRPr="008438F4" w:rsidRDefault="0099247D" w:rsidP="00885D4B">
            <w:pPr>
              <w:spacing w:line="240" w:lineRule="auto"/>
              <w:ind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OR(95% CI)</w:t>
            </w:r>
          </w:p>
        </w:tc>
        <w:tc>
          <w:tcPr>
            <w:tcW w:w="1006" w:type="pct"/>
            <w:tcBorders>
              <w:top w:val="nil"/>
              <w:left w:val="nil"/>
              <w:bottom w:val="single" w:sz="8" w:space="0" w:color="auto"/>
              <w:right w:val="nil"/>
            </w:tcBorders>
            <w:shd w:val="clear" w:color="auto" w:fill="auto"/>
          </w:tcPr>
          <w:p w14:paraId="08A8D04A" w14:textId="77777777" w:rsidR="0099247D"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OR(95% CI)</w:t>
            </w:r>
          </w:p>
        </w:tc>
        <w:tc>
          <w:tcPr>
            <w:tcW w:w="1281" w:type="pct"/>
            <w:tcBorders>
              <w:top w:val="nil"/>
              <w:left w:val="nil"/>
              <w:bottom w:val="single" w:sz="8" w:space="0" w:color="auto"/>
              <w:right w:val="nil"/>
            </w:tcBorders>
            <w:shd w:val="clear" w:color="auto" w:fill="auto"/>
          </w:tcPr>
          <w:p w14:paraId="4F4B5111" w14:textId="77777777" w:rsidR="0099247D" w:rsidRPr="008438F4" w:rsidRDefault="0099247D" w:rsidP="00233817">
            <w:pPr>
              <w:spacing w:line="360" w:lineRule="auto"/>
              <w:ind w:left="225" w:right="-180" w:hanging="211"/>
              <w:jc w:val="center"/>
              <w:rPr>
                <w:rFonts w:ascii="Calibri" w:hAnsi="Calibri" w:cs="Calibri"/>
                <w:b/>
                <w:bCs/>
                <w:color w:val="000000"/>
                <w:sz w:val="22"/>
                <w:szCs w:val="22"/>
                <w:shd w:val="clear" w:color="auto" w:fill="FFFFFF"/>
              </w:rPr>
            </w:pPr>
            <w:r w:rsidRPr="008438F4">
              <w:rPr>
                <w:rFonts w:ascii="Calibri" w:hAnsi="Calibri" w:cs="Calibri"/>
                <w:b/>
                <w:bCs/>
                <w:color w:val="000000"/>
                <w:sz w:val="22"/>
                <w:szCs w:val="22"/>
                <w:shd w:val="clear" w:color="auto" w:fill="FFFFFF"/>
              </w:rPr>
              <w:t>OR(95% CI)</w:t>
            </w:r>
          </w:p>
        </w:tc>
      </w:tr>
      <w:tr w:rsidR="006C7899" w:rsidRPr="008438F4" w14:paraId="475B67F3" w14:textId="77777777" w:rsidTr="006C7899">
        <w:trPr>
          <w:trHeight w:val="343"/>
          <w:jc w:val="center"/>
        </w:trPr>
        <w:tc>
          <w:tcPr>
            <w:tcW w:w="1358" w:type="pct"/>
            <w:tcBorders>
              <w:top w:val="single" w:sz="8" w:space="0" w:color="auto"/>
              <w:left w:val="nil"/>
              <w:bottom w:val="nil"/>
              <w:right w:val="nil"/>
            </w:tcBorders>
            <w:shd w:val="clear" w:color="auto" w:fill="auto"/>
          </w:tcPr>
          <w:p w14:paraId="063D20AB" w14:textId="77777777" w:rsidR="0099247D" w:rsidRPr="008438F4" w:rsidRDefault="0099247D" w:rsidP="00111D2B">
            <w:pPr>
              <w:pStyle w:val="ListParagraph"/>
              <w:spacing w:line="240" w:lineRule="auto"/>
              <w:ind w:left="-180"/>
              <w:jc w:val="right"/>
              <w:rPr>
                <w:rFonts w:cs="Calibri"/>
                <w:b/>
                <w:bCs/>
                <w:color w:val="000000"/>
                <w:shd w:val="clear" w:color="auto" w:fill="FFFFFF"/>
              </w:rPr>
            </w:pPr>
            <w:r w:rsidRPr="008438F4">
              <w:rPr>
                <w:rFonts w:cs="Calibri"/>
                <w:b/>
                <w:bCs/>
                <w:color w:val="000000"/>
                <w:shd w:val="clear" w:color="auto" w:fill="FFFFFF"/>
              </w:rPr>
              <w:t>Amygdala (L)</w:t>
            </w:r>
          </w:p>
        </w:tc>
        <w:tc>
          <w:tcPr>
            <w:tcW w:w="1356" w:type="pct"/>
            <w:tcBorders>
              <w:top w:val="single" w:sz="8" w:space="0" w:color="auto"/>
              <w:left w:val="nil"/>
              <w:bottom w:val="nil"/>
              <w:right w:val="nil"/>
            </w:tcBorders>
            <w:shd w:val="clear" w:color="auto" w:fill="auto"/>
          </w:tcPr>
          <w:p w14:paraId="721B0640"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0.408(0.155, 1.073)</w:t>
            </w:r>
          </w:p>
        </w:tc>
        <w:tc>
          <w:tcPr>
            <w:tcW w:w="1006" w:type="pct"/>
            <w:tcBorders>
              <w:top w:val="single" w:sz="8" w:space="0" w:color="auto"/>
              <w:left w:val="nil"/>
              <w:bottom w:val="nil"/>
              <w:right w:val="nil"/>
            </w:tcBorders>
            <w:shd w:val="clear" w:color="auto" w:fill="auto"/>
          </w:tcPr>
          <w:p w14:paraId="11CBC60E"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0.490(0.184, 1.304)</w:t>
            </w:r>
          </w:p>
        </w:tc>
        <w:tc>
          <w:tcPr>
            <w:tcW w:w="1281" w:type="pct"/>
            <w:tcBorders>
              <w:top w:val="single" w:sz="8" w:space="0" w:color="auto"/>
              <w:left w:val="nil"/>
              <w:bottom w:val="nil"/>
              <w:right w:val="nil"/>
            </w:tcBorders>
            <w:shd w:val="clear" w:color="auto" w:fill="auto"/>
          </w:tcPr>
          <w:p w14:paraId="5179C3DA"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0.385(0.129, 1.153)</w:t>
            </w:r>
          </w:p>
        </w:tc>
      </w:tr>
      <w:tr w:rsidR="006C7899" w:rsidRPr="008438F4" w14:paraId="5328539C" w14:textId="77777777" w:rsidTr="006C7899">
        <w:trPr>
          <w:trHeight w:val="348"/>
          <w:jc w:val="center"/>
        </w:trPr>
        <w:tc>
          <w:tcPr>
            <w:tcW w:w="1358" w:type="pct"/>
            <w:tcBorders>
              <w:top w:val="nil"/>
              <w:left w:val="nil"/>
              <w:bottom w:val="nil"/>
              <w:right w:val="nil"/>
            </w:tcBorders>
            <w:shd w:val="clear" w:color="auto" w:fill="auto"/>
          </w:tcPr>
          <w:p w14:paraId="18AFA262"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Amygdala(R)</w:t>
            </w:r>
          </w:p>
        </w:tc>
        <w:tc>
          <w:tcPr>
            <w:tcW w:w="1356" w:type="pct"/>
            <w:tcBorders>
              <w:top w:val="nil"/>
              <w:left w:val="nil"/>
              <w:bottom w:val="nil"/>
              <w:right w:val="nil"/>
            </w:tcBorders>
            <w:shd w:val="clear" w:color="auto" w:fill="auto"/>
          </w:tcPr>
          <w:p w14:paraId="24F5398F"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0.498(0.239, 1.036)</w:t>
            </w:r>
          </w:p>
        </w:tc>
        <w:tc>
          <w:tcPr>
            <w:tcW w:w="1006" w:type="pct"/>
            <w:tcBorders>
              <w:top w:val="nil"/>
              <w:left w:val="nil"/>
              <w:bottom w:val="nil"/>
              <w:right w:val="nil"/>
            </w:tcBorders>
            <w:shd w:val="clear" w:color="auto" w:fill="auto"/>
          </w:tcPr>
          <w:p w14:paraId="6EADE003"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0.556(0.263, 1.172)</w:t>
            </w:r>
          </w:p>
        </w:tc>
        <w:tc>
          <w:tcPr>
            <w:tcW w:w="1281" w:type="pct"/>
            <w:tcBorders>
              <w:top w:val="nil"/>
              <w:left w:val="nil"/>
              <w:bottom w:val="nil"/>
              <w:right w:val="nil"/>
            </w:tcBorders>
            <w:shd w:val="clear" w:color="auto" w:fill="auto"/>
          </w:tcPr>
          <w:p w14:paraId="1F77D4B8"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0.609(0.273 1.357)</w:t>
            </w:r>
          </w:p>
        </w:tc>
      </w:tr>
      <w:tr w:rsidR="006C7899" w:rsidRPr="008438F4" w14:paraId="57816351" w14:textId="77777777" w:rsidTr="006C7899">
        <w:trPr>
          <w:trHeight w:val="348"/>
          <w:jc w:val="center"/>
        </w:trPr>
        <w:tc>
          <w:tcPr>
            <w:tcW w:w="1358" w:type="pct"/>
            <w:tcBorders>
              <w:top w:val="nil"/>
              <w:left w:val="nil"/>
              <w:bottom w:val="nil"/>
              <w:right w:val="nil"/>
            </w:tcBorders>
            <w:shd w:val="clear" w:color="auto" w:fill="auto"/>
          </w:tcPr>
          <w:p w14:paraId="4D1C6D6D"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Cingulate Posterior(R)</w:t>
            </w:r>
          </w:p>
        </w:tc>
        <w:tc>
          <w:tcPr>
            <w:tcW w:w="1356" w:type="pct"/>
            <w:tcBorders>
              <w:top w:val="nil"/>
              <w:left w:val="nil"/>
              <w:bottom w:val="nil"/>
              <w:right w:val="nil"/>
            </w:tcBorders>
            <w:shd w:val="clear" w:color="auto" w:fill="auto"/>
          </w:tcPr>
          <w:p w14:paraId="569EBBB3"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0.660(0.307, 1.419)</w:t>
            </w:r>
          </w:p>
        </w:tc>
        <w:tc>
          <w:tcPr>
            <w:tcW w:w="1006" w:type="pct"/>
            <w:tcBorders>
              <w:top w:val="nil"/>
              <w:left w:val="nil"/>
              <w:bottom w:val="nil"/>
              <w:right w:val="nil"/>
            </w:tcBorders>
            <w:shd w:val="clear" w:color="auto" w:fill="auto"/>
          </w:tcPr>
          <w:p w14:paraId="22939859"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0.706(0.313, 1.594)</w:t>
            </w:r>
          </w:p>
        </w:tc>
        <w:tc>
          <w:tcPr>
            <w:tcW w:w="1281" w:type="pct"/>
            <w:tcBorders>
              <w:top w:val="nil"/>
              <w:left w:val="nil"/>
              <w:bottom w:val="nil"/>
              <w:right w:val="nil"/>
            </w:tcBorders>
            <w:shd w:val="clear" w:color="auto" w:fill="auto"/>
          </w:tcPr>
          <w:p w14:paraId="13484B67"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0.486(0.199, 1.190)</w:t>
            </w:r>
          </w:p>
        </w:tc>
      </w:tr>
      <w:tr w:rsidR="006C7899" w:rsidRPr="008438F4" w14:paraId="7244B93A" w14:textId="77777777" w:rsidTr="006C7899">
        <w:trPr>
          <w:trHeight w:val="343"/>
          <w:jc w:val="center"/>
        </w:trPr>
        <w:tc>
          <w:tcPr>
            <w:tcW w:w="1358" w:type="pct"/>
            <w:tcBorders>
              <w:top w:val="nil"/>
              <w:left w:val="nil"/>
              <w:bottom w:val="nil"/>
              <w:right w:val="nil"/>
            </w:tcBorders>
            <w:shd w:val="clear" w:color="auto" w:fill="auto"/>
          </w:tcPr>
          <w:p w14:paraId="19CBFD69"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Hippocampus(R)</w:t>
            </w:r>
          </w:p>
        </w:tc>
        <w:tc>
          <w:tcPr>
            <w:tcW w:w="1356" w:type="pct"/>
            <w:tcBorders>
              <w:top w:val="nil"/>
              <w:left w:val="nil"/>
              <w:bottom w:val="nil"/>
              <w:right w:val="nil"/>
            </w:tcBorders>
            <w:shd w:val="clear" w:color="auto" w:fill="auto"/>
          </w:tcPr>
          <w:p w14:paraId="41C55699"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0.865(0.681, 1.099)</w:t>
            </w:r>
          </w:p>
        </w:tc>
        <w:tc>
          <w:tcPr>
            <w:tcW w:w="1006" w:type="pct"/>
            <w:tcBorders>
              <w:top w:val="nil"/>
              <w:left w:val="nil"/>
              <w:bottom w:val="nil"/>
              <w:right w:val="nil"/>
            </w:tcBorders>
            <w:shd w:val="clear" w:color="auto" w:fill="auto"/>
          </w:tcPr>
          <w:p w14:paraId="4A9800ED"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0.876(0.682, 1.124)</w:t>
            </w:r>
          </w:p>
        </w:tc>
        <w:tc>
          <w:tcPr>
            <w:tcW w:w="1281" w:type="pct"/>
            <w:tcBorders>
              <w:top w:val="nil"/>
              <w:left w:val="nil"/>
              <w:bottom w:val="nil"/>
              <w:right w:val="nil"/>
            </w:tcBorders>
            <w:shd w:val="clear" w:color="auto" w:fill="auto"/>
          </w:tcPr>
          <w:p w14:paraId="446859AA"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0.808(0.620, 1.052)</w:t>
            </w:r>
          </w:p>
        </w:tc>
      </w:tr>
      <w:tr w:rsidR="006C7899" w:rsidRPr="008438F4" w14:paraId="4C686BE1" w14:textId="77777777" w:rsidTr="006C7899">
        <w:trPr>
          <w:trHeight w:val="348"/>
          <w:jc w:val="center"/>
        </w:trPr>
        <w:tc>
          <w:tcPr>
            <w:tcW w:w="1358" w:type="pct"/>
            <w:tcBorders>
              <w:top w:val="nil"/>
              <w:left w:val="nil"/>
              <w:bottom w:val="nil"/>
              <w:right w:val="nil"/>
            </w:tcBorders>
            <w:shd w:val="clear" w:color="auto" w:fill="auto"/>
          </w:tcPr>
          <w:p w14:paraId="5182EA8B"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Putamen(R)</w:t>
            </w:r>
          </w:p>
        </w:tc>
        <w:tc>
          <w:tcPr>
            <w:tcW w:w="1356" w:type="pct"/>
            <w:tcBorders>
              <w:top w:val="nil"/>
              <w:left w:val="nil"/>
              <w:bottom w:val="nil"/>
              <w:right w:val="nil"/>
            </w:tcBorders>
            <w:shd w:val="clear" w:color="auto" w:fill="auto"/>
          </w:tcPr>
          <w:p w14:paraId="266CB5BB" w14:textId="77777777" w:rsidR="0099247D" w:rsidRPr="008438F4" w:rsidRDefault="0099247D" w:rsidP="00885D4B">
            <w:pPr>
              <w:spacing w:line="240" w:lineRule="auto"/>
              <w:ind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0.866(0.708, 1.060)</w:t>
            </w:r>
          </w:p>
        </w:tc>
        <w:tc>
          <w:tcPr>
            <w:tcW w:w="1006" w:type="pct"/>
            <w:tcBorders>
              <w:top w:val="nil"/>
              <w:left w:val="nil"/>
              <w:bottom w:val="nil"/>
              <w:right w:val="nil"/>
            </w:tcBorders>
            <w:shd w:val="clear" w:color="auto" w:fill="auto"/>
          </w:tcPr>
          <w:p w14:paraId="33849B9B"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0.849(0.664, 1.084)</w:t>
            </w:r>
          </w:p>
        </w:tc>
        <w:tc>
          <w:tcPr>
            <w:tcW w:w="1281" w:type="pct"/>
            <w:tcBorders>
              <w:top w:val="nil"/>
              <w:left w:val="nil"/>
              <w:bottom w:val="nil"/>
              <w:right w:val="nil"/>
            </w:tcBorders>
            <w:shd w:val="clear" w:color="auto" w:fill="auto"/>
          </w:tcPr>
          <w:p w14:paraId="01524687" w14:textId="77777777" w:rsidR="0099247D" w:rsidRPr="008438F4" w:rsidRDefault="0099247D" w:rsidP="00233817">
            <w:pPr>
              <w:spacing w:line="360" w:lineRule="auto"/>
              <w:ind w:left="225" w:right="-180" w:hanging="211"/>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0.914(0.734, 1.139)</w:t>
            </w:r>
          </w:p>
        </w:tc>
      </w:tr>
      <w:tr w:rsidR="006C7899" w:rsidRPr="008438F4" w14:paraId="57D0CB0D" w14:textId="77777777" w:rsidTr="006C7899">
        <w:trPr>
          <w:trHeight w:val="396"/>
          <w:jc w:val="center"/>
        </w:trPr>
        <w:tc>
          <w:tcPr>
            <w:tcW w:w="1358" w:type="pct"/>
            <w:tcBorders>
              <w:top w:val="nil"/>
              <w:left w:val="nil"/>
              <w:bottom w:val="nil"/>
              <w:right w:val="nil"/>
            </w:tcBorders>
            <w:shd w:val="clear" w:color="auto" w:fill="auto"/>
          </w:tcPr>
          <w:p w14:paraId="5CFF717A" w14:textId="77777777" w:rsidR="0099247D" w:rsidRPr="008438F4" w:rsidRDefault="0099247D" w:rsidP="00111D2B">
            <w:pPr>
              <w:spacing w:line="240" w:lineRule="auto"/>
              <w:ind w:left="-180"/>
              <w:jc w:val="right"/>
              <w:rPr>
                <w:rFonts w:ascii="Calibri" w:hAnsi="Calibri" w:cs="Calibri"/>
                <w:b/>
                <w:bCs/>
                <w:color w:val="000000"/>
                <w:sz w:val="22"/>
                <w:szCs w:val="22"/>
              </w:rPr>
            </w:pPr>
            <w:r w:rsidRPr="008438F4">
              <w:rPr>
                <w:rFonts w:ascii="Calibri" w:hAnsi="Calibri" w:cs="Calibri"/>
                <w:b/>
                <w:bCs/>
                <w:color w:val="000000"/>
                <w:sz w:val="22"/>
                <w:szCs w:val="22"/>
              </w:rPr>
              <w:t>Thalamus(L)</w:t>
            </w:r>
          </w:p>
        </w:tc>
        <w:tc>
          <w:tcPr>
            <w:tcW w:w="1356" w:type="pct"/>
            <w:tcBorders>
              <w:top w:val="nil"/>
              <w:left w:val="nil"/>
              <w:bottom w:val="nil"/>
              <w:right w:val="nil"/>
            </w:tcBorders>
            <w:shd w:val="clear" w:color="auto" w:fill="auto"/>
          </w:tcPr>
          <w:p w14:paraId="4EB13959" w14:textId="77777777" w:rsidR="0099247D" w:rsidRPr="008438F4" w:rsidRDefault="0099247D" w:rsidP="00885D4B">
            <w:pPr>
              <w:spacing w:line="240" w:lineRule="auto"/>
              <w:ind w:firstLine="15"/>
              <w:jc w:val="center"/>
              <w:rPr>
                <w:rFonts w:ascii="Calibri" w:hAnsi="Calibri" w:cs="Calibri"/>
                <w:b/>
                <w:bCs/>
                <w:color w:val="000000"/>
                <w:sz w:val="22"/>
                <w:szCs w:val="22"/>
                <w:shd w:val="clear" w:color="auto" w:fill="FFFFFF"/>
                <w:vertAlign w:val="superscript"/>
              </w:rPr>
            </w:pPr>
            <w:r w:rsidRPr="008438F4">
              <w:rPr>
                <w:rFonts w:ascii="Calibri" w:hAnsi="Calibri" w:cs="Calibri"/>
                <w:b/>
                <w:bCs/>
                <w:color w:val="000000"/>
                <w:sz w:val="22"/>
                <w:szCs w:val="22"/>
                <w:shd w:val="clear" w:color="auto" w:fill="FFFFFF"/>
              </w:rPr>
              <w:t>0.724(0.529, 0.991)</w:t>
            </w:r>
            <w:r w:rsidR="002E5A98" w:rsidRPr="008438F4">
              <w:rPr>
                <w:rFonts w:ascii="Calibri" w:hAnsi="Calibri" w:cs="Calibri"/>
                <w:b/>
                <w:bCs/>
                <w:color w:val="000000"/>
                <w:sz w:val="22"/>
                <w:szCs w:val="22"/>
                <w:shd w:val="clear" w:color="auto" w:fill="FFFFFF"/>
                <w:vertAlign w:val="superscript"/>
              </w:rPr>
              <w:t>a</w:t>
            </w:r>
          </w:p>
        </w:tc>
        <w:tc>
          <w:tcPr>
            <w:tcW w:w="1006" w:type="pct"/>
            <w:tcBorders>
              <w:top w:val="nil"/>
              <w:left w:val="nil"/>
              <w:bottom w:val="nil"/>
              <w:right w:val="nil"/>
            </w:tcBorders>
            <w:shd w:val="clear" w:color="auto" w:fill="auto"/>
          </w:tcPr>
          <w:p w14:paraId="7FF1F7F9" w14:textId="77777777" w:rsidR="0099247D" w:rsidRPr="008438F4" w:rsidRDefault="0099247D" w:rsidP="00233817">
            <w:pPr>
              <w:spacing w:line="240" w:lineRule="auto"/>
              <w:ind w:left="-144" w:right="-81" w:firstLine="15"/>
              <w:jc w:val="center"/>
              <w:rPr>
                <w:rFonts w:ascii="Calibri" w:hAnsi="Calibri" w:cs="Calibri"/>
                <w:bCs/>
                <w:color w:val="000000"/>
                <w:sz w:val="22"/>
                <w:szCs w:val="22"/>
                <w:shd w:val="clear" w:color="auto" w:fill="FFFFFF"/>
              </w:rPr>
            </w:pPr>
            <w:r w:rsidRPr="008438F4">
              <w:rPr>
                <w:rFonts w:ascii="Calibri" w:hAnsi="Calibri" w:cs="Calibri"/>
                <w:bCs/>
                <w:color w:val="000000"/>
                <w:sz w:val="22"/>
                <w:szCs w:val="22"/>
                <w:shd w:val="clear" w:color="auto" w:fill="FFFFFF"/>
              </w:rPr>
              <w:t>0.721(0.514, 1.012)</w:t>
            </w:r>
          </w:p>
        </w:tc>
        <w:tc>
          <w:tcPr>
            <w:tcW w:w="1281" w:type="pct"/>
            <w:tcBorders>
              <w:top w:val="nil"/>
              <w:left w:val="nil"/>
              <w:bottom w:val="nil"/>
              <w:right w:val="nil"/>
            </w:tcBorders>
            <w:shd w:val="clear" w:color="auto" w:fill="auto"/>
          </w:tcPr>
          <w:p w14:paraId="00C31A33" w14:textId="77777777" w:rsidR="0099247D" w:rsidRPr="008438F4" w:rsidRDefault="0099247D" w:rsidP="00233817">
            <w:pPr>
              <w:spacing w:line="360" w:lineRule="auto"/>
              <w:ind w:left="225" w:right="-180" w:hanging="211"/>
              <w:jc w:val="center"/>
              <w:rPr>
                <w:rFonts w:ascii="Calibri" w:hAnsi="Calibri" w:cs="Calibri"/>
                <w:b/>
                <w:bCs/>
                <w:color w:val="000000"/>
                <w:sz w:val="22"/>
                <w:szCs w:val="22"/>
                <w:shd w:val="clear" w:color="auto" w:fill="FFFFFF"/>
                <w:vertAlign w:val="superscript"/>
              </w:rPr>
            </w:pPr>
            <w:r w:rsidRPr="008438F4">
              <w:rPr>
                <w:rFonts w:ascii="Calibri" w:hAnsi="Calibri" w:cs="Calibri"/>
                <w:b/>
                <w:bCs/>
                <w:color w:val="000000"/>
                <w:sz w:val="22"/>
                <w:szCs w:val="22"/>
                <w:shd w:val="clear" w:color="auto" w:fill="FFFFFF"/>
              </w:rPr>
              <w:t>0.646(0.444, 0.939)</w:t>
            </w:r>
            <w:r w:rsidR="002E5A98" w:rsidRPr="008438F4">
              <w:rPr>
                <w:rFonts w:ascii="Calibri" w:hAnsi="Calibri" w:cs="Calibri"/>
                <w:b/>
                <w:bCs/>
                <w:color w:val="000000"/>
                <w:sz w:val="22"/>
                <w:szCs w:val="22"/>
                <w:shd w:val="clear" w:color="auto" w:fill="FFFFFF"/>
                <w:vertAlign w:val="superscript"/>
              </w:rPr>
              <w:t>a</w:t>
            </w:r>
          </w:p>
        </w:tc>
      </w:tr>
      <w:tr w:rsidR="006C7899" w:rsidRPr="008438F4" w14:paraId="7BEC741A" w14:textId="77777777" w:rsidTr="006C7899">
        <w:trPr>
          <w:trHeight w:val="277"/>
          <w:jc w:val="center"/>
        </w:trPr>
        <w:tc>
          <w:tcPr>
            <w:tcW w:w="1358" w:type="pct"/>
            <w:tcBorders>
              <w:top w:val="nil"/>
              <w:left w:val="nil"/>
              <w:bottom w:val="single" w:sz="8" w:space="0" w:color="auto"/>
              <w:right w:val="nil"/>
            </w:tcBorders>
            <w:shd w:val="clear" w:color="auto" w:fill="auto"/>
          </w:tcPr>
          <w:p w14:paraId="000A983B" w14:textId="77777777" w:rsidR="0099247D" w:rsidRPr="008438F4" w:rsidRDefault="0099247D" w:rsidP="00111D2B">
            <w:pPr>
              <w:pStyle w:val="ListParagraph"/>
              <w:spacing w:line="240" w:lineRule="auto"/>
              <w:ind w:left="-180"/>
              <w:jc w:val="right"/>
              <w:rPr>
                <w:rFonts w:cs="Calibri"/>
                <w:b/>
                <w:bCs/>
                <w:color w:val="000000"/>
              </w:rPr>
            </w:pPr>
            <w:r w:rsidRPr="008438F4">
              <w:rPr>
                <w:rFonts w:cs="Calibri"/>
                <w:b/>
                <w:bCs/>
                <w:color w:val="000000"/>
              </w:rPr>
              <w:t>Thalamus(R)</w:t>
            </w:r>
          </w:p>
        </w:tc>
        <w:tc>
          <w:tcPr>
            <w:tcW w:w="1356" w:type="pct"/>
            <w:tcBorders>
              <w:top w:val="nil"/>
              <w:left w:val="nil"/>
              <w:bottom w:val="single" w:sz="8" w:space="0" w:color="auto"/>
              <w:right w:val="nil"/>
            </w:tcBorders>
            <w:shd w:val="clear" w:color="auto" w:fill="auto"/>
          </w:tcPr>
          <w:p w14:paraId="317EBA98" w14:textId="77777777" w:rsidR="0099247D" w:rsidRPr="008438F4" w:rsidRDefault="0099247D" w:rsidP="00885D4B">
            <w:pPr>
              <w:spacing w:line="240" w:lineRule="auto"/>
              <w:ind w:firstLine="15"/>
              <w:jc w:val="center"/>
              <w:rPr>
                <w:rFonts w:ascii="Calibri" w:hAnsi="Calibri" w:cs="Calibri"/>
                <w:b/>
                <w:bCs/>
                <w:color w:val="000000"/>
                <w:sz w:val="22"/>
                <w:szCs w:val="22"/>
                <w:shd w:val="clear" w:color="auto" w:fill="FFFFFF"/>
                <w:vertAlign w:val="superscript"/>
              </w:rPr>
            </w:pPr>
            <w:r w:rsidRPr="008438F4">
              <w:rPr>
                <w:rFonts w:ascii="Calibri" w:hAnsi="Calibri" w:cs="Calibri"/>
                <w:b/>
                <w:bCs/>
                <w:color w:val="000000"/>
                <w:sz w:val="22"/>
                <w:szCs w:val="22"/>
                <w:shd w:val="clear" w:color="auto" w:fill="FFFFFF"/>
              </w:rPr>
              <w:t>0.610(0.407, 0.912)</w:t>
            </w:r>
            <w:r w:rsidR="002E5A98" w:rsidRPr="008438F4">
              <w:rPr>
                <w:rFonts w:ascii="Calibri" w:hAnsi="Calibri" w:cs="Calibri"/>
                <w:b/>
                <w:bCs/>
                <w:color w:val="000000"/>
                <w:sz w:val="22"/>
                <w:szCs w:val="22"/>
                <w:shd w:val="clear" w:color="auto" w:fill="FFFFFF"/>
                <w:vertAlign w:val="superscript"/>
              </w:rPr>
              <w:t>a</w:t>
            </w:r>
          </w:p>
        </w:tc>
        <w:tc>
          <w:tcPr>
            <w:tcW w:w="1006" w:type="pct"/>
            <w:tcBorders>
              <w:top w:val="nil"/>
              <w:left w:val="nil"/>
              <w:bottom w:val="single" w:sz="8" w:space="0" w:color="auto"/>
              <w:right w:val="nil"/>
            </w:tcBorders>
            <w:shd w:val="clear" w:color="auto" w:fill="auto"/>
          </w:tcPr>
          <w:p w14:paraId="65C924AC" w14:textId="77777777" w:rsidR="0099247D" w:rsidRPr="008438F4" w:rsidRDefault="0099247D" w:rsidP="00233817">
            <w:pPr>
              <w:spacing w:line="240" w:lineRule="auto"/>
              <w:ind w:left="-144" w:right="-81" w:firstLine="15"/>
              <w:jc w:val="center"/>
              <w:rPr>
                <w:rFonts w:ascii="Calibri" w:hAnsi="Calibri" w:cs="Calibri"/>
                <w:b/>
                <w:bCs/>
                <w:color w:val="000000"/>
                <w:sz w:val="22"/>
                <w:szCs w:val="22"/>
                <w:shd w:val="clear" w:color="auto" w:fill="FFFFFF"/>
                <w:vertAlign w:val="superscript"/>
              </w:rPr>
            </w:pPr>
            <w:r w:rsidRPr="008438F4">
              <w:rPr>
                <w:rFonts w:ascii="Calibri" w:hAnsi="Calibri" w:cs="Calibri"/>
                <w:b/>
                <w:bCs/>
                <w:color w:val="000000"/>
                <w:sz w:val="22"/>
                <w:szCs w:val="22"/>
                <w:shd w:val="clear" w:color="auto" w:fill="FFFFFF"/>
              </w:rPr>
              <w:t>0.635(0.418, 0.964)</w:t>
            </w:r>
            <w:r w:rsidR="002E5A98" w:rsidRPr="008438F4">
              <w:rPr>
                <w:rFonts w:ascii="Calibri" w:hAnsi="Calibri" w:cs="Calibri"/>
                <w:b/>
                <w:bCs/>
                <w:color w:val="000000"/>
                <w:sz w:val="22"/>
                <w:szCs w:val="22"/>
                <w:shd w:val="clear" w:color="auto" w:fill="FFFFFF"/>
                <w:vertAlign w:val="superscript"/>
              </w:rPr>
              <w:t>a</w:t>
            </w:r>
          </w:p>
        </w:tc>
        <w:tc>
          <w:tcPr>
            <w:tcW w:w="1281" w:type="pct"/>
            <w:tcBorders>
              <w:top w:val="nil"/>
              <w:left w:val="nil"/>
              <w:bottom w:val="single" w:sz="8" w:space="0" w:color="auto"/>
              <w:right w:val="nil"/>
            </w:tcBorders>
            <w:shd w:val="clear" w:color="auto" w:fill="auto"/>
          </w:tcPr>
          <w:p w14:paraId="7090BE96" w14:textId="77777777" w:rsidR="0099247D" w:rsidRPr="008438F4" w:rsidRDefault="0099247D" w:rsidP="00233817">
            <w:pPr>
              <w:spacing w:line="360" w:lineRule="auto"/>
              <w:ind w:left="225" w:right="-180" w:hanging="211"/>
              <w:jc w:val="center"/>
              <w:rPr>
                <w:rFonts w:ascii="Calibri" w:hAnsi="Calibri" w:cs="Calibri"/>
                <w:b/>
                <w:bCs/>
                <w:color w:val="000000"/>
                <w:sz w:val="22"/>
                <w:szCs w:val="22"/>
                <w:shd w:val="clear" w:color="auto" w:fill="FFFFFF"/>
                <w:vertAlign w:val="superscript"/>
              </w:rPr>
            </w:pPr>
            <w:r w:rsidRPr="008438F4">
              <w:rPr>
                <w:rFonts w:ascii="Calibri" w:hAnsi="Calibri" w:cs="Calibri"/>
                <w:b/>
                <w:bCs/>
                <w:color w:val="000000"/>
                <w:sz w:val="22"/>
                <w:szCs w:val="22"/>
                <w:shd w:val="clear" w:color="auto" w:fill="FFFFFF"/>
              </w:rPr>
              <w:t>0.457(0.240, 0.869)</w:t>
            </w:r>
            <w:r w:rsidR="002E5A98" w:rsidRPr="008438F4">
              <w:rPr>
                <w:rFonts w:ascii="Calibri" w:hAnsi="Calibri" w:cs="Calibri"/>
                <w:b/>
                <w:bCs/>
                <w:color w:val="000000"/>
                <w:sz w:val="22"/>
                <w:szCs w:val="22"/>
                <w:shd w:val="clear" w:color="auto" w:fill="FFFFFF"/>
                <w:vertAlign w:val="superscript"/>
              </w:rPr>
              <w:t>a</w:t>
            </w:r>
          </w:p>
        </w:tc>
      </w:tr>
      <w:tr w:rsidR="0099247D" w:rsidRPr="008438F4" w14:paraId="779F1115" w14:textId="77777777" w:rsidTr="006C7899">
        <w:trPr>
          <w:trHeight w:val="277"/>
          <w:jc w:val="center"/>
        </w:trPr>
        <w:tc>
          <w:tcPr>
            <w:tcW w:w="3719" w:type="pct"/>
            <w:gridSpan w:val="3"/>
            <w:tcBorders>
              <w:top w:val="single" w:sz="8" w:space="0" w:color="auto"/>
              <w:left w:val="nil"/>
              <w:bottom w:val="nil"/>
              <w:right w:val="nil"/>
            </w:tcBorders>
            <w:shd w:val="clear" w:color="auto" w:fill="auto"/>
          </w:tcPr>
          <w:p w14:paraId="392F1423" w14:textId="77777777" w:rsidR="0099247D" w:rsidRPr="008438F4" w:rsidRDefault="00233817" w:rsidP="002E5A98">
            <w:pPr>
              <w:pStyle w:val="ListParagraph"/>
              <w:spacing w:after="0" w:line="240" w:lineRule="auto"/>
              <w:ind w:left="0"/>
              <w:rPr>
                <w:rFonts w:cs="Calibri"/>
                <w:bCs/>
                <w:i/>
                <w:color w:val="000000"/>
              </w:rPr>
            </w:pPr>
            <w:r w:rsidRPr="008438F4">
              <w:rPr>
                <w:rFonts w:cs="Calibri"/>
                <w:bCs/>
                <w:i/>
                <w:color w:val="000000"/>
              </w:rPr>
              <w:t>(L)=Left subcortical; (</w:t>
            </w:r>
            <w:r w:rsidR="0099247D" w:rsidRPr="008438F4">
              <w:rPr>
                <w:rFonts w:cs="Calibri"/>
                <w:bCs/>
                <w:i/>
                <w:color w:val="000000"/>
              </w:rPr>
              <w:t xml:space="preserve">R)=Right subcortical </w:t>
            </w:r>
          </w:p>
          <w:p w14:paraId="5E2464F2" w14:textId="77777777" w:rsidR="002E5A98" w:rsidRPr="002E5A98" w:rsidRDefault="002E5A98" w:rsidP="002E5A98">
            <w:pPr>
              <w:pStyle w:val="ListParagraph"/>
              <w:spacing w:after="0" w:line="240" w:lineRule="auto"/>
              <w:ind w:left="0"/>
              <w:rPr>
                <w:rFonts w:eastAsia="Times New Roman" w:cs="Calibri"/>
                <w:i/>
              </w:rPr>
            </w:pPr>
            <w:r w:rsidRPr="002E5A98">
              <w:rPr>
                <w:rFonts w:cs="Calibri"/>
                <w:i/>
                <w:iCs/>
                <w:color w:val="000000"/>
                <w:kern w:val="24"/>
              </w:rPr>
              <w:t>a. Significant at p&lt;0.05</w:t>
            </w:r>
          </w:p>
          <w:p w14:paraId="354176C6" w14:textId="77777777" w:rsidR="002E5A98" w:rsidRPr="008438F4" w:rsidRDefault="002E5A98" w:rsidP="00233817">
            <w:pPr>
              <w:pStyle w:val="ListParagraph"/>
              <w:spacing w:line="240" w:lineRule="auto"/>
              <w:ind w:left="0"/>
              <w:rPr>
                <w:rFonts w:cs="Calibri"/>
                <w:bCs/>
                <w:i/>
                <w:color w:val="000000"/>
              </w:rPr>
            </w:pPr>
          </w:p>
        </w:tc>
        <w:tc>
          <w:tcPr>
            <w:tcW w:w="1281" w:type="pct"/>
            <w:tcBorders>
              <w:top w:val="single" w:sz="8" w:space="0" w:color="auto"/>
              <w:left w:val="nil"/>
              <w:bottom w:val="nil"/>
              <w:right w:val="nil"/>
            </w:tcBorders>
            <w:shd w:val="clear" w:color="auto" w:fill="auto"/>
          </w:tcPr>
          <w:p w14:paraId="2B76621F" w14:textId="77777777" w:rsidR="0099247D" w:rsidRPr="008438F4" w:rsidRDefault="0099247D" w:rsidP="00C041A2">
            <w:pPr>
              <w:pStyle w:val="ListParagraph"/>
              <w:spacing w:line="360" w:lineRule="auto"/>
              <w:ind w:left="0"/>
              <w:rPr>
                <w:rFonts w:cs="Calibri"/>
                <w:bCs/>
                <w:color w:val="000000"/>
              </w:rPr>
            </w:pPr>
          </w:p>
        </w:tc>
      </w:tr>
    </w:tbl>
    <w:p w14:paraId="2C5F39F5" w14:textId="77777777" w:rsidR="0099247D" w:rsidRPr="008438F4" w:rsidRDefault="0099247D" w:rsidP="0099247D">
      <w:pPr>
        <w:rPr>
          <w:rFonts w:ascii="Calibri" w:hAnsi="Calibri" w:cs="Calibri"/>
          <w:sz w:val="16"/>
        </w:rPr>
      </w:pPr>
    </w:p>
    <w:p w14:paraId="5C3F320F" w14:textId="77777777" w:rsidR="0099247D" w:rsidRPr="008438F4" w:rsidRDefault="0099247D" w:rsidP="00DE5C69">
      <w:pPr>
        <w:pStyle w:val="Heading1"/>
        <w:rPr>
          <w:rFonts w:ascii="Calibri" w:hAnsi="Calibri" w:cs="Calibri"/>
        </w:rPr>
      </w:pPr>
      <w:bookmarkStart w:id="51" w:name="_Toc499840810"/>
      <w:r w:rsidRPr="008438F4">
        <w:rPr>
          <w:rFonts w:ascii="Calibri" w:hAnsi="Calibri" w:cs="Calibri"/>
        </w:rPr>
        <w:t>Discussion</w:t>
      </w:r>
      <w:bookmarkEnd w:id="51"/>
      <w:r w:rsidRPr="008438F4">
        <w:rPr>
          <w:rFonts w:ascii="Calibri" w:hAnsi="Calibri" w:cs="Calibri"/>
        </w:rPr>
        <w:t xml:space="preserve"> </w:t>
      </w:r>
    </w:p>
    <w:p w14:paraId="7F706347" w14:textId="77777777" w:rsidR="0099247D" w:rsidRPr="008438F4" w:rsidRDefault="009C4136" w:rsidP="00EA4A81">
      <w:pPr>
        <w:spacing w:line="360" w:lineRule="auto"/>
        <w:ind w:firstLine="0"/>
        <w:rPr>
          <w:rFonts w:ascii="Calibri" w:hAnsi="Calibri" w:cs="Calibri"/>
          <w:color w:val="000000"/>
        </w:rPr>
      </w:pPr>
      <w:r w:rsidRPr="008438F4">
        <w:rPr>
          <w:rFonts w:ascii="Calibri" w:hAnsi="Calibri" w:cs="Calibri"/>
          <w:color w:val="000000"/>
        </w:rPr>
        <w:t xml:space="preserve">This </w:t>
      </w:r>
      <w:r w:rsidR="0099247D" w:rsidRPr="008438F4">
        <w:rPr>
          <w:rFonts w:ascii="Calibri" w:hAnsi="Calibri" w:cs="Calibri"/>
          <w:color w:val="000000"/>
        </w:rPr>
        <w:t>study is the first to investigate an association between fatigability and brain structures in healthy older adults. We found that higher</w:t>
      </w:r>
      <w:r w:rsidRPr="008438F4">
        <w:rPr>
          <w:rFonts w:ascii="Calibri" w:hAnsi="Calibri" w:cs="Calibri"/>
          <w:color w:val="000000"/>
        </w:rPr>
        <w:t xml:space="preserve"> </w:t>
      </w:r>
      <w:r w:rsidRPr="001C538B">
        <w:rPr>
          <w:rFonts w:ascii="Calibri" w:hAnsi="Calibri" w:cs="Calibri"/>
          <w:color w:val="000000"/>
          <w:u w:val="single"/>
        </w:rPr>
        <w:t>physical</w:t>
      </w:r>
      <w:r w:rsidR="0099247D" w:rsidRPr="008438F4">
        <w:rPr>
          <w:rFonts w:ascii="Calibri" w:hAnsi="Calibri" w:cs="Calibri"/>
          <w:color w:val="000000"/>
        </w:rPr>
        <w:t xml:space="preserve"> fatigability scores were inversely related to grey</w:t>
      </w:r>
      <w:r w:rsidRPr="008438F4">
        <w:rPr>
          <w:rFonts w:ascii="Calibri" w:hAnsi="Calibri" w:cs="Calibri"/>
          <w:color w:val="000000"/>
        </w:rPr>
        <w:t xml:space="preserve"> matter volumes for the</w:t>
      </w:r>
      <w:r w:rsidR="0099247D" w:rsidRPr="008438F4">
        <w:rPr>
          <w:rFonts w:ascii="Calibri" w:hAnsi="Calibri" w:cs="Calibri"/>
          <w:color w:val="000000"/>
        </w:rPr>
        <w:t xml:space="preserve"> hip</w:t>
      </w:r>
      <w:r w:rsidR="00AD2869" w:rsidRPr="008438F4">
        <w:rPr>
          <w:rFonts w:ascii="Calibri" w:hAnsi="Calibri" w:cs="Calibri"/>
          <w:color w:val="000000"/>
        </w:rPr>
        <w:t>pocampus, putamen, and thalamus compared to lower physical fatigability. T</w:t>
      </w:r>
      <w:r w:rsidR="0099247D" w:rsidRPr="008438F4">
        <w:rPr>
          <w:rFonts w:ascii="Calibri" w:hAnsi="Calibri" w:cs="Calibri"/>
          <w:color w:val="000000"/>
        </w:rPr>
        <w:t>hose with higher</w:t>
      </w:r>
      <w:r w:rsidRPr="008438F4">
        <w:rPr>
          <w:rFonts w:ascii="Calibri" w:hAnsi="Calibri" w:cs="Calibri"/>
          <w:color w:val="000000"/>
        </w:rPr>
        <w:t xml:space="preserve"> </w:t>
      </w:r>
      <w:r w:rsidRPr="001C538B">
        <w:rPr>
          <w:rFonts w:ascii="Calibri" w:hAnsi="Calibri" w:cs="Calibri"/>
          <w:color w:val="000000"/>
          <w:u w:val="single"/>
        </w:rPr>
        <w:t>mental</w:t>
      </w:r>
      <w:r w:rsidR="0099247D" w:rsidRPr="008438F4">
        <w:rPr>
          <w:rFonts w:ascii="Calibri" w:hAnsi="Calibri" w:cs="Calibri"/>
          <w:color w:val="000000"/>
        </w:rPr>
        <w:t xml:space="preserve"> fatigability had lower grey matter volumes for amygdala, cingulate </w:t>
      </w:r>
      <w:r w:rsidR="00AD2869" w:rsidRPr="008438F4">
        <w:rPr>
          <w:rFonts w:ascii="Calibri" w:hAnsi="Calibri" w:cs="Calibri"/>
          <w:color w:val="000000"/>
        </w:rPr>
        <w:t>posterior</w:t>
      </w:r>
      <w:r w:rsidR="0099247D" w:rsidRPr="008438F4">
        <w:rPr>
          <w:rFonts w:ascii="Calibri" w:hAnsi="Calibri" w:cs="Calibri"/>
          <w:color w:val="000000"/>
        </w:rPr>
        <w:t xml:space="preserve"> and thalamus compared to people with lower fatigability. </w:t>
      </w:r>
    </w:p>
    <w:p w14:paraId="159DA856" w14:textId="7ABA4FEA" w:rsidR="0099247D" w:rsidRPr="008438F4" w:rsidRDefault="0099247D" w:rsidP="00EA4A81">
      <w:pPr>
        <w:pStyle w:val="CommentText"/>
        <w:spacing w:after="0" w:line="360" w:lineRule="auto"/>
        <w:ind w:firstLine="720"/>
        <w:jc w:val="both"/>
        <w:rPr>
          <w:rFonts w:cs="Calibri"/>
          <w:sz w:val="24"/>
          <w:szCs w:val="24"/>
        </w:rPr>
      </w:pPr>
      <w:r w:rsidRPr="008438F4">
        <w:rPr>
          <w:rFonts w:cs="Calibri"/>
          <w:sz w:val="24"/>
          <w:szCs w:val="24"/>
        </w:rPr>
        <w:t xml:space="preserve">The </w:t>
      </w:r>
      <w:r w:rsidR="00233817" w:rsidRPr="008438F4">
        <w:rPr>
          <w:rFonts w:cs="Calibri"/>
          <w:sz w:val="24"/>
          <w:szCs w:val="24"/>
        </w:rPr>
        <w:t>direction of these findings is</w:t>
      </w:r>
      <w:r w:rsidRPr="008438F4">
        <w:rPr>
          <w:rFonts w:cs="Calibri"/>
          <w:sz w:val="24"/>
          <w:szCs w:val="24"/>
        </w:rPr>
        <w:t xml:space="preserve"> consistent with the hypothesized association between brain metrics and fatigability status, where those with higher fatigability</w:t>
      </w:r>
      <w:r w:rsidR="00AD2869" w:rsidRPr="008438F4">
        <w:rPr>
          <w:rFonts w:cs="Calibri"/>
          <w:sz w:val="24"/>
          <w:szCs w:val="24"/>
        </w:rPr>
        <w:t xml:space="preserve"> had</w:t>
      </w:r>
      <w:r w:rsidRPr="008438F4">
        <w:rPr>
          <w:rFonts w:cs="Calibri"/>
          <w:sz w:val="24"/>
          <w:szCs w:val="24"/>
        </w:rPr>
        <w:t xml:space="preserve"> lower grey matter volume. We evaluated the relationship between various brain regions previously identified as regions of interest in the fatigue and brain literature. All of the regions analyzed in this study were identified as important regions for fatigability, and therefore were incorporated into the analyses. We expected the strongest relationship to be with the basal ganglia, which has previously been identified as neural correlate of fatigue in healthy younger adults</w:t>
      </w:r>
      <w:r w:rsidR="005D395E">
        <w:rPr>
          <w:rFonts w:cs="Calibri"/>
          <w:sz w:val="24"/>
          <w:szCs w:val="24"/>
        </w:rPr>
        <w:t xml:space="preserve"> </w:t>
      </w:r>
      <w:r w:rsidRPr="008438F4">
        <w:rPr>
          <w:rFonts w:cs="Calibri"/>
          <w:sz w:val="24"/>
          <w:szCs w:val="24"/>
        </w:rPr>
        <w:fldChar w:fldCharType="begin"/>
      </w:r>
      <w:r w:rsidRPr="008438F4">
        <w:rPr>
          <w:rFonts w:cs="Calibri"/>
          <w:sz w:val="24"/>
          <w:szCs w:val="24"/>
        </w:rPr>
        <w:instrText xml:space="preserve"> ADDIN ZOTERO_ITEM CSL_CITATION {"citationID":"a1081tsv1jk","properties":{"formattedCitation":"(Nakagawa et al., 2016)","plainCitation":"(Nakagawa et al., 2016)"},"citationItems":[{"id":363,"uris":["http://zotero.org/users/local/vDYxJ8mW/items/IJ2IIQES"],"uri":["http://zotero.org/users/local/vDYxJ8mW/items/IJ2IIQES"],"itemData":{"id":363,"type":"article-journal","title":"Basal ganglia correlates of fatigue in young adults","container-title":"Scientific Reports","volume":"6","source":"PubMed Central","abstract":"Although the prevalence of chronic fatigue is approximately 20% in healthy individuals, there are no studies of brain structure that elucidate the neural correlates of fatigue outside of clinical subjects. We hypothesized that fatigue without evidence of disease might be related to changes in the basal ganglia and prefrontal cortex and be implicated in fatigue with disease. We aimed to identify the white matter structures of fatigue in young subjects without disease using magnetic resonance imaging (MRI). Healthy young adults (n = 883; 489 males and 394 females) were recruited. As expected, the degrees of fatigue and motivation were associated with larger mean diffusivity (MD) in the right putamen, pallidus and caudate. Furthermore, the degree of physical activity was associated with a larger MD only in the right putamen. Accordingly, motivation was the best candidate for widespread basal ganglia, whereas physical activity might be the best candidate for the putamen. A plausible mechanism of fatigue may involve abnormal function of the motor system, as well as areas of the dopaminergic system in the basal ganglia that are associated with motivation and reward.","URL":"http://www.ncbi.nlm.nih.gov/pmc/articles/PMC4759547/","DOI":"10.1038/srep21386","ISSN":"2045-2322","note":"PMID: 26893077\nPMCID: PMC4759547","journalAbbreviation":"Sci Rep","author":[{"family":"Nakagawa","given":"Seishu"},{"family":"Takeuchi","given":"Hikaru"},{"family":"Taki","given":"Yasuyuki"},{"family":"Nouchi","given":"Rui"},{"family":"Kotozaki","given":"Yuka"},{"family":"Shinada","given":"Takamitsu"},{"family":"Maruyama","given":"Tsukasa"},{"family":"Sekiguchi","given":"Atsushi"},{"family":"Iizuka","given":"Kunio"},{"family":"Yokoyama","given":"Ryoichi"},{"family":"Yamamoto","given":"Yuki"},{"family":"Hanawa","given":"Sugiko"},{"family":"Araki","given":"Tsuyoshi"},{"family":"Miyauchi","given":"Carlos Makoto"},{"family":"Magistro","given":"Daniele"},{"family":"Sakaki","given":"Kohei"},{"family":"Jeong","given":"Hyeonjeong"},{"family":"Sasaki","given":"Yukako"},{"family":"Kawashima","given":"Ryuta"}],"issued":{"date-parts":[["2016",2,19]]},"accessed":{"date-parts":[["2017",3,7]]}}}],"schema":"https://github.com/citation-style-language/schema/raw/master/csl-citation.json"} </w:instrText>
      </w:r>
      <w:r w:rsidRPr="008438F4">
        <w:rPr>
          <w:rFonts w:cs="Calibri"/>
          <w:sz w:val="24"/>
          <w:szCs w:val="24"/>
        </w:rPr>
        <w:fldChar w:fldCharType="separate"/>
      </w:r>
      <w:r w:rsidR="00AD2869" w:rsidRPr="008438F4">
        <w:rPr>
          <w:rFonts w:cs="Calibri"/>
          <w:sz w:val="24"/>
        </w:rPr>
        <w:t>(Nakagawa et al., 2016)</w:t>
      </w:r>
      <w:r w:rsidRPr="008438F4">
        <w:rPr>
          <w:rFonts w:cs="Calibri"/>
          <w:sz w:val="24"/>
          <w:szCs w:val="24"/>
        </w:rPr>
        <w:fldChar w:fldCharType="end"/>
      </w:r>
      <w:r w:rsidRPr="008438F4">
        <w:rPr>
          <w:rFonts w:cs="Calibri"/>
          <w:sz w:val="24"/>
          <w:szCs w:val="24"/>
        </w:rPr>
        <w:t>. Our findings suggest that the putamen, a component of the basal ganglia, may play a role specifically for physical fatigability. However, we fou</w:t>
      </w:r>
      <w:r w:rsidR="00AD2869" w:rsidRPr="008438F4">
        <w:rPr>
          <w:rFonts w:cs="Calibri"/>
          <w:sz w:val="24"/>
          <w:szCs w:val="24"/>
        </w:rPr>
        <w:t xml:space="preserve">nd that the thalamus may play an even </w:t>
      </w:r>
      <w:r w:rsidRPr="008438F4">
        <w:rPr>
          <w:rFonts w:cs="Calibri"/>
          <w:sz w:val="24"/>
          <w:szCs w:val="24"/>
        </w:rPr>
        <w:t xml:space="preserve">more significant role in physical and mental fatigability outcomes. </w:t>
      </w:r>
    </w:p>
    <w:p w14:paraId="5C4FA35D" w14:textId="2AEE41E4" w:rsidR="0099247D" w:rsidRPr="008438F4" w:rsidRDefault="0099247D" w:rsidP="00EA4A81">
      <w:pPr>
        <w:pStyle w:val="CommentText"/>
        <w:spacing w:after="0" w:line="360" w:lineRule="auto"/>
        <w:ind w:firstLine="720"/>
        <w:jc w:val="both"/>
        <w:rPr>
          <w:rFonts w:cs="Calibri"/>
          <w:sz w:val="24"/>
          <w:szCs w:val="24"/>
        </w:rPr>
      </w:pPr>
      <w:r w:rsidRPr="008438F4">
        <w:rPr>
          <w:rFonts w:cs="Calibri"/>
          <w:sz w:val="24"/>
          <w:szCs w:val="24"/>
        </w:rPr>
        <w:t>Based on our findings, the brain regions associated with the PFS metrics differ by type of fatigability. Physical fatigability was associated with the hippocampus, putamen and the thalamus, where mental fatigability was associated with the amygdala, posterior</w:t>
      </w:r>
      <w:r w:rsidR="005D395E">
        <w:rPr>
          <w:rFonts w:cs="Calibri"/>
          <w:sz w:val="24"/>
          <w:szCs w:val="24"/>
        </w:rPr>
        <w:t xml:space="preserve"> </w:t>
      </w:r>
      <w:r w:rsidR="005D395E" w:rsidRPr="008438F4">
        <w:rPr>
          <w:rFonts w:cs="Calibri"/>
          <w:sz w:val="24"/>
          <w:szCs w:val="24"/>
        </w:rPr>
        <w:t>cingulate</w:t>
      </w:r>
      <w:r w:rsidRPr="008438F4">
        <w:rPr>
          <w:rFonts w:cs="Calibri"/>
          <w:sz w:val="24"/>
          <w:szCs w:val="24"/>
        </w:rPr>
        <w:t xml:space="preserve">, and the thalamus. The thalamus was the only brain region that was consistently observed for both physical and mental fatigability. We speculate that this association may have been observed because the thalamus serves a central network </w:t>
      </w:r>
      <w:r w:rsidR="005D395E">
        <w:rPr>
          <w:rFonts w:cs="Calibri"/>
          <w:sz w:val="24"/>
          <w:szCs w:val="24"/>
        </w:rPr>
        <w:t>in</w:t>
      </w:r>
      <w:r w:rsidRPr="008438F4">
        <w:rPr>
          <w:rFonts w:cs="Calibri"/>
          <w:sz w:val="24"/>
          <w:szCs w:val="24"/>
        </w:rPr>
        <w:t xml:space="preserve"> relaying signals to other regions of the brain, and thus, it may play many different roles in the postulated mechanisms related to fatigability. Our findings highlight the importance of evaluating both physical and mental fatigability. We speculate that the mechanisms involved in fatigability pathophysiology may vary depending on whether or not the task evaluated with the PFS was more or less physically and cognitively demanding.</w:t>
      </w:r>
    </w:p>
    <w:p w14:paraId="763B027F" w14:textId="4C5921A3"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Both the left and right thalamus and amygdala were associated with fatigability measures. Associations between the posterior cingulate, hippocampus, and the putamen were only observed in the right subcortical structures. Based on the previous literature, the theory of hemispheric lateralization may elude to differences associations by hemisphere type</w:t>
      </w:r>
      <w:r w:rsidR="00D26120">
        <w:rPr>
          <w:rFonts w:ascii="Calibri" w:hAnsi="Calibri" w:cs="Calibri"/>
          <w:color w:val="000000"/>
        </w:rPr>
        <w:t xml:space="preserve"> where emotional processing is </w:t>
      </w:r>
      <w:r w:rsidRPr="008438F4">
        <w:rPr>
          <w:rFonts w:ascii="Calibri" w:hAnsi="Calibri" w:cs="Calibri"/>
          <w:color w:val="000000"/>
        </w:rPr>
        <w:t>represented asymmetr</w:t>
      </w:r>
      <w:r w:rsidR="0011492D">
        <w:rPr>
          <w:rFonts w:ascii="Calibri" w:hAnsi="Calibri" w:cs="Calibri"/>
          <w:color w:val="000000"/>
        </w:rPr>
        <w:t xml:space="preserve">ically in cerebral hemispheres </w:t>
      </w:r>
      <w:r w:rsidR="0011492D">
        <w:rPr>
          <w:rFonts w:ascii="Calibri" w:hAnsi="Calibri" w:cs="Calibri"/>
          <w:color w:val="000000"/>
        </w:rPr>
        <w:fldChar w:fldCharType="begin"/>
      </w:r>
      <w:r w:rsidR="00D26120">
        <w:rPr>
          <w:rFonts w:ascii="Calibri" w:hAnsi="Calibri" w:cs="Calibri"/>
          <w:color w:val="000000"/>
        </w:rPr>
        <w:instrText xml:space="preserve"> ADDIN ZOTERO_ITEM CSL_CITATION {"citationID":"cH2xxi8E","properties":{"formattedCitation":"(Alves, Fukusima, &amp; Aznar-Casanova, 2008; Silberman &amp; Weingartner, 1986)","plainCitation":"(Alves, Fukusima, &amp; Aznar-Casanova, 2008; Silberman &amp; Weingartner, 1986)"},"citationItems":[{"id":1369,"uris":["http://zotero.org/users/local/vDYxJ8mW/items/F9W2DWQP"],"uri":["http://zotero.org/users/local/vDYxJ8mW/items/F9W2DWQP"],"itemData":{"id":1369,"type":"article-journal","title":"Models of brain asymmetry in emotional processing","container-title":"Psychology &amp;amp; Neuroscience","page":"63-66","volume":"1","issue":"1","source":"SciELO","DOI":"10.1590/S1983-32882008000100010","ISSN":"1983-3288","author":[{"family":"Alves","given":"Nelson Torro"},{"family":"Fukusima","given":"Sérgio S."},{"family":"Aznar-Casanova","given":"J. Antonio"}],"issued":{"date-parts":[["2008",6]]}}},{"id":1304,"uris":["http://zotero.org/users/local/vDYxJ8mW/items/W4N76J3N"],"uri":["http://zotero.org/users/local/vDYxJ8mW/items/W4N76J3N"],"itemData":{"id":1304,"type":"article-journal","title":"Hemispheric lateralization of functions related to emotion","container-title":"Brain and Cognition","page":"322-353","volume":"5","issue":"3","source":"PubMed","abstract":"We have reviewed the evidence that processes and functions related to perception and expression of emotions are represented asymmetrically in the cerebral hemispheres. The literature describes three possible aspects of emotional lateralization: that emotions are better recognized by the right hemisphere; that control of emotional expression and related behaviors takes place principally in the right hemisphere; and that the right hemisphere is specialized for dealing with negative emotions, while the left is specialized for dealing with positive emotions. Evidence for the three hypotheses derives from methodologically diverse studies in unimpaired, brain-lesioned, and mood-disordered populations. Relatively little of the work has been precisely replicated, and conclusions rest on parallel lines of evidence from diverse sources. The present level of knowledge suggests a model of emotional control based on interactive inhibition between a right negatively biased and left positively biased hemisphere. However, the details of such a model, including the precise conditions under which emotion-related functions are lateralized, and the mechanisms of such lateralization have yet to be elucidated.","ISSN":"0278-2626","note":"PMID: 3530287","journalAbbreviation":"Brain Cogn","language":"eng","author":[{"family":"Silberman","given":"E. K."},{"family":"Weingartner","given":"H."}],"issued":{"date-parts":[["1986",7]]}}}],"schema":"https://github.com/citation-style-language/schema/raw/master/csl-citation.json"} </w:instrText>
      </w:r>
      <w:r w:rsidR="0011492D">
        <w:rPr>
          <w:rFonts w:ascii="Calibri" w:hAnsi="Calibri" w:cs="Calibri"/>
          <w:color w:val="000000"/>
        </w:rPr>
        <w:fldChar w:fldCharType="separate"/>
      </w:r>
      <w:r w:rsidR="00D26120" w:rsidRPr="00D26120">
        <w:rPr>
          <w:rFonts w:ascii="Calibri" w:hAnsi="Calibri" w:cs="Calibri"/>
        </w:rPr>
        <w:t>(Alves, Fukusima, &amp; Aznar-Casanova, 2008; Silberman &amp; Weingartner, 1986)</w:t>
      </w:r>
      <w:r w:rsidR="0011492D">
        <w:rPr>
          <w:rFonts w:ascii="Calibri" w:hAnsi="Calibri" w:cs="Calibri"/>
          <w:color w:val="000000"/>
        </w:rPr>
        <w:fldChar w:fldCharType="end"/>
      </w:r>
      <w:r w:rsidR="0011492D">
        <w:rPr>
          <w:rFonts w:ascii="Calibri" w:hAnsi="Calibri" w:cs="Calibri"/>
          <w:color w:val="000000"/>
        </w:rPr>
        <w:t xml:space="preserve">. </w:t>
      </w:r>
      <w:r w:rsidRPr="008438F4">
        <w:rPr>
          <w:rFonts w:ascii="Calibri" w:hAnsi="Calibri" w:cs="Calibri"/>
          <w:color w:val="000000"/>
        </w:rPr>
        <w:t xml:space="preserve">Emotional lateralization refers to the concept that emotions are better recognized </w:t>
      </w:r>
      <w:r w:rsidR="005D395E">
        <w:rPr>
          <w:rFonts w:ascii="Calibri" w:hAnsi="Calibri" w:cs="Calibri"/>
          <w:color w:val="000000"/>
        </w:rPr>
        <w:t xml:space="preserve">and controlled </w:t>
      </w:r>
      <w:r w:rsidRPr="008438F4">
        <w:rPr>
          <w:rFonts w:ascii="Calibri" w:hAnsi="Calibri" w:cs="Calibri"/>
          <w:color w:val="000000"/>
        </w:rPr>
        <w:t>by the right hemisphere. Their work suggests the right hemisphere may be</w:t>
      </w:r>
      <w:r w:rsidR="005D395E">
        <w:rPr>
          <w:rFonts w:ascii="Calibri" w:hAnsi="Calibri" w:cs="Calibri"/>
          <w:color w:val="000000"/>
        </w:rPr>
        <w:t xml:space="preserve"> particularly</w:t>
      </w:r>
      <w:r w:rsidRPr="008438F4">
        <w:rPr>
          <w:rFonts w:ascii="Calibri" w:hAnsi="Calibri" w:cs="Calibri"/>
          <w:color w:val="000000"/>
        </w:rPr>
        <w:t xml:space="preserve"> important for interpreting negative emotions, where the left is primarily involved in positive emotions.  Although we cannot confirm that perception of fatigability is driven by emotion, it is plausible that perception of fatigability may have an emotional component, which may explain why we observed </w:t>
      </w:r>
      <w:r w:rsidR="005D395E">
        <w:rPr>
          <w:rFonts w:ascii="Calibri" w:hAnsi="Calibri" w:cs="Calibri"/>
          <w:color w:val="000000"/>
        </w:rPr>
        <w:t xml:space="preserve">a </w:t>
      </w:r>
      <w:r w:rsidRPr="008438F4">
        <w:rPr>
          <w:rFonts w:ascii="Calibri" w:hAnsi="Calibri" w:cs="Calibri"/>
          <w:color w:val="000000"/>
        </w:rPr>
        <w:t xml:space="preserve">greater number of significant associations in the right subcortical structures rather the left.  </w:t>
      </w:r>
    </w:p>
    <w:p w14:paraId="50DBA890" w14:textId="77777777"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 xml:space="preserve">We have identified a number of plausible mechanisms for the associations observed in our study. First, hippocampal grey matter volumes were significantly associated with </w:t>
      </w:r>
      <w:r w:rsidRPr="008438F4">
        <w:rPr>
          <w:rFonts w:ascii="Calibri" w:hAnsi="Calibri" w:cs="Calibri"/>
          <w:i/>
          <w:color w:val="000000"/>
        </w:rPr>
        <w:t>physical</w:t>
      </w:r>
      <w:r w:rsidRPr="008438F4">
        <w:rPr>
          <w:rFonts w:ascii="Calibri" w:hAnsi="Calibri" w:cs="Calibri"/>
          <w:color w:val="000000"/>
        </w:rPr>
        <w:t xml:space="preserve"> fatigability. The hippocampus, which is involved with the stress response, has previously been identified as a region of the brain that interacts with dopaminergic systems related to motivational behavior (Calabresi, Castrioto, Di Filippo, &amp; Picconi, 2013). A recent study of younger adults identified the basal ganglia as a critical region involved in fatigue, but not the hippocampus. To our knowledge, we are the first group to identify the hippocampus as a brain region involved in perception of physical fatigability. Plausible mechanisms for the hippocampus’s role in fatigability may be related to neuronal loss in dopaminergic pathways seen in the hippocampus, which has previously been explored in the context of fatigue (Calabresi et al., 2013). Although our work could not explore these mechanisms, previous evidence of hippocampal involvement in the dopaminergic pathway which has been related to fatigue outcomes supports our finding that the hippocampal grey matter volume may be related fatigability in older adults. </w:t>
      </w:r>
    </w:p>
    <w:p w14:paraId="15DE81D8" w14:textId="3C224812" w:rsidR="0099247D" w:rsidRPr="008438F4" w:rsidRDefault="0099247D" w:rsidP="00EA4A81">
      <w:pPr>
        <w:spacing w:line="360" w:lineRule="auto"/>
        <w:rPr>
          <w:rFonts w:ascii="Calibri" w:hAnsi="Calibri" w:cs="Calibri"/>
          <w:color w:val="000000"/>
        </w:rPr>
      </w:pPr>
      <w:r w:rsidRPr="008438F4">
        <w:rPr>
          <w:rFonts w:ascii="Calibri" w:hAnsi="Calibri" w:cs="Calibri"/>
          <w:color w:val="000000"/>
        </w:rPr>
        <w:t xml:space="preserve">The putamen was also significantly associated with </w:t>
      </w:r>
      <w:r w:rsidRPr="008438F4">
        <w:rPr>
          <w:rFonts w:ascii="Calibri" w:hAnsi="Calibri" w:cs="Calibri"/>
          <w:i/>
          <w:color w:val="000000"/>
        </w:rPr>
        <w:t xml:space="preserve">physical </w:t>
      </w:r>
      <w:r w:rsidRPr="008438F4">
        <w:rPr>
          <w:rFonts w:ascii="Calibri" w:hAnsi="Calibri" w:cs="Calibri"/>
          <w:color w:val="000000"/>
        </w:rPr>
        <w:t xml:space="preserve">fatigability. </w:t>
      </w:r>
      <w:r w:rsidRPr="008438F4">
        <w:rPr>
          <w:rFonts w:ascii="Calibri" w:hAnsi="Calibri" w:cs="Calibri"/>
          <w:color w:val="000000"/>
          <w:spacing w:val="3"/>
        </w:rPr>
        <w:t xml:space="preserve">The putamen has previously been implicated in motor control and learning habits and skills </w:t>
      </w:r>
      <w:r w:rsidRPr="008438F4">
        <w:rPr>
          <w:rFonts w:ascii="Calibri" w:hAnsi="Calibri" w:cs="Calibri"/>
          <w:color w:val="000000"/>
          <w:spacing w:val="3"/>
        </w:rPr>
        <w:fldChar w:fldCharType="begin"/>
      </w:r>
      <w:r w:rsidRPr="008438F4">
        <w:rPr>
          <w:rFonts w:ascii="Calibri" w:hAnsi="Calibri" w:cs="Calibri"/>
          <w:color w:val="000000"/>
          <w:spacing w:val="3"/>
        </w:rPr>
        <w:instrText xml:space="preserve"> ADDIN ZOTERO_ITEM CSL_CITATION {"citationID":"hubMBJUa","properties":{"formattedCitation":"{\\rtf (Balleine &amp; O\\uc0\\u8217{}Doherty, 2010; Durieux, Schiffmann, &amp; de Kerchove d\\uc0\\u8217{}Exaerde, 2011)}","plainCitation":"(Balleine &amp; O’Doherty, 2010; Durieux, Schiffmann, &amp; de Kerchove d’Exaerde, 2011)"},"citationItems":[{"id":1267,"uris":["http://zotero.org/users/local/vDYxJ8mW/items/4NT68FXH"],"uri":["http://zotero.org/users/local/vDYxJ8mW/items/4NT68FXH"],"itemData":{"id":1267,"type":"article-journal","title":"Human and rodent homologies in action control: corticostriatal determinants of goal-directed and habitual action","container-title":"Neuropsychopharmacology: Official Publication of the American College of Neuropsychopharmacology","page":"48-69","volume":"35","issue":"1","source":"PubMed","abstract":"Recent behavioral studies in both humans and rodents have found evidence that performance in decision-making tasks depends on two different learning processes; one encoding the relationship between actions and their consequences and a second involving the formation of stimulus-response associations. These learning processes are thought to govern goal-directed and habitual actions, respectively, and have been found to depend on homologous corticostriatal networks in these species. Thus, recent research using comparable behavioral tasks in both humans and rats has implicated homologous regions of cortex (medial prefrontal cortex/medial orbital cortex in humans and prelimbic cortex in rats) and of dorsal striatum (anterior caudate in humans and dorsomedial striatum in rats) in goal-directed action and in the control of habitual actions (posterior lateral putamen in humans and dorsolateral striatum in rats). These learning processes have been argued to be antagonistic or competing because their control over performance appears to be all or none. Nevertheless, evidence has started to accumulate suggesting that they may at times compete and at others cooperate in the selection and subsequent evaluation of actions necessary for normal choice performance. It appears likely that cooperation or competition between these sources of action control depends not only on local interactions in dorsal striatum but also on the cortico-basal ganglia network within which the striatum is embedded and that mediates the integration of learning with basic motivational and emotional processes. The neural basis of the integration of learning and motivation in choice and decision-making is still controversial and we review some recent hypotheses relating to this issue.","DOI":"10.1038/npp.2009.131","ISSN":"1740-634X","note":"PMID: 19776734\nPMCID: PMC3055420","shortTitle":"Human and rodent homologies in action control","journalAbbreviation":"Neuropsychopharmacology","language":"eng","author":[{"family":"Balleine","given":"Bernard W."},{"family":"O'Doherty","given":"John P."}],"issued":{"date-parts":[["2010",1]]}}},{"id":1269,"uris":["http://zotero.org/users/local/vDYxJ8mW/items/95ARFZRM"],"uri":["http://zotero.org/users/local/vDYxJ8mW/items/95ARFZRM"],"itemData":{"id":1269,"type":"article-journal","title":"Targeting neuronal populations of the striatum","container-title":"Frontiers in Neuroanatomy","page":"40","volume":"5","source":"PubMed","abstract":"The striatum is critically involved in motor and motivational functions. The dorsal striatum, caudate-putamen, is primarily implicated in motor control and the learning of habits and skills, whereas the ventral striatum, the nucleus accumbens, is essential for motivation and drug reinforcement. The GABA medium-sized spiny neurons (MSNs, about 95% of striatal neurons), which are targets of the cerebral cortex and the midbrain dopaminergic neurons, form two pathways. The dopamine D(1) receptor-positive (D(1)R) striatonigral MSNs project to the medial globus pallidus and substantia nigra pars reticulata (direct pathway) and co-express D(1)R and substance P, whereas dopamine D(2) receptor-positive (D(2)R) striatopallidal MSNs project to the lateral globus pallidus (indirect pathway) and co-express D(2)R, adenosine A(2A) receptor (A(2A)R) and enkephalin (Enk). The specific role of the two efferent pathways in motor and motivational control remained poorly understood until recently. Indeed, D(1)R striatonigral and D(2)R striatopallidal neurons, are intermingled and morphologically indistinguishable, and, hence, cannot be functionally dissociated with techniques such as chemical lesions or surgery. In view of the still debated respective functions of projection D(2)R striatopallidal and D(1)R striatonigral neurons and striatal interneurons, both in motor control and learning but also in more cognitive processes such as motivation, the present review sum up the development of new models and techniques (bacterial artificial chromosome transgenesis, optogenetic, viral transgenesis) allowing the selective targeting of these striatal neuronal populations in adult animal brain to understand their specific roles.","DOI":"10.3389/fnana.2011.00040","ISSN":"1662-5129","note":"PMID: 21811438\nPMCID: PMC3139926","journalAbbreviation":"Front Neuroanat","language":"eng","author":[{"family":"Durieux","given":"Pierre F."},{"family":"Schiffmann","given":"Serge N."},{"family":"Kerchove d'Exaerde","given":"Alban","non-dropping-particle":"de"}],"issued":{"date-parts":[["2011"]]}}}],"schema":"https://github.com/citation-style-language/schema/raw/master/csl-citation.json"} </w:instrText>
      </w:r>
      <w:r w:rsidRPr="008438F4">
        <w:rPr>
          <w:rFonts w:ascii="Calibri" w:hAnsi="Calibri" w:cs="Calibri"/>
          <w:color w:val="000000"/>
          <w:spacing w:val="3"/>
        </w:rPr>
        <w:fldChar w:fldCharType="separate"/>
      </w:r>
      <w:r w:rsidR="00AD2869" w:rsidRPr="008438F4">
        <w:rPr>
          <w:rFonts w:ascii="Calibri" w:hAnsi="Calibri" w:cs="Calibri"/>
        </w:rPr>
        <w:t>(Balleine &amp; O’Doherty, 2010; Durieux, Schiffmann, &amp; de Kerchove d’Exaerde, 2011)</w:t>
      </w:r>
      <w:r w:rsidRPr="008438F4">
        <w:rPr>
          <w:rFonts w:ascii="Calibri" w:hAnsi="Calibri" w:cs="Calibri"/>
          <w:color w:val="000000"/>
          <w:spacing w:val="3"/>
        </w:rPr>
        <w:fldChar w:fldCharType="end"/>
      </w:r>
      <w:r w:rsidRPr="008438F4">
        <w:rPr>
          <w:rFonts w:ascii="Calibri" w:hAnsi="Calibri" w:cs="Calibri"/>
          <w:color w:val="FF0000"/>
          <w:spacing w:val="3"/>
        </w:rPr>
        <w:t xml:space="preserve">.  </w:t>
      </w:r>
      <w:r w:rsidRPr="008438F4">
        <w:rPr>
          <w:rFonts w:ascii="Calibri" w:hAnsi="Calibri" w:cs="Calibri"/>
          <w:color w:val="000000"/>
          <w:spacing w:val="3"/>
        </w:rPr>
        <w:t xml:space="preserve">It is a primary component of the basal ganglion. The basal ganglion </w:t>
      </w:r>
      <w:r w:rsidRPr="008438F4">
        <w:rPr>
          <w:rFonts w:ascii="Calibri" w:hAnsi="Calibri" w:cs="Calibri"/>
          <w:color w:val="000000"/>
        </w:rPr>
        <w:t xml:space="preserve">has previously been identified as a neural correlate of fatigue in healthy younger adults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{"citationID":"a8b7muhkkq","properties":{"formattedCitation":"(Nakagawa et al., 2016)","plainCitation":"(Nakagawa et al., 2016)"},"citationItems":[{"id":363,"uris":["http://zotero.org/users/local/vDYxJ8mW/items/IJ2IIQES"],"uri":["http://zotero.org/users/local/vDYxJ8mW/items/IJ2IIQES"],"itemData":{"id":363,"type":"article-journal","title":"Basal ganglia correlates of fatigue in young adults","container-title":"Scientific Reports","volume":"6","source":"PubMed Central","abstract":"Although the prevalence of chronic fatigue is approximately 20% in healthy individuals, there are no studies of brain structure that elucidate the neural correlates of fatigue outside of clinical subjects. We hypothesized that fatigue without evidence of disease might be related to changes in the basal ganglia and prefrontal cortex and be implicated in fatigue with disease. We aimed to identify the white matter structures of fatigue in young subjects without disease using magnetic resonance imaging (MRI). Healthy young adults (n = 883; 489 males and 394 females) were recruited. As expected, the degrees of fatigue and motivation were associated with larger mean diffusivity (MD) in the right putamen, pallidus and caudate. Furthermore, the degree of physical activity was associated with a larger MD only in the right putamen. Accordingly, motivation was the best candidate for widespread basal ganglia, whereas physical activity might be the best candidate for the putamen. A plausible mechanism of fatigue may involve abnormal function of the motor system, as well as areas of the dopaminergic system in the basal ganglia that are associated with motivation and reward.","URL":"http://www.ncbi.nlm.nih.gov/pmc/articles/PMC4759547/","DOI":"10.1038/srep21386","ISSN":"2045-2322","note":"PMID: 26893077\nPMCID: PMC4759547","journalAbbreviation":"Sci Rep","author":[{"family":"Nakagawa","given":"Seishu"},{"family":"Takeuchi","given":"Hikaru"},{"family":"Taki","given":"Yasuyuki"},{"family":"Nouchi","given":"Rui"},{"family":"Kotozaki","given":"Yuka"},{"family":"Shinada","given":"Takamitsu"},{"family":"Maruyama","given":"Tsukasa"},{"family":"Sekiguchi","given":"Atsushi"},{"family":"Iizuka","given":"Kunio"},{"family":"Yokoyama","given":"Ryoichi"},{"family":"Yamamoto","given":"Yuki"},{"family":"Hanawa","given":"Sugiko"},{"family":"Araki","given":"Tsuyoshi"},{"family":"Miyauchi","given":"Carlos Makoto"},{"family":"Magistro","given":"Daniele"},{"family":"Sakaki","given":"Kohei"},{"family":"Jeong","given":"Hyeonjeong"},{"family":"Sasaki","given":"Yukako"},{"family":"Kawashima","given":"Ryuta"}],"issued":{"date-parts":[["2016",2,19]]},"accessed":{"date-parts":[["2017",3,7]]}}}],"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(Nakagawa et al., 2016)</w:t>
      </w:r>
      <w:r w:rsidRPr="008438F4">
        <w:rPr>
          <w:rFonts w:ascii="Calibri" w:hAnsi="Calibri" w:cs="Calibri"/>
          <w:color w:val="000000"/>
        </w:rPr>
        <w:fldChar w:fldCharType="end"/>
      </w:r>
      <w:r w:rsidRPr="008438F4">
        <w:rPr>
          <w:rFonts w:ascii="Calibri" w:hAnsi="Calibri" w:cs="Calibri"/>
          <w:color w:val="000000"/>
        </w:rPr>
        <w:t xml:space="preserve">. Motivation and reward theories related to fatigue are also associated with the dopaminergic system </w:t>
      </w:r>
      <w:r w:rsidRPr="008438F4">
        <w:rPr>
          <w:rFonts w:ascii="Calibri" w:hAnsi="Calibri" w:cs="Calibri"/>
          <w:color w:val="000000"/>
          <w:shd w:val="clear" w:color="auto" w:fill="FFFFFF"/>
        </w:rPr>
        <w:fldChar w:fldCharType="begin"/>
      </w:r>
      <w:r w:rsidRPr="008438F4">
        <w:rPr>
          <w:rFonts w:ascii="Calibri" w:hAnsi="Calibri" w:cs="Calibri"/>
          <w:color w:val="000000"/>
          <w:shd w:val="clear" w:color="auto" w:fill="FFFFFF"/>
        </w:rPr>
        <w:instrText xml:space="preserve"> ADDIN ZOTERO_ITEM CSL_CITATION {"citationID":"wOJpNkB0","properties":{"formattedCitation":"(Mizuno et al., 2016)","plainCitation":"(Mizuno et al., 2016)"},"citationItems":[{"id":1192,"uris":["http://zotero.org/users/local/vDYxJ8mW/items/FG9WAZXN"],"uri":["http://zotero.org/users/local/vDYxJ8mW/items/FG9WAZXN"],"itemData":{"id":1192,"type":"article-journal","title":"Low putamen activity associated with poor reward sensitivity in childhood chronic fatigue syndrome","container-title":"NeuroImage. Clinical","page":"600-606","volume":"12","source":"PubMed","abstract":"Motivational signals influence a wide variety of cognitive processes and components of behavioral performance. Cognitive dysfunction in patients with childhood chronic fatigue syndrome (CCFS) may be closely associated with a low motivation to learn induced by impaired neural reward processing. However, the extent to which reward processing is impaired in CCFS patients is unclear. The aim of the present functional magnetic resonance imaging (fMRI) study was to determine whether brain activity in regions related to reward sensitivity is impaired in CCFS patients. fMRI data were collected from 13 CCFS patients (mean age, 13.6 ± 1.0 years) and 13 healthy children and adolescents (HCA) (mean age, 13.7 ± 1.3 years) performing a monetary reward task. Neural activity in high- and low-monetary-reward conditions was compared between CCFS and HCA groups. Severity of fatigue and the reward obtained from learning in daily life were evaluated by questionnaires. Activity of the putamen was lower in the CCFS group than in the HCA group in the low-reward condition, but not in the high-reward condition. Activity of the putamen in the low-reward condition in CCFS patients was negatively and positively correlated with severity of fatigue and the reward from learning in daily life, respectively. We previously revealed that motivation to learn was correlated with striatal activity, particularly the neural activity in the putamen. This suggests that in CCFS patients low putamen activity, associated with altered dopaminergic function, decreases reward sensitivity and lowers motivation to learn.","DOI":"10.1016/j.nicl.2016.09.016","ISSN":"2213-1582","note":"PMID: 27709065\nPMCID: PMC5043413","journalAbbreviation":"Neuroimage Clin","language":"eng","author":[{"family":"Mizuno","given":"Kei"},{"family":"Kawatani","given":"Junko"},{"family":"Tajima","given":"Kanako"},{"family":"Sasaki","given":"Akihiro T."},{"family":"Yoneda","given":"Tetsuya"},{"family":"Komi","given":"Masanori"},{"family":"Hirai","given":"Toshinori"},{"family":"Tomoda","given":"Akemi"},{"family":"Joudoi","given":"Takako"},{"family":"Watanabe","given":"Yasuyoshi"}],"issued":{"date-parts":[["2016"]]}}}],"schema":"https://github.com/citation-style-language/schema/raw/master/csl-citation.json"} </w:instrText>
      </w:r>
      <w:r w:rsidRPr="008438F4">
        <w:rPr>
          <w:rFonts w:ascii="Calibri" w:hAnsi="Calibri" w:cs="Calibri"/>
          <w:color w:val="000000"/>
          <w:shd w:val="clear" w:color="auto" w:fill="FFFFFF"/>
        </w:rPr>
        <w:fldChar w:fldCharType="separate"/>
      </w:r>
      <w:r w:rsidR="00AD2869" w:rsidRPr="008438F4">
        <w:rPr>
          <w:rFonts w:ascii="Calibri" w:hAnsi="Calibri" w:cs="Calibri"/>
        </w:rPr>
        <w:t>(Mizuno et al., 2016)</w:t>
      </w:r>
      <w:r w:rsidRPr="008438F4">
        <w:rPr>
          <w:rFonts w:ascii="Calibri" w:hAnsi="Calibri" w:cs="Calibri"/>
          <w:color w:val="000000"/>
          <w:shd w:val="clear" w:color="auto" w:fill="FFFFFF"/>
        </w:rPr>
        <w:fldChar w:fldCharType="end"/>
      </w:r>
      <w:r w:rsidRPr="008438F4">
        <w:rPr>
          <w:rFonts w:ascii="Calibri" w:hAnsi="Calibri" w:cs="Calibri"/>
          <w:color w:val="000000"/>
          <w:shd w:val="clear" w:color="auto" w:fill="FFFFFF"/>
        </w:rPr>
        <w:t>.</w:t>
      </w:r>
      <w:r w:rsidRPr="008438F4">
        <w:rPr>
          <w:rFonts w:ascii="Calibri" w:hAnsi="Calibri" w:cs="Calibri"/>
          <w:color w:val="000000"/>
        </w:rPr>
        <w:t xml:space="preserve"> Relationships between dopamine functioning and basal ganglia were not explored in the present study however, it is speculated that the relationship between physical fatigability and the putamen may be related to dopamine functioning that plays a role in motivation and reward. Direct measures of dopamine functioning may be useful in future works to better understand if the </w:t>
      </w:r>
      <w:r w:rsidR="00193B15" w:rsidRPr="008438F4">
        <w:rPr>
          <w:rFonts w:ascii="Calibri" w:hAnsi="Calibri" w:cs="Calibri"/>
          <w:color w:val="000000"/>
        </w:rPr>
        <w:t>associat</w:t>
      </w:r>
      <w:r w:rsidR="00193B15">
        <w:rPr>
          <w:rFonts w:ascii="Calibri" w:hAnsi="Calibri" w:cs="Calibri"/>
          <w:color w:val="000000"/>
        </w:rPr>
        <w:t>ion</w:t>
      </w:r>
      <w:r w:rsidR="00193B15" w:rsidRPr="008438F4">
        <w:rPr>
          <w:rFonts w:ascii="Calibri" w:hAnsi="Calibri" w:cs="Calibri"/>
          <w:color w:val="000000"/>
        </w:rPr>
        <w:t xml:space="preserve"> </w:t>
      </w:r>
      <w:r w:rsidRPr="008438F4">
        <w:rPr>
          <w:rFonts w:ascii="Calibri" w:hAnsi="Calibri" w:cs="Calibri"/>
          <w:color w:val="000000"/>
        </w:rPr>
        <w:t xml:space="preserve">observed between the putamen and </w:t>
      </w:r>
      <w:r w:rsidR="00AD2869" w:rsidRPr="008438F4">
        <w:rPr>
          <w:rFonts w:ascii="Calibri" w:hAnsi="Calibri" w:cs="Calibri"/>
          <w:color w:val="000000"/>
        </w:rPr>
        <w:t xml:space="preserve">physical </w:t>
      </w:r>
      <w:r w:rsidRPr="008438F4">
        <w:rPr>
          <w:rFonts w:ascii="Calibri" w:hAnsi="Calibri" w:cs="Calibri"/>
          <w:color w:val="000000"/>
        </w:rPr>
        <w:t xml:space="preserve">fatigability outcomes was attributed to changes or interruptions in dopaminergic function. </w:t>
      </w:r>
    </w:p>
    <w:p w14:paraId="1427F3AB" w14:textId="501305A8" w:rsidR="0099247D" w:rsidRPr="008438F4" w:rsidRDefault="0099247D" w:rsidP="00EA4A81">
      <w:pPr>
        <w:spacing w:line="360" w:lineRule="auto"/>
        <w:rPr>
          <w:rFonts w:ascii="Calibri" w:hAnsi="Calibri" w:cs="Calibri"/>
          <w:color w:val="000000"/>
        </w:rPr>
      </w:pPr>
      <w:r w:rsidRPr="008438F4">
        <w:rPr>
          <w:rFonts w:ascii="Calibri" w:hAnsi="Calibri" w:cs="Calibri"/>
          <w:color w:val="000000"/>
        </w:rPr>
        <w:t xml:space="preserve">The amygdala was found to be significantly associated with </w:t>
      </w:r>
      <w:r w:rsidRPr="008438F4">
        <w:rPr>
          <w:rFonts w:ascii="Calibri" w:hAnsi="Calibri" w:cs="Calibri"/>
          <w:i/>
          <w:color w:val="000000"/>
        </w:rPr>
        <w:t>mental</w:t>
      </w:r>
      <w:r w:rsidRPr="008438F4">
        <w:rPr>
          <w:rFonts w:ascii="Calibri" w:hAnsi="Calibri" w:cs="Calibri"/>
          <w:color w:val="000000"/>
        </w:rPr>
        <w:t xml:space="preserve"> fatigability. Feelings associated with mental fatigability may have an impact on motivational behavior</w:t>
      </w:r>
      <w:r w:rsidR="008C504F">
        <w:rPr>
          <w:rFonts w:ascii="Calibri" w:hAnsi="Calibri" w:cs="Calibri"/>
          <w:color w:val="000000"/>
        </w:rPr>
        <w:t xml:space="preserve">. </w:t>
      </w:r>
      <w:r w:rsidRPr="008438F4">
        <w:rPr>
          <w:rFonts w:ascii="Calibri" w:hAnsi="Calibri" w:cs="Calibri"/>
          <w:color w:val="000000"/>
        </w:rPr>
        <w:t xml:space="preserve">Previously, fatigue has been described as an emotion that is affected by factors such as motivation and drive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{"citationID":"a2a24ja9ls8","properties":{"formattedCitation":"(Gibson et al., 2003)","plainCitation":"(Gibson et al., 2003)"},"citationItems":[{"id":1273,"uris":["http://zotero.org/users/local/vDYxJ8mW/items/37I2PI6E"],"uri":["http://zotero.org/users/local/vDYxJ8mW/items/37I2PI6E"],"itemData":{"id":1273,"type":"article-journal","title":"The Conscious Perception of the Sensation of Fatigue","container-title":"Sports Medicine","page":"167-176","volume":"33","issue":"3","source":"link.springer.com","abstract":"In this review, fatigue is described as a conscious sensation rather than a physiological occurrence. We suggest that the sensation of fatigue is the conscious awareness of changes in subconscious homeostatic control systems, and is derived from a temporal difference between subconscious representations of these homeostatic control systems in neural networks that are induced by changes in the level of activity. These mismatches are perceived by consciousness-producing structures in the brain as the sensation of fatigue. In this model, fatigue is a complex emotion affected by factors such as motivation and drive, other emotions such as anger and fear, and memory of prior activity. It is not clear whether the origin of the conscious sensation of fatigue is associated with particular localised brain structures, or is the result of electrophysiological synchronisation of entire brain activity.","DOI":"10.2165/00007256-200333030-00001","ISSN":"0112-1642, 1179-2035","journalAbbreviation":"Sports Med","language":"en","author":[{"family":"Gibson","given":"Alan St Clair"},{"family":"Baden","given":"Denise A."},{"family":"Lambert","given":"Mike I."},{"family":"Lambert","given":"E. V."},{"family":"Harley","given":"Yolande X. R."},{"family":"Hampson","given":"Dave"},{"family":"Russell","given":"Vivienne A."},{"family":"Noakes","given":"Tim D."}],"issued":{"date-parts":[["2003",3,1]]}}}],"schema":"https://github.com/citation-style-language/schema/raw/master/csl-citation.json"}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(Gibson et al., 2003)</w:t>
      </w:r>
      <w:r w:rsidRPr="008438F4">
        <w:rPr>
          <w:rFonts w:ascii="Calibri" w:hAnsi="Calibri" w:cs="Calibri"/>
          <w:color w:val="000000"/>
        </w:rPr>
        <w:fldChar w:fldCharType="end"/>
      </w:r>
      <w:r w:rsidRPr="008438F4">
        <w:rPr>
          <w:rFonts w:ascii="Calibri" w:hAnsi="Calibri" w:cs="Calibri"/>
          <w:color w:val="000000"/>
        </w:rPr>
        <w:t>. The conscious sensation of fatigue or perception of fatigability may be related to other emotions such as anger, fear and memory of a prior activity</w:t>
      </w:r>
      <w:r w:rsidR="008F59E5">
        <w:rPr>
          <w:rFonts w:ascii="Calibri" w:hAnsi="Calibri" w:cs="Calibri"/>
          <w:color w:val="000000"/>
        </w:rPr>
        <w:t xml:space="preserve">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{"citationID":"a2e5jl5mocl","properties":{"formattedCitation":"(Gibson et al., 2003)","plainCitation":"(Gibson et al., 2003)"},"citationItems":[{"id":1273,"uris":["http://zotero.org/users/local/vDYxJ8mW/items/37I2PI6E"],"uri":["http://zotero.org/users/local/vDYxJ8mW/items/37I2PI6E"],"itemData":{"id":1273,"type":"article-journal","title":"The Conscious Perception of the Sensation of Fatigue","container-title":"Sports Medicine","page":"167-176","volume":"33","issue":"3","source":"link.springer.com","abstract":"In this review, fatigue is described as a conscious sensation rather than a physiological occurrence. We suggest that the sensation of fatigue is the conscious awareness of changes in subconscious homeostatic control systems, and is derived from a temporal difference between subconscious representations of these homeostatic control systems in neural networks that are induced by changes in the level of activity. These mismatches are perceived by consciousness-producing structures in the brain as the sensation of fatigue. In this model, fatigue is a complex emotion affected by factors such as motivation and drive, other emotions such as anger and fear, and memory of prior activity. It is not clear whether the origin of the conscious sensation of fatigue is associated with particular localised brain structures, or is the result of electrophysiological synchronisation of entire brain activity.","DOI":"10.2165/00007256-200333030-00001","ISSN":"0112-1642, 1179-2035","journalAbbreviation":"Sports Med","language":"en","author":[{"family":"Gibson","given":"Alan St Clair"},{"family":"Baden","given":"Denise A."},{"family":"Lambert","given":"Mike I."},{"family":"Lambert","given":"E. V."},{"family":"Harley","given":"Yolande X. R."},{"family":"Hampson","given":"Dave"},{"family":"Russell","given":"Vivienne A."},{"family":"Noakes","given":"Tim D."}],"issued":{"date-parts":[["2003",3,1]]}}}],"schema":"https://github.com/citation-style-language/schema/raw/master/csl-citation.json"}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(Gibson et al., 2003)</w:t>
      </w:r>
      <w:r w:rsidRPr="008438F4">
        <w:rPr>
          <w:rFonts w:ascii="Calibri" w:hAnsi="Calibri" w:cs="Calibri"/>
          <w:color w:val="000000"/>
        </w:rPr>
        <w:fldChar w:fldCharType="end"/>
      </w:r>
      <w:r w:rsidRPr="008438F4">
        <w:rPr>
          <w:rFonts w:ascii="Calibri" w:hAnsi="Calibri" w:cs="Calibri"/>
          <w:color w:val="000000"/>
        </w:rPr>
        <w:t xml:space="preserve">. As such, these feelings may be implicated in feelings of fatigability associated with a specific activity at a certain intensity or duration. To our knowledge, we are the first to explore the amygdala as a localized brain structure associated with perception of fatigability. However, given that fatigue has been postulated to be a sensation in the conscious awareness of changes in subconscious homeostatic control systems, it is plausible that the amygdala may play a role in neural networks that may induce fatigability states as a result of changes in a level of a specific activity. </w:t>
      </w:r>
    </w:p>
    <w:p w14:paraId="4879E1FE" w14:textId="336B030C" w:rsidR="0099247D" w:rsidRPr="008438F4" w:rsidRDefault="0099247D" w:rsidP="0099247D">
      <w:pPr>
        <w:spacing w:line="360" w:lineRule="auto"/>
        <w:rPr>
          <w:rFonts w:ascii="Calibri" w:hAnsi="Calibri" w:cs="Calibri"/>
          <w:color w:val="000000"/>
        </w:rPr>
      </w:pPr>
      <w:r w:rsidRPr="008438F4">
        <w:rPr>
          <w:rFonts w:ascii="Calibri" w:hAnsi="Calibri" w:cs="Calibri"/>
        </w:rPr>
        <w:t xml:space="preserve">Similarly, the posterior cingulate cortex was also associated with </w:t>
      </w:r>
      <w:r w:rsidRPr="008438F4">
        <w:rPr>
          <w:rFonts w:ascii="Calibri" w:hAnsi="Calibri" w:cs="Calibri"/>
          <w:i/>
        </w:rPr>
        <w:t>mental</w:t>
      </w:r>
      <w:r w:rsidRPr="008438F4">
        <w:rPr>
          <w:rFonts w:ascii="Calibri" w:hAnsi="Calibri" w:cs="Calibri"/>
        </w:rPr>
        <w:t xml:space="preserve"> fatigability outcomes. In the present study, we define mental fatigability as a measure of the body’s susceptibility to fatigue related to physical and mental activities that engage cognitive function. Based on our definition, </w:t>
      </w:r>
      <w:r w:rsidR="004F34BE">
        <w:rPr>
          <w:rFonts w:ascii="Calibri" w:hAnsi="Calibri" w:cs="Calibri"/>
        </w:rPr>
        <w:t>we</w:t>
      </w:r>
      <w:r w:rsidRPr="008438F4">
        <w:rPr>
          <w:rFonts w:ascii="Calibri" w:hAnsi="Calibri" w:cs="Calibri"/>
        </w:rPr>
        <w:t xml:space="preserve"> postulate that mechanisms related to mental fatigability through the posterior cingulate cortex may be related to inefficient cognitive function, which is implicated in perceptions of fatigability related to demanding tasks that specifically involve cognitive control</w:t>
      </w:r>
      <w:r w:rsidR="004F34BE">
        <w:rPr>
          <w:rFonts w:ascii="Calibri" w:hAnsi="Calibri" w:cs="Calibri"/>
        </w:rPr>
        <w:t xml:space="preserve"> </w:t>
      </w:r>
      <w:r w:rsidRPr="008438F4">
        <w:rPr>
          <w:rFonts w:ascii="Calibri" w:hAnsi="Calibri" w:cs="Calibri"/>
        </w:rPr>
        <w:fldChar w:fldCharType="begin"/>
      </w:r>
      <w:r w:rsidRPr="008438F4">
        <w:rPr>
          <w:rFonts w:ascii="Calibri" w:hAnsi="Calibri" w:cs="Calibri"/>
        </w:rPr>
        <w:instrText xml:space="preserve"> ADDIN ZOTERO_ITEM CSL_CITATION {"citationID":"a14ko85df0j","properties":{"formattedCitation":"(Leech &amp; Sharp, 2014)","plainCitation":"(Leech &amp; Sharp, 2014)"},"citationItems":[{"id":1291,"uris":["http://zotero.org/users/local/vDYxJ8mW/items/QDJGDX8S"],"uri":["http://zotero.org/users/local/vDYxJ8mW/items/QDJGDX8S"],"itemData":{"id":1291,"type":"article-journal","title":"The role of the posterior cingulate cortex in cognition and disease","container-title":"Brain","page":"12-32","volume":"137","issue":"1","source":"PubMed Central","abstract":"The posterior cingulate cortex is a highly connected and metabolically active brain region. Recent studies suggest it has an important cognitive role, although there is no consensus about what this is. The region is typically discussed as having a unitary function because of a common pattern of relative deactivation observed during attentionally demanding tasks. One influential hypothesis is that the posterior cingulate cortex has a central role in supporting internally-directed cognition. It is a key node in the default mode network and shows increased activity when individuals retrieve autobiographical memories or plan for the future, as well as during unconstrained ‘rest’ when activity in the brain is ‘free-wheeling’. However, other evidence suggests that the region is highly heterogeneous and may play a direct role in regulating the focus of attention. In addition, its activity varies with arousal state and its interactions with other brain networks may be important for conscious awareness. Understanding posterior cingulate cortex function is likely to be of clinical importance. It is well protected against ischaemic stroke, and so there is relatively little neuropsychological data about the consequences of focal lesions. However, in other conditions abnormalities in the region are clearly linked to disease. For example, amyloid deposition and reduced metabolism is seen early in Alzheimer’s disease. Functional neuroimaging studies show abnormalities in a range of neurological and psychiatric disorders including Alzheimer’s disease, schizophrenia, autism, depression and attention deficit hyperactivity disorder, as well as ageing. Our own work has consistently shown abnormal posterior cingulate cortex function following traumatic brain injury, which predicts attentional impairments. Here we review the anatomy and physiology of the region and how it is affected in a range of clinical conditions, before discussing its proposed functions. We synthesize key findings into a novel model of the region’s function (the ‘Arousal, Balance and Breadth of Attention’ model). Dorsal and ventral subcomponents are functionally separated and differences in regional activity are explained by considering: (i) arousal state; (ii) whether attention is focused internally or externally; and (iii) the breadth of attentional focus. The predictions of the model can be tested within the framework of complex dynamic systems theory, and we propose that the dorsal posterior cingulate cortex influences attentional focus by ‘tuning’ whole-brain metastability and so adjusts how stable brain network activity is over time.","DOI":"10.1093/brain/awt162","ISSN":"0006-8950","note":"PMID: 23869106\nPMCID: PMC3891440","journalAbbreviation":"Brain","author":[{"family":"Leech","given":"Robert"},{"family":"Sharp","given":"David J."}],"issued":{"date-parts":[["2014",1]]}}}],"schema":"https://github.com/citation-style-language/schema/raw/master/csl-citation.json"}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(Leech &amp; Sharp, 2014)</w:t>
      </w:r>
      <w:r w:rsidRPr="008438F4">
        <w:rPr>
          <w:rFonts w:ascii="Calibri" w:hAnsi="Calibri" w:cs="Calibri"/>
        </w:rPr>
        <w:fldChar w:fldCharType="end"/>
      </w:r>
      <w:r w:rsidRPr="008438F4">
        <w:rPr>
          <w:rFonts w:ascii="Calibri" w:hAnsi="Calibri" w:cs="Calibri"/>
        </w:rPr>
        <w:t xml:space="preserve">. </w:t>
      </w:r>
      <w:r w:rsidRPr="008438F4">
        <w:rPr>
          <w:rFonts w:ascii="Calibri" w:hAnsi="Calibri" w:cs="Calibri"/>
          <w:color w:val="000000"/>
        </w:rPr>
        <w:t xml:space="preserve">The posterior cingulate cortex has notably been identified as a highly connected region of the brain that has a high baseline metabolic rate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{"citationID":"wNzMC0ZP","properties":{"formattedCitation":"(Hagmann et al., 2008; Raichle et al., 2001)","plainCitation":"(Hagmann et al., 2008; Raichle et al., 2001)"},"citationItems":[{"id":1294,"uris":["http://zotero.org/users/local/vDYxJ8mW/items/J4TEXVRR"],"uri":["http://zotero.org/users/local/vDYxJ8mW/items/J4TEXVRR"],"itemData":{"id":1294,"type":"article-journal","title":"Mapping the structural core of human cerebral cortex","container-title":"PLoS biology","page":"e159","volume":"6","issue":"7","source":"PubMed","abstract":"Structurally segregated and functionally specialized regions of the human cerebral cortex are interconnected by a dense network of cortico-cortical axonal pathways. By using diffusion spectrum imaging, we noninvasively mapped these pathways within and across cortical hemispheres in individual human participants. An analysis of the resulting large-scale structural brain networks reveals a structural core within posterior medial and parietal cerebral cortex, as well as several distinct temporal and frontal modules. Brain regions within the structural core share high degree, strength, and betweenness centrality, and they constitute connector hubs that link all major structural modules. The structural core contains brain regions that form the posterior components of the human default network. Looking both within and outside of core regions, we observed a substantial correspondence between structural connectivity and resting-state functional connectivity measured in the same participants. The spatial and topological centrality of the core within cortex suggests an important role in functional integration.","DOI":"10.1371/journal.pbio.0060159","ISSN":"1545-7885","note":"PMID: 18597554\nPMCID: PMC2443193","journalAbbreviation":"PLoS Biol.","language":"eng","author":[{"family":"Hagmann","given":"Patric"},{"family":"Cammoun","given":"Leila"},{"family":"Gigandet","given":"Xavier"},{"family":"Meuli","given":"Reto"},{"family":"Honey","given":"Christopher J."},{"family":"Wedeen","given":"Van J."},{"family":"Sporns","given":"Olaf"}],"issued":{"date-parts":[["2008",7,1]]}}},{"id":1296,"uris":["http://zotero.org/users/local/vDYxJ8mW/items/5ND49IZD"],"uri":["http://zotero.org/users/local/vDYxJ8mW/items/5ND49IZD"],"itemData":{"id":1296,"type":"article-journal","title":"A default mode of brain function","container-title":"Proceedings of the National Academy of Sciences of the United States of America","page":"676-682","volume":"98","issue":"2","source":"PubMed","abstract":"A baseline or control state is fundamental to the understanding of most complex systems. Defining a baseline state in the human brain, arguably our most complex system, poses a particular challenge. Many suspect that left unconstrained, its activity will vary unpredictably. Despite this prediction we identify a baseline state of the normal adult human brain in terms of the brain oxygen extraction fraction or OEF. The OEF is defined as the ratio of oxygen used by the brain to oxygen delivered by flowing blood and is remarkably uniform in the awake but resting state (e.g., lying quietly with eyes closed). Local deviations in the OEF represent the physiological basis of signals of changes in neuronal activity obtained with functional MRI during a wide variety of human behaviors. We used quantitative metabolic and circulatory measurements from positron-emission tomography to obtain the OEF regionally throughout the brain. Areas of activation were conspicuous by their absence. All significant deviations from the mean hemisphere OEF were increases, signifying deactivations, and resided almost exclusively in the visual system. Defining the baseline state of an area in this manner attaches meaning to a group of areas that consistently exhibit decreases from this baseline, during a wide variety of goal-directed behaviors monitored with positron-emission tomography and functional MRI. These decreases suggest the existence of an organized, baseline default mode of brain function that is suspended during specific goal-directed behaviors.","DOI":"10.1073/pnas.98.2.676","ISSN":"0027-8424","note":"PMID: 11209064\nPMCID: PMC14647","journalAbbreviation":"Proc. Natl. Acad. Sci. U.S.A.","language":"eng","author":[{"family":"Raichle","given":"M. E."},{"family":"MacLeod","given":"A. M."},{"family":"Snyder","given":"A. Z."},{"family":"Powers","given":"W. J."},{"family":"Gusnard","given":"D. A."},{"family":"Shulman","given":"G. L."}],"issued":{"date-parts":[["2001",1,16]]}}}],"schema":"https://github.com/citation-style-language/schema/raw/master/csl-citation.json"}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(Hagmann et al., 2008; Raichle et al., 2001)</w:t>
      </w:r>
      <w:r w:rsidRPr="008438F4">
        <w:rPr>
          <w:rFonts w:ascii="Calibri" w:hAnsi="Calibri" w:cs="Calibri"/>
          <w:color w:val="000000"/>
        </w:rPr>
        <w:fldChar w:fldCharType="end"/>
      </w:r>
      <w:r w:rsidRPr="008438F4">
        <w:rPr>
          <w:rFonts w:ascii="Calibri" w:hAnsi="Calibri" w:cs="Calibri"/>
          <w:color w:val="000000"/>
        </w:rPr>
        <w:t xml:space="preserve">. The high metabolic state of the posterior </w:t>
      </w:r>
      <w:r w:rsidR="004F34BE" w:rsidRPr="008438F4">
        <w:rPr>
          <w:rFonts w:ascii="Calibri" w:hAnsi="Calibri" w:cs="Calibri"/>
          <w:color w:val="000000"/>
        </w:rPr>
        <w:t xml:space="preserve">cingulate </w:t>
      </w:r>
      <w:r w:rsidRPr="008438F4">
        <w:rPr>
          <w:rFonts w:ascii="Calibri" w:hAnsi="Calibri" w:cs="Calibri"/>
          <w:color w:val="000000"/>
        </w:rPr>
        <w:t xml:space="preserve">is responsive to an individual’s cognitive state, where a demanding task such as a perceptual decision or a motor response is required. Additionally, the activity of the posterior cingulate cortex in a healthy brain is related to cognitive load where failure to appropriately deactivate the brain region is associated with inefficient cognitive function in both the healthy and damaged brain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{"citationID":"a115n83htrg","properties":{"formattedCitation":"(Singh &amp; Fawcett, 2008)","plainCitation":"(Singh &amp; Fawcett, 2008)"},"citationItems":[{"id":1279,"uris":["http://zotero.org/users/local/vDYxJ8mW/items/9ANC3MWR"],"uri":["http://zotero.org/users/local/vDYxJ8mW/items/9ANC3MWR"],"itemData":{"id":1279,"type":"article-journal","title":"Transient and linearly graded deactivation of the human default-mode network by a visual detection task","container-title":"NeuroImage","page":"100-112","volume":"41","issue":"1","source":"PubMed","abstract":"In this fMRI study, we show that an extended network of brain areas, previously described as the default-mode network, is suppressed during the performance of a global visual motion discrimination task. For the first time, we demonstrate that this network is transiently suppressed in an event-related fashion, reflecting a true negative activation compared to baseline, and that this deactivation occurs in a strongly graded fashion depending on the strength of the global motion signal. Deactivation across the network varied in an inverse linear relationship with motion coherency, demonstrating that the strongest suppression occurs for the most error-prone tasks. Deactivations were absent for the easiest of the tasks (100% coherence). We also show that the magnitude of task-related activation of the individual sub-components of the default-mode network are strongly correlated, indicating a highly integrated system. The results offer a striking indication of a rapid, highly reactive and tunable system within the brain for active suppression of this network of brain areas.","DOI":"10.1016/j.neuroimage.2008.01.051","ISSN":"1053-8119","note":"PMID: 18375149","journalAbbreviation":"Neuroimage","language":"eng","author":[{"family":"Singh","given":"K. D."},{"family":"Fawcett","given":"I. P."}],"issued":{"date-parts":[["2008",5,15]]}}}],"schema":"https://github.com/citation-style-language/schema/raw/master/csl-citation.json"}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(Singh &amp; Fawcett, 2008)</w:t>
      </w:r>
      <w:r w:rsidRPr="008438F4">
        <w:rPr>
          <w:rFonts w:ascii="Calibri" w:hAnsi="Calibri" w:cs="Calibri"/>
          <w:color w:val="000000"/>
        </w:rPr>
        <w:fldChar w:fldCharType="end"/>
      </w:r>
      <w:r w:rsidRPr="008438F4">
        <w:rPr>
          <w:rFonts w:ascii="Calibri" w:hAnsi="Calibri" w:cs="Calibri"/>
          <w:shd w:val="clear" w:color="auto" w:fill="FFFFFF"/>
        </w:rPr>
        <w:t xml:space="preserve"> </w:t>
      </w:r>
      <w:r w:rsidRPr="008438F4">
        <w:rPr>
          <w:rFonts w:ascii="Calibri" w:hAnsi="Calibri" w:cs="Calibri"/>
          <w:shd w:val="clear" w:color="auto" w:fill="FFFFFF"/>
        </w:rPr>
        <w:fldChar w:fldCharType="begin"/>
      </w:r>
      <w:r w:rsidRPr="008438F4">
        <w:rPr>
          <w:rFonts w:ascii="Calibri" w:hAnsi="Calibri" w:cs="Calibri"/>
          <w:shd w:val="clear" w:color="auto" w:fill="FFFFFF"/>
        </w:rPr>
        <w:instrText xml:space="preserve"> ADDIN ZOTERO_ITEM CSL_CITATION {"citationID":"6wF72Obl","properties":{"formattedCitation":"(Bonnelle et al., 2011, 2012; Crone et al., 2011; Sonuga-Barke &amp; Castellanos, 2007; Weissman, Roberts, Visscher, &amp; Woldorff, 2006)","plainCitation":"(Bonnelle et al., 2011, 2012; Crone et al., 2011; Sonuga-Barke &amp; Castellanos, 2007; Weissman, Roberts, Visscher, &amp; Woldorff, 2006)"},"citationItems":[{"id":1285,"uris":["http://zotero.org/users/local/vDYxJ8mW/items/9GMX59VZ"],"uri":["http://zotero.org/users/local/vDYxJ8mW/items/9GMX59VZ"],"itemData":{"id":1285,"type":"article-journal","title":"Default mode network connectivity predicts sustained attention deficits after traumatic brain injury","container-title":"The Journal of Neuroscience: The Official Journal of the Society for Neuroscience","page":"13442-13451","volume":"31","issue":"38","source":"PubMed","abstract":"Traumatic brain injury (TBI) frequently produces impairments of attention in humans. These can result in a failure to maintain consistent goal-directed behavior. A predominantly right-lateralized frontoparietal network is often engaged during attentionally demanding tasks. However, lapses of attention have also been associated with increases in activation within the default mode network (DMN). Here, we study TBI patients with sustained attention impairment, defined on the basis of the consistency of their behavioral performance over time. We show that sustained attention impairments in patients are associated with an increase in DMN activation, particularly within the precuneus and posterior cingulate cortex. Furthermore, the interaction of the precuneus with the rest of the DMN at the start of the task, i.e., its functional connectivity, predicts which patients go on to show impairments of attention. Importantly, this predictive information is present before any behavioral evidence of sustained attention impairment, and the relationship is also found in a subgroup of patients without focal brain damage. TBI often results in diffuse axonal injury, which produces cognitive impairment by disconnecting nodes in distributed brain networks. Using diffusion tensor imaging, we demonstrate that structural disconnection within the DMN also correlates with the level of sustained attention. These results show that abnormalities in DMN function are a sensitive marker of impairments of attention and suggest that changes in connectivity within the DMN are central to the development of attentional impairment after TBI.","DOI":"10.1523/JNEUROSCI.1163-11.2011","ISSN":"1529-2401","note":"PMID: 21940437","journalAbbreviation":"J. Neurosci.","language":"eng","author":[{"family":"Bonnelle","given":"Valerie"},{"family":"Leech","given":"Robert"},{"family":"Kinnunen","given":"Kirsi M."},{"family":"Ham","given":"Tim E."},{"family":"Beckmann","given":"Cristian F."},{"family":"De Boissezon","given":"Xavier"},{"family":"Greenwood","given":"Richard J."},{"family":"Sharp","given":"David J."}],"issued":{"date-parts":[["2011",9,21]]}}},{"id":1287,"uris":["http://zotero.org/users/local/vDYxJ8mW/items/WUBGC3A6"],"uri":["http://zotero.org/users/local/vDYxJ8mW/items/WUBGC3A6"],"itemData":{"id":1287,"type":"article-journal","title":"Salience network integrity predicts default mode network function after traumatic brain injury","container-title":"Proceedings of the National Academy of Sciences of the United States of America","page":"4690-4695","volume":"109","issue":"12","source":"PubMed","abstract":"Efficient behavior involves the coordinated activity of large-scale brain networks, but the way in which these networks interact is uncertain. One theory is that the salience network (SN)--which includes the anterior cingulate cortex, presupplementary motor area, and anterior insulae--regulates dynamic changes in other networks. If this is the case, then damage to the structural connectivity of the SN should disrupt the regulation of associated networks. To investigate this hypothesis, we studied a group of 57 patients with cognitive impairments following traumatic brain injury (TBI) and 25 control subjects using the stop-signal task. The pattern of brain activity associated with stop-signal task performance was studied by using functional MRI, and the structural integrity of network connections was quantified by using diffusion tensor imaging. Efficient inhibitory control was associated with rapid deactivation within parts of the default mode network (DMN), including the precuneus and posterior cingulate cortex. TBI patients showed a failure of DMN deactivation, which was associated with an impairment of inhibitory control. TBI frequently results in traumatic axonal injury, which can disconnect brain networks by damaging white matter tracts. The abnormality of DMN function was specifically predicted by the amount of white matter damage in the SN tract connecting the right anterior insulae to the presupplementary motor area and dorsal anterior cingulate cortex. The results provide evidence that structural integrity of the SN is necessary for the efficient regulation of activity in the DMN, and that a failure of this regulation leads to inefficient cognitive control.","DOI":"10.1073/pnas.1113455109","ISSN":"1091-6490","note":"PMID: 22393019\nPMCID: PMC3311356","journalAbbreviation":"Proc. Natl. Acad. Sci. U.S.A.","language":"eng","author":[{"family":"Bonnelle","given":"Valerie"},{"family":"Ham","given":"Timothy E."},{"family":"Leech","given":"Robert"},{"family":"Kinnunen","given":"Kirsi M."},{"family":"Mehta","given":"Mitul A."},{"family":"Greenwood","given":"Richard J."},{"family":"Sharp","given":"David J."}],"issued":{"date-parts":[["2012",3,20]]}}},{"id":1289,"uris":["http://zotero.org/users/local/vDYxJ8mW/items/IZCBKRF7"],"uri":["http://zotero.org/users/local/vDYxJ8mW/items/IZCBKRF7"],"itemData":{"id":1289,"type":"article-journal","title":"Deactivation of the default mode network as a marker of impaired consciousness: an fMRI study","container-title":"PloS One","page":"e26373","volume":"6","issue":"10","source":"PubMed","abstract":"Diagnosis of patients with a disorder of consciousness is very challenging. Previous studies investigating resting state networks demonstrate that 2 main features of the so-called default mode network (DMN), metabolism and functional connectivity, are impaired in patients with a disorder of consciousness. However, task-induced deactivation--a third main feature of the DMN--has not been explored in a group of patients. Deactivation of the DMN is supposed to reflect interruptions of introspective processes. Seventeen patients with unresponsive wakefulness syndrome (UWS, former vegetative state), 8 patients in minimally conscious state (MCS), and 25 healthy controls were investigated with functional magnetic resonance imaging during a passive sentence listening task. Results show that deactivation in medial regions is reduced in MCS and absent in UWS patients compared to healthy controls. Moreover, behavioral scores assessing the level of consciousness correlate with deactivation in patients. On single-subject level, all control subjects but only 2 patients in MCS and 6 with UWS exposed deactivation. Interestingly, all patients who deactivated during speech processing (except for one) showed activation in left frontal regions which are associated with conscious processing. Our results indicate that deactivation of the DMN can be associated with the level of consciousness by selecting those who are able to interrupt ongoing introspective processes. In consequence, deactivation of the DMN may function as a marker of consciousness.","DOI":"10.1371/journal.pone.0026373","ISSN":"1932-6203","note":"PMID: 22039473\nPMCID: PMC3198462","shortTitle":"Deactivation of the default mode network as a marker of impaired consciousness","journalAbbreviation":"PLoS ONE","language":"eng","author":[{"family":"Crone","given":"Julia Sophia"},{"family":"Ladurner","given":"Gunther"},{"family":"Höller","given":"Yvonne"},{"family":"Golaszewski","given":"Stefan"},{"family":"Trinka","given":"Eugen"},{"family":"Kronbichler","given":"Martin"}],"issued":{"date-parts":[["2011"]]}}},{"id":1283,"uris":["http://zotero.org/users/local/vDYxJ8mW/items/M47SDXQE"],"uri":["http://zotero.org/users/local/vDYxJ8mW/items/M47SDXQE"],"itemData":{"id":1283,"type":"article-journal","title":"Spontaneous attentional fluctuations in impaired states and pathological conditions: a neurobiological hypothesis","container-title":"Neuroscience and Biobehavioral Reviews","page":"977-986","volume":"31","issue":"7","source":"PubMed","abstract":"In traditional accounts, fluctuations in sustained and focused attention and associated attentional lapses during task performance are regarded as the result of failures of top-down and effortful higher order processes. The current paper reviews an alternative hypothesis: that spontaneous patterns of very low frequency (&lt;0.1 Hz) coherence within a specific brain network ('default-mode network') thought to support a pattern of generalized task-non-specific cognition during rest, can persist or intrude into periods of active task-specific processing, producing periodic fluctuations in attention that compete with goal-directed activity. We review recent studies supporting the existence of the resting state default network, examine the mechanism underpinning it, describe the consequent temporally distinctive effects on cognition and behaviour of default-mode interference into active processing periods, and suggest some factors that might predispose to it. Finally, we explore the putative role of default-mode interference as a cause of performance variability in attention deficit/hyperactivity disorder.","DOI":"10.1016/j.neubiorev.2007.02.005","ISSN":"0149-7634","note":"PMID: 17445893","shortTitle":"Spontaneous attentional fluctuations in impaired states and pathological conditions","journalAbbreviation":"Neurosci Biobehav Rev","language":"eng","author":[{"family":"Sonuga-Barke","given":"Edmund J. S."},{"family":"Castellanos","given":"F. Xavier"}],"issued":{"date-parts":[["2007"]]}}},{"id":1281,"uris":["http://zotero.org/users/local/vDYxJ8mW/items/TVXA7R7Q"],"uri":["http://zotero.org/users/local/vDYxJ8mW/items/TVXA7R7Q"],"itemData":{"id":1281,"type":"article-journal","title":"The neural bases of momentary lapses in attention","container-title":"Nature Neuroscience","page":"971-978","volume":"9","issue":"7","source":"PubMed","abstract":"Momentary lapses in attention frequently impair goal-directed behavior, sometimes with serious consequences. Nevertheless, we lack an integrated view of the brain mechanisms underlying such lapses. By investigating trial-by-trial relationships between brain activity and response time in humans, we determined that attentional lapses begin with reduced prestimulus activity in anterior cingulate and right prefrontal regions involved in controlling attention. Less efficient stimulus processing during attentional lapses was also characterized by less deactivation of a 'default-mode' network, reduced stimulus-evoked sensory activity, and increased activity in widespread regions of frontal and parietal cortex. Finally, consistent with a mechanism for recovering from attentional lapses, increased stimulus-evoked activity in the right inferior frontal gyrus and the right temporal-parietal junction predicted better performance on the next trial. Our findings provide a new, system-wide understanding of the patterns of brain activity that are associated with brief attentional lapses, which informs both theoretical and clinical models of goal-directed behavior.","DOI":"10.1038/nn1727","ISSN":"1097-6256","note":"PMID: 16767087","journalAbbreviation":"Nat. Neurosci.","language":"eng","author":[{"family":"Weissman","given":"D. H."},{"family":"Roberts","given":"K. C."},{"family":"Visscher","given":"K. M."},{"family":"Woldorff","given":"M. G."}],"issued":{"date-parts":[["2006",7]]}}}],"schema":"https://github.com/citation-style-language/schema/raw/master/csl-citation.json"} </w:instrText>
      </w:r>
      <w:r w:rsidRPr="008438F4">
        <w:rPr>
          <w:rFonts w:ascii="Calibri" w:hAnsi="Calibri" w:cs="Calibri"/>
          <w:shd w:val="clear" w:color="auto" w:fill="FFFFFF"/>
        </w:rPr>
        <w:fldChar w:fldCharType="separate"/>
      </w:r>
      <w:r w:rsidR="00AD2869" w:rsidRPr="008438F4">
        <w:rPr>
          <w:rFonts w:ascii="Calibri" w:hAnsi="Calibri" w:cs="Calibri"/>
        </w:rPr>
        <w:t>(Bonnelle et al., 2011, 2012; Crone et al., 2011; Sonuga-Barke &amp; Castellanos, 2007; Weissman, Roberts, Visscher, &amp; Woldorff, 2006)</w:t>
      </w:r>
      <w:r w:rsidRPr="008438F4">
        <w:rPr>
          <w:rFonts w:ascii="Calibri" w:hAnsi="Calibri" w:cs="Calibri"/>
          <w:shd w:val="clear" w:color="auto" w:fill="FFFFFF"/>
        </w:rPr>
        <w:fldChar w:fldCharType="end"/>
      </w:r>
      <w:r w:rsidRPr="008438F4">
        <w:rPr>
          <w:rFonts w:ascii="Calibri" w:hAnsi="Calibri" w:cs="Calibri"/>
        </w:rPr>
        <w:t xml:space="preserve"> </w:t>
      </w:r>
      <w:r w:rsidRPr="008438F4">
        <w:rPr>
          <w:rFonts w:ascii="Calibri" w:hAnsi="Calibri" w:cs="Calibri"/>
          <w:color w:val="000000"/>
        </w:rPr>
        <w:t xml:space="preserve">These works suggest that control of this region has implications for efficient cognitive function. </w:t>
      </w:r>
    </w:p>
    <w:p w14:paraId="06DFB31B" w14:textId="478AE4E1"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Further, the cingulate cortex has previously been identified as a region of interest for fatigue outcomes among multiple sclerosis</w:t>
      </w:r>
      <w:r w:rsidR="004F34BE">
        <w:rPr>
          <w:rFonts w:ascii="Calibri" w:hAnsi="Calibri" w:cs="Calibri"/>
          <w:color w:val="000000"/>
        </w:rPr>
        <w:t xml:space="preserve"> </w:t>
      </w:r>
      <w:r w:rsidRPr="008438F4">
        <w:rPr>
          <w:rFonts w:ascii="Calibri" w:hAnsi="Calibri" w:cs="Calibri"/>
          <w:color w:val="000000"/>
        </w:rPr>
        <w:t>(MS) patients</w:t>
      </w:r>
      <w:r w:rsidR="004F34BE">
        <w:rPr>
          <w:rFonts w:ascii="Calibri" w:hAnsi="Calibri" w:cs="Calibri"/>
          <w:color w:val="000000"/>
        </w:rPr>
        <w:t xml:space="preserve"> </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{"citationID":"a38vn046cs","properties":{"formattedCitation":"(Pardini et al., 2015)","plainCitation":"(Pardini et al., 2015)"},"citationItems":[{"id":1188,"uris":["http://zotero.org/users/local/vDYxJ8mW/items/U9KWTNHE"],"uri":["http://zotero.org/users/local/vDYxJ8mW/items/U9KWTNHE"],"itemData":{"id":1188,"type":"article-journal","title":"Cingulum bundle alterations underlie subjective fatigue in multiple sclerosis","container-title":"Multiple Sclerosis (Houndmills, Basingstoke, England)","page":"442-447","volume":"21","issue":"4","source":"PubMed","abstract":"OBJECTIVE: To evaluate the neural basis of subjective fatigue in subjects with multiple sclerosis (MS) using a connectionist framework.\nMETHODS: Seventy seven subjects with relapsing-remitting MS were recruited in the study and underwent subjective fatigue evaluations and a diffusion MRI scan. Firstly, local white matter Fractional Anisotropy values were correlated with subjective fatigue scores using a voxel-wise approach. The long-range loss of connectivity due to structural damage in the white matter voxels thus associated with subjective fatigue was then assessed using the Network Modification (NeMo) package.\nRESULTS: A voxel-wise regression analysis with fatigue scores revealed a significant association between structural damage and fatigue levels in two discrete white matter clusters, both included in the left cingulate bundle. The connectivity analysis revealed that damage in these clusters was associated with loss of structural connectivity in the anterior and medial cingulate cortices, dorsolateral prefrontal areas and in the left caudate.\nDISCUSSION: Our data point to the cingulum bundle and its projections as the key network involved in subjective fatigue perception in MS. More generally, these results suggest the potential of the connectionist framework to generate coherent models of the neural basis of complex symptomatology in MS.","DOI":"10.1177/1352458514546791","ISSN":"1477-0970","note":"PMID: 25145692","journalAbbreviation":"Mult. Scler.","language":"eng","author":[{"family":"Pardini","given":"Matteo"},{"family":"Bonzano","given":"Laura"},{"family":"Bergamino","given":"Maurizio"},{"family":"Bommarito","given":"Giulia"},{"family":"Feraco","given":"Paola"},{"family":"Murugavel","given":"Abitha"},{"family":"Bove","given":"Marco"},{"family":"Brichetto","given":"Giampaolo"},{"family":"Uccelli","given":"Antonio"},{"family":"Mancardi","given":"Gianluigi"},{"family":"Roccatagliata","given":"Luca"}],"issued":{"date-parts":[["2015",4]]}}}],"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(Pardini et al., 2015)</w:t>
      </w:r>
      <w:r w:rsidRPr="008438F4">
        <w:rPr>
          <w:rFonts w:ascii="Calibri" w:hAnsi="Calibri" w:cs="Calibri"/>
          <w:color w:val="000000"/>
        </w:rPr>
        <w:fldChar w:fldCharType="end"/>
      </w:r>
      <w:r w:rsidRPr="008438F4">
        <w:rPr>
          <w:rFonts w:ascii="Calibri" w:hAnsi="Calibri" w:cs="Calibri"/>
          <w:color w:val="000000"/>
        </w:rPr>
        <w:t>.  We did not have participant information available to determine if fatigability outcomes were attributed to MS symptomology.</w:t>
      </w:r>
      <w:r w:rsidR="000C798D">
        <w:rPr>
          <w:rFonts w:ascii="Calibri" w:hAnsi="Calibri" w:cs="Calibri"/>
          <w:color w:val="000000"/>
        </w:rPr>
        <w:t xml:space="preserve"> However, participants enrolled in the present study were free of neurologic disease, so it was unlikely that they would have MS symptoms. </w:t>
      </w:r>
      <w:r w:rsidRPr="008438F4">
        <w:rPr>
          <w:rFonts w:ascii="Calibri" w:hAnsi="Calibri" w:cs="Calibri"/>
          <w:color w:val="000000"/>
        </w:rPr>
        <w:t xml:space="preserve"> </w:t>
      </w:r>
      <w:r w:rsidR="000C798D">
        <w:rPr>
          <w:rFonts w:ascii="Calibri" w:hAnsi="Calibri" w:cs="Calibri"/>
          <w:color w:val="000000"/>
        </w:rPr>
        <w:t xml:space="preserve">We </w:t>
      </w:r>
      <w:r w:rsidRPr="008438F4">
        <w:rPr>
          <w:rFonts w:ascii="Calibri" w:hAnsi="Calibri" w:cs="Calibri"/>
          <w:color w:val="000000"/>
        </w:rPr>
        <w:t>postulate that the cingulate may be a brain region that may be related to fatigability outcomes among both clinical and non-clinical cases. Further exploration is necessary to determine the cingulate cortex’s role in fatigability.</w:t>
      </w:r>
    </w:p>
    <w:p w14:paraId="4EE6C084" w14:textId="58AA8E73" w:rsidR="0099247D" w:rsidRPr="008438F4" w:rsidRDefault="0099247D" w:rsidP="0099247D">
      <w:pPr>
        <w:spacing w:line="360" w:lineRule="auto"/>
        <w:rPr>
          <w:rFonts w:ascii="Calibri" w:hAnsi="Calibri" w:cs="Calibri"/>
        </w:rPr>
      </w:pPr>
      <w:r w:rsidRPr="008438F4">
        <w:rPr>
          <w:rFonts w:ascii="Calibri" w:hAnsi="Calibri" w:cs="Calibri"/>
          <w:color w:val="000000"/>
        </w:rPr>
        <w:t xml:space="preserve">Both </w:t>
      </w:r>
      <w:r w:rsidRPr="008438F4">
        <w:rPr>
          <w:rFonts w:ascii="Calibri" w:hAnsi="Calibri" w:cs="Calibri"/>
          <w:i/>
          <w:color w:val="000000"/>
        </w:rPr>
        <w:t xml:space="preserve">physical </w:t>
      </w:r>
      <w:r w:rsidRPr="008438F4">
        <w:rPr>
          <w:rFonts w:ascii="Calibri" w:hAnsi="Calibri" w:cs="Calibri"/>
          <w:color w:val="000000"/>
        </w:rPr>
        <w:t xml:space="preserve">and </w:t>
      </w:r>
      <w:r w:rsidRPr="008438F4">
        <w:rPr>
          <w:rFonts w:ascii="Calibri" w:hAnsi="Calibri" w:cs="Calibri"/>
          <w:i/>
          <w:color w:val="000000"/>
        </w:rPr>
        <w:t xml:space="preserve">mental </w:t>
      </w:r>
      <w:r w:rsidRPr="008438F4">
        <w:rPr>
          <w:rFonts w:ascii="Calibri" w:hAnsi="Calibri" w:cs="Calibri"/>
          <w:color w:val="000000"/>
        </w:rPr>
        <w:t xml:space="preserve">measures for fatigability were associated with the thalamus. The thalamus, an important relay center in the brain, may be related to fatigability, because all pathways that project to the cerebral cortex do so after synapsing in the thalamus </w:t>
      </w:r>
      <w:r w:rsidRPr="008438F4">
        <w:rPr>
          <w:rFonts w:ascii="Calibri" w:hAnsi="Calibri" w:cs="Calibri"/>
        </w:rPr>
        <w:t>(“Blumenfeld 2E Neuroanatomy Through Clinical Cases.pdf,” n.d.). Previously, it has been speculated that interruption in the striatocortical fiber loop associated with the basal ganglia circuitry may be related to symptoms of central fatigue</w:t>
      </w:r>
      <w:r w:rsidR="004F34BE">
        <w:rPr>
          <w:rFonts w:ascii="Calibri" w:hAnsi="Calibri" w:cs="Calibri"/>
        </w:rPr>
        <w:t xml:space="preserve"> </w:t>
      </w:r>
      <w:r w:rsidRPr="008438F4">
        <w:rPr>
          <w:rFonts w:ascii="Calibri" w:hAnsi="Calibri" w:cs="Calibri"/>
        </w:rPr>
        <w:fldChar w:fldCharType="begin"/>
      </w:r>
      <w:r w:rsidRPr="008438F4">
        <w:rPr>
          <w:rFonts w:ascii="Calibri" w:hAnsi="Calibri" w:cs="Calibri"/>
        </w:rPr>
        <w:instrText xml:space="preserve"> ADDIN ZOTERO_ITEM CSL_CITATION {"citationID":"a782f36gj0","properties":{"formattedCitation":"(Chaudhuri &amp; Behan, 2000)","plainCitation":"(Chaudhuri &amp; Behan, 2000)"},"citationItems":[{"id":1265,"uris":["http://zotero.org/users/local/vDYxJ8mW/items/I4F3A7U9"],"uri":["http://zotero.org/users/local/vDYxJ8mW/items/I4F3A7U9"],"itemData":{"id":1265,"type":"article-journal","title":"Fatigue and basal ganglia","container-title":"Journal of the Neurological Sciences","page":"34-42","volume":"179","issue":"1","source":"ScienceDirect","abstract":"Fatigue is a common symptom in neurology and occurs in the diseases of the central and peripheral nervous system. In order to understand the mechanism of fatigue, it is important to distinguish symptoms of peripheral neuromuscular fatigue from the symptoms of physical and mental fatigue characteristic of disorders like Parkinson’s disease or multiple sclerosis. We have introduced and defined the concept of central fatigue for the latter disorders. We have further proposed, with supportive neuropathological data, that central fatigue may occur due to a failure in the integration of the limbic input and the motor functions within the basal ganglia affecting the striatal–thalamic–frontal cortical system.","DOI":"10.1016/S0022-510X(00)00411-1","ISSN":"0022-510X","journalAbbreviation":"Journal of the Neurological Sciences","author":[{"family":"Chaudhuri","given":"Abhijit"},{"family":"Behan","given":"Peter O"}],"issued":{"date-parts":[["2000",10,1]]}}}],"schema":"https://github.com/citation-style-language/schema/raw/master/csl-citation.json"}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(Chaudhuri &amp; Behan, 2000)</w:t>
      </w:r>
      <w:r w:rsidRPr="008438F4">
        <w:rPr>
          <w:rFonts w:ascii="Calibri" w:hAnsi="Calibri" w:cs="Calibri"/>
        </w:rPr>
        <w:fldChar w:fldCharType="end"/>
      </w:r>
      <w:r w:rsidRPr="008438F4">
        <w:rPr>
          <w:rFonts w:ascii="Calibri" w:hAnsi="Calibri" w:cs="Calibri"/>
        </w:rPr>
        <w:t xml:space="preserve">. A change in thalamic activity has also been postulated as reasons for perceived higher fatigability </w:t>
      </w:r>
      <w:r w:rsidRPr="008438F4">
        <w:rPr>
          <w:rFonts w:ascii="Calibri" w:hAnsi="Calibri" w:cs="Calibri"/>
        </w:rPr>
        <w:fldChar w:fldCharType="begin"/>
      </w:r>
      <w:r w:rsidRPr="008438F4">
        <w:rPr>
          <w:rFonts w:ascii="Calibri" w:hAnsi="Calibri" w:cs="Calibri"/>
        </w:rPr>
        <w:instrText xml:space="preserve"> ADDIN ZOTERO_ITEM CSL_CITATION {"citationID":"agr3n8d1kq","properties":{"formattedCitation":"(Chaudhuri &amp; Behan, 2000)","plainCitation":"(Chaudhuri &amp; Behan, 2000)"},"citationItems":[{"id":1265,"uris":["http://zotero.org/users/local/vDYxJ8mW/items/I4F3A7U9"],"uri":["http://zotero.org/users/local/vDYxJ8mW/items/I4F3A7U9"],"itemData":{"id":1265,"type":"article-journal","title":"Fatigue and basal ganglia","container-title":"Journal of the Neurological Sciences","page":"34-42","volume":"179","issue":"1","source":"ScienceDirect","abstract":"Fatigue is a common symptom in neurology and occurs in the diseases of the central and peripheral nervous system. In order to understand the mechanism of fatigue, it is important to distinguish symptoms of peripheral neuromuscular fatigue from the symptoms of physical and mental fatigue characteristic of disorders like Parkinson’s disease or multiple sclerosis. We have introduced and defined the concept of central fatigue for the latter disorders. We have further proposed, with supportive neuropathological data, that central fatigue may occur due to a failure in the integration of the limbic input and the motor functions within the basal ganglia affecting the striatal–thalamic–frontal cortical system.","DOI":"10.1016/S0022-510X(00)00411-1","ISSN":"0022-510X","journalAbbreviation":"Journal of the Neurological Sciences","author":[{"family":"Chaudhuri","given":"Abhijit"},{"family":"Behan","given":"Peter O"}],"issued":{"date-parts":[["2000",10,1]]}}}],"schema":"https://github.com/citation-style-language/schema/raw/master/csl-citation.json"}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(Chaudhuri &amp; Behan, 2000)</w:t>
      </w:r>
      <w:r w:rsidRPr="008438F4">
        <w:rPr>
          <w:rFonts w:ascii="Calibri" w:hAnsi="Calibri" w:cs="Calibri"/>
        </w:rPr>
        <w:fldChar w:fldCharType="end"/>
      </w:r>
      <w:r w:rsidRPr="008438F4">
        <w:rPr>
          <w:rFonts w:ascii="Calibri" w:hAnsi="Calibri" w:cs="Calibri"/>
        </w:rPr>
        <w:t>.</w:t>
      </w:r>
    </w:p>
    <w:p w14:paraId="05745A27" w14:textId="2227C671" w:rsidR="0099247D" w:rsidRPr="008438F4" w:rsidRDefault="0099247D" w:rsidP="0099247D">
      <w:pPr>
        <w:spacing w:line="360" w:lineRule="auto"/>
        <w:rPr>
          <w:rFonts w:ascii="Calibri" w:hAnsi="Calibri" w:cs="Calibri"/>
        </w:rPr>
      </w:pPr>
      <w:r w:rsidRPr="008438F4">
        <w:rPr>
          <w:rFonts w:ascii="Calibri" w:hAnsi="Calibri" w:cs="Calibri"/>
        </w:rPr>
        <w:t>The thalamus is the final common pathway of the cortiocofugal projections from the basal ganglia and thus, if there is an increase in thalamic inhibition or a shift in reciprocal state of activation between the thalamus and the subthalamic nucleus the cortical response to the input of the basal ganglia will be modified</w:t>
      </w:r>
      <w:r w:rsidR="004F34BE">
        <w:rPr>
          <w:rFonts w:ascii="Calibri" w:hAnsi="Calibri" w:cs="Calibri"/>
        </w:rPr>
        <w:t xml:space="preserve"> </w:t>
      </w:r>
      <w:r w:rsidRPr="008438F4">
        <w:rPr>
          <w:rFonts w:ascii="Calibri" w:hAnsi="Calibri" w:cs="Calibri"/>
        </w:rPr>
        <w:fldChar w:fldCharType="begin"/>
      </w:r>
      <w:r w:rsidRPr="008438F4">
        <w:rPr>
          <w:rFonts w:ascii="Calibri" w:hAnsi="Calibri" w:cs="Calibri"/>
        </w:rPr>
        <w:instrText xml:space="preserve"> ADDIN ZOTERO_ITEM CSL_CITATION {"citationID":"aqiihsmnet","properties":{"formattedCitation":"(Chaudhuri &amp; Behan, 2000)","plainCitation":"(Chaudhuri &amp; Behan, 2000)"},"citationItems":[{"id":1265,"uris":["http://zotero.org/users/local/vDYxJ8mW/items/I4F3A7U9"],"uri":["http://zotero.org/users/local/vDYxJ8mW/items/I4F3A7U9"],"itemData":{"id":1265,"type":"article-journal","title":"Fatigue and basal ganglia","container-title":"Journal of the Neurological Sciences","page":"34-42","volume":"179","issue":"1","source":"ScienceDirect","abstract":"Fatigue is a common symptom in neurology and occurs in the diseases of the central and peripheral nervous system. In order to understand the mechanism of fatigue, it is important to distinguish symptoms of peripheral neuromuscular fatigue from the symptoms of physical and mental fatigue characteristic of disorders like Parkinson’s disease or multiple sclerosis. We have introduced and defined the concept of central fatigue for the latter disorders. We have further proposed, with supportive neuropathological data, that central fatigue may occur due to a failure in the integration of the limbic input and the motor functions within the basal ganglia affecting the striatal–thalamic–frontal cortical system.","DOI":"10.1016/S0022-510X(00)00411-1","ISSN":"0022-510X","journalAbbreviation":"Journal of the Neurological Sciences","author":[{"family":"Chaudhuri","given":"Abhijit"},{"family":"Behan","given":"Peter O"}],"issued":{"date-parts":[["2000",10,1]]}}}],"schema":"https://github.com/citation-style-language/schema/raw/master/csl-citation.json"}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(Chaudhuri &amp; Behan, 2000)</w:t>
      </w:r>
      <w:r w:rsidRPr="008438F4">
        <w:rPr>
          <w:rFonts w:ascii="Calibri" w:hAnsi="Calibri" w:cs="Calibri"/>
        </w:rPr>
        <w:fldChar w:fldCharType="end"/>
      </w:r>
      <w:r w:rsidRPr="008438F4">
        <w:rPr>
          <w:rFonts w:ascii="Calibri" w:hAnsi="Calibri" w:cs="Calibri"/>
        </w:rPr>
        <w:t xml:space="preserve">. Additionally, in the event the dopaminergic drive to the palliothalamo-cortical loop is reduced, frontal activation will be suppressed. Therefore, there is a motivational influence of the striato-thalamic input to the frontal lobe </w:t>
      </w:r>
      <w:r w:rsidR="004F34BE">
        <w:rPr>
          <w:rFonts w:ascii="Calibri" w:hAnsi="Calibri" w:cs="Calibri"/>
        </w:rPr>
        <w:t>that</w:t>
      </w:r>
      <w:r w:rsidR="004F34BE" w:rsidRPr="008438F4">
        <w:rPr>
          <w:rFonts w:ascii="Calibri" w:hAnsi="Calibri" w:cs="Calibri"/>
        </w:rPr>
        <w:t xml:space="preserve"> </w:t>
      </w:r>
      <w:r w:rsidRPr="008438F4">
        <w:rPr>
          <w:rFonts w:ascii="Calibri" w:hAnsi="Calibri" w:cs="Calibri"/>
        </w:rPr>
        <w:t>may be related to perceived fatigability. It is important to note that alterations in the thalamo-cortical loop have been shown to be associated with Parkinson’s Disease and depression, which commonly report symptoms of fatigue</w:t>
      </w:r>
      <w:r w:rsidR="004F34BE">
        <w:rPr>
          <w:rFonts w:ascii="Calibri" w:hAnsi="Calibri" w:cs="Calibri"/>
        </w:rPr>
        <w:t xml:space="preserve"> </w:t>
      </w:r>
      <w:r w:rsidRPr="008438F4">
        <w:rPr>
          <w:rFonts w:ascii="Calibri" w:hAnsi="Calibri" w:cs="Calibri"/>
        </w:rPr>
        <w:fldChar w:fldCharType="begin"/>
      </w:r>
      <w:r w:rsidRPr="008438F4">
        <w:rPr>
          <w:rFonts w:ascii="Calibri" w:hAnsi="Calibri" w:cs="Calibri"/>
        </w:rPr>
        <w:instrText xml:space="preserve"> ADDIN ZOTERO_ITEM CSL_CITATION {"citationID":"aviorp89t3","properties":{"formattedCitation":"(McCormick, 1999)","plainCitation":"(McCormick, 1999)"},"citationItems":[{"id":1262,"uris":["http://zotero.org/users/local/vDYxJ8mW/items/K78J2PK9"],"uri":["http://zotero.org/users/local/vDYxJ8mW/items/K78J2PK9"],"itemData":{"id":1262,"type":"article-journal","title":"Are thalamocortical rhythms the rosetta stone of a subset of neurological disorders?","container-title":"Nature Medicine","page":"1349-1351","volume":"5","issue":"12","source":"www.nature.com","abstract":"Recent evidence indicates that \"dysrhythmias\" cause alterations in the normal function of the thalamocortical loop and lead to various types of neurological disorders. Will decoding this rhythm help us to understand the basis for movement disorders, chronic pain, and even neuropsychological dysfunction?","DOI":"10.1038/70911","ISSN":"1078-8956","journalAbbreviation":"Nat Med","language":"en","author":[{"family":"McCormick","given":"David A."}],"issued":{"date-parts":[["1999",12]]}}}],"schema":"https://github.com/citation-style-language/schema/raw/master/csl-citation.json"}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(McCormick, 1999)</w:t>
      </w:r>
      <w:r w:rsidRPr="008438F4">
        <w:rPr>
          <w:rFonts w:ascii="Calibri" w:hAnsi="Calibri" w:cs="Calibri"/>
        </w:rPr>
        <w:fldChar w:fldCharType="end"/>
      </w:r>
      <w:r w:rsidRPr="008438F4">
        <w:rPr>
          <w:rFonts w:ascii="Calibri" w:hAnsi="Calibri" w:cs="Calibri"/>
        </w:rPr>
        <w:t xml:space="preserve">. </w:t>
      </w:r>
    </w:p>
    <w:p w14:paraId="5BB3479C" w14:textId="510B20D0" w:rsidR="0099247D" w:rsidRPr="008438F4" w:rsidRDefault="0099247D" w:rsidP="0099247D">
      <w:pPr>
        <w:spacing w:line="360" w:lineRule="auto"/>
        <w:rPr>
          <w:rFonts w:ascii="Calibri" w:hAnsi="Calibri" w:cs="Calibri"/>
        </w:rPr>
      </w:pPr>
      <w:r w:rsidRPr="008438F4">
        <w:rPr>
          <w:rFonts w:ascii="Calibri" w:hAnsi="Calibri" w:cs="Calibri"/>
          <w:color w:val="000000"/>
        </w:rPr>
        <w:t>The anterior portion of the thalamus has a significant number of connections to the limbic system. More specifically, one of the primary targets of afferent fibers is the hippocampal formation that projects to the cingulate gyrus of the limbic association cortex and the parahippocampal gyrus</w:t>
      </w:r>
      <w:r w:rsidRPr="008438F4">
        <w:rPr>
          <w:rFonts w:ascii="Calibri" w:hAnsi="Calibri" w:cs="Calibri"/>
          <w:color w:val="000000"/>
        </w:rPr>
        <w:fldChar w:fldCharType="begin"/>
      </w:r>
      <w:r w:rsidRPr="008438F4">
        <w:rPr>
          <w:rFonts w:ascii="Calibri" w:hAnsi="Calibri" w:cs="Calibri"/>
          <w:color w:val="000000"/>
        </w:rPr>
        <w:instrText xml:space="preserve"> ADDIN ZOTERO_ITEM CSL_CITATION {"citationID":"a265u8npdo0","properties":{"formattedCitation":"(Patestas &amp; Gartner, 2016)","plainCitation":"(Patestas &amp; Gartner, 2016)"},"citationItems":[{"id":1213,"uris":["http://zotero.org/users/local/vDYxJ8mW/items/QUS7EHXT"],"uri":["http://zotero.org/users/local/vDYxJ8mW/items/QUS7EHXT"],"itemData":{"id":1213,"type":"book","title":"A textbook of neuroanatomy","publisher":"Wiley, Blackwell","publisher-place":"Hoboken, New Jersey","source":"Open WorldCat","event-place":"Hoboken, New Jersey","ISBN":"978-1-118-67746-9","note":"OCLC: 953564741","language":"English","author":[{"family":"Patestas","given":"Maria A"},{"family":"Gartner","given":"Leslie P"}],"issued":{"date-parts":[["2016"]]}}}],"schema":"https://github.com/citation-style-language/schema/raw/master/csl-citation.json"} </w:instrText>
      </w:r>
      <w:r w:rsidRPr="008438F4">
        <w:rPr>
          <w:rFonts w:ascii="Calibri" w:hAnsi="Calibri" w:cs="Calibri"/>
          <w:color w:val="000000"/>
        </w:rPr>
        <w:fldChar w:fldCharType="separate"/>
      </w:r>
      <w:r w:rsidR="00AD2869" w:rsidRPr="008438F4">
        <w:rPr>
          <w:rFonts w:ascii="Calibri" w:hAnsi="Calibri" w:cs="Calibri"/>
        </w:rPr>
        <w:t>(Patestas &amp; Gartner, 2016)</w:t>
      </w:r>
      <w:r w:rsidRPr="008438F4">
        <w:rPr>
          <w:rFonts w:ascii="Calibri" w:hAnsi="Calibri" w:cs="Calibri"/>
          <w:color w:val="000000"/>
        </w:rPr>
        <w:fldChar w:fldCharType="end"/>
      </w:r>
      <w:r w:rsidR="00B253D8">
        <w:rPr>
          <w:rFonts w:ascii="Calibri" w:hAnsi="Calibri" w:cs="Calibri"/>
          <w:color w:val="000000"/>
        </w:rPr>
        <w:t xml:space="preserve">. </w:t>
      </w:r>
      <w:r w:rsidRPr="008438F4">
        <w:rPr>
          <w:rFonts w:ascii="Calibri" w:hAnsi="Calibri" w:cs="Calibri"/>
        </w:rPr>
        <w:t>The association with the limbic system means that this portion of the thalamus plays a role in expression of emotions, and it is believed to be associated with learning and memory processes, and attention. (Patestas &amp; Gartner, 2016)</w:t>
      </w:r>
      <w:r w:rsidR="004F34BE">
        <w:rPr>
          <w:rFonts w:ascii="Calibri" w:hAnsi="Calibri" w:cs="Calibri"/>
        </w:rPr>
        <w:t>.</w:t>
      </w:r>
      <w:r w:rsidRPr="008438F4">
        <w:rPr>
          <w:rFonts w:ascii="Calibri" w:hAnsi="Calibri" w:cs="Calibri"/>
        </w:rPr>
        <w:t xml:space="preserve"> Thus, there are implications for mental fatigability outcomes related to thalamic activity.</w:t>
      </w:r>
    </w:p>
    <w:p w14:paraId="07CF036B" w14:textId="32F6A28E" w:rsidR="0099247D" w:rsidRPr="008438F4" w:rsidRDefault="0099247D" w:rsidP="0099247D">
      <w:pPr>
        <w:spacing w:line="360" w:lineRule="auto"/>
        <w:rPr>
          <w:rFonts w:ascii="Calibri" w:hAnsi="Calibri" w:cs="Calibri"/>
        </w:rPr>
      </w:pPr>
      <w:r w:rsidRPr="008438F4">
        <w:rPr>
          <w:rFonts w:ascii="Calibri" w:hAnsi="Calibri" w:cs="Calibri"/>
        </w:rPr>
        <w:t>Additionally, Dobryakova et al. reported that dopamine may have an important role in fatigue</w:t>
      </w:r>
      <w:r w:rsidR="004F34BE">
        <w:rPr>
          <w:rFonts w:ascii="Calibri" w:hAnsi="Calibri" w:cs="Calibri"/>
        </w:rPr>
        <w:t xml:space="preserve"> </w:t>
      </w:r>
      <w:r w:rsidRPr="008438F4">
        <w:rPr>
          <w:rFonts w:ascii="Calibri" w:hAnsi="Calibri" w:cs="Calibri"/>
        </w:rPr>
        <w:fldChar w:fldCharType="begin"/>
      </w:r>
      <w:r w:rsidRPr="008438F4">
        <w:rPr>
          <w:rFonts w:ascii="Calibri" w:hAnsi="Calibri" w:cs="Calibri"/>
        </w:rPr>
        <w:instrText xml:space="preserve"> ADDIN ZOTERO_ITEM CSL_CITATION {"citationID":"a207m77bk1d","properties":{"formattedCitation":"(Dobryakova, Genova, DeLuca, &amp; Wylie, 2015)","plainCitation":"(Dobryakova, Genova, DeLuca, &amp; Wylie, 2015)"},"citationItems":[{"id":1271,"uris":["http://zotero.org/users/local/vDYxJ8mW/items/T468GX7R"],"uri":["http://zotero.org/users/local/vDYxJ8mW/items/T468GX7R"],"itemData":{"id":1271,"type":"article-journal","title":"The dopamine imbalance hypothesis of fatigue in multiple sclerosis and other neurological disorders","container-title":"Frontiers in Neurology","page":"52","volume":"6","source":"PubMed","abstract":"Fatigue is one of the most pervasive symptoms of multiple sclerosis (MS), and has engendered hundreds of investigations on the topic. While there is a growing literature using various methods to study fatigue, a unified theory of fatigue in MS is yet to emerge. In the current review, we synthesize findings from neuroimaging, pharmacological, neuropsychological, and immunological studies of fatigue in MS, which point to a specific hypothesis of fatigue in MS: the dopamine imbalance hypothesis. The communication between the striatum and prefrontal cortex is reliant on dopamine, a modulatory neurotransmitter. Neuroimaging findings suggest that fatigue results from the disruption of communication between these regions. Supporting the dopamine imbalance hypothesis, structural and functional neuroimaging studies show abnormalities in the frontal and striatal regions that are heavily innervated by dopamine neurons. Further, dopaminergic psychostimulant medication has been shown to alleviate fatigue in individuals with traumatic brain injury, chronic fatigue syndrome, and in cancer patients, also indicating that dopamine might play an important role in fatigue perception. This paper reviews the structural and functional neuroimaging evidence as well as pharmacological studies that suggest that dopamine plays a critical role in the phenomenon of fatigue. We conclude with how specific aspects of the dopamine imbalance hypothesis can be tested in future research.","DOI":"10.3389/fneur.2015.00052","ISSN":"1664-2295","note":"PMID: 25814977\nPMCID: PMC4357260","journalAbbreviation":"Front Neurol","language":"eng","author":[{"family":"Dobryakova","given":"Ekaterina"},{"family":"Genova","given":"Helen M."},{"family":"DeLuca","given":"John"},{"family":"Wylie","given":"Glenn R."}],"issued":{"date-parts":[["2015"]]}}}],"schema":"https://github.com/citation-style-language/schema/raw/master/csl-citation.json"}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(Dobryakova, Genova, DeLuca, &amp; Wylie, 2015)</w:t>
      </w:r>
      <w:r w:rsidRPr="008438F4">
        <w:rPr>
          <w:rFonts w:ascii="Calibri" w:hAnsi="Calibri" w:cs="Calibri"/>
        </w:rPr>
        <w:fldChar w:fldCharType="end"/>
      </w:r>
      <w:r w:rsidRPr="008438F4">
        <w:rPr>
          <w:rFonts w:ascii="Calibri" w:hAnsi="Calibri" w:cs="Calibri"/>
        </w:rPr>
        <w:t xml:space="preserve">. Their work suggested that fatigue may result from the disruption of communication between the striatum and prefrontal cortex </w:t>
      </w:r>
      <w:r w:rsidRPr="008438F4">
        <w:rPr>
          <w:rFonts w:ascii="Calibri" w:hAnsi="Calibri" w:cs="Calibri"/>
        </w:rPr>
        <w:fldChar w:fldCharType="begin"/>
      </w:r>
      <w:r w:rsidRPr="008438F4">
        <w:rPr>
          <w:rFonts w:ascii="Calibri" w:hAnsi="Calibri" w:cs="Calibri"/>
        </w:rPr>
        <w:instrText xml:space="preserve"> ADDIN ZOTERO_ITEM CSL_CITATION {"citationID":"a1mmdj4nmf7","properties":{"formattedCitation":"(Dobryakova et al., 2015)","plainCitation":"(Dobryakova et al., 2015)"},"citationItems":[{"id":1271,"uris":["http://zotero.org/users/local/vDYxJ8mW/items/T468GX7R"],"uri":["http://zotero.org/users/local/vDYxJ8mW/items/T468GX7R"],"itemData":{"id":1271,"type":"article-journal","title":"The dopamine imbalance hypothesis of fatigue in multiple sclerosis and other neurological disorders","container-title":"Frontiers in Neurology","page":"52","volume":"6","source":"PubMed","abstract":"Fatigue is one of the most pervasive symptoms of multiple sclerosis (MS), and has engendered hundreds of investigations on the topic. While there is a growing literature using various methods to study fatigue, a unified theory of fatigue in MS is yet to emerge. In the current review, we synthesize findings from neuroimaging, pharmacological, neuropsychological, and immunological studies of fatigue in MS, which point to a specific hypothesis of fatigue in MS: the dopamine imbalance hypothesis. The communication between the striatum and prefrontal cortex is reliant on dopamine, a modulatory neurotransmitter. Neuroimaging findings suggest that fatigue results from the disruption of communication between these regions. Supporting the dopamine imbalance hypothesis, structural and functional neuroimaging studies show abnormalities in the frontal and striatal regions that are heavily innervated by dopamine neurons. Further, dopaminergic psychostimulant medication has been shown to alleviate fatigue in individuals with traumatic brain injury, chronic fatigue syndrome, and in cancer patients, also indicating that dopamine might play an important role in fatigue perception. This paper reviews the structural and functional neuroimaging evidence as well as pharmacological studies that suggest that dopamine plays a critical role in the phenomenon of fatigue. We conclude with how specific aspects of the dopamine imbalance hypothesis can be tested in future research.","DOI":"10.3389/fneur.2015.00052","ISSN":"1664-2295","note":"PMID: 25814977\nPMCID: PMC4357260","journalAbbreviation":"Front Neurol","language":"eng","author":[{"family":"Dobryakova","given":"Ekaterina"},{"family":"Genova","given":"Helen M."},{"family":"DeLuca","given":"John"},{"family":"Wylie","given":"Glenn R."}],"issued":{"date-parts":[["2015"]]}}}],"schema":"https://github.com/citation-style-language/schema/raw/master/csl-citation.json"} </w:instrText>
      </w:r>
      <w:r w:rsidRPr="008438F4">
        <w:rPr>
          <w:rFonts w:ascii="Calibri" w:hAnsi="Calibri" w:cs="Calibri"/>
        </w:rPr>
        <w:fldChar w:fldCharType="separate"/>
      </w:r>
      <w:r w:rsidR="00AD2869" w:rsidRPr="008438F4">
        <w:rPr>
          <w:rFonts w:ascii="Calibri" w:hAnsi="Calibri" w:cs="Calibri"/>
        </w:rPr>
        <w:t>(Dobryakova et al., 2015)</w:t>
      </w:r>
      <w:r w:rsidRPr="008438F4">
        <w:rPr>
          <w:rFonts w:ascii="Calibri" w:hAnsi="Calibri" w:cs="Calibri"/>
        </w:rPr>
        <w:fldChar w:fldCharType="end"/>
      </w:r>
      <w:r w:rsidRPr="008438F4">
        <w:rPr>
          <w:rFonts w:ascii="Calibri" w:hAnsi="Calibri" w:cs="Calibri"/>
        </w:rPr>
        <w:t xml:space="preserve">. These findings have previously been supported by advances in fatigue therapy that suggest fatigue has been alleviated in individuals with brain injury, chronic fatigue syndrome and cancer patients after patients underwent dopaminergic psyschostimulant medication. </w:t>
      </w:r>
    </w:p>
    <w:p w14:paraId="2BC2C7E2" w14:textId="411544AA" w:rsidR="0099247D" w:rsidRPr="008438F4" w:rsidRDefault="0099247D" w:rsidP="0099247D">
      <w:pPr>
        <w:spacing w:line="360" w:lineRule="auto"/>
        <w:rPr>
          <w:rFonts w:ascii="Calibri" w:hAnsi="Calibri" w:cs="Calibri"/>
        </w:rPr>
      </w:pPr>
      <w:r w:rsidRPr="008438F4">
        <w:rPr>
          <w:rFonts w:ascii="Calibri" w:hAnsi="Calibri" w:cs="Calibri"/>
        </w:rPr>
        <w:t>There is considerable evidence to support that the neural correlates of fatigability we identified are consistent with previously identified brain regions, specifically regions related to the dopaminergic pathway and motivation and reward behaviors.</w:t>
      </w:r>
      <w:r w:rsidR="00A77525">
        <w:rPr>
          <w:rFonts w:ascii="Calibri" w:hAnsi="Calibri" w:cs="Calibri"/>
        </w:rPr>
        <w:t xml:space="preserve"> </w:t>
      </w:r>
      <w:r w:rsidR="00091153">
        <w:rPr>
          <w:rFonts w:ascii="Calibri" w:hAnsi="Calibri" w:cs="Calibri"/>
        </w:rPr>
        <w:t>T</w:t>
      </w:r>
      <w:r w:rsidR="00A2704C">
        <w:rPr>
          <w:rFonts w:ascii="Calibri" w:hAnsi="Calibri" w:cs="Calibri"/>
        </w:rPr>
        <w:t xml:space="preserve">he motivation theory described previously </w:t>
      </w:r>
      <w:r w:rsidR="00091153">
        <w:rPr>
          <w:rFonts w:ascii="Calibri" w:hAnsi="Calibri" w:cs="Calibri"/>
        </w:rPr>
        <w:t>may best capture the</w:t>
      </w:r>
      <w:r w:rsidR="00A2704C">
        <w:rPr>
          <w:rFonts w:ascii="Calibri" w:hAnsi="Calibri" w:cs="Calibri"/>
        </w:rPr>
        <w:t xml:space="preserve"> mechanism by which fatigability </w:t>
      </w:r>
      <w:r w:rsidR="00091153">
        <w:rPr>
          <w:rFonts w:ascii="Calibri" w:hAnsi="Calibri" w:cs="Calibri"/>
        </w:rPr>
        <w:t xml:space="preserve">occurs in </w:t>
      </w:r>
      <w:r w:rsidR="00A2704C">
        <w:rPr>
          <w:rFonts w:ascii="Calibri" w:hAnsi="Calibri" w:cs="Calibri"/>
        </w:rPr>
        <w:t xml:space="preserve">older adults. </w:t>
      </w:r>
      <w:r w:rsidR="00091153">
        <w:rPr>
          <w:rFonts w:ascii="Calibri" w:hAnsi="Calibri" w:cs="Calibri"/>
        </w:rPr>
        <w:t xml:space="preserve">An </w:t>
      </w:r>
      <w:r w:rsidR="00A2704C">
        <w:rPr>
          <w:rFonts w:ascii="Calibri" w:hAnsi="Calibri" w:cs="Calibri"/>
        </w:rPr>
        <w:t xml:space="preserve">individual’s </w:t>
      </w:r>
      <w:r w:rsidR="00091153">
        <w:rPr>
          <w:rFonts w:ascii="Calibri" w:hAnsi="Calibri" w:cs="Calibri"/>
        </w:rPr>
        <w:t>perception of</w:t>
      </w:r>
      <w:r w:rsidR="00A2704C">
        <w:rPr>
          <w:rFonts w:ascii="Calibri" w:hAnsi="Calibri" w:cs="Calibri"/>
        </w:rPr>
        <w:t xml:space="preserve"> their fatigue related to specific tasks</w:t>
      </w:r>
      <w:r w:rsidR="00091153">
        <w:rPr>
          <w:rFonts w:ascii="Calibri" w:hAnsi="Calibri" w:cs="Calibri"/>
        </w:rPr>
        <w:t xml:space="preserve"> may be</w:t>
      </w:r>
      <w:r w:rsidR="00A2704C">
        <w:rPr>
          <w:rFonts w:ascii="Calibri" w:hAnsi="Calibri" w:cs="Calibri"/>
        </w:rPr>
        <w:t xml:space="preserve"> influenced by</w:t>
      </w:r>
      <w:r w:rsidR="00091153">
        <w:rPr>
          <w:rFonts w:ascii="Calibri" w:hAnsi="Calibri" w:cs="Calibri"/>
        </w:rPr>
        <w:t xml:space="preserve"> how motivated an individual is to complete a specific task. It is plausible that low motivation to complete specific tasks may drive fatigability outcomes, or alternatively, a fatigability state </w:t>
      </w:r>
      <w:r w:rsidR="00A115A7">
        <w:rPr>
          <w:rFonts w:ascii="Calibri" w:hAnsi="Calibri" w:cs="Calibri"/>
        </w:rPr>
        <w:t>may lead</w:t>
      </w:r>
      <w:r w:rsidR="00091153">
        <w:rPr>
          <w:rFonts w:ascii="Calibri" w:hAnsi="Calibri" w:cs="Calibri"/>
        </w:rPr>
        <w:t xml:space="preserve"> to lower motivation to complete tasks. These </w:t>
      </w:r>
      <w:r w:rsidRPr="008438F4">
        <w:rPr>
          <w:rFonts w:ascii="Calibri" w:hAnsi="Calibri" w:cs="Calibri"/>
        </w:rPr>
        <w:t>mechanisms related to fatigability pathophysiology could not be explored in our work; however, the work of others s</w:t>
      </w:r>
      <w:r w:rsidR="00AC01FD" w:rsidRPr="008438F4">
        <w:rPr>
          <w:rFonts w:ascii="Calibri" w:hAnsi="Calibri" w:cs="Calibri"/>
        </w:rPr>
        <w:t>upports the findings from our</w:t>
      </w:r>
      <w:r w:rsidRPr="008438F4">
        <w:rPr>
          <w:rFonts w:ascii="Calibri" w:hAnsi="Calibri" w:cs="Calibri"/>
        </w:rPr>
        <w:t xml:space="preserve"> identification of neural correlates of fatigability in</w:t>
      </w:r>
      <w:r w:rsidR="00AC01FD" w:rsidRPr="008438F4">
        <w:rPr>
          <w:rFonts w:ascii="Calibri" w:hAnsi="Calibri" w:cs="Calibri"/>
        </w:rPr>
        <w:t xml:space="preserve"> a small sample of</w:t>
      </w:r>
      <w:r w:rsidRPr="008438F4">
        <w:rPr>
          <w:rFonts w:ascii="Calibri" w:hAnsi="Calibri" w:cs="Calibri"/>
        </w:rPr>
        <w:t xml:space="preserve"> older adults. </w:t>
      </w:r>
    </w:p>
    <w:p w14:paraId="6A7B02CA" w14:textId="34FFF079" w:rsidR="0099247D" w:rsidRPr="008438F4" w:rsidRDefault="0099247D" w:rsidP="0099247D">
      <w:pPr>
        <w:spacing w:line="360" w:lineRule="auto"/>
        <w:rPr>
          <w:rFonts w:ascii="Calibri" w:hAnsi="Calibri" w:cs="Calibri"/>
          <w:color w:val="000000"/>
        </w:rPr>
      </w:pPr>
      <w:r w:rsidRPr="008438F4">
        <w:rPr>
          <w:rFonts w:ascii="Calibri" w:hAnsi="Calibri" w:cs="Calibri"/>
          <w:color w:val="000000"/>
        </w:rPr>
        <w:t xml:space="preserve">A few limitations of this study have been identified. First, the </w:t>
      </w:r>
      <w:r w:rsidR="004F34BE">
        <w:rPr>
          <w:rFonts w:ascii="Calibri" w:hAnsi="Calibri" w:cs="Calibri"/>
          <w:color w:val="000000"/>
        </w:rPr>
        <w:t xml:space="preserve">design was </w:t>
      </w:r>
      <w:r w:rsidRPr="008438F4">
        <w:rPr>
          <w:rFonts w:ascii="Calibri" w:hAnsi="Calibri" w:cs="Calibri"/>
          <w:color w:val="000000"/>
        </w:rPr>
        <w:t>cross-sectional and thus, the results cannot be used to determine causality between brain regional volume and fatigability. Additionally, we cannot evaluate differences in fatigability status over time.  In order to address this gap in the literature, a prospective study design to confirm causality is necessary. Due to the novel nature of this work, we are limited in our ability to compare findings to the work of others. Lastly, results from these analyses should be interpreted with caution due to the small sample size. However, this work is exploratory in nature and may be imperative for development of future studies that aim to explore the p</w:t>
      </w:r>
      <w:r w:rsidR="00C06609" w:rsidRPr="008438F4">
        <w:rPr>
          <w:rFonts w:ascii="Calibri" w:hAnsi="Calibri" w:cs="Calibri"/>
          <w:color w:val="000000"/>
        </w:rPr>
        <w:t xml:space="preserve">athophysiology of fatigability. Also, an oversampling of African Americans in the second half of the main LIFE study recruitment period resulted in a greater number of African Americans in our analytic sample compared to the Pittsburgh field center sample. Consequently, the racial imbalance may result in limited generalizability. </w:t>
      </w:r>
    </w:p>
    <w:p w14:paraId="0C26E97C" w14:textId="6090C07B" w:rsidR="0099247D" w:rsidRPr="008438F4" w:rsidRDefault="0099247D" w:rsidP="0099247D">
      <w:pPr>
        <w:spacing w:line="360" w:lineRule="auto"/>
        <w:rPr>
          <w:rFonts w:ascii="Calibri" w:hAnsi="Calibri" w:cs="Calibri"/>
        </w:rPr>
      </w:pPr>
      <w:r w:rsidRPr="008438F4">
        <w:rPr>
          <w:rFonts w:ascii="Calibri" w:hAnsi="Calibri" w:cs="Calibri"/>
        </w:rPr>
        <w:t xml:space="preserve">We have identified a number of strengths in this work. First, participants enrolled in the LIFE study are relatively representative of a large segment of the older adult population in the United States. As such, the findings from this study have implications for generalizability. Also, the PFS is validated against objective </w:t>
      </w:r>
      <w:r w:rsidR="008D64D5">
        <w:rPr>
          <w:rFonts w:ascii="Calibri" w:hAnsi="Calibri" w:cs="Calibri"/>
        </w:rPr>
        <w:t xml:space="preserve">performance </w:t>
      </w:r>
      <w:r w:rsidRPr="008438F4">
        <w:rPr>
          <w:rFonts w:ascii="Calibri" w:hAnsi="Calibri" w:cs="Calibri"/>
        </w:rPr>
        <w:t>fatigability measures and can be used as an easy questionnaire in-person, over the phone, or self-administered</w:t>
      </w:r>
      <w:r w:rsidR="005A4E43">
        <w:rPr>
          <w:rFonts w:ascii="Calibri" w:hAnsi="Calibri" w:cs="Calibri"/>
        </w:rPr>
        <w:t>. Compared to other scales, the PFS is a better measure of fatigue, and it has never been used to examine these relationships</w:t>
      </w:r>
      <w:r w:rsidRPr="008438F4">
        <w:rPr>
          <w:rFonts w:ascii="Calibri" w:hAnsi="Calibri" w:cs="Calibri"/>
        </w:rPr>
        <w:t xml:space="preserve">. 7T is a novel neuroimaging modality that allows investigators to capture regions of interest at high resolution. </w:t>
      </w:r>
    </w:p>
    <w:p w14:paraId="4BD7F551" w14:textId="77777777" w:rsidR="0099247D" w:rsidRPr="008438F4" w:rsidRDefault="0099247D" w:rsidP="0099247D">
      <w:pPr>
        <w:spacing w:line="360" w:lineRule="auto"/>
        <w:rPr>
          <w:rFonts w:ascii="Calibri" w:hAnsi="Calibri" w:cs="Calibri"/>
        </w:rPr>
      </w:pPr>
      <w:r w:rsidRPr="008438F4">
        <w:rPr>
          <w:rFonts w:ascii="Calibri" w:hAnsi="Calibri" w:cs="Calibri"/>
        </w:rPr>
        <w:t>In conclusion, fatigability outcomes in healthy older adults may be related to</w:t>
      </w:r>
      <w:r w:rsidR="00AB5C00">
        <w:rPr>
          <w:rFonts w:ascii="Calibri" w:hAnsi="Calibri" w:cs="Calibri"/>
        </w:rPr>
        <w:t xml:space="preserve"> volumes of the</w:t>
      </w:r>
      <w:r w:rsidRPr="008438F4">
        <w:rPr>
          <w:rFonts w:ascii="Calibri" w:hAnsi="Calibri" w:cs="Calibri"/>
        </w:rPr>
        <w:t xml:space="preserve"> </w:t>
      </w:r>
      <w:r w:rsidRPr="008438F4">
        <w:rPr>
          <w:rFonts w:ascii="Calibri" w:hAnsi="Calibri" w:cs="Calibri"/>
          <w:color w:val="000000"/>
        </w:rPr>
        <w:t xml:space="preserve">amygdala, cingulate posterior, hippocampus, putamen, and thalamus. Plausible mechanisms for fatigability outcomes based on existing literature include </w:t>
      </w:r>
      <w:r w:rsidRPr="008438F4">
        <w:rPr>
          <w:rFonts w:ascii="Calibri" w:hAnsi="Calibri" w:cs="Calibri"/>
        </w:rPr>
        <w:t xml:space="preserve">alterations in dopaminergic function, regulation of sleep and sensory interpretation, and emotional formation and processing, learning and memory, and/or motivational behavior. It is speculated that the neural correlates of fatigability in non-clinical and clinical subjects may overlap. However, more work is necessary to further evaluate the brain regions related to fatigability in healthy older adults. </w:t>
      </w:r>
    </w:p>
    <w:p w14:paraId="36EAF1E7" w14:textId="2F566858" w:rsidR="00A927F4" w:rsidRPr="008438F4" w:rsidRDefault="0099247D" w:rsidP="0099247D">
      <w:pPr>
        <w:spacing w:line="360" w:lineRule="auto"/>
        <w:rPr>
          <w:rFonts w:ascii="Calibri" w:hAnsi="Calibri" w:cs="Calibri"/>
        </w:rPr>
      </w:pPr>
      <w:r w:rsidRPr="008438F4">
        <w:rPr>
          <w:rFonts w:ascii="Calibri" w:hAnsi="Calibri" w:cs="Calibri"/>
        </w:rPr>
        <w:t>The literature on fatigability is limited, especially in the context of brain studies</w:t>
      </w:r>
      <w:r w:rsidR="002D2603" w:rsidRPr="008438F4">
        <w:rPr>
          <w:rFonts w:ascii="Calibri" w:hAnsi="Calibri" w:cs="Calibri"/>
        </w:rPr>
        <w:t>. T</w:t>
      </w:r>
      <w:r w:rsidRPr="008438F4">
        <w:rPr>
          <w:rFonts w:ascii="Calibri" w:hAnsi="Calibri" w:cs="Calibri"/>
        </w:rPr>
        <w:t xml:space="preserve">herefore, future studies at the intersection of neurobiology and population neuroscience research are needed to fully understand the pathophysiology of fatigability in older adults. </w:t>
      </w:r>
      <w:r w:rsidR="00A927F4" w:rsidRPr="008438F4">
        <w:rPr>
          <w:rFonts w:ascii="Calibri" w:hAnsi="Calibri" w:cs="Calibri"/>
        </w:rPr>
        <w:t xml:space="preserve">These findings are significant to public health, because </w:t>
      </w:r>
      <w:r w:rsidR="006A3577" w:rsidRPr="008438F4">
        <w:rPr>
          <w:rFonts w:ascii="Calibri" w:hAnsi="Calibri" w:cs="Calibri"/>
        </w:rPr>
        <w:t>interventional success for fatigability and consequently functional limitation, disability and mortality, relies on a clear understanding of the disablement pathway</w:t>
      </w:r>
      <w:r w:rsidR="00A927F4" w:rsidRPr="008438F4">
        <w:rPr>
          <w:rFonts w:ascii="Calibri" w:hAnsi="Calibri" w:cs="Calibri"/>
        </w:rPr>
        <w:t xml:space="preserve">. The risk factors associated with </w:t>
      </w:r>
      <w:r w:rsidR="006A3577" w:rsidRPr="008438F4">
        <w:rPr>
          <w:rFonts w:ascii="Calibri" w:hAnsi="Calibri" w:cs="Calibri"/>
        </w:rPr>
        <w:t>fatigability in</w:t>
      </w:r>
      <w:r w:rsidR="00A927F4" w:rsidRPr="008438F4">
        <w:rPr>
          <w:rFonts w:ascii="Calibri" w:hAnsi="Calibri" w:cs="Calibri"/>
        </w:rPr>
        <w:t xml:space="preserve"> older adults may involve multiple casual pathways. There is evidence to support that the brain may </w:t>
      </w:r>
      <w:r w:rsidR="004F34BE">
        <w:rPr>
          <w:rFonts w:ascii="Calibri" w:hAnsi="Calibri" w:cs="Calibri"/>
        </w:rPr>
        <w:t xml:space="preserve">play a </w:t>
      </w:r>
      <w:r w:rsidR="00A927F4" w:rsidRPr="008438F4">
        <w:rPr>
          <w:rFonts w:ascii="Calibri" w:hAnsi="Calibri" w:cs="Calibri"/>
        </w:rPr>
        <w:t xml:space="preserve">critical </w:t>
      </w:r>
      <w:r w:rsidR="004F34BE">
        <w:rPr>
          <w:rFonts w:ascii="Calibri" w:hAnsi="Calibri" w:cs="Calibri"/>
        </w:rPr>
        <w:t xml:space="preserve">role </w:t>
      </w:r>
      <w:r w:rsidR="00A927F4" w:rsidRPr="008438F4">
        <w:rPr>
          <w:rFonts w:ascii="Calibri" w:hAnsi="Calibri" w:cs="Calibri"/>
        </w:rPr>
        <w:t xml:space="preserve">in the development of fatigability. </w:t>
      </w:r>
      <w:r w:rsidR="006A3577" w:rsidRPr="008438F4">
        <w:rPr>
          <w:rFonts w:ascii="Calibri" w:hAnsi="Calibri" w:cs="Calibri"/>
        </w:rPr>
        <w:t xml:space="preserve">We have identified </w:t>
      </w:r>
      <w:r w:rsidR="00BC176A" w:rsidRPr="008438F4">
        <w:rPr>
          <w:rFonts w:ascii="Calibri" w:hAnsi="Calibri" w:cs="Calibri"/>
        </w:rPr>
        <w:t>the amygdala, posterior</w:t>
      </w:r>
      <w:r w:rsidR="004F34BE">
        <w:rPr>
          <w:rFonts w:ascii="Calibri" w:hAnsi="Calibri" w:cs="Calibri"/>
        </w:rPr>
        <w:t xml:space="preserve"> </w:t>
      </w:r>
      <w:r w:rsidR="004F34BE" w:rsidRPr="008438F4">
        <w:rPr>
          <w:rFonts w:ascii="Calibri" w:hAnsi="Calibri" w:cs="Calibri"/>
        </w:rPr>
        <w:t>cingulate</w:t>
      </w:r>
      <w:r w:rsidR="006A3577" w:rsidRPr="008438F4">
        <w:rPr>
          <w:rFonts w:ascii="Calibri" w:hAnsi="Calibri" w:cs="Calibri"/>
        </w:rPr>
        <w:t>, hippo</w:t>
      </w:r>
      <w:r w:rsidR="00BC176A" w:rsidRPr="008438F4">
        <w:rPr>
          <w:rFonts w:ascii="Calibri" w:hAnsi="Calibri" w:cs="Calibri"/>
        </w:rPr>
        <w:t>campus, putamen and thalamus as brain regions that may</w:t>
      </w:r>
      <w:r w:rsidR="006A3577" w:rsidRPr="008438F4">
        <w:rPr>
          <w:rFonts w:ascii="Calibri" w:hAnsi="Calibri" w:cs="Calibri"/>
        </w:rPr>
        <w:t xml:space="preserve"> play a role in fatigability</w:t>
      </w:r>
      <w:r w:rsidR="002D2603" w:rsidRPr="008438F4">
        <w:rPr>
          <w:rFonts w:ascii="Calibri" w:hAnsi="Calibri" w:cs="Calibri"/>
        </w:rPr>
        <w:t xml:space="preserve"> outcomes</w:t>
      </w:r>
      <w:r w:rsidR="006A3577" w:rsidRPr="008438F4">
        <w:rPr>
          <w:rFonts w:ascii="Calibri" w:hAnsi="Calibri" w:cs="Calibri"/>
        </w:rPr>
        <w:t xml:space="preserve">, and </w:t>
      </w:r>
      <w:r w:rsidR="00BC176A" w:rsidRPr="008438F4">
        <w:rPr>
          <w:rFonts w:ascii="Calibri" w:hAnsi="Calibri" w:cs="Calibri"/>
        </w:rPr>
        <w:t xml:space="preserve">they </w:t>
      </w:r>
      <w:r w:rsidR="006A3577" w:rsidRPr="008438F4">
        <w:rPr>
          <w:rFonts w:ascii="Calibri" w:hAnsi="Calibri" w:cs="Calibri"/>
        </w:rPr>
        <w:t xml:space="preserve">should be investigated in the future as brain regions related to downstream effects associated with fatigability.  </w:t>
      </w:r>
    </w:p>
    <w:p w14:paraId="6E4EFDB6" w14:textId="77777777" w:rsidR="0099247D" w:rsidRPr="008438F4" w:rsidRDefault="00EA4A81" w:rsidP="00EA4A81">
      <w:pPr>
        <w:pStyle w:val="Heading"/>
        <w:rPr>
          <w:rFonts w:ascii="Calibri" w:hAnsi="Calibri" w:cs="Calibri"/>
        </w:rPr>
      </w:pPr>
      <w:bookmarkStart w:id="52" w:name="_Toc499840811"/>
      <w:r w:rsidRPr="008438F4">
        <w:rPr>
          <w:rFonts w:ascii="Calibri" w:hAnsi="Calibri" w:cs="Calibri"/>
        </w:rPr>
        <w:t>BIBLIOGRAPHY</w:t>
      </w:r>
      <w:bookmarkEnd w:id="52"/>
    </w:p>
    <w:p w14:paraId="7AF0BB7D" w14:textId="77777777" w:rsidR="00D83E2E" w:rsidRPr="00624DA4" w:rsidRDefault="0099247D"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b/>
          <w:sz w:val="24"/>
          <w:szCs w:val="24"/>
        </w:rPr>
        <w:fldChar w:fldCharType="begin"/>
      </w:r>
      <w:r w:rsidR="0011492D" w:rsidRPr="00624DA4">
        <w:rPr>
          <w:rFonts w:asciiTheme="majorHAnsi" w:hAnsiTheme="majorHAnsi" w:cstheme="majorHAnsi"/>
          <w:b/>
          <w:sz w:val="24"/>
          <w:szCs w:val="24"/>
        </w:rPr>
        <w:instrText xml:space="preserve"> ADDIN ZOTERO_BIBL {"custom":[]} CSL_BIBLIOGRAPHY </w:instrText>
      </w:r>
      <w:r w:rsidRPr="00624DA4">
        <w:rPr>
          <w:rFonts w:asciiTheme="majorHAnsi" w:hAnsiTheme="majorHAnsi" w:cstheme="majorHAnsi"/>
          <w:b/>
          <w:sz w:val="24"/>
          <w:szCs w:val="24"/>
        </w:rPr>
        <w:fldChar w:fldCharType="separate"/>
      </w:r>
      <w:r w:rsidR="00D83E2E" w:rsidRPr="00624DA4">
        <w:rPr>
          <w:rFonts w:asciiTheme="majorHAnsi" w:hAnsiTheme="majorHAnsi" w:cstheme="majorHAnsi"/>
          <w:sz w:val="24"/>
          <w:szCs w:val="24"/>
        </w:rPr>
        <w:t xml:space="preserve">Alexander, N. B., Taffet, G. E., Horne, F. M., Eldadah, B. A., Ferrucci, L., Nayfield, S., &amp; Studenski, S. (2010). Bedside-to-Bench Conference: Research Agenda for Idiopathic Fatigue and Aging. </w:t>
      </w:r>
      <w:r w:rsidR="00D83E2E" w:rsidRPr="00624DA4">
        <w:rPr>
          <w:rFonts w:asciiTheme="majorHAnsi" w:hAnsiTheme="majorHAnsi" w:cstheme="majorHAnsi"/>
          <w:i/>
          <w:iCs/>
          <w:sz w:val="24"/>
          <w:szCs w:val="24"/>
        </w:rPr>
        <w:t>Journal of the American Geriatrics Society</w:t>
      </w:r>
      <w:r w:rsidR="00D83E2E" w:rsidRPr="00624DA4">
        <w:rPr>
          <w:rFonts w:asciiTheme="majorHAnsi" w:hAnsiTheme="majorHAnsi" w:cstheme="majorHAnsi"/>
          <w:sz w:val="24"/>
          <w:szCs w:val="24"/>
        </w:rPr>
        <w:t xml:space="preserve">, </w:t>
      </w:r>
      <w:r w:rsidR="00D83E2E" w:rsidRPr="00624DA4">
        <w:rPr>
          <w:rFonts w:asciiTheme="majorHAnsi" w:hAnsiTheme="majorHAnsi" w:cstheme="majorHAnsi"/>
          <w:i/>
          <w:iCs/>
          <w:sz w:val="24"/>
          <w:szCs w:val="24"/>
        </w:rPr>
        <w:t>58</w:t>
      </w:r>
      <w:r w:rsidR="00D83E2E" w:rsidRPr="00624DA4">
        <w:rPr>
          <w:rFonts w:asciiTheme="majorHAnsi" w:hAnsiTheme="majorHAnsi" w:cstheme="majorHAnsi"/>
          <w:sz w:val="24"/>
          <w:szCs w:val="24"/>
        </w:rPr>
        <w:t>(5), 967–975. https://doi.org/10.1111/j.1532-5415.2010.02811.x</w:t>
      </w:r>
    </w:p>
    <w:p w14:paraId="0055AE3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Alves, N. T., Fukusima, S. S., &amp; Aznar-Casanova, J. A. (2008). Models of brain asymmetry in emotional processing. </w:t>
      </w:r>
      <w:r w:rsidRPr="00624DA4">
        <w:rPr>
          <w:rFonts w:asciiTheme="majorHAnsi" w:hAnsiTheme="majorHAnsi" w:cstheme="majorHAnsi"/>
          <w:i/>
          <w:iCs/>
          <w:sz w:val="24"/>
          <w:szCs w:val="24"/>
        </w:rPr>
        <w:t>Psychology &amp;amp; Neuroscience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w:t>
      </w:r>
      <w:r w:rsidRPr="00624DA4">
        <w:rPr>
          <w:rFonts w:asciiTheme="majorHAnsi" w:hAnsiTheme="majorHAnsi" w:cstheme="majorHAnsi"/>
          <w:sz w:val="24"/>
          <w:szCs w:val="24"/>
        </w:rPr>
        <w:t>(1), 63–66. https://doi.org/10.1590/S1983-32882008000100010</w:t>
      </w:r>
    </w:p>
    <w:p w14:paraId="72091492"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Avlund, K., Schultz-Larsen, K., &amp; Davidsen, M. (1998). Tiredness in daily activities at age 70 as a predictor of mortality during the next 10 years. </w:t>
      </w:r>
      <w:r w:rsidRPr="00624DA4">
        <w:rPr>
          <w:rFonts w:asciiTheme="majorHAnsi" w:hAnsiTheme="majorHAnsi" w:cstheme="majorHAnsi"/>
          <w:i/>
          <w:iCs/>
          <w:sz w:val="24"/>
          <w:szCs w:val="24"/>
        </w:rPr>
        <w:t>Journal of Clinical Epidemiology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51</w:t>
      </w:r>
      <w:r w:rsidRPr="00624DA4">
        <w:rPr>
          <w:rFonts w:asciiTheme="majorHAnsi" w:hAnsiTheme="majorHAnsi" w:cstheme="majorHAnsi"/>
          <w:sz w:val="24"/>
          <w:szCs w:val="24"/>
        </w:rPr>
        <w:t>(4), 323–333.</w:t>
      </w:r>
    </w:p>
    <w:p w14:paraId="616725C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Avlund, Kirsten. (2010). Fatigue in older adults: an early indicator of the aging process? </w:t>
      </w:r>
      <w:r w:rsidRPr="00624DA4">
        <w:rPr>
          <w:rFonts w:asciiTheme="majorHAnsi" w:hAnsiTheme="majorHAnsi" w:cstheme="majorHAnsi"/>
          <w:i/>
          <w:iCs/>
          <w:sz w:val="24"/>
          <w:szCs w:val="24"/>
        </w:rPr>
        <w:t>Aging Clinical and Experimental Research</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22</w:t>
      </w:r>
      <w:r w:rsidRPr="00624DA4">
        <w:rPr>
          <w:rFonts w:asciiTheme="majorHAnsi" w:hAnsiTheme="majorHAnsi" w:cstheme="majorHAnsi"/>
          <w:sz w:val="24"/>
          <w:szCs w:val="24"/>
        </w:rPr>
        <w:t>(2), 100–115.</w:t>
      </w:r>
    </w:p>
    <w:p w14:paraId="4D20BAAD"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Axmacher, N., Henseler, M. M., Jensen, O., Weinreich, I., Elger, C. E., &amp; Fell, J. (2010). Cross-frequency coupling supports multi-item working memory in the human hippocampus. </w:t>
      </w:r>
      <w:r w:rsidRPr="00624DA4">
        <w:rPr>
          <w:rFonts w:asciiTheme="majorHAnsi" w:hAnsiTheme="majorHAnsi" w:cstheme="majorHAnsi"/>
          <w:i/>
          <w:iCs/>
          <w:sz w:val="24"/>
          <w:szCs w:val="24"/>
        </w:rPr>
        <w:t>Proceedings of the National Academy of Sciences of the United States of America</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107</w:t>
      </w:r>
      <w:r w:rsidRPr="00624DA4">
        <w:rPr>
          <w:rFonts w:asciiTheme="majorHAnsi" w:hAnsiTheme="majorHAnsi" w:cstheme="majorHAnsi"/>
          <w:sz w:val="24"/>
          <w:szCs w:val="24"/>
        </w:rPr>
        <w:t>(7), 3228–3233. https://doi.org/10.1073/pnas.0911531107</w:t>
      </w:r>
    </w:p>
    <w:p w14:paraId="7BA65CF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Azzinnari, D., Sigrist, H., Staehli, S., Palme, R., Hildebrandt, T., Leparc, G., … Pryce, C. R. (2014). Mouse social stress induces increased fear conditioning, helplessness and fatigue to physical challenge together with markers of altered immune and dopamine function. </w:t>
      </w:r>
      <w:r w:rsidRPr="00624DA4">
        <w:rPr>
          <w:rFonts w:asciiTheme="majorHAnsi" w:hAnsiTheme="majorHAnsi" w:cstheme="majorHAnsi"/>
          <w:i/>
          <w:iCs/>
          <w:sz w:val="24"/>
          <w:szCs w:val="24"/>
        </w:rPr>
        <w:t>Neuropharmacology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85</w:t>
      </w:r>
      <w:r w:rsidRPr="00624DA4">
        <w:rPr>
          <w:rFonts w:asciiTheme="majorHAnsi" w:hAnsiTheme="majorHAnsi" w:cstheme="majorHAnsi"/>
          <w:sz w:val="24"/>
          <w:szCs w:val="24"/>
        </w:rPr>
        <w:t>, 328–341. https://doi.org/10.1016/j.neuropharm.2014.05.039</w:t>
      </w:r>
    </w:p>
    <w:p w14:paraId="3849023D"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Balleine, B. W., &amp; O’Doherty, J. P. (2010). Human and rodent homologies in action control: corticostriatal determinants of goal-directed and habitual action. </w:t>
      </w:r>
      <w:r w:rsidRPr="00624DA4">
        <w:rPr>
          <w:rFonts w:asciiTheme="majorHAnsi" w:hAnsiTheme="majorHAnsi" w:cstheme="majorHAnsi"/>
          <w:i/>
          <w:iCs/>
          <w:sz w:val="24"/>
          <w:szCs w:val="24"/>
        </w:rPr>
        <w:t>Neuropsychopharmacology: Official Publication of the American College of Neuropsychopharmacology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35</w:t>
      </w:r>
      <w:r w:rsidRPr="00624DA4">
        <w:rPr>
          <w:rFonts w:asciiTheme="majorHAnsi" w:hAnsiTheme="majorHAnsi" w:cstheme="majorHAnsi"/>
          <w:sz w:val="24"/>
          <w:szCs w:val="24"/>
        </w:rPr>
        <w:t>(1), 48–69. https://doi.org/10.1038/npp.2009.131</w:t>
      </w:r>
    </w:p>
    <w:p w14:paraId="63E7B2E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Bettcher, B. M., Libon, D. J., Kaplan, E., Swenson, R., &amp; Penney, D. L. (2011). Digit Symbol Substitution Test. In J. S. Kreutzer, J. DeLuca, &amp; B. Caplan (Eds.), </w:t>
      </w:r>
      <w:r w:rsidRPr="00624DA4">
        <w:rPr>
          <w:rFonts w:asciiTheme="majorHAnsi" w:hAnsiTheme="majorHAnsi" w:cstheme="majorHAnsi"/>
          <w:i/>
          <w:iCs/>
          <w:sz w:val="24"/>
          <w:szCs w:val="24"/>
        </w:rPr>
        <w:t>Encyclopedia of Clinical Neuropsychology</w:t>
      </w:r>
      <w:r w:rsidRPr="00624DA4">
        <w:rPr>
          <w:rFonts w:asciiTheme="majorHAnsi" w:hAnsiTheme="majorHAnsi" w:cstheme="majorHAnsi"/>
          <w:sz w:val="24"/>
          <w:szCs w:val="24"/>
        </w:rPr>
        <w:t xml:space="preserve"> (pp. 849–853). Springer New York. https://doi.org/10.1007/978-0-387-79948-3_1289</w:t>
      </w:r>
    </w:p>
    <w:p w14:paraId="4AC7327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Blain, B., Hollard, G., &amp; Pessiglione, M. (2016). Neural mechanisms underlying the impact of daylong cognitive work on economic decisions. </w:t>
      </w:r>
      <w:r w:rsidRPr="00624DA4">
        <w:rPr>
          <w:rFonts w:asciiTheme="majorHAnsi" w:hAnsiTheme="majorHAnsi" w:cstheme="majorHAnsi"/>
          <w:i/>
          <w:iCs/>
          <w:sz w:val="24"/>
          <w:szCs w:val="24"/>
        </w:rPr>
        <w:t>Proceedings of the National Academy of Sciences of the United States of America</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113</w:t>
      </w:r>
      <w:r w:rsidRPr="00624DA4">
        <w:rPr>
          <w:rFonts w:asciiTheme="majorHAnsi" w:hAnsiTheme="majorHAnsi" w:cstheme="majorHAnsi"/>
          <w:sz w:val="24"/>
          <w:szCs w:val="24"/>
        </w:rPr>
        <w:t>(25), 6967–6972. https://doi.org/10.1073/pnas.1520527113</w:t>
      </w:r>
    </w:p>
    <w:p w14:paraId="56E7E44F"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Bonnelle, V., Ham, T. E., Leech, R., Kinnunen, K. M., Mehta, M. A., Greenwood, R. J., &amp; Sharp, D. J. (2012). Salience network integrity predicts default mode network function after traumatic brain injury. </w:t>
      </w:r>
      <w:r w:rsidRPr="00624DA4">
        <w:rPr>
          <w:rFonts w:asciiTheme="majorHAnsi" w:hAnsiTheme="majorHAnsi" w:cstheme="majorHAnsi"/>
          <w:i/>
          <w:iCs/>
          <w:sz w:val="24"/>
          <w:szCs w:val="24"/>
        </w:rPr>
        <w:t>Proceedings of the National Academy of Sciences of the United States of America</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109</w:t>
      </w:r>
      <w:r w:rsidRPr="00624DA4">
        <w:rPr>
          <w:rFonts w:asciiTheme="majorHAnsi" w:hAnsiTheme="majorHAnsi" w:cstheme="majorHAnsi"/>
          <w:sz w:val="24"/>
          <w:szCs w:val="24"/>
        </w:rPr>
        <w:t>(12), 4690–4695. https://doi.org/10.1073/pnas.1113455109</w:t>
      </w:r>
    </w:p>
    <w:p w14:paraId="192E85D1"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Bonnelle, V., Leech, R., Kinnunen, K. M., Ham, T. E., Beckmann, C. F., De Boissezon, X., … Sharp, D. J. (2011). Default mode network connectivity predicts sustained attention deficits after traumatic brain injury. </w:t>
      </w:r>
      <w:r w:rsidRPr="00624DA4">
        <w:rPr>
          <w:rFonts w:asciiTheme="majorHAnsi" w:hAnsiTheme="majorHAnsi" w:cstheme="majorHAnsi"/>
          <w:i/>
          <w:iCs/>
          <w:sz w:val="24"/>
          <w:szCs w:val="24"/>
        </w:rPr>
        <w:t>The Journal of Neuroscience: The Official Journal of the Society for Neuroscience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31</w:t>
      </w:r>
      <w:r w:rsidRPr="00624DA4">
        <w:rPr>
          <w:rFonts w:asciiTheme="majorHAnsi" w:hAnsiTheme="majorHAnsi" w:cstheme="majorHAnsi"/>
          <w:sz w:val="24"/>
          <w:szCs w:val="24"/>
        </w:rPr>
        <w:t>(38), 13442–13451. https://doi.org/10.1523/JNEUROSCI.1163-11.2011</w:t>
      </w:r>
    </w:p>
    <w:p w14:paraId="28D0519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Buchowski, M. S., Simmons, S. F., Whitaker, L. E., Powers, J., Beuscher, L., Choi, L., … Shnelle, J. F. (2013). Fatigability as a function of physical activity energy expenditure in older adults. </w:t>
      </w:r>
      <w:r w:rsidRPr="00624DA4">
        <w:rPr>
          <w:rFonts w:asciiTheme="majorHAnsi" w:hAnsiTheme="majorHAnsi" w:cstheme="majorHAnsi"/>
          <w:i/>
          <w:iCs/>
          <w:sz w:val="24"/>
          <w:szCs w:val="24"/>
        </w:rPr>
        <w:t>AGE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35</w:t>
      </w:r>
      <w:r w:rsidRPr="00624DA4">
        <w:rPr>
          <w:rFonts w:asciiTheme="majorHAnsi" w:hAnsiTheme="majorHAnsi" w:cstheme="majorHAnsi"/>
          <w:sz w:val="24"/>
          <w:szCs w:val="24"/>
        </w:rPr>
        <w:t>(1), 179–187. https://doi.org/10.1007/s11357-011-9338-x</w:t>
      </w:r>
    </w:p>
    <w:p w14:paraId="5AD7875E"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Bültmann, U., Kant, I. J., Kasl, S. V., Schröer, K. A. P., Swaen, G. M. H., &amp; Brandt, P. A. van den. (2002). Lifestyle factors as risk factors for fatigue and psychological distress in the working population: prospective results from the Maastricht Cohort Study. </w:t>
      </w:r>
      <w:r w:rsidRPr="00624DA4">
        <w:rPr>
          <w:rFonts w:asciiTheme="majorHAnsi" w:hAnsiTheme="majorHAnsi" w:cstheme="majorHAnsi"/>
          <w:i/>
          <w:iCs/>
          <w:sz w:val="24"/>
          <w:szCs w:val="24"/>
        </w:rPr>
        <w:t>Journal of Occupational and Environmental Medicine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44</w:t>
      </w:r>
      <w:r w:rsidRPr="00624DA4">
        <w:rPr>
          <w:rFonts w:asciiTheme="majorHAnsi" w:hAnsiTheme="majorHAnsi" w:cstheme="majorHAnsi"/>
          <w:sz w:val="24"/>
          <w:szCs w:val="24"/>
        </w:rPr>
        <w:t>(2), 116–124.</w:t>
      </w:r>
    </w:p>
    <w:p w14:paraId="1970F5BF"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Bureau, U. C. (2014). An Aging Nation: The Older Population in the United States. Retrieved January 23, 2017, from http://www.census.gov/library/publications/2014/demo/p25-1140.html</w:t>
      </w:r>
    </w:p>
    <w:p w14:paraId="1D9056A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Calabresi, P., Castrioto, A., Di Filippo, M., &amp; Picconi, B. (2013). New experimental and clinical links between the hippocampus and the dopaminergic system in Parkinson’s disease. </w:t>
      </w:r>
      <w:r w:rsidRPr="00624DA4">
        <w:rPr>
          <w:rFonts w:asciiTheme="majorHAnsi" w:hAnsiTheme="majorHAnsi" w:cstheme="majorHAnsi"/>
          <w:i/>
          <w:iCs/>
          <w:sz w:val="24"/>
          <w:szCs w:val="24"/>
        </w:rPr>
        <w:t>The Lancet. Neurology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12</w:t>
      </w:r>
      <w:r w:rsidRPr="00624DA4">
        <w:rPr>
          <w:rFonts w:asciiTheme="majorHAnsi" w:hAnsiTheme="majorHAnsi" w:cstheme="majorHAnsi"/>
          <w:sz w:val="24"/>
          <w:szCs w:val="24"/>
        </w:rPr>
        <w:t>(8), 811–821. https://doi.org/10.1016/S1474-4422(13)70118-2</w:t>
      </w:r>
    </w:p>
    <w:p w14:paraId="4558722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Carlson, L. E., Angen, M., Cullum, J., Goodey, E., Koopmans, J., Lamont, L., … Bultz, B. D. (2004). High levels of untreated distress and fatigue in cancer patients. </w:t>
      </w:r>
      <w:r w:rsidRPr="00624DA4">
        <w:rPr>
          <w:rFonts w:asciiTheme="majorHAnsi" w:hAnsiTheme="majorHAnsi" w:cstheme="majorHAnsi"/>
          <w:i/>
          <w:iCs/>
          <w:sz w:val="24"/>
          <w:szCs w:val="24"/>
        </w:rPr>
        <w:t>British Journal of Cancer</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90</w:t>
      </w:r>
      <w:r w:rsidRPr="00624DA4">
        <w:rPr>
          <w:rFonts w:asciiTheme="majorHAnsi" w:hAnsiTheme="majorHAnsi" w:cstheme="majorHAnsi"/>
          <w:sz w:val="24"/>
          <w:szCs w:val="24"/>
        </w:rPr>
        <w:t>(12), 2297–2304. https://doi.org/10.1038/sj.bjc.6601887</w:t>
      </w:r>
    </w:p>
    <w:p w14:paraId="6D20DC5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Chaudhuri, A., &amp; Behan, P. O. (2000). Fatigue and basal ganglia. </w:t>
      </w:r>
      <w:r w:rsidRPr="00624DA4">
        <w:rPr>
          <w:rFonts w:asciiTheme="majorHAnsi" w:hAnsiTheme="majorHAnsi" w:cstheme="majorHAnsi"/>
          <w:i/>
          <w:iCs/>
          <w:sz w:val="24"/>
          <w:szCs w:val="24"/>
        </w:rPr>
        <w:t>Journal of the Neurological Sciences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179</w:t>
      </w:r>
      <w:r w:rsidRPr="00624DA4">
        <w:rPr>
          <w:rFonts w:asciiTheme="majorHAnsi" w:hAnsiTheme="majorHAnsi" w:cstheme="majorHAnsi"/>
          <w:sz w:val="24"/>
          <w:szCs w:val="24"/>
        </w:rPr>
        <w:t>(1), 34–42. https://doi.org/10.1016/S0022-510X(00)00411-1</w:t>
      </w:r>
    </w:p>
    <w:p w14:paraId="20B21E6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Colby, S., &amp; Ortman, J. (2015, March). Projections of the Size and Composition of the U.S. Population: 2014 to 2060. U.S. Department of Commerce Economics and Statistics Administration. Retrieved from https://pdfs.semanticscholar.org/09c9/ad858a60f9be2d6966ebd0bc267af5a76321.pdf</w:t>
      </w:r>
    </w:p>
    <w:p w14:paraId="6C45D1D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Crone, J. S., Ladurner, G., Höller, Y., Golaszewski, S., Trinka, E., &amp; Kronbichler, M. (2011). Deactivation of the default mode network as a marker of impaired consciousness: an fMRI study. </w:t>
      </w:r>
      <w:r w:rsidRPr="00624DA4">
        <w:rPr>
          <w:rFonts w:asciiTheme="majorHAnsi" w:hAnsiTheme="majorHAnsi" w:cstheme="majorHAnsi"/>
          <w:i/>
          <w:iCs/>
          <w:sz w:val="24"/>
          <w:szCs w:val="24"/>
        </w:rPr>
        <w:t>PloS One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w:t>
      </w:r>
      <w:r w:rsidRPr="00624DA4">
        <w:rPr>
          <w:rFonts w:asciiTheme="majorHAnsi" w:hAnsiTheme="majorHAnsi" w:cstheme="majorHAnsi"/>
          <w:sz w:val="24"/>
          <w:szCs w:val="24"/>
        </w:rPr>
        <w:t>(10), e26373. https://doi.org/10.1371/journal.pone.0026373</w:t>
      </w:r>
    </w:p>
    <w:p w14:paraId="4D90700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Deary, V., Hagenaars, S. P., Harris, S. E., Hill, W. D., Davies, G., Liewald, D. C. M., … Deary, I. J. (2017). Genetic contributions to self-reported tiredness. </w:t>
      </w:r>
      <w:r w:rsidRPr="00624DA4">
        <w:rPr>
          <w:rFonts w:asciiTheme="majorHAnsi" w:hAnsiTheme="majorHAnsi" w:cstheme="majorHAnsi"/>
          <w:i/>
          <w:iCs/>
          <w:sz w:val="24"/>
          <w:szCs w:val="24"/>
        </w:rPr>
        <w:t>Molecular Psychiatry</w:t>
      </w:r>
      <w:r w:rsidRPr="00624DA4">
        <w:rPr>
          <w:rFonts w:asciiTheme="majorHAnsi" w:hAnsiTheme="majorHAnsi" w:cstheme="majorHAnsi"/>
          <w:sz w:val="24"/>
          <w:szCs w:val="24"/>
        </w:rPr>
        <w:t>. https://doi.org/10.1038/mp.2017.5</w:t>
      </w:r>
    </w:p>
    <w:p w14:paraId="3925F86F"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Debette, S., &amp; Markus, H. S. (2010). The clinical importance of white matter hyperintensities on brain magnetic resonance imaging: systematic review and meta-analysis. </w:t>
      </w:r>
      <w:r w:rsidRPr="00624DA4">
        <w:rPr>
          <w:rFonts w:asciiTheme="majorHAnsi" w:hAnsiTheme="majorHAnsi" w:cstheme="majorHAnsi"/>
          <w:i/>
          <w:iCs/>
          <w:sz w:val="24"/>
          <w:szCs w:val="24"/>
        </w:rPr>
        <w:t>The BMJ</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341</w:t>
      </w:r>
      <w:r w:rsidRPr="00624DA4">
        <w:rPr>
          <w:rFonts w:asciiTheme="majorHAnsi" w:hAnsiTheme="majorHAnsi" w:cstheme="majorHAnsi"/>
          <w:sz w:val="24"/>
          <w:szCs w:val="24"/>
        </w:rPr>
        <w:t>. https://doi.org/10.1136/bmj.c3666</w:t>
      </w:r>
    </w:p>
    <w:p w14:paraId="00B88FE6"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Dobryakova, E., Genova, H. M., DeLuca, J., &amp; Wylie, G. R. (2015). The dopamine imbalance hypothesis of fatigue in multiple sclerosis and other neurological disorders. </w:t>
      </w:r>
      <w:r w:rsidRPr="00624DA4">
        <w:rPr>
          <w:rFonts w:asciiTheme="majorHAnsi" w:hAnsiTheme="majorHAnsi" w:cstheme="majorHAnsi"/>
          <w:i/>
          <w:iCs/>
          <w:sz w:val="24"/>
          <w:szCs w:val="24"/>
        </w:rPr>
        <w:t>Frontiers in Neurology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w:t>
      </w:r>
      <w:r w:rsidRPr="00624DA4">
        <w:rPr>
          <w:rFonts w:asciiTheme="majorHAnsi" w:hAnsiTheme="majorHAnsi" w:cstheme="majorHAnsi"/>
          <w:sz w:val="24"/>
          <w:szCs w:val="24"/>
        </w:rPr>
        <w:t>, 52. https://doi.org/10.3389/fneur.2015.00052</w:t>
      </w:r>
    </w:p>
    <w:p w14:paraId="4375084D"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Durieux, P. F., Schiffmann, S. N., &amp; de Kerchove d’Exaerde, A. (2011). Targeting neuronal populations of the striatum. </w:t>
      </w:r>
      <w:r w:rsidRPr="00624DA4">
        <w:rPr>
          <w:rFonts w:asciiTheme="majorHAnsi" w:hAnsiTheme="majorHAnsi" w:cstheme="majorHAnsi"/>
          <w:i/>
          <w:iCs/>
          <w:sz w:val="24"/>
          <w:szCs w:val="24"/>
        </w:rPr>
        <w:t>Frontiers in Neuroanatomy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w:t>
      </w:r>
      <w:r w:rsidRPr="00624DA4">
        <w:rPr>
          <w:rFonts w:asciiTheme="majorHAnsi" w:hAnsiTheme="majorHAnsi" w:cstheme="majorHAnsi"/>
          <w:sz w:val="24"/>
          <w:szCs w:val="24"/>
        </w:rPr>
        <w:t>, 40. https://doi.org/10.3389/fnana.2011.00040</w:t>
      </w:r>
    </w:p>
    <w:p w14:paraId="7BCC501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Ekmann, A., Petersen, I., Mänty, M., Christensen, K., &amp; Avlund, K. (2013). Fatigue, general health, and ischemic heart disease in older adults. </w:t>
      </w:r>
      <w:r w:rsidRPr="00624DA4">
        <w:rPr>
          <w:rFonts w:asciiTheme="majorHAnsi" w:hAnsiTheme="majorHAnsi" w:cstheme="majorHAnsi"/>
          <w:i/>
          <w:iCs/>
          <w:sz w:val="24"/>
          <w:szCs w:val="24"/>
        </w:rPr>
        <w:t>The Journals of Gerontology. Series A, Biological Sciences and Medical Sciences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68</w:t>
      </w:r>
      <w:r w:rsidRPr="00624DA4">
        <w:rPr>
          <w:rFonts w:asciiTheme="majorHAnsi" w:hAnsiTheme="majorHAnsi" w:cstheme="majorHAnsi"/>
          <w:sz w:val="24"/>
          <w:szCs w:val="24"/>
        </w:rPr>
        <w:t>(3), 279–285. https://doi.org/10.1093/gerona/gls180</w:t>
      </w:r>
    </w:p>
    <w:p w14:paraId="6829205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Eldadah, B. A. (2010). Fatigue and Fatigability in Older Adults. </w:t>
      </w:r>
      <w:r w:rsidRPr="00624DA4">
        <w:rPr>
          <w:rFonts w:asciiTheme="majorHAnsi" w:hAnsiTheme="majorHAnsi" w:cstheme="majorHAnsi"/>
          <w:i/>
          <w:iCs/>
          <w:sz w:val="24"/>
          <w:szCs w:val="24"/>
        </w:rPr>
        <w:t>PM&amp;R</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w:t>
      </w:r>
      <w:r w:rsidRPr="00624DA4">
        <w:rPr>
          <w:rFonts w:asciiTheme="majorHAnsi" w:hAnsiTheme="majorHAnsi" w:cstheme="majorHAnsi"/>
          <w:sz w:val="24"/>
          <w:szCs w:val="24"/>
        </w:rPr>
        <w:t>(5), 406–413. https://doi.org/10.1016/j.pmrj.2010.03.022</w:t>
      </w:r>
    </w:p>
    <w:p w14:paraId="0CCA032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Engberg, I., Segerstedt, J., Waller, G., Wennberg, P., &amp; Eliasson, M. (2017). Fatigue in the general population- associations to age, sex, socioeconomic status, physical activity, sitting time and self-rated health: the northern Sweden MONICA study 2014. </w:t>
      </w:r>
      <w:r w:rsidRPr="00624DA4">
        <w:rPr>
          <w:rFonts w:asciiTheme="majorHAnsi" w:hAnsiTheme="majorHAnsi" w:cstheme="majorHAnsi"/>
          <w:i/>
          <w:iCs/>
          <w:sz w:val="24"/>
          <w:szCs w:val="24"/>
        </w:rPr>
        <w:t>BMC Public Health</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17</w:t>
      </w:r>
      <w:r w:rsidRPr="00624DA4">
        <w:rPr>
          <w:rFonts w:asciiTheme="majorHAnsi" w:hAnsiTheme="majorHAnsi" w:cstheme="majorHAnsi"/>
          <w:sz w:val="24"/>
          <w:szCs w:val="24"/>
        </w:rPr>
        <w:t>, 654. https://doi.org/10.1186/s12889-017-4623-y</w:t>
      </w:r>
    </w:p>
    <w:p w14:paraId="3CE85B7E"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Feldthusen, C., Grimby-Ekman, A., Forsblad-d’Elia, H., Jacobsson, L., &amp; Mannerkorpi, K. (2016). Seasonal variations in fatigue in persons with rheumatoid arthritis: a longitudinal study. </w:t>
      </w:r>
      <w:r w:rsidRPr="00624DA4">
        <w:rPr>
          <w:rFonts w:asciiTheme="majorHAnsi" w:hAnsiTheme="majorHAnsi" w:cstheme="majorHAnsi"/>
          <w:i/>
          <w:iCs/>
          <w:sz w:val="24"/>
          <w:szCs w:val="24"/>
        </w:rPr>
        <w:t>BMC Musculoskeletal Disorders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17</w:t>
      </w:r>
      <w:r w:rsidRPr="00624DA4">
        <w:rPr>
          <w:rFonts w:asciiTheme="majorHAnsi" w:hAnsiTheme="majorHAnsi" w:cstheme="majorHAnsi"/>
          <w:sz w:val="24"/>
          <w:szCs w:val="24"/>
        </w:rPr>
        <w:t>. https://doi.org/10.1186/s12891-016-0911-4</w:t>
      </w:r>
    </w:p>
    <w:p w14:paraId="390AC691"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Fieo, R. A., Mortensen, E. L., Rantanen, T., &amp; Avlund, K. (2013). Improving a measure of mobility-related fatigue (the mobility-tiredness scale) by establishing item intensity.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61</w:t>
      </w:r>
      <w:r w:rsidRPr="00624DA4">
        <w:rPr>
          <w:rFonts w:asciiTheme="majorHAnsi" w:hAnsiTheme="majorHAnsi" w:cstheme="majorHAnsi"/>
          <w:sz w:val="24"/>
          <w:szCs w:val="24"/>
        </w:rPr>
        <w:t>(3), 429–433. https://doi.org/10.1111/jgs.12122</w:t>
      </w:r>
    </w:p>
    <w:p w14:paraId="6D7081B0"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Finsterer, J., &amp; Mahjoub, S. Z. (2014). Fatigue in healthy and diseased individuals. </w:t>
      </w:r>
      <w:r w:rsidRPr="00624DA4">
        <w:rPr>
          <w:rFonts w:asciiTheme="majorHAnsi" w:hAnsiTheme="majorHAnsi" w:cstheme="majorHAnsi"/>
          <w:i/>
          <w:iCs/>
          <w:sz w:val="24"/>
          <w:szCs w:val="24"/>
        </w:rPr>
        <w:t>The American Journal of Hospice &amp; Palliative Care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31</w:t>
      </w:r>
      <w:r w:rsidRPr="00624DA4">
        <w:rPr>
          <w:rFonts w:asciiTheme="majorHAnsi" w:hAnsiTheme="majorHAnsi" w:cstheme="majorHAnsi"/>
          <w:sz w:val="24"/>
          <w:szCs w:val="24"/>
        </w:rPr>
        <w:t>(5), 562–575. https://doi.org/10.1177/1049909113494748</w:t>
      </w:r>
    </w:p>
    <w:p w14:paraId="102C350D"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Fitzpatrick, A. L., Powe, N. R., Cooper, L. S., Ives, D. G., &amp; Robbins, J. A. (2004). Barriers to health care access among the elderly and who perceives them. </w:t>
      </w:r>
      <w:r w:rsidRPr="00624DA4">
        <w:rPr>
          <w:rFonts w:asciiTheme="majorHAnsi" w:hAnsiTheme="majorHAnsi" w:cstheme="majorHAnsi"/>
          <w:i/>
          <w:iCs/>
          <w:sz w:val="24"/>
          <w:szCs w:val="24"/>
        </w:rPr>
        <w:t>American Journal of Public Health</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94</w:t>
      </w:r>
      <w:r w:rsidRPr="00624DA4">
        <w:rPr>
          <w:rFonts w:asciiTheme="majorHAnsi" w:hAnsiTheme="majorHAnsi" w:cstheme="majorHAnsi"/>
          <w:sz w:val="24"/>
          <w:szCs w:val="24"/>
        </w:rPr>
        <w:t>(10), 1788–1794.</w:t>
      </w:r>
    </w:p>
    <w:p w14:paraId="0AFBEDC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Gallagher, M., &amp; Chiba, A. A. (1996). The amygdala and emotion. </w:t>
      </w:r>
      <w:r w:rsidRPr="00624DA4">
        <w:rPr>
          <w:rFonts w:asciiTheme="majorHAnsi" w:hAnsiTheme="majorHAnsi" w:cstheme="majorHAnsi"/>
          <w:i/>
          <w:iCs/>
          <w:sz w:val="24"/>
          <w:szCs w:val="24"/>
        </w:rPr>
        <w:t>Current Opinion in Neurobiology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w:t>
      </w:r>
      <w:r w:rsidRPr="00624DA4">
        <w:rPr>
          <w:rFonts w:asciiTheme="majorHAnsi" w:hAnsiTheme="majorHAnsi" w:cstheme="majorHAnsi"/>
          <w:sz w:val="24"/>
          <w:szCs w:val="24"/>
        </w:rPr>
        <w:t>(2), 221–227.</w:t>
      </w:r>
    </w:p>
    <w:p w14:paraId="7DDE55D1"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Gibson, A. S. C., Baden, D. A., Lambert, M. I., Lambert, E. V., Harley, Y. X. R., Hampson, D., … Noakes, T. D. (2003). The Conscious Perception of the Sensation of Fatigue. </w:t>
      </w:r>
      <w:r w:rsidRPr="00624DA4">
        <w:rPr>
          <w:rFonts w:asciiTheme="majorHAnsi" w:hAnsiTheme="majorHAnsi" w:cstheme="majorHAnsi"/>
          <w:i/>
          <w:iCs/>
          <w:sz w:val="24"/>
          <w:szCs w:val="24"/>
        </w:rPr>
        <w:t>Sports Medicine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33</w:t>
      </w:r>
      <w:r w:rsidRPr="00624DA4">
        <w:rPr>
          <w:rFonts w:asciiTheme="majorHAnsi" w:hAnsiTheme="majorHAnsi" w:cstheme="majorHAnsi"/>
          <w:sz w:val="24"/>
          <w:szCs w:val="24"/>
        </w:rPr>
        <w:t>(3), 167–176. https://doi.org/10.2165/00007256-200333030-00001</w:t>
      </w:r>
    </w:p>
    <w:p w14:paraId="558F214B"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Gill, T. M., Desai, M. M., Gahbauer, E. A., Holford, T. R., &amp; Williams, C. S. (2001). Restricted activity among community-living older persons: incidence, precipitants, and health care utilization. </w:t>
      </w:r>
      <w:r w:rsidRPr="00624DA4">
        <w:rPr>
          <w:rFonts w:asciiTheme="majorHAnsi" w:hAnsiTheme="majorHAnsi" w:cstheme="majorHAnsi"/>
          <w:i/>
          <w:iCs/>
          <w:sz w:val="24"/>
          <w:szCs w:val="24"/>
        </w:rPr>
        <w:t>Annals of Internal Medicine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135</w:t>
      </w:r>
      <w:r w:rsidRPr="00624DA4">
        <w:rPr>
          <w:rFonts w:asciiTheme="majorHAnsi" w:hAnsiTheme="majorHAnsi" w:cstheme="majorHAnsi"/>
          <w:sz w:val="24"/>
          <w:szCs w:val="24"/>
        </w:rPr>
        <w:t>(5), 313–321.</w:t>
      </w:r>
    </w:p>
    <w:p w14:paraId="6EFD298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Giorgio, A., Santelli, L., Tomassini, V., Bosnell, R., Smith, S., De Stefano, N., &amp; Johansen-Berg, H. (2010). Age-related changes in grey and white matter structure throughout adulthood. </w:t>
      </w:r>
      <w:r w:rsidRPr="00624DA4">
        <w:rPr>
          <w:rFonts w:asciiTheme="majorHAnsi" w:hAnsiTheme="majorHAnsi" w:cstheme="majorHAnsi"/>
          <w:i/>
          <w:iCs/>
          <w:sz w:val="24"/>
          <w:szCs w:val="24"/>
        </w:rPr>
        <w:t>NeuroImage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51</w:t>
      </w:r>
      <w:r w:rsidRPr="00624DA4">
        <w:rPr>
          <w:rFonts w:asciiTheme="majorHAnsi" w:hAnsiTheme="majorHAnsi" w:cstheme="majorHAnsi"/>
          <w:sz w:val="24"/>
          <w:szCs w:val="24"/>
        </w:rPr>
        <w:t>(3), 943–951. https://doi.org/10.1016/j.neuroimage.2010.03.004</w:t>
      </w:r>
    </w:p>
    <w:p w14:paraId="012E7CAE"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Glynn, N. W., Santanasto, A. J., Simonsick, E. M., Boudreau, R. M., Beach, S. R., Schulz, R., &amp; Newman, A. B. (2014). The Pittsburgh Fatigability scale for older adults: development and validation.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63</w:t>
      </w:r>
      <w:r w:rsidRPr="00624DA4">
        <w:rPr>
          <w:rFonts w:asciiTheme="majorHAnsi" w:hAnsiTheme="majorHAnsi" w:cstheme="majorHAnsi"/>
          <w:sz w:val="24"/>
          <w:szCs w:val="24"/>
        </w:rPr>
        <w:t>(1), 130–135. https://doi.org/10.1111/jgs.13191</w:t>
      </w:r>
    </w:p>
    <w:p w14:paraId="6F71DCE0"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Goldberg, I. I., Harel, M., &amp; Malach, R. (2006). When the Brain Loses Its Self: Prefrontal Inactivation during Sensorimotor Processing. </w:t>
      </w:r>
      <w:r w:rsidRPr="00624DA4">
        <w:rPr>
          <w:rFonts w:asciiTheme="majorHAnsi" w:hAnsiTheme="majorHAnsi" w:cstheme="majorHAnsi"/>
          <w:i/>
          <w:iCs/>
          <w:sz w:val="24"/>
          <w:szCs w:val="24"/>
        </w:rPr>
        <w:t>Neuron</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50</w:t>
      </w:r>
      <w:r w:rsidRPr="00624DA4">
        <w:rPr>
          <w:rFonts w:asciiTheme="majorHAnsi" w:hAnsiTheme="majorHAnsi" w:cstheme="majorHAnsi"/>
          <w:sz w:val="24"/>
          <w:szCs w:val="24"/>
        </w:rPr>
        <w:t>(2), 329–339. https://doi.org/10.1016/j.neuron.2006.03.015</w:t>
      </w:r>
    </w:p>
    <w:p w14:paraId="7E336A0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Grahn, J. A., Parkinson, J. A., &amp; Owen, A. M. (2008). The cognitive functions of the caudate nucleus. </w:t>
      </w:r>
      <w:r w:rsidRPr="00624DA4">
        <w:rPr>
          <w:rFonts w:asciiTheme="majorHAnsi" w:hAnsiTheme="majorHAnsi" w:cstheme="majorHAnsi"/>
          <w:i/>
          <w:iCs/>
          <w:sz w:val="24"/>
          <w:szCs w:val="24"/>
        </w:rPr>
        <w:t>Progress in Neurobiology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86</w:t>
      </w:r>
      <w:r w:rsidRPr="00624DA4">
        <w:rPr>
          <w:rFonts w:asciiTheme="majorHAnsi" w:hAnsiTheme="majorHAnsi" w:cstheme="majorHAnsi"/>
          <w:sz w:val="24"/>
          <w:szCs w:val="24"/>
        </w:rPr>
        <w:t>(3), 141–155. https://doi.org/10.1016/j.pneurobio.2008.09.004</w:t>
      </w:r>
    </w:p>
    <w:p w14:paraId="157735B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Gunning-Dixon, F. M., Brickman, A. M., Cheng, J. C., &amp; Alexopoulos, G. S. (2009). Aging of Cerebral White Matter: A Review of MRI Findings. </w:t>
      </w:r>
      <w:r w:rsidRPr="00624DA4">
        <w:rPr>
          <w:rFonts w:asciiTheme="majorHAnsi" w:hAnsiTheme="majorHAnsi" w:cstheme="majorHAnsi"/>
          <w:i/>
          <w:iCs/>
          <w:sz w:val="24"/>
          <w:szCs w:val="24"/>
        </w:rPr>
        <w:t>International Journal of Geriatric Psychiatry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24</w:t>
      </w:r>
      <w:r w:rsidRPr="00624DA4">
        <w:rPr>
          <w:rFonts w:asciiTheme="majorHAnsi" w:hAnsiTheme="majorHAnsi" w:cstheme="majorHAnsi"/>
          <w:sz w:val="24"/>
          <w:szCs w:val="24"/>
        </w:rPr>
        <w:t>(2), 109–117. https://doi.org/10.1002/gps.2087</w:t>
      </w:r>
    </w:p>
    <w:p w14:paraId="195520C6"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Gupta, D., Agarwal, R., Aggarwal, A. N., Maturu, V. N., Dhooria, S., Prasad, K. T., … Behera, D. (2013). Guidelines for diagnosis and management of chronic obstructive pulmonary disease: Joint ICS/NCCP (I) recommendations. </w:t>
      </w:r>
      <w:r w:rsidRPr="00624DA4">
        <w:rPr>
          <w:rFonts w:asciiTheme="majorHAnsi" w:hAnsiTheme="majorHAnsi" w:cstheme="majorHAnsi"/>
          <w:i/>
          <w:iCs/>
          <w:sz w:val="24"/>
          <w:szCs w:val="24"/>
        </w:rPr>
        <w:t>Lung India : Official Organ of Indian Chest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30</w:t>
      </w:r>
      <w:r w:rsidRPr="00624DA4">
        <w:rPr>
          <w:rFonts w:asciiTheme="majorHAnsi" w:hAnsiTheme="majorHAnsi" w:cstheme="majorHAnsi"/>
          <w:sz w:val="24"/>
          <w:szCs w:val="24"/>
        </w:rPr>
        <w:t>(3), 228–267. https://doi.org/10.4103/0970-2113.116248</w:t>
      </w:r>
    </w:p>
    <w:p w14:paraId="71D71D9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Guralnik, J. M., Ferrucci, L., Pieper, C. F., Leveille, S. G., Markides, K. S., Ostir, G. V., … Wallace, R. B. (2000). Lower Extremity Function and Subsequent Disability: Consistency Across Studies, Predictive Models, and Value of Gait Speed Alone Compared With the Short Physical Performance Battery. </w:t>
      </w:r>
      <w:r w:rsidRPr="00624DA4">
        <w:rPr>
          <w:rFonts w:asciiTheme="majorHAnsi" w:hAnsiTheme="majorHAnsi" w:cstheme="majorHAnsi"/>
          <w:i/>
          <w:iCs/>
          <w:sz w:val="24"/>
          <w:szCs w:val="24"/>
        </w:rPr>
        <w:t>The Journals of Gerontology: Series A</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55</w:t>
      </w:r>
      <w:r w:rsidRPr="00624DA4">
        <w:rPr>
          <w:rFonts w:asciiTheme="majorHAnsi" w:hAnsiTheme="majorHAnsi" w:cstheme="majorHAnsi"/>
          <w:sz w:val="24"/>
          <w:szCs w:val="24"/>
        </w:rPr>
        <w:t>(4), M221–M231. https://doi.org/10.1093/gerona/55.4.M221</w:t>
      </w:r>
    </w:p>
    <w:p w14:paraId="6497765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Hagmann, P., Cammoun, L., Gigandet, X., Meuli, R., Honey, C. J., Wedeen, V. J., &amp; Sporns, O. (2008). Mapping the structural core of human cerebral cortex. </w:t>
      </w:r>
      <w:r w:rsidRPr="00624DA4">
        <w:rPr>
          <w:rFonts w:asciiTheme="majorHAnsi" w:hAnsiTheme="majorHAnsi" w:cstheme="majorHAnsi"/>
          <w:i/>
          <w:iCs/>
          <w:sz w:val="24"/>
          <w:szCs w:val="24"/>
        </w:rPr>
        <w:t>PLoS Biology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w:t>
      </w:r>
      <w:r w:rsidRPr="00624DA4">
        <w:rPr>
          <w:rFonts w:asciiTheme="majorHAnsi" w:hAnsiTheme="majorHAnsi" w:cstheme="majorHAnsi"/>
          <w:sz w:val="24"/>
          <w:szCs w:val="24"/>
        </w:rPr>
        <w:t>(7), e159. https://doi.org/10.1371/journal.pbio.0060159</w:t>
      </w:r>
    </w:p>
    <w:p w14:paraId="21A38F8B"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Harrington, M. E. (2012). Neurobiological studies of fatigue. </w:t>
      </w:r>
      <w:r w:rsidRPr="00624DA4">
        <w:rPr>
          <w:rFonts w:asciiTheme="majorHAnsi" w:hAnsiTheme="majorHAnsi" w:cstheme="majorHAnsi"/>
          <w:i/>
          <w:iCs/>
          <w:sz w:val="24"/>
          <w:szCs w:val="24"/>
        </w:rPr>
        <w:t>Progress in Neurobiology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99</w:t>
      </w:r>
      <w:r w:rsidRPr="00624DA4">
        <w:rPr>
          <w:rFonts w:asciiTheme="majorHAnsi" w:hAnsiTheme="majorHAnsi" w:cstheme="majorHAnsi"/>
          <w:sz w:val="24"/>
          <w:szCs w:val="24"/>
        </w:rPr>
        <w:t>(2), 93–105. https://doi.org/10.1016/j.pneurobio.2012.07.004</w:t>
      </w:r>
    </w:p>
    <w:p w14:paraId="1AC69A3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Hidalgo de la Cruz, M., d’Ambrosio, A., Valsasina, P., Pagani, E., Colombo, B., Rodegher, M., … Rocca, M. A. (2017). Abnormal functional connectivity of thalamic sub-regions contributes to fatigue in multiple sclerosis. </w:t>
      </w:r>
      <w:r w:rsidRPr="00624DA4">
        <w:rPr>
          <w:rFonts w:asciiTheme="majorHAnsi" w:hAnsiTheme="majorHAnsi" w:cstheme="majorHAnsi"/>
          <w:i/>
          <w:iCs/>
          <w:sz w:val="24"/>
          <w:szCs w:val="24"/>
        </w:rPr>
        <w:t>Multiple Sclerosis (Houndmills, Basingstoke, England)</w:t>
      </w:r>
      <w:r w:rsidRPr="00624DA4">
        <w:rPr>
          <w:rFonts w:asciiTheme="majorHAnsi" w:hAnsiTheme="majorHAnsi" w:cstheme="majorHAnsi"/>
          <w:sz w:val="24"/>
          <w:szCs w:val="24"/>
        </w:rPr>
        <w:t>, 1352458517717807. https://doi.org/10.1177/1352458517717807</w:t>
      </w:r>
    </w:p>
    <w:p w14:paraId="50171E3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Hou, L. J., Song, Z., Pan, Z. J., Cheng, J. L., Yu, Y., &amp; Wang, J. (2016). Decreased Activation of Subcortical Brain Areas in the Motor Fatigue State: An fMRI Study. </w:t>
      </w:r>
      <w:r w:rsidRPr="00624DA4">
        <w:rPr>
          <w:rFonts w:asciiTheme="majorHAnsi" w:hAnsiTheme="majorHAnsi" w:cstheme="majorHAnsi"/>
          <w:i/>
          <w:iCs/>
          <w:sz w:val="24"/>
          <w:szCs w:val="24"/>
        </w:rPr>
        <w:t>Frontiers in Psychology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7</w:t>
      </w:r>
      <w:r w:rsidRPr="00624DA4">
        <w:rPr>
          <w:rFonts w:asciiTheme="majorHAnsi" w:hAnsiTheme="majorHAnsi" w:cstheme="majorHAnsi"/>
          <w:sz w:val="24"/>
          <w:szCs w:val="24"/>
        </w:rPr>
        <w:t>, 1154. https://doi.org/10.3389/fpsyg.2016.01154</w:t>
      </w:r>
    </w:p>
    <w:p w14:paraId="21EE6BC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Irshad, M., Mankotia, D. S., &amp; Irshad, K. (2013). An insight into the diagnosis and pathogenesis of hepatitis C virus infection. </w:t>
      </w:r>
      <w:r w:rsidRPr="00624DA4">
        <w:rPr>
          <w:rFonts w:asciiTheme="majorHAnsi" w:hAnsiTheme="majorHAnsi" w:cstheme="majorHAnsi"/>
          <w:i/>
          <w:iCs/>
          <w:sz w:val="24"/>
          <w:szCs w:val="24"/>
        </w:rPr>
        <w:t>World Journal of Gastroenterology : WJG</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19</w:t>
      </w:r>
      <w:r w:rsidRPr="00624DA4">
        <w:rPr>
          <w:rFonts w:asciiTheme="majorHAnsi" w:hAnsiTheme="majorHAnsi" w:cstheme="majorHAnsi"/>
          <w:sz w:val="24"/>
          <w:szCs w:val="24"/>
        </w:rPr>
        <w:t>(44), 7896–7909. https://doi.org/10.3748/wjg.v19.i44.7896</w:t>
      </w:r>
    </w:p>
    <w:p w14:paraId="52A9CF0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Jonklaas, J., Bianco, A. C., Bauer, A. J., Burman, K. D., Cappola, A. R., Celi, F. S., … Sawka, A. M. (2014). Guidelines for the Treatment of Hypothyroidism: Prepared by the American Thyroid Association Task Force on Thyroid Hormone Replacement. </w:t>
      </w:r>
      <w:r w:rsidRPr="00624DA4">
        <w:rPr>
          <w:rFonts w:asciiTheme="majorHAnsi" w:hAnsiTheme="majorHAnsi" w:cstheme="majorHAnsi"/>
          <w:i/>
          <w:iCs/>
          <w:sz w:val="24"/>
          <w:szCs w:val="24"/>
        </w:rPr>
        <w:t>Thyroid</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24</w:t>
      </w:r>
      <w:r w:rsidRPr="00624DA4">
        <w:rPr>
          <w:rFonts w:asciiTheme="majorHAnsi" w:hAnsiTheme="majorHAnsi" w:cstheme="majorHAnsi"/>
          <w:sz w:val="24"/>
          <w:szCs w:val="24"/>
        </w:rPr>
        <w:t>(12), 1670–1751. https://doi.org/10.1089/thy.2014.0028</w:t>
      </w:r>
    </w:p>
    <w:p w14:paraId="5777B3DA"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Karas, G. B., Scheltens, P., Rombouts, S. a. R. B., Visser, P. J., van Schijndel, R. A., Fox, N. C., &amp; Barkhof, F. (2004). Global and local gray matter loss in mild cognitive impairment and Alzheimer’s disease. </w:t>
      </w:r>
      <w:r w:rsidRPr="00624DA4">
        <w:rPr>
          <w:rFonts w:asciiTheme="majorHAnsi" w:hAnsiTheme="majorHAnsi" w:cstheme="majorHAnsi"/>
          <w:i/>
          <w:iCs/>
          <w:sz w:val="24"/>
          <w:szCs w:val="24"/>
        </w:rPr>
        <w:t>NeuroImage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23</w:t>
      </w:r>
      <w:r w:rsidRPr="00624DA4">
        <w:rPr>
          <w:rFonts w:asciiTheme="majorHAnsi" w:hAnsiTheme="majorHAnsi" w:cstheme="majorHAnsi"/>
          <w:sz w:val="24"/>
          <w:szCs w:val="24"/>
        </w:rPr>
        <w:t>(2), 708–716. https://doi.org/10.1016/j.neuroimage.2004.07.006</w:t>
      </w:r>
    </w:p>
    <w:p w14:paraId="263BA58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Kenter, E. G. H., Okkes, I. M., Oskam, S. K., &amp; Lamberts, H. (2003). Tiredness in Dutch family practice. Data on patients complaining of and/or diagnosed with “tiredness.” </w:t>
      </w:r>
      <w:r w:rsidRPr="00624DA4">
        <w:rPr>
          <w:rFonts w:asciiTheme="majorHAnsi" w:hAnsiTheme="majorHAnsi" w:cstheme="majorHAnsi"/>
          <w:i/>
          <w:iCs/>
          <w:sz w:val="24"/>
          <w:szCs w:val="24"/>
        </w:rPr>
        <w:t>Family Practice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20</w:t>
      </w:r>
      <w:r w:rsidRPr="00624DA4">
        <w:rPr>
          <w:rFonts w:asciiTheme="majorHAnsi" w:hAnsiTheme="majorHAnsi" w:cstheme="majorHAnsi"/>
          <w:sz w:val="24"/>
          <w:szCs w:val="24"/>
        </w:rPr>
        <w:t>(4), 434–440.</w:t>
      </w:r>
    </w:p>
    <w:p w14:paraId="59495AF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Kim, I., Hacker, E., Ferrans, C. E., Horswill, C., Park, C., &amp; Kapella, M. (2017). Evaluation of fatigability measurement: Integrative review. </w:t>
      </w:r>
      <w:r w:rsidRPr="00624DA4">
        <w:rPr>
          <w:rFonts w:asciiTheme="majorHAnsi" w:hAnsiTheme="majorHAnsi" w:cstheme="majorHAnsi"/>
          <w:i/>
          <w:iCs/>
          <w:sz w:val="24"/>
          <w:szCs w:val="24"/>
        </w:rPr>
        <w:t>Geriatric Nursing</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0</w:t>
      </w:r>
      <w:r w:rsidRPr="00624DA4">
        <w:rPr>
          <w:rFonts w:asciiTheme="majorHAnsi" w:hAnsiTheme="majorHAnsi" w:cstheme="majorHAnsi"/>
          <w:sz w:val="24"/>
          <w:szCs w:val="24"/>
        </w:rPr>
        <w:t>(0). https://doi.org/10.1016/j.gerinurse.2017.05.014</w:t>
      </w:r>
    </w:p>
    <w:p w14:paraId="6E33C7C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Landmark-Høyvik, H., Reinertsen, K. V., Loge, J. H., Kristensen, V. N., Dumeaux, V., Fosså, S. D., … Edvardsen, H. (2010). The genetics and epigenetics of fatigue. </w:t>
      </w:r>
      <w:r w:rsidRPr="00624DA4">
        <w:rPr>
          <w:rFonts w:asciiTheme="majorHAnsi" w:hAnsiTheme="majorHAnsi" w:cstheme="majorHAnsi"/>
          <w:i/>
          <w:iCs/>
          <w:sz w:val="24"/>
          <w:szCs w:val="24"/>
        </w:rPr>
        <w:t>PM &amp; R: The Journal of Injury, Function, and Rehabilitation</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w:t>
      </w:r>
      <w:r w:rsidRPr="00624DA4">
        <w:rPr>
          <w:rFonts w:asciiTheme="majorHAnsi" w:hAnsiTheme="majorHAnsi" w:cstheme="majorHAnsi"/>
          <w:sz w:val="24"/>
          <w:szCs w:val="24"/>
        </w:rPr>
        <w:t>(5), 456–465. https://doi.org/10.1016/j.pmrj.2010.04.003</w:t>
      </w:r>
    </w:p>
    <w:p w14:paraId="538384B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Leech, R., &amp; Sharp, D. J. (2014). The role of the posterior cingulate cortex in cognition and disease. </w:t>
      </w:r>
      <w:r w:rsidRPr="00624DA4">
        <w:rPr>
          <w:rFonts w:asciiTheme="majorHAnsi" w:hAnsiTheme="majorHAnsi" w:cstheme="majorHAnsi"/>
          <w:i/>
          <w:iCs/>
          <w:sz w:val="24"/>
          <w:szCs w:val="24"/>
        </w:rPr>
        <w:t>Brain</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137</w:t>
      </w:r>
      <w:r w:rsidRPr="00624DA4">
        <w:rPr>
          <w:rFonts w:asciiTheme="majorHAnsi" w:hAnsiTheme="majorHAnsi" w:cstheme="majorHAnsi"/>
          <w:sz w:val="24"/>
          <w:szCs w:val="24"/>
        </w:rPr>
        <w:t>(1), 12–32. https://doi.org/10.1093/brain/awt162</w:t>
      </w:r>
    </w:p>
    <w:p w14:paraId="77874A80"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Liao, S., &amp; Ferrell, B. A. (2000). Fatigue in an older population.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48</w:t>
      </w:r>
      <w:r w:rsidRPr="00624DA4">
        <w:rPr>
          <w:rFonts w:asciiTheme="majorHAnsi" w:hAnsiTheme="majorHAnsi" w:cstheme="majorHAnsi"/>
          <w:sz w:val="24"/>
          <w:szCs w:val="24"/>
        </w:rPr>
        <w:t>(4), 426–430.</w:t>
      </w:r>
    </w:p>
    <w:p w14:paraId="1C42118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Magnetic Resonance Imaging - MeSH - NCBI. (n.d.). Retrieved July 27, 2017, from https://www.ncbi.nlm.nih.gov/mesh/68008279</w:t>
      </w:r>
    </w:p>
    <w:p w14:paraId="2DA739A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Mänty, M., Leon, M. de, F, C., Rantanen, T., Era, P., Pedersen, A. N., … Avlund, K. (2012). Mobility-Related Fatigue, Walking Speed, and Muscle Strength in Older People. </w:t>
      </w:r>
      <w:r w:rsidRPr="00624DA4">
        <w:rPr>
          <w:rFonts w:asciiTheme="majorHAnsi" w:hAnsiTheme="majorHAnsi" w:cstheme="majorHAnsi"/>
          <w:i/>
          <w:iCs/>
          <w:sz w:val="24"/>
          <w:szCs w:val="24"/>
        </w:rPr>
        <w:t>The Journals of Gerontology: Series A</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67A</w:t>
      </w:r>
      <w:r w:rsidRPr="00624DA4">
        <w:rPr>
          <w:rFonts w:asciiTheme="majorHAnsi" w:hAnsiTheme="majorHAnsi" w:cstheme="majorHAnsi"/>
          <w:sz w:val="24"/>
          <w:szCs w:val="24"/>
        </w:rPr>
        <w:t>(5), 523–529. https://doi.org/10.1093/gerona/glr183</w:t>
      </w:r>
    </w:p>
    <w:p w14:paraId="035B1B01"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Mänty, M., Rantanen, T., Era, P., &amp; Avlund, K. (2014). Fatigue and Depressive Symptoms in Older People. </w:t>
      </w:r>
      <w:r w:rsidRPr="00624DA4">
        <w:rPr>
          <w:rFonts w:asciiTheme="majorHAnsi" w:hAnsiTheme="majorHAnsi" w:cstheme="majorHAnsi"/>
          <w:i/>
          <w:iCs/>
          <w:sz w:val="24"/>
          <w:szCs w:val="24"/>
        </w:rPr>
        <w:t>Journal of Applied Gerontology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33</w:t>
      </w:r>
      <w:r w:rsidRPr="00624DA4">
        <w:rPr>
          <w:rFonts w:asciiTheme="majorHAnsi" w:hAnsiTheme="majorHAnsi" w:cstheme="majorHAnsi"/>
          <w:sz w:val="24"/>
          <w:szCs w:val="24"/>
        </w:rPr>
        <w:t>(4), 505–514. https://doi.org/10.1177/0733464812454011</w:t>
      </w:r>
    </w:p>
    <w:p w14:paraId="5927A15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Marques-Aleixo, I., Oliveira, P. J., Moreira, P. I., Magalhães, J., &amp; Ascensão, A. (2012). Physical exercise as a possible strategy for brain protection: evidence from mitochondrial-mediated mechanisms. </w:t>
      </w:r>
      <w:r w:rsidRPr="00624DA4">
        <w:rPr>
          <w:rFonts w:asciiTheme="majorHAnsi" w:hAnsiTheme="majorHAnsi" w:cstheme="majorHAnsi"/>
          <w:i/>
          <w:iCs/>
          <w:sz w:val="24"/>
          <w:szCs w:val="24"/>
        </w:rPr>
        <w:t>Progress in Neurobiology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99</w:t>
      </w:r>
      <w:r w:rsidRPr="00624DA4">
        <w:rPr>
          <w:rFonts w:asciiTheme="majorHAnsi" w:hAnsiTheme="majorHAnsi" w:cstheme="majorHAnsi"/>
          <w:sz w:val="24"/>
          <w:szCs w:val="24"/>
        </w:rPr>
        <w:t>(2), 149–162. https://doi.org/10.1016/j.pneurobio.2012.08.002</w:t>
      </w:r>
    </w:p>
    <w:p w14:paraId="60659EB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Marsh, A. P., Lovato, L. C., Glynn, N. W., Kennedy, K., Castro, C., Domanchuk, K., … LIFE Study Research Group. (2013). Lifestyle interventions and independence for elders study: recruitment and baseline characteristics. </w:t>
      </w:r>
      <w:r w:rsidRPr="00624DA4">
        <w:rPr>
          <w:rFonts w:asciiTheme="majorHAnsi" w:hAnsiTheme="majorHAnsi" w:cstheme="majorHAnsi"/>
          <w:i/>
          <w:iCs/>
          <w:sz w:val="24"/>
          <w:szCs w:val="24"/>
        </w:rPr>
        <w:t>The Journals of Gerontology. Series A, Biological Sciences and Medical Sciences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68</w:t>
      </w:r>
      <w:r w:rsidRPr="00624DA4">
        <w:rPr>
          <w:rFonts w:asciiTheme="majorHAnsi" w:hAnsiTheme="majorHAnsi" w:cstheme="majorHAnsi"/>
          <w:sz w:val="24"/>
          <w:szCs w:val="24"/>
        </w:rPr>
        <w:t>(12), 1549–1558. https://doi.org/10.1093/gerona/glt064</w:t>
      </w:r>
    </w:p>
    <w:p w14:paraId="35867B9E"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Masley, S. C., Roetzheim, R., Clayton, G., Presby, A., Sundberg, K., &amp; Masley, L. V. (2017). Lifestyle Markers Predict Cognitive Function. </w:t>
      </w:r>
      <w:r w:rsidRPr="00624DA4">
        <w:rPr>
          <w:rFonts w:asciiTheme="majorHAnsi" w:hAnsiTheme="majorHAnsi" w:cstheme="majorHAnsi"/>
          <w:i/>
          <w:iCs/>
          <w:sz w:val="24"/>
          <w:szCs w:val="24"/>
        </w:rPr>
        <w:t>Journal of the American College of Nutrition</w:t>
      </w:r>
      <w:r w:rsidRPr="00624DA4">
        <w:rPr>
          <w:rFonts w:asciiTheme="majorHAnsi" w:hAnsiTheme="majorHAnsi" w:cstheme="majorHAnsi"/>
          <w:sz w:val="24"/>
          <w:szCs w:val="24"/>
        </w:rPr>
        <w:t>, 1–7. https://doi.org/10.1080/07315724.2017.1336128</w:t>
      </w:r>
    </w:p>
    <w:p w14:paraId="03412B8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McCormick, D. A. (1999). Are thalamocortical rhythms the rosetta stone of a subset of neurological disorders? </w:t>
      </w:r>
      <w:r w:rsidRPr="00624DA4">
        <w:rPr>
          <w:rFonts w:asciiTheme="majorHAnsi" w:hAnsiTheme="majorHAnsi" w:cstheme="majorHAnsi"/>
          <w:i/>
          <w:iCs/>
          <w:sz w:val="24"/>
          <w:szCs w:val="24"/>
        </w:rPr>
        <w:t>Nature Medicine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w:t>
      </w:r>
      <w:r w:rsidRPr="00624DA4">
        <w:rPr>
          <w:rFonts w:asciiTheme="majorHAnsi" w:hAnsiTheme="majorHAnsi" w:cstheme="majorHAnsi"/>
          <w:sz w:val="24"/>
          <w:szCs w:val="24"/>
        </w:rPr>
        <w:t>(12), 1349–1351. https://doi.org/10.1038/70911</w:t>
      </w:r>
    </w:p>
    <w:p w14:paraId="762F865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Meng, H., Hale, L., &amp; Friedberg, F. (2010). Prevalence and Predictors of Fatigue Among Middle-Aged and Older Adults: Evidence from the Health and Retirement Study.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58</w:t>
      </w:r>
      <w:r w:rsidRPr="00624DA4">
        <w:rPr>
          <w:rFonts w:asciiTheme="majorHAnsi" w:hAnsiTheme="majorHAnsi" w:cstheme="majorHAnsi"/>
          <w:sz w:val="24"/>
          <w:szCs w:val="24"/>
        </w:rPr>
        <w:t>(10), 2033–2034. https://doi.org/10.1111/j.1532-5415.2010.03088.x</w:t>
      </w:r>
    </w:p>
    <w:p w14:paraId="1841056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Mizuno, K., Kawatani, J., Tajima, K., Sasaki, A. T., Yoneda, T., Komi, M., … Watanabe, Y. (2016). Low putamen activity associated with poor reward sensitivity in childhood chronic fatigue syndrome. </w:t>
      </w:r>
      <w:r w:rsidRPr="00624DA4">
        <w:rPr>
          <w:rFonts w:asciiTheme="majorHAnsi" w:hAnsiTheme="majorHAnsi" w:cstheme="majorHAnsi"/>
          <w:i/>
          <w:iCs/>
          <w:sz w:val="24"/>
          <w:szCs w:val="24"/>
        </w:rPr>
        <w:t>NeuroImage. Clinical</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12</w:t>
      </w:r>
      <w:r w:rsidRPr="00624DA4">
        <w:rPr>
          <w:rFonts w:asciiTheme="majorHAnsi" w:hAnsiTheme="majorHAnsi" w:cstheme="majorHAnsi"/>
          <w:sz w:val="24"/>
          <w:szCs w:val="24"/>
        </w:rPr>
        <w:t>, 600–606. https://doi.org/10.1016/j.nicl.2016.09.016</w:t>
      </w:r>
    </w:p>
    <w:p w14:paraId="11793CBA"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Moreh, E., Jacobs, J. M., &amp; Stessman, J. (2010). Fatigue, function, and mortality in older adults. </w:t>
      </w:r>
      <w:r w:rsidRPr="00624DA4">
        <w:rPr>
          <w:rFonts w:asciiTheme="majorHAnsi" w:hAnsiTheme="majorHAnsi" w:cstheme="majorHAnsi"/>
          <w:i/>
          <w:iCs/>
          <w:sz w:val="24"/>
          <w:szCs w:val="24"/>
        </w:rPr>
        <w:t>The Journals of Gerontology. Series A, Biological Sciences and Medical Sciences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65</w:t>
      </w:r>
      <w:r w:rsidRPr="00624DA4">
        <w:rPr>
          <w:rFonts w:asciiTheme="majorHAnsi" w:hAnsiTheme="majorHAnsi" w:cstheme="majorHAnsi"/>
          <w:sz w:val="24"/>
          <w:szCs w:val="24"/>
        </w:rPr>
        <w:t>(8), 887–895. https://doi.org/10.1093/gerona/glq064</w:t>
      </w:r>
    </w:p>
    <w:p w14:paraId="731B6C2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Nakagawa, S., Takeuchi, H., Taki, Y., Nouchi, R., Kotozaki, Y., Shinada, T., … Kawashima, R. (2016). Basal ganglia correlates of fatigue in young adults. </w:t>
      </w:r>
      <w:r w:rsidRPr="00624DA4">
        <w:rPr>
          <w:rFonts w:asciiTheme="majorHAnsi" w:hAnsiTheme="majorHAnsi" w:cstheme="majorHAnsi"/>
          <w:i/>
          <w:iCs/>
          <w:sz w:val="24"/>
          <w:szCs w:val="24"/>
        </w:rPr>
        <w:t>Scientific Reports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w:t>
      </w:r>
      <w:r w:rsidRPr="00624DA4">
        <w:rPr>
          <w:rFonts w:asciiTheme="majorHAnsi" w:hAnsiTheme="majorHAnsi" w:cstheme="majorHAnsi"/>
          <w:sz w:val="24"/>
          <w:szCs w:val="24"/>
        </w:rPr>
        <w:t>. https://doi.org/10.1038/srep21386</w:t>
      </w:r>
    </w:p>
    <w:p w14:paraId="7E112A6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Oleson, S., Gonzales, M. M., Tarumi, T., Davis, J. N., Cassill, C. K., Tanaka, H., &amp; Haley, A. P. (2017). Nutrient intake and cerebral metabolism in healthy middle-aged adults: Implications for cognitive aging. </w:t>
      </w:r>
      <w:r w:rsidRPr="00624DA4">
        <w:rPr>
          <w:rFonts w:asciiTheme="majorHAnsi" w:hAnsiTheme="majorHAnsi" w:cstheme="majorHAnsi"/>
          <w:i/>
          <w:iCs/>
          <w:sz w:val="24"/>
          <w:szCs w:val="24"/>
        </w:rPr>
        <w:t>Nutritional Neuroscience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20</w:t>
      </w:r>
      <w:r w:rsidRPr="00624DA4">
        <w:rPr>
          <w:rFonts w:asciiTheme="majorHAnsi" w:hAnsiTheme="majorHAnsi" w:cstheme="majorHAnsi"/>
          <w:sz w:val="24"/>
          <w:szCs w:val="24"/>
        </w:rPr>
        <w:t>(8), 489–496. https://doi.org/10.1080/1028415X.2016.1186341</w:t>
      </w:r>
    </w:p>
    <w:p w14:paraId="73946C3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Pardini, M., Bonzano, L., Bergamino, M., Bommarito, G., Feraco, P., Murugavel, A., … Roccatagliata, L. (2015). Cingulum bundle alterations underlie subjective fatigue in multiple sclerosis. </w:t>
      </w:r>
      <w:r w:rsidRPr="00624DA4">
        <w:rPr>
          <w:rFonts w:asciiTheme="majorHAnsi" w:hAnsiTheme="majorHAnsi" w:cstheme="majorHAnsi"/>
          <w:i/>
          <w:iCs/>
          <w:sz w:val="24"/>
          <w:szCs w:val="24"/>
        </w:rPr>
        <w:t>Multiple Sclerosis (Houndmills, Basingstoke, England)</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21</w:t>
      </w:r>
      <w:r w:rsidRPr="00624DA4">
        <w:rPr>
          <w:rFonts w:asciiTheme="majorHAnsi" w:hAnsiTheme="majorHAnsi" w:cstheme="majorHAnsi"/>
          <w:sz w:val="24"/>
          <w:szCs w:val="24"/>
        </w:rPr>
        <w:t>(4), 442–447. https://doi.org/10.1177/1352458514546791</w:t>
      </w:r>
    </w:p>
    <w:p w14:paraId="20092A4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Patestas, M. A., &amp; Gartner, L. P. (2016). </w:t>
      </w:r>
      <w:r w:rsidRPr="00624DA4">
        <w:rPr>
          <w:rFonts w:asciiTheme="majorHAnsi" w:hAnsiTheme="majorHAnsi" w:cstheme="majorHAnsi"/>
          <w:i/>
          <w:iCs/>
          <w:sz w:val="24"/>
          <w:szCs w:val="24"/>
        </w:rPr>
        <w:t>A textbook of neuroanatomy</w:t>
      </w:r>
      <w:r w:rsidRPr="00624DA4">
        <w:rPr>
          <w:rFonts w:asciiTheme="majorHAnsi" w:hAnsiTheme="majorHAnsi" w:cstheme="majorHAnsi"/>
          <w:sz w:val="24"/>
          <w:szCs w:val="24"/>
        </w:rPr>
        <w:t>. Hoboken, New Jersey: Wiley, Blackwell.</w:t>
      </w:r>
    </w:p>
    <w:p w14:paraId="1AA73EE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Peters, R. (2006). Ageing and the brain. </w:t>
      </w:r>
      <w:r w:rsidRPr="00624DA4">
        <w:rPr>
          <w:rFonts w:asciiTheme="majorHAnsi" w:hAnsiTheme="majorHAnsi" w:cstheme="majorHAnsi"/>
          <w:i/>
          <w:iCs/>
          <w:sz w:val="24"/>
          <w:szCs w:val="24"/>
        </w:rPr>
        <w:t>Postgraduate Medical Journal</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82</w:t>
      </w:r>
      <w:r w:rsidRPr="00624DA4">
        <w:rPr>
          <w:rFonts w:asciiTheme="majorHAnsi" w:hAnsiTheme="majorHAnsi" w:cstheme="majorHAnsi"/>
          <w:sz w:val="24"/>
          <w:szCs w:val="24"/>
        </w:rPr>
        <w:t>(964), 84–88. https://doi.org/10.1136/pgmj.2005.036665</w:t>
      </w:r>
    </w:p>
    <w:p w14:paraId="1D2519B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Poch, C., &amp; Campo, P. (2012). Neocortical-hippocampal dynamics of working memory in healthy and diseased brain states based on functional connectivity. </w:t>
      </w:r>
      <w:r w:rsidRPr="00624DA4">
        <w:rPr>
          <w:rFonts w:asciiTheme="majorHAnsi" w:hAnsiTheme="majorHAnsi" w:cstheme="majorHAnsi"/>
          <w:i/>
          <w:iCs/>
          <w:sz w:val="24"/>
          <w:szCs w:val="24"/>
        </w:rPr>
        <w:t>Frontiers in Human Neuroscience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w:t>
      </w:r>
      <w:r w:rsidRPr="00624DA4">
        <w:rPr>
          <w:rFonts w:asciiTheme="majorHAnsi" w:hAnsiTheme="majorHAnsi" w:cstheme="majorHAnsi"/>
          <w:sz w:val="24"/>
          <w:szCs w:val="24"/>
        </w:rPr>
        <w:t>. https://doi.org/10.3389/fnhum.2012.00036</w:t>
      </w:r>
    </w:p>
    <w:p w14:paraId="3357FCE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Poort, H., Kaal, S. E. J., Knoop, H., Jansen, R., Prins, J. B., Manten-Horst, E., … van der Graaf, W. T. A. (2017). Prevalence and impact of severe fatigue in adolescent and young adult cancer patients in comparison with population-based controls. </w:t>
      </w:r>
      <w:r w:rsidRPr="00624DA4">
        <w:rPr>
          <w:rFonts w:asciiTheme="majorHAnsi" w:hAnsiTheme="majorHAnsi" w:cstheme="majorHAnsi"/>
          <w:i/>
          <w:iCs/>
          <w:sz w:val="24"/>
          <w:szCs w:val="24"/>
        </w:rPr>
        <w:t>Supportive Care in Cancer: Official Journal of the Multinational Association of Supportive Care in Cancer</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25</w:t>
      </w:r>
      <w:r w:rsidRPr="00624DA4">
        <w:rPr>
          <w:rFonts w:asciiTheme="majorHAnsi" w:hAnsiTheme="majorHAnsi" w:cstheme="majorHAnsi"/>
          <w:sz w:val="24"/>
          <w:szCs w:val="24"/>
        </w:rPr>
        <w:t>(9), 2911–2918. https://doi.org/10.1007/s00520-017-3746-0</w:t>
      </w:r>
    </w:p>
    <w:p w14:paraId="518E4D6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Preventing Chronic Disease: January 2006: 05_0054. (n.d.). Retrieved July 27, 2017, from https://www.cdc.gov/pcd/issues/2006/jan/05_0054.htm</w:t>
      </w:r>
    </w:p>
    <w:p w14:paraId="5B3C9C0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Putamen - MeSH - NCBI. (n.d.). Retrieved September 28, 2017, from https://www.ncbi.nlm.nih.gov/mesh/68011699</w:t>
      </w:r>
    </w:p>
    <w:p w14:paraId="3F3A54B7"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Raichle, M. E., MacLeod, A. M., Snyder, A. Z., Powers, W. J., Gusnard, D. A., &amp; Shulman, G. L. (2001). A default mode of brain function. </w:t>
      </w:r>
      <w:r w:rsidRPr="00624DA4">
        <w:rPr>
          <w:rFonts w:asciiTheme="majorHAnsi" w:hAnsiTheme="majorHAnsi" w:cstheme="majorHAnsi"/>
          <w:i/>
          <w:iCs/>
          <w:sz w:val="24"/>
          <w:szCs w:val="24"/>
        </w:rPr>
        <w:t>Proceedings of the National Academy of Sciences of the United States of America</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98</w:t>
      </w:r>
      <w:r w:rsidRPr="00624DA4">
        <w:rPr>
          <w:rFonts w:asciiTheme="majorHAnsi" w:hAnsiTheme="majorHAnsi" w:cstheme="majorHAnsi"/>
          <w:sz w:val="24"/>
          <w:szCs w:val="24"/>
        </w:rPr>
        <w:t>(2), 676–682. https://doi.org/10.1073/pnas.98.2.676</w:t>
      </w:r>
    </w:p>
    <w:p w14:paraId="3BD0D5B6"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Richardson, C. A., Glynn, N. W., Ferrucci, L. G., &amp; Mackey, D. C. (2015). Walking energetics, fatigability, and fatigue in older adults: the study of energy and aging pilot. </w:t>
      </w:r>
      <w:r w:rsidRPr="00624DA4">
        <w:rPr>
          <w:rFonts w:asciiTheme="majorHAnsi" w:hAnsiTheme="majorHAnsi" w:cstheme="majorHAnsi"/>
          <w:i/>
          <w:iCs/>
          <w:sz w:val="24"/>
          <w:szCs w:val="24"/>
        </w:rPr>
        <w:t>The Journals of Gerontology. Series A, Biological Sciences and Medical Sciences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70</w:t>
      </w:r>
      <w:r w:rsidRPr="00624DA4">
        <w:rPr>
          <w:rFonts w:asciiTheme="majorHAnsi" w:hAnsiTheme="majorHAnsi" w:cstheme="majorHAnsi"/>
          <w:sz w:val="24"/>
          <w:szCs w:val="24"/>
        </w:rPr>
        <w:t>(4), 487–494. https://doi.org/10.1093/gerona/glu146</w:t>
      </w:r>
    </w:p>
    <w:p w14:paraId="55A369CD"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Rimes, K. A., Goodman, R., Hotopf, M., Wessely, S., Meltzer, H., &amp; Chalder, T. (2007). Incidence, prognosis, and risk factors for fatigue and chronic fatigue syndrome in adolescents: a prospective community study. </w:t>
      </w:r>
      <w:r w:rsidRPr="00624DA4">
        <w:rPr>
          <w:rFonts w:asciiTheme="majorHAnsi" w:hAnsiTheme="majorHAnsi" w:cstheme="majorHAnsi"/>
          <w:i/>
          <w:iCs/>
          <w:sz w:val="24"/>
          <w:szCs w:val="24"/>
        </w:rPr>
        <w:t>Pediatrics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119</w:t>
      </w:r>
      <w:r w:rsidRPr="00624DA4">
        <w:rPr>
          <w:rFonts w:asciiTheme="majorHAnsi" w:hAnsiTheme="majorHAnsi" w:cstheme="majorHAnsi"/>
          <w:sz w:val="24"/>
          <w:szCs w:val="24"/>
        </w:rPr>
        <w:t>(3), e603-609. https://doi.org/10.1542/peds.2006-2231</w:t>
      </w:r>
    </w:p>
    <w:p w14:paraId="791ED0A2"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Rosano, C., Guralnik, J., Pahor, M., Glynn, N. W., Newman, A. B., Ibrahim, T. S., … Aizenstein, H. J. (2017). Hippocampal Response to a 24-Month Physical Activity Intervention in Sedentary Older Adults. </w:t>
      </w:r>
      <w:r w:rsidRPr="00624DA4">
        <w:rPr>
          <w:rFonts w:asciiTheme="majorHAnsi" w:hAnsiTheme="majorHAnsi" w:cstheme="majorHAnsi"/>
          <w:i/>
          <w:iCs/>
          <w:sz w:val="24"/>
          <w:szCs w:val="24"/>
        </w:rPr>
        <w:t>The American Journal of Geriatric Psychiatry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25</w:t>
      </w:r>
      <w:r w:rsidRPr="00624DA4">
        <w:rPr>
          <w:rFonts w:asciiTheme="majorHAnsi" w:hAnsiTheme="majorHAnsi" w:cstheme="majorHAnsi"/>
          <w:sz w:val="24"/>
          <w:szCs w:val="24"/>
        </w:rPr>
        <w:t>(3), 209–217. https://doi.org/10.1016/j.jagp.2016.11.007</w:t>
      </w:r>
    </w:p>
    <w:p w14:paraId="2E36DE06"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Santanasto, A. J., Coen, P. M., Glynn, N. W., Conley, K. E., Jubrias, S. A., Amati, F., … Newman, A. B. (2016). The relationship between mitochondrial function and walking performance in older adults with a wide range of physical function. </w:t>
      </w:r>
      <w:r w:rsidRPr="00624DA4">
        <w:rPr>
          <w:rFonts w:asciiTheme="majorHAnsi" w:hAnsiTheme="majorHAnsi" w:cstheme="majorHAnsi"/>
          <w:i/>
          <w:iCs/>
          <w:sz w:val="24"/>
          <w:szCs w:val="24"/>
        </w:rPr>
        <w:t>Experimental Gerontology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81</w:t>
      </w:r>
      <w:r w:rsidRPr="00624DA4">
        <w:rPr>
          <w:rFonts w:asciiTheme="majorHAnsi" w:hAnsiTheme="majorHAnsi" w:cstheme="majorHAnsi"/>
          <w:sz w:val="24"/>
          <w:szCs w:val="24"/>
        </w:rPr>
        <w:t>, 1–7. https://doi.org/10.1016/j.exger.2016.04.002</w:t>
      </w:r>
    </w:p>
    <w:p w14:paraId="09F059BC"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Santanasto, A. J., Glynn, N. W., Jubrias, S. A., Conley, K. E., Boudreau, R. M., Amati, F., … Newman, A. B. (2015). Skeletal Muscle Mitochondrial Function and Fatigability in Older Adults. </w:t>
      </w:r>
      <w:r w:rsidRPr="00624DA4">
        <w:rPr>
          <w:rFonts w:asciiTheme="majorHAnsi" w:hAnsiTheme="majorHAnsi" w:cstheme="majorHAnsi"/>
          <w:i/>
          <w:iCs/>
          <w:sz w:val="24"/>
          <w:szCs w:val="24"/>
        </w:rPr>
        <w:t>The Journals of Gerontology. Series A, Biological Sciences and Medical Sciences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70</w:t>
      </w:r>
      <w:r w:rsidRPr="00624DA4">
        <w:rPr>
          <w:rFonts w:asciiTheme="majorHAnsi" w:hAnsiTheme="majorHAnsi" w:cstheme="majorHAnsi"/>
          <w:sz w:val="24"/>
          <w:szCs w:val="24"/>
        </w:rPr>
        <w:t>(11), 1379–1385. https://doi.org/10.1093/gerona/glu134</w:t>
      </w:r>
    </w:p>
    <w:p w14:paraId="64AF34B2"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Schmidt, C., Peigneux, P., &amp; Cajochen, C. (2012). Age-Related Changes in Sleep and Circadian Rhythms: Impact on Cognitive Performance and Underlying Neuroanatomical Networks. </w:t>
      </w:r>
      <w:r w:rsidRPr="00624DA4">
        <w:rPr>
          <w:rFonts w:asciiTheme="majorHAnsi" w:hAnsiTheme="majorHAnsi" w:cstheme="majorHAnsi"/>
          <w:i/>
          <w:iCs/>
          <w:sz w:val="24"/>
          <w:szCs w:val="24"/>
        </w:rPr>
        <w:t>Frontiers in Neurology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w:t>
      </w:r>
      <w:r w:rsidRPr="00624DA4">
        <w:rPr>
          <w:rFonts w:asciiTheme="majorHAnsi" w:hAnsiTheme="majorHAnsi" w:cstheme="majorHAnsi"/>
          <w:sz w:val="24"/>
          <w:szCs w:val="24"/>
        </w:rPr>
        <w:t>. https://doi.org/10.3389/fneur.2012.00118</w:t>
      </w:r>
    </w:p>
    <w:p w14:paraId="308581BB"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Schnelle, J. F., Buchowski, M. S., Ikizler, T. A., Durkin, D. W., Beuscher, L., &amp; Simmons, S. F. (2012). Evaluation of Two Fatigability Severity Measures in Elderly Subjects.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60</w:t>
      </w:r>
      <w:r w:rsidRPr="00624DA4">
        <w:rPr>
          <w:rFonts w:asciiTheme="majorHAnsi" w:hAnsiTheme="majorHAnsi" w:cstheme="majorHAnsi"/>
          <w:sz w:val="24"/>
          <w:szCs w:val="24"/>
        </w:rPr>
        <w:t>(8), 1527–1533. https://doi.org/10.1111/j.1532-5415.2012.04062.x</w:t>
      </w:r>
    </w:p>
    <w:p w14:paraId="0CCEC07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Schultz, W. (2010). Multiple functions of dopamine neurons. </w:t>
      </w:r>
      <w:r w:rsidRPr="00624DA4">
        <w:rPr>
          <w:rFonts w:asciiTheme="majorHAnsi" w:hAnsiTheme="majorHAnsi" w:cstheme="majorHAnsi"/>
          <w:i/>
          <w:iCs/>
          <w:sz w:val="24"/>
          <w:szCs w:val="24"/>
        </w:rPr>
        <w:t>F1000 Biology Reports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w:t>
      </w:r>
      <w:r w:rsidRPr="00624DA4">
        <w:rPr>
          <w:rFonts w:asciiTheme="majorHAnsi" w:hAnsiTheme="majorHAnsi" w:cstheme="majorHAnsi"/>
          <w:sz w:val="24"/>
          <w:szCs w:val="24"/>
        </w:rPr>
        <w:t>. https://doi.org/10.3410/B2-2</w:t>
      </w:r>
    </w:p>
    <w:p w14:paraId="72B9A34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Shen, J., Barbera, J., &amp; Shapiro, C. M. (2006). Distinguishing sleepiness and fatigue: focus on definition and measurement. </w:t>
      </w:r>
      <w:r w:rsidRPr="00624DA4">
        <w:rPr>
          <w:rFonts w:asciiTheme="majorHAnsi" w:hAnsiTheme="majorHAnsi" w:cstheme="majorHAnsi"/>
          <w:i/>
          <w:iCs/>
          <w:sz w:val="24"/>
          <w:szCs w:val="24"/>
        </w:rPr>
        <w:t>Sleep Medicine Reviews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10</w:t>
      </w:r>
      <w:r w:rsidRPr="00624DA4">
        <w:rPr>
          <w:rFonts w:asciiTheme="majorHAnsi" w:hAnsiTheme="majorHAnsi" w:cstheme="majorHAnsi"/>
          <w:sz w:val="24"/>
          <w:szCs w:val="24"/>
        </w:rPr>
        <w:t>(1), 63–76. https://doi.org/10.1016/j.smrv.2005.05.004</w:t>
      </w:r>
    </w:p>
    <w:p w14:paraId="56B936FA"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Silberman, E. K., &amp; Weingartner, H. (1986). Hemispheric lateralization of functions related to emotion. </w:t>
      </w:r>
      <w:r w:rsidRPr="00624DA4">
        <w:rPr>
          <w:rFonts w:asciiTheme="majorHAnsi" w:hAnsiTheme="majorHAnsi" w:cstheme="majorHAnsi"/>
          <w:i/>
          <w:iCs/>
          <w:sz w:val="24"/>
          <w:szCs w:val="24"/>
        </w:rPr>
        <w:t>Brain and Cognition</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w:t>
      </w:r>
      <w:r w:rsidRPr="00624DA4">
        <w:rPr>
          <w:rFonts w:asciiTheme="majorHAnsi" w:hAnsiTheme="majorHAnsi" w:cstheme="majorHAnsi"/>
          <w:sz w:val="24"/>
          <w:szCs w:val="24"/>
        </w:rPr>
        <w:t>(3), 322–353.</w:t>
      </w:r>
    </w:p>
    <w:p w14:paraId="1A7EF56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Simonsick, E. M., Glynn, N. W., Jerome, G. J., Shardell, M., Schrack, J. A., &amp; Ferrucci, L. (2016). Fatigued, but Not Frail: Perceived Fatigability as a Marker of Impending Decline in Mobility-Intact Older Adults.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64</w:t>
      </w:r>
      <w:r w:rsidRPr="00624DA4">
        <w:rPr>
          <w:rFonts w:asciiTheme="majorHAnsi" w:hAnsiTheme="majorHAnsi" w:cstheme="majorHAnsi"/>
          <w:sz w:val="24"/>
          <w:szCs w:val="24"/>
        </w:rPr>
        <w:t>(6), 1287–1292. https://doi.org/10.1111/jgs.14138</w:t>
      </w:r>
    </w:p>
    <w:p w14:paraId="13994F6E"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Simonsick, E. M., Schrack, J. A., Glynn, N. W., &amp; Ferrucci, L. (2014). Assessing Fatigability in Mobility-Intact Older Adults. </w:t>
      </w:r>
      <w:r w:rsidRPr="00624DA4">
        <w:rPr>
          <w:rFonts w:asciiTheme="majorHAnsi" w:hAnsiTheme="majorHAnsi" w:cstheme="majorHAnsi"/>
          <w:i/>
          <w:iCs/>
          <w:sz w:val="24"/>
          <w:szCs w:val="24"/>
        </w:rPr>
        <w:t>Journal of the American Geriatrics Society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62</w:t>
      </w:r>
      <w:r w:rsidRPr="00624DA4">
        <w:rPr>
          <w:rFonts w:asciiTheme="majorHAnsi" w:hAnsiTheme="majorHAnsi" w:cstheme="majorHAnsi"/>
          <w:sz w:val="24"/>
          <w:szCs w:val="24"/>
        </w:rPr>
        <w:t>(2), 347–351. https://doi.org/10.1111/jgs.12638</w:t>
      </w:r>
    </w:p>
    <w:p w14:paraId="7B88EEB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Singh, K. D., &amp; Fawcett, I. P. (2008). Transient and linearly graded deactivation of the human default-mode network by a visual detection task. </w:t>
      </w:r>
      <w:r w:rsidRPr="00624DA4">
        <w:rPr>
          <w:rFonts w:asciiTheme="majorHAnsi" w:hAnsiTheme="majorHAnsi" w:cstheme="majorHAnsi"/>
          <w:i/>
          <w:iCs/>
          <w:sz w:val="24"/>
          <w:szCs w:val="24"/>
        </w:rPr>
        <w:t>NeuroImage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41</w:t>
      </w:r>
      <w:r w:rsidRPr="00624DA4">
        <w:rPr>
          <w:rFonts w:asciiTheme="majorHAnsi" w:hAnsiTheme="majorHAnsi" w:cstheme="majorHAnsi"/>
          <w:sz w:val="24"/>
          <w:szCs w:val="24"/>
        </w:rPr>
        <w:t>(1), 100–112. https://doi.org/10.1016/j.neuroimage.2008.01.051</w:t>
      </w:r>
    </w:p>
    <w:p w14:paraId="4F3B1F26"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Smith, S. M. (2002). Fast robust automated brain extraction. </w:t>
      </w:r>
      <w:r w:rsidRPr="00624DA4">
        <w:rPr>
          <w:rFonts w:asciiTheme="majorHAnsi" w:hAnsiTheme="majorHAnsi" w:cstheme="majorHAnsi"/>
          <w:i/>
          <w:iCs/>
          <w:sz w:val="24"/>
          <w:szCs w:val="24"/>
        </w:rPr>
        <w:t>Human Brain Mapping</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17</w:t>
      </w:r>
      <w:r w:rsidRPr="00624DA4">
        <w:rPr>
          <w:rFonts w:asciiTheme="majorHAnsi" w:hAnsiTheme="majorHAnsi" w:cstheme="majorHAnsi"/>
          <w:sz w:val="24"/>
          <w:szCs w:val="24"/>
        </w:rPr>
        <w:t>(3), 143–155. https://doi.org/10.1002/hbm.10062</w:t>
      </w:r>
    </w:p>
    <w:p w14:paraId="2A26DCE2"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Sonuga-Barke, E. J. S., &amp; Castellanos, F. X. (2007). Spontaneous attentional fluctuations in impaired states and pathological conditions: a neurobiological hypothesis. </w:t>
      </w:r>
      <w:r w:rsidRPr="00624DA4">
        <w:rPr>
          <w:rFonts w:asciiTheme="majorHAnsi" w:hAnsiTheme="majorHAnsi" w:cstheme="majorHAnsi"/>
          <w:i/>
          <w:iCs/>
          <w:sz w:val="24"/>
          <w:szCs w:val="24"/>
        </w:rPr>
        <w:t>Neuroscience and Biobehavioral Reviews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31</w:t>
      </w:r>
      <w:r w:rsidRPr="00624DA4">
        <w:rPr>
          <w:rFonts w:asciiTheme="majorHAnsi" w:hAnsiTheme="majorHAnsi" w:cstheme="majorHAnsi"/>
          <w:sz w:val="24"/>
          <w:szCs w:val="24"/>
        </w:rPr>
        <w:t>(7), 977–986. https://doi.org/10.1016/j.neubiorev.2007.02.005</w:t>
      </w:r>
    </w:p>
    <w:p w14:paraId="2FF4890B"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Sun, Y., Lim, J., Meng, J., Kwok, K., Thakor, N., &amp; Bezerianos, A. (2014). Discriminative analysis of brain functional connectivity patterns for mental fatigue classification. </w:t>
      </w:r>
      <w:r w:rsidRPr="00624DA4">
        <w:rPr>
          <w:rFonts w:asciiTheme="majorHAnsi" w:hAnsiTheme="majorHAnsi" w:cstheme="majorHAnsi"/>
          <w:i/>
          <w:iCs/>
          <w:sz w:val="24"/>
          <w:szCs w:val="24"/>
        </w:rPr>
        <w:t>Annals of Biomedical Engineering</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42</w:t>
      </w:r>
      <w:r w:rsidRPr="00624DA4">
        <w:rPr>
          <w:rFonts w:asciiTheme="majorHAnsi" w:hAnsiTheme="majorHAnsi" w:cstheme="majorHAnsi"/>
          <w:sz w:val="24"/>
          <w:szCs w:val="24"/>
        </w:rPr>
        <w:t>(10), 2084–2094. https://doi.org/10.1007/s10439-014-1059-8</w:t>
      </w:r>
    </w:p>
    <w:p w14:paraId="533A34A6"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Targum, S. D., &amp; Fava, M. (2011). Fatigue as a Residual Symptom of Depression. </w:t>
      </w:r>
      <w:r w:rsidRPr="00624DA4">
        <w:rPr>
          <w:rFonts w:asciiTheme="majorHAnsi" w:hAnsiTheme="majorHAnsi" w:cstheme="majorHAnsi"/>
          <w:i/>
          <w:iCs/>
          <w:sz w:val="24"/>
          <w:szCs w:val="24"/>
        </w:rPr>
        <w:t>Innovations in Clinical Neuroscience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8</w:t>
      </w:r>
      <w:r w:rsidRPr="00624DA4">
        <w:rPr>
          <w:rFonts w:asciiTheme="majorHAnsi" w:hAnsiTheme="majorHAnsi" w:cstheme="majorHAnsi"/>
          <w:sz w:val="24"/>
          <w:szCs w:val="24"/>
        </w:rPr>
        <w:t>(10), 40–43.</w:t>
      </w:r>
    </w:p>
    <w:p w14:paraId="7B02B358"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Teng, E. L., &amp; Chui, H. C. (1987). The Modified Mini-Mental State (3MS) examination. </w:t>
      </w:r>
      <w:r w:rsidRPr="00624DA4">
        <w:rPr>
          <w:rFonts w:asciiTheme="majorHAnsi" w:hAnsiTheme="majorHAnsi" w:cstheme="majorHAnsi"/>
          <w:i/>
          <w:iCs/>
          <w:sz w:val="24"/>
          <w:szCs w:val="24"/>
        </w:rPr>
        <w:t>The Journal of Clinical Psychiatry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48</w:t>
      </w:r>
      <w:r w:rsidRPr="00624DA4">
        <w:rPr>
          <w:rFonts w:asciiTheme="majorHAnsi" w:hAnsiTheme="majorHAnsi" w:cstheme="majorHAnsi"/>
          <w:sz w:val="24"/>
          <w:szCs w:val="24"/>
        </w:rPr>
        <w:t>(8), 314–318.</w:t>
      </w:r>
    </w:p>
    <w:p w14:paraId="31A73E8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Tralongo, P., Respini, D., &amp; Ferraù, F. (2003). Fatigue and aging. </w:t>
      </w:r>
      <w:r w:rsidRPr="00624DA4">
        <w:rPr>
          <w:rFonts w:asciiTheme="majorHAnsi" w:hAnsiTheme="majorHAnsi" w:cstheme="majorHAnsi"/>
          <w:i/>
          <w:iCs/>
          <w:sz w:val="24"/>
          <w:szCs w:val="24"/>
        </w:rPr>
        <w:t>Critical Reviews in Oncology/Hematology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48</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Supplement</w:t>
      </w:r>
      <w:r w:rsidRPr="00624DA4">
        <w:rPr>
          <w:rFonts w:asciiTheme="majorHAnsi" w:hAnsiTheme="majorHAnsi" w:cstheme="majorHAnsi"/>
          <w:sz w:val="24"/>
          <w:szCs w:val="24"/>
        </w:rPr>
        <w:t>, S57–S64. https://doi.org/10.1016/j.critrevonc.2003.07.003</w:t>
      </w:r>
    </w:p>
    <w:p w14:paraId="7816180E"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Ward, B. W., Schiller, J. S., &amp; Goodman, R. A. (2014). Multiple chronic conditions among US adults: a 2012 update. </w:t>
      </w:r>
      <w:r w:rsidRPr="00624DA4">
        <w:rPr>
          <w:rFonts w:asciiTheme="majorHAnsi" w:hAnsiTheme="majorHAnsi" w:cstheme="majorHAnsi"/>
          <w:i/>
          <w:iCs/>
          <w:sz w:val="24"/>
          <w:szCs w:val="24"/>
        </w:rPr>
        <w:t>Preventing Chronic Disease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11</w:t>
      </w:r>
      <w:r w:rsidRPr="00624DA4">
        <w:rPr>
          <w:rFonts w:asciiTheme="majorHAnsi" w:hAnsiTheme="majorHAnsi" w:cstheme="majorHAnsi"/>
          <w:sz w:val="24"/>
          <w:szCs w:val="24"/>
        </w:rPr>
        <w:t>, E62. https://doi.org/10.5888/pcd11.130389</w:t>
      </w:r>
    </w:p>
    <w:p w14:paraId="02A5C39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Watt, T., Groenvold, M., Bjorner, J. B., Noerholm, V., Rasmussen, N. A., &amp; Bech, P. (2000). Fatigue in the Danish general population. Influence of sociodemographic factors and disease. </w:t>
      </w:r>
      <w:r w:rsidRPr="00624DA4">
        <w:rPr>
          <w:rFonts w:asciiTheme="majorHAnsi" w:hAnsiTheme="majorHAnsi" w:cstheme="majorHAnsi"/>
          <w:i/>
          <w:iCs/>
          <w:sz w:val="24"/>
          <w:szCs w:val="24"/>
        </w:rPr>
        <w:t>Journal of Epidemiology and Community Health</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54</w:t>
      </w:r>
      <w:r w:rsidRPr="00624DA4">
        <w:rPr>
          <w:rFonts w:asciiTheme="majorHAnsi" w:hAnsiTheme="majorHAnsi" w:cstheme="majorHAnsi"/>
          <w:sz w:val="24"/>
          <w:szCs w:val="24"/>
        </w:rPr>
        <w:t>(11), 827–833.</w:t>
      </w:r>
    </w:p>
    <w:p w14:paraId="2C4CCD39"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Weissman, D. H., Roberts, K. C., Visscher, K. M., &amp; Woldorff, M. G. (2006). The neural bases of momentary lapses in attention. </w:t>
      </w:r>
      <w:r w:rsidRPr="00624DA4">
        <w:rPr>
          <w:rFonts w:asciiTheme="majorHAnsi" w:hAnsiTheme="majorHAnsi" w:cstheme="majorHAnsi"/>
          <w:i/>
          <w:iCs/>
          <w:sz w:val="24"/>
          <w:szCs w:val="24"/>
        </w:rPr>
        <w:t>Nature Neuroscience</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9</w:t>
      </w:r>
      <w:r w:rsidRPr="00624DA4">
        <w:rPr>
          <w:rFonts w:asciiTheme="majorHAnsi" w:hAnsiTheme="majorHAnsi" w:cstheme="majorHAnsi"/>
          <w:sz w:val="24"/>
          <w:szCs w:val="24"/>
        </w:rPr>
        <w:t>(7), 971–978. https://doi.org/10.1038/nn1727</w:t>
      </w:r>
    </w:p>
    <w:p w14:paraId="1969CFFD"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White, P. D. (2007). How common is chronic fatigue syndrome; how long is a piece of string? </w:t>
      </w:r>
      <w:r w:rsidRPr="00624DA4">
        <w:rPr>
          <w:rFonts w:asciiTheme="majorHAnsi" w:hAnsiTheme="majorHAnsi" w:cstheme="majorHAnsi"/>
          <w:i/>
          <w:iCs/>
          <w:sz w:val="24"/>
          <w:szCs w:val="24"/>
        </w:rPr>
        <w:t>Population Health Metrics</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w:t>
      </w:r>
      <w:r w:rsidRPr="00624DA4">
        <w:rPr>
          <w:rFonts w:asciiTheme="majorHAnsi" w:hAnsiTheme="majorHAnsi" w:cstheme="majorHAnsi"/>
          <w:sz w:val="24"/>
          <w:szCs w:val="24"/>
        </w:rPr>
        <w:t>, 6. https://doi.org/10.1186/1478-7954-5-6</w:t>
      </w:r>
    </w:p>
    <w:p w14:paraId="0B5CE3F2"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WHO | 10 facts on ageing and health. (2017, May). Retrieved May 31, 2017, from http://www.who.int/features/factfiles/ageing/en/</w:t>
      </w:r>
    </w:p>
    <w:p w14:paraId="05A175E3"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Willis, W. T., Ganley, K. J., &amp; Herman, R. M. (2005). Fuel oxidation during human walking. </w:t>
      </w:r>
      <w:r w:rsidRPr="00624DA4">
        <w:rPr>
          <w:rFonts w:asciiTheme="majorHAnsi" w:hAnsiTheme="majorHAnsi" w:cstheme="majorHAnsi"/>
          <w:i/>
          <w:iCs/>
          <w:sz w:val="24"/>
          <w:szCs w:val="24"/>
        </w:rPr>
        <w:t>Metabolism: Clinical and Experimental</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54</w:t>
      </w:r>
      <w:r w:rsidRPr="00624DA4">
        <w:rPr>
          <w:rFonts w:asciiTheme="majorHAnsi" w:hAnsiTheme="majorHAnsi" w:cstheme="majorHAnsi"/>
          <w:sz w:val="24"/>
          <w:szCs w:val="24"/>
        </w:rPr>
        <w:t>(6), 793–799. https://doi.org/10.1016/j.metabol.2005.01.024</w:t>
      </w:r>
    </w:p>
    <w:p w14:paraId="1E343712"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Yang, C.-M., &amp; Wu, C.-H. (2005). The situational fatigue scale: a different approach to measuring fatigue. </w:t>
      </w:r>
      <w:r w:rsidRPr="00624DA4">
        <w:rPr>
          <w:rFonts w:asciiTheme="majorHAnsi" w:hAnsiTheme="majorHAnsi" w:cstheme="majorHAnsi"/>
          <w:i/>
          <w:iCs/>
          <w:sz w:val="24"/>
          <w:szCs w:val="24"/>
        </w:rPr>
        <w:t>Quality of Life Research: An International Journal of Quality of Life Aspects of Treatment, Care and Rehabilitation</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14</w:t>
      </w:r>
      <w:r w:rsidRPr="00624DA4">
        <w:rPr>
          <w:rFonts w:asciiTheme="majorHAnsi" w:hAnsiTheme="majorHAnsi" w:cstheme="majorHAnsi"/>
          <w:sz w:val="24"/>
          <w:szCs w:val="24"/>
        </w:rPr>
        <w:t>(5), 1357–1362.</w:t>
      </w:r>
    </w:p>
    <w:p w14:paraId="54316A74"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Yohn, S. E., Arif, Y., Haley, A., Tripodi, G., Baqi, Y., Müller, C. E., … Salamone, J. D. (2016). Effort-related motivational effects of the pro-inflammatory cytokine interleukin-6: pharmacological and neurochemical characterization. </w:t>
      </w:r>
      <w:r w:rsidRPr="00624DA4">
        <w:rPr>
          <w:rFonts w:asciiTheme="majorHAnsi" w:hAnsiTheme="majorHAnsi" w:cstheme="majorHAnsi"/>
          <w:i/>
          <w:iCs/>
          <w:sz w:val="24"/>
          <w:szCs w:val="24"/>
        </w:rPr>
        <w:t>Psychopharmacology</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233</w:t>
      </w:r>
      <w:r w:rsidRPr="00624DA4">
        <w:rPr>
          <w:rFonts w:asciiTheme="majorHAnsi" w:hAnsiTheme="majorHAnsi" w:cstheme="majorHAnsi"/>
          <w:sz w:val="24"/>
          <w:szCs w:val="24"/>
        </w:rPr>
        <w:t>(19–20), 3575–3586. https://doi.org/10.1007/s00213-016-4392-9</w:t>
      </w:r>
    </w:p>
    <w:p w14:paraId="06CDD7D5" w14:textId="77777777" w:rsidR="00D83E2E" w:rsidRPr="00624DA4" w:rsidRDefault="00D83E2E" w:rsidP="00624DA4">
      <w:pPr>
        <w:pStyle w:val="Bibliography"/>
        <w:spacing w:line="360" w:lineRule="auto"/>
        <w:rPr>
          <w:rFonts w:asciiTheme="majorHAnsi" w:hAnsiTheme="majorHAnsi" w:cstheme="majorHAnsi"/>
          <w:sz w:val="24"/>
          <w:szCs w:val="24"/>
        </w:rPr>
      </w:pPr>
      <w:r w:rsidRPr="00624DA4">
        <w:rPr>
          <w:rFonts w:asciiTheme="majorHAnsi" w:hAnsiTheme="majorHAnsi" w:cstheme="majorHAnsi"/>
          <w:sz w:val="24"/>
          <w:szCs w:val="24"/>
        </w:rPr>
        <w:t xml:space="preserve">Zlott, D. A., &amp; Byrne, M. (2010). Mechanisms by which pharmacologic agents may contribute to fatigue. </w:t>
      </w:r>
      <w:r w:rsidRPr="00624DA4">
        <w:rPr>
          <w:rFonts w:asciiTheme="majorHAnsi" w:hAnsiTheme="majorHAnsi" w:cstheme="majorHAnsi"/>
          <w:i/>
          <w:iCs/>
          <w:sz w:val="24"/>
          <w:szCs w:val="24"/>
        </w:rPr>
        <w:t>PM &amp; R: The Journal of Injury, Function, and Rehabilitation</w:t>
      </w:r>
      <w:r w:rsidRPr="00624DA4">
        <w:rPr>
          <w:rFonts w:asciiTheme="majorHAnsi" w:hAnsiTheme="majorHAnsi" w:cstheme="majorHAnsi"/>
          <w:sz w:val="24"/>
          <w:szCs w:val="24"/>
        </w:rPr>
        <w:t xml:space="preserve">, </w:t>
      </w:r>
      <w:r w:rsidRPr="00624DA4">
        <w:rPr>
          <w:rFonts w:asciiTheme="majorHAnsi" w:hAnsiTheme="majorHAnsi" w:cstheme="majorHAnsi"/>
          <w:i/>
          <w:iCs/>
          <w:sz w:val="24"/>
          <w:szCs w:val="24"/>
        </w:rPr>
        <w:t>2</w:t>
      </w:r>
      <w:r w:rsidRPr="00624DA4">
        <w:rPr>
          <w:rFonts w:asciiTheme="majorHAnsi" w:hAnsiTheme="majorHAnsi" w:cstheme="majorHAnsi"/>
          <w:sz w:val="24"/>
          <w:szCs w:val="24"/>
        </w:rPr>
        <w:t>(5), 451–455. https://doi.org/10.1016/j.pmrj.2010.04.018</w:t>
      </w:r>
    </w:p>
    <w:p w14:paraId="79D091E5" w14:textId="7BB8595A" w:rsidR="0099247D" w:rsidRPr="008438F4" w:rsidRDefault="0099247D" w:rsidP="00624DA4">
      <w:pPr>
        <w:spacing w:before="100" w:beforeAutospacing="1" w:after="100" w:afterAutospacing="1" w:line="360" w:lineRule="auto"/>
        <w:rPr>
          <w:rFonts w:ascii="Calibri" w:hAnsi="Calibri" w:cs="Calibri"/>
          <w:b/>
        </w:rPr>
      </w:pPr>
      <w:r w:rsidRPr="00624DA4">
        <w:rPr>
          <w:rFonts w:asciiTheme="majorHAnsi" w:hAnsiTheme="majorHAnsi" w:cstheme="majorHAnsi"/>
          <w:b/>
        </w:rPr>
        <w:fldChar w:fldCharType="end"/>
      </w:r>
    </w:p>
    <w:p w14:paraId="5179EBE3" w14:textId="77777777" w:rsidR="0099247D" w:rsidRPr="008438F4" w:rsidRDefault="0099247D" w:rsidP="00EA4A81">
      <w:pPr>
        <w:spacing w:before="100" w:beforeAutospacing="1" w:after="100" w:afterAutospacing="1" w:line="240" w:lineRule="auto"/>
        <w:rPr>
          <w:rFonts w:ascii="Calibri" w:hAnsi="Calibri" w:cs="Calibri"/>
          <w:b/>
        </w:rPr>
      </w:pPr>
    </w:p>
    <w:p w14:paraId="4D5B3A4E" w14:textId="77777777" w:rsidR="0099247D" w:rsidRPr="008438F4" w:rsidRDefault="0099247D" w:rsidP="00EA4A81">
      <w:pPr>
        <w:spacing w:before="100" w:beforeAutospacing="1" w:after="100" w:afterAutospacing="1" w:line="240" w:lineRule="auto"/>
        <w:rPr>
          <w:rFonts w:ascii="Calibri" w:hAnsi="Calibri" w:cs="Calibri"/>
        </w:rPr>
      </w:pPr>
    </w:p>
    <w:sectPr w:rsidR="0099247D" w:rsidRPr="008438F4" w:rsidSect="006B112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13BB" w14:textId="77777777" w:rsidR="00506891" w:rsidRDefault="00506891">
      <w:r>
        <w:separator/>
      </w:r>
    </w:p>
  </w:endnote>
  <w:endnote w:type="continuationSeparator" w:id="0">
    <w:p w14:paraId="701588AE" w14:textId="77777777" w:rsidR="00506891" w:rsidRDefault="005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1AE0" w14:textId="3EE4C7B1" w:rsidR="009857EA" w:rsidRPr="00C041A2" w:rsidRDefault="009857EA" w:rsidP="006B1124">
    <w:pPr>
      <w:tabs>
        <w:tab w:val="center" w:pos="4680"/>
      </w:tabs>
      <w:ind w:firstLine="0"/>
      <w:rPr>
        <w:rFonts w:ascii="Calibri" w:hAnsi="Calibri" w:cs="Calibri"/>
      </w:rPr>
    </w:pPr>
    <w:r>
      <w:tab/>
    </w:r>
    <w:r w:rsidRPr="00C041A2">
      <w:rPr>
        <w:rFonts w:ascii="Calibri" w:hAnsi="Calibri" w:cs="Calibri"/>
      </w:rPr>
      <w:fldChar w:fldCharType="begin"/>
    </w:r>
    <w:r w:rsidRPr="00C041A2">
      <w:rPr>
        <w:rFonts w:ascii="Calibri" w:hAnsi="Calibri" w:cs="Calibri"/>
      </w:rPr>
      <w:instrText xml:space="preserve"> PAGE </w:instrText>
    </w:r>
    <w:r w:rsidRPr="00C041A2">
      <w:rPr>
        <w:rFonts w:ascii="Calibri" w:hAnsi="Calibri" w:cs="Calibri"/>
      </w:rPr>
      <w:fldChar w:fldCharType="separate"/>
    </w:r>
    <w:r w:rsidR="009543C2">
      <w:rPr>
        <w:rFonts w:ascii="Calibri" w:hAnsi="Calibri" w:cs="Calibri"/>
        <w:noProof/>
      </w:rPr>
      <w:t>ii</w:t>
    </w:r>
    <w:r w:rsidRPr="00C041A2">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61E8" w14:textId="29ABE156" w:rsidR="009857EA" w:rsidRPr="00C041A2" w:rsidRDefault="009857EA" w:rsidP="006B1124">
    <w:pPr>
      <w:tabs>
        <w:tab w:val="center" w:pos="4680"/>
      </w:tabs>
      <w:ind w:firstLine="0"/>
      <w:rPr>
        <w:rFonts w:ascii="Calibri" w:hAnsi="Calibri" w:cs="Calibri"/>
      </w:rPr>
    </w:pPr>
    <w:r>
      <w:tab/>
    </w:r>
    <w:r w:rsidRPr="00C041A2">
      <w:rPr>
        <w:rFonts w:ascii="Calibri" w:hAnsi="Calibri" w:cs="Calibri"/>
      </w:rPr>
      <w:fldChar w:fldCharType="begin"/>
    </w:r>
    <w:r w:rsidRPr="00C041A2">
      <w:rPr>
        <w:rFonts w:ascii="Calibri" w:hAnsi="Calibri" w:cs="Calibri"/>
      </w:rPr>
      <w:instrText xml:space="preserve"> PAGE </w:instrText>
    </w:r>
    <w:r w:rsidRPr="00C041A2">
      <w:rPr>
        <w:rFonts w:ascii="Calibri" w:hAnsi="Calibri" w:cs="Calibri"/>
      </w:rPr>
      <w:fldChar w:fldCharType="separate"/>
    </w:r>
    <w:r w:rsidR="009543C2">
      <w:rPr>
        <w:rFonts w:ascii="Calibri" w:hAnsi="Calibri" w:cs="Calibri"/>
        <w:noProof/>
      </w:rPr>
      <w:t>10</w:t>
    </w:r>
    <w:r w:rsidRPr="00C041A2">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D23B8" w14:textId="77777777" w:rsidR="00506891" w:rsidRDefault="00506891">
      <w:r>
        <w:separator/>
      </w:r>
    </w:p>
  </w:footnote>
  <w:footnote w:type="continuationSeparator" w:id="0">
    <w:p w14:paraId="16227ACE" w14:textId="77777777" w:rsidR="00506891" w:rsidRDefault="005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34F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80FB5"/>
    <w:multiLevelType w:val="hybridMultilevel"/>
    <w:tmpl w:val="7BB2DF30"/>
    <w:lvl w:ilvl="0" w:tplc="D9CE7356">
      <w:start w:val="1"/>
      <w:numFmt w:val="lowerLetter"/>
      <w:lvlText w:val="%1."/>
      <w:lvlJc w:val="left"/>
      <w:pPr>
        <w:tabs>
          <w:tab w:val="num" w:pos="360"/>
        </w:tabs>
        <w:ind w:left="360" w:hanging="360"/>
      </w:pPr>
      <w:rPr>
        <w:sz w:val="24"/>
        <w:szCs w:val="24"/>
      </w:rPr>
    </w:lvl>
    <w:lvl w:ilvl="1" w:tplc="1E9CA8EE" w:tentative="1">
      <w:start w:val="1"/>
      <w:numFmt w:val="lowerLetter"/>
      <w:lvlText w:val="%2."/>
      <w:lvlJc w:val="left"/>
      <w:pPr>
        <w:tabs>
          <w:tab w:val="num" w:pos="1080"/>
        </w:tabs>
        <w:ind w:left="1080" w:hanging="360"/>
      </w:pPr>
    </w:lvl>
    <w:lvl w:ilvl="2" w:tplc="562E97D2" w:tentative="1">
      <w:start w:val="1"/>
      <w:numFmt w:val="lowerLetter"/>
      <w:lvlText w:val="%3."/>
      <w:lvlJc w:val="left"/>
      <w:pPr>
        <w:tabs>
          <w:tab w:val="num" w:pos="1800"/>
        </w:tabs>
        <w:ind w:left="1800" w:hanging="360"/>
      </w:pPr>
    </w:lvl>
    <w:lvl w:ilvl="3" w:tplc="F342ED62" w:tentative="1">
      <w:start w:val="1"/>
      <w:numFmt w:val="lowerLetter"/>
      <w:lvlText w:val="%4."/>
      <w:lvlJc w:val="left"/>
      <w:pPr>
        <w:tabs>
          <w:tab w:val="num" w:pos="2520"/>
        </w:tabs>
        <w:ind w:left="2520" w:hanging="360"/>
      </w:pPr>
    </w:lvl>
    <w:lvl w:ilvl="4" w:tplc="8E1650B0" w:tentative="1">
      <w:start w:val="1"/>
      <w:numFmt w:val="lowerLetter"/>
      <w:lvlText w:val="%5."/>
      <w:lvlJc w:val="left"/>
      <w:pPr>
        <w:tabs>
          <w:tab w:val="num" w:pos="3240"/>
        </w:tabs>
        <w:ind w:left="3240" w:hanging="360"/>
      </w:pPr>
    </w:lvl>
    <w:lvl w:ilvl="5" w:tplc="FE1AAFEC" w:tentative="1">
      <w:start w:val="1"/>
      <w:numFmt w:val="lowerLetter"/>
      <w:lvlText w:val="%6."/>
      <w:lvlJc w:val="left"/>
      <w:pPr>
        <w:tabs>
          <w:tab w:val="num" w:pos="3960"/>
        </w:tabs>
        <w:ind w:left="3960" w:hanging="360"/>
      </w:pPr>
    </w:lvl>
    <w:lvl w:ilvl="6" w:tplc="9E2A3398" w:tentative="1">
      <w:start w:val="1"/>
      <w:numFmt w:val="lowerLetter"/>
      <w:lvlText w:val="%7."/>
      <w:lvlJc w:val="left"/>
      <w:pPr>
        <w:tabs>
          <w:tab w:val="num" w:pos="4680"/>
        </w:tabs>
        <w:ind w:left="4680" w:hanging="360"/>
      </w:pPr>
    </w:lvl>
    <w:lvl w:ilvl="7" w:tplc="C1569E22" w:tentative="1">
      <w:start w:val="1"/>
      <w:numFmt w:val="lowerLetter"/>
      <w:lvlText w:val="%8."/>
      <w:lvlJc w:val="left"/>
      <w:pPr>
        <w:tabs>
          <w:tab w:val="num" w:pos="5400"/>
        </w:tabs>
        <w:ind w:left="5400" w:hanging="360"/>
      </w:pPr>
    </w:lvl>
    <w:lvl w:ilvl="8" w:tplc="EE56092A" w:tentative="1">
      <w:start w:val="1"/>
      <w:numFmt w:val="lowerLetter"/>
      <w:lvlText w:val="%9."/>
      <w:lvlJc w:val="left"/>
      <w:pPr>
        <w:tabs>
          <w:tab w:val="num" w:pos="6120"/>
        </w:tabs>
        <w:ind w:left="6120" w:hanging="360"/>
      </w:pPr>
    </w:lvl>
  </w:abstractNum>
  <w:abstractNum w:abstractNumId="2" w15:restartNumberingAfterBreak="0">
    <w:nsid w:val="0C315625"/>
    <w:multiLevelType w:val="multilevel"/>
    <w:tmpl w:val="B2D404E4"/>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Calibri" w:hAnsi="Calibri" w:cs="Calibri" w:hint="default"/>
        <w:b/>
        <w:i w:val="0"/>
        <w:sz w:val="24"/>
        <w:szCs w:val="24"/>
      </w:rPr>
    </w:lvl>
    <w:lvl w:ilvl="3">
      <w:start w:val="1"/>
      <w:numFmt w:val="decimal"/>
      <w:pStyle w:val="Heading4"/>
      <w:lvlText w:val="%1.%2.%3.%4"/>
      <w:lvlJc w:val="left"/>
      <w:pPr>
        <w:tabs>
          <w:tab w:val="num" w:pos="0"/>
        </w:tabs>
        <w:ind w:left="0" w:firstLine="0"/>
      </w:pPr>
      <w:rPr>
        <w:rFonts w:ascii="Calibri" w:hAnsi="Calibri" w:cs="Calibri"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B735E0"/>
    <w:multiLevelType w:val="hybridMultilevel"/>
    <w:tmpl w:val="D63C3FE8"/>
    <w:lvl w:ilvl="0" w:tplc="597EA552">
      <w:start w:val="2"/>
      <w:numFmt w:val="lowerLetter"/>
      <w:lvlText w:val="%1."/>
      <w:lvlJc w:val="left"/>
      <w:pPr>
        <w:ind w:left="360" w:hanging="360"/>
      </w:pPr>
      <w:rPr>
        <w:rFonts w:eastAsia="Calibri" w:hint="default"/>
        <w:i/>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num w:numId="1">
    <w:abstractNumId w:val="4"/>
  </w:num>
  <w:num w:numId="2">
    <w:abstractNumId w:val="2"/>
  </w:num>
  <w:num w:numId="3">
    <w:abstractNumId w:val="1"/>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41"/>
    <w:rsid w:val="0001175B"/>
    <w:rsid w:val="00030D3B"/>
    <w:rsid w:val="00035D1E"/>
    <w:rsid w:val="00037CEE"/>
    <w:rsid w:val="00050322"/>
    <w:rsid w:val="00050A6A"/>
    <w:rsid w:val="00053A61"/>
    <w:rsid w:val="000628E7"/>
    <w:rsid w:val="000714A2"/>
    <w:rsid w:val="00074392"/>
    <w:rsid w:val="000810D2"/>
    <w:rsid w:val="00083B75"/>
    <w:rsid w:val="00085644"/>
    <w:rsid w:val="00091153"/>
    <w:rsid w:val="000B6514"/>
    <w:rsid w:val="000C798D"/>
    <w:rsid w:val="000E72B1"/>
    <w:rsid w:val="000F098C"/>
    <w:rsid w:val="0010190B"/>
    <w:rsid w:val="0011080D"/>
    <w:rsid w:val="00111D2B"/>
    <w:rsid w:val="0011492D"/>
    <w:rsid w:val="001162E2"/>
    <w:rsid w:val="00124800"/>
    <w:rsid w:val="001502DB"/>
    <w:rsid w:val="00150EF7"/>
    <w:rsid w:val="00163A38"/>
    <w:rsid w:val="00175451"/>
    <w:rsid w:val="00193B15"/>
    <w:rsid w:val="001A7776"/>
    <w:rsid w:val="001A7A87"/>
    <w:rsid w:val="001C3099"/>
    <w:rsid w:val="001C538B"/>
    <w:rsid w:val="001C7CDC"/>
    <w:rsid w:val="001D00BE"/>
    <w:rsid w:val="001F2D4C"/>
    <w:rsid w:val="001F47F2"/>
    <w:rsid w:val="00200B2E"/>
    <w:rsid w:val="002029DB"/>
    <w:rsid w:val="002045C7"/>
    <w:rsid w:val="002102E6"/>
    <w:rsid w:val="00222CE5"/>
    <w:rsid w:val="00233817"/>
    <w:rsid w:val="00240DF3"/>
    <w:rsid w:val="002443FE"/>
    <w:rsid w:val="002524F7"/>
    <w:rsid w:val="002706BA"/>
    <w:rsid w:val="00273105"/>
    <w:rsid w:val="0027658F"/>
    <w:rsid w:val="00276E7E"/>
    <w:rsid w:val="00277464"/>
    <w:rsid w:val="00281958"/>
    <w:rsid w:val="0028782F"/>
    <w:rsid w:val="00297B2D"/>
    <w:rsid w:val="002B2A47"/>
    <w:rsid w:val="002B44FE"/>
    <w:rsid w:val="002D01B1"/>
    <w:rsid w:val="002D11E0"/>
    <w:rsid w:val="002D2603"/>
    <w:rsid w:val="002E064A"/>
    <w:rsid w:val="002E2707"/>
    <w:rsid w:val="002E49A3"/>
    <w:rsid w:val="002E5A98"/>
    <w:rsid w:val="002F4CE5"/>
    <w:rsid w:val="0033788F"/>
    <w:rsid w:val="00337CC7"/>
    <w:rsid w:val="0034768E"/>
    <w:rsid w:val="00353634"/>
    <w:rsid w:val="00367476"/>
    <w:rsid w:val="0039295E"/>
    <w:rsid w:val="00396575"/>
    <w:rsid w:val="003A2C42"/>
    <w:rsid w:val="003B7E02"/>
    <w:rsid w:val="00410503"/>
    <w:rsid w:val="00427A6B"/>
    <w:rsid w:val="0043214F"/>
    <w:rsid w:val="00436BBC"/>
    <w:rsid w:val="0044314C"/>
    <w:rsid w:val="00455DC4"/>
    <w:rsid w:val="0045606A"/>
    <w:rsid w:val="00484D2E"/>
    <w:rsid w:val="00496EC2"/>
    <w:rsid w:val="004A072B"/>
    <w:rsid w:val="004A4C0F"/>
    <w:rsid w:val="004B6CA7"/>
    <w:rsid w:val="004B7B28"/>
    <w:rsid w:val="004D1F0E"/>
    <w:rsid w:val="004D7AA4"/>
    <w:rsid w:val="004E3B59"/>
    <w:rsid w:val="004E4D6F"/>
    <w:rsid w:val="004F34BE"/>
    <w:rsid w:val="005026EF"/>
    <w:rsid w:val="00506891"/>
    <w:rsid w:val="0052539D"/>
    <w:rsid w:val="00536110"/>
    <w:rsid w:val="00553EEB"/>
    <w:rsid w:val="00581B0D"/>
    <w:rsid w:val="005931B5"/>
    <w:rsid w:val="00596371"/>
    <w:rsid w:val="005A397E"/>
    <w:rsid w:val="005A4E43"/>
    <w:rsid w:val="005A5D20"/>
    <w:rsid w:val="005D395E"/>
    <w:rsid w:val="005F0ADF"/>
    <w:rsid w:val="005F1BB6"/>
    <w:rsid w:val="005F63AD"/>
    <w:rsid w:val="00605D78"/>
    <w:rsid w:val="00615394"/>
    <w:rsid w:val="00624DA4"/>
    <w:rsid w:val="00625E72"/>
    <w:rsid w:val="006329AB"/>
    <w:rsid w:val="00633C60"/>
    <w:rsid w:val="00636C11"/>
    <w:rsid w:val="006425BF"/>
    <w:rsid w:val="00656EE6"/>
    <w:rsid w:val="006A0F97"/>
    <w:rsid w:val="006A3577"/>
    <w:rsid w:val="006A5780"/>
    <w:rsid w:val="006B1124"/>
    <w:rsid w:val="006B550D"/>
    <w:rsid w:val="006C5223"/>
    <w:rsid w:val="006C7899"/>
    <w:rsid w:val="006E0391"/>
    <w:rsid w:val="006F6B3A"/>
    <w:rsid w:val="007037F2"/>
    <w:rsid w:val="00716397"/>
    <w:rsid w:val="0072186A"/>
    <w:rsid w:val="007301BC"/>
    <w:rsid w:val="00746A2C"/>
    <w:rsid w:val="00760399"/>
    <w:rsid w:val="00775294"/>
    <w:rsid w:val="007A206E"/>
    <w:rsid w:val="007B117B"/>
    <w:rsid w:val="007B3848"/>
    <w:rsid w:val="007B600A"/>
    <w:rsid w:val="007C28BE"/>
    <w:rsid w:val="007D5630"/>
    <w:rsid w:val="007E22E9"/>
    <w:rsid w:val="007E60C7"/>
    <w:rsid w:val="007F763B"/>
    <w:rsid w:val="008044E7"/>
    <w:rsid w:val="00806E0D"/>
    <w:rsid w:val="00834193"/>
    <w:rsid w:val="008438F4"/>
    <w:rsid w:val="00856407"/>
    <w:rsid w:val="00863D37"/>
    <w:rsid w:val="008650E7"/>
    <w:rsid w:val="00883AD4"/>
    <w:rsid w:val="00884E1F"/>
    <w:rsid w:val="00885D4B"/>
    <w:rsid w:val="00890244"/>
    <w:rsid w:val="008A03A7"/>
    <w:rsid w:val="008A110F"/>
    <w:rsid w:val="008A114D"/>
    <w:rsid w:val="008A4541"/>
    <w:rsid w:val="008C33FF"/>
    <w:rsid w:val="008C45EA"/>
    <w:rsid w:val="008C504F"/>
    <w:rsid w:val="008C6E95"/>
    <w:rsid w:val="008D64D5"/>
    <w:rsid w:val="008F59E5"/>
    <w:rsid w:val="008F6E7F"/>
    <w:rsid w:val="00901CC9"/>
    <w:rsid w:val="009036E9"/>
    <w:rsid w:val="00912CB4"/>
    <w:rsid w:val="00923007"/>
    <w:rsid w:val="009239EE"/>
    <w:rsid w:val="00936407"/>
    <w:rsid w:val="00936D40"/>
    <w:rsid w:val="0094400F"/>
    <w:rsid w:val="009543C2"/>
    <w:rsid w:val="009857EA"/>
    <w:rsid w:val="00990685"/>
    <w:rsid w:val="0099247D"/>
    <w:rsid w:val="0099411C"/>
    <w:rsid w:val="0099539E"/>
    <w:rsid w:val="009B55ED"/>
    <w:rsid w:val="009C4136"/>
    <w:rsid w:val="009D19A9"/>
    <w:rsid w:val="009D4964"/>
    <w:rsid w:val="00A115A7"/>
    <w:rsid w:val="00A208D2"/>
    <w:rsid w:val="00A2704C"/>
    <w:rsid w:val="00A273B7"/>
    <w:rsid w:val="00A303F6"/>
    <w:rsid w:val="00A3281F"/>
    <w:rsid w:val="00A35269"/>
    <w:rsid w:val="00A4495A"/>
    <w:rsid w:val="00A44C1E"/>
    <w:rsid w:val="00A45F73"/>
    <w:rsid w:val="00A77525"/>
    <w:rsid w:val="00A927F4"/>
    <w:rsid w:val="00AA2C6A"/>
    <w:rsid w:val="00AA3E52"/>
    <w:rsid w:val="00AB08F3"/>
    <w:rsid w:val="00AB5C00"/>
    <w:rsid w:val="00AC01FD"/>
    <w:rsid w:val="00AC4CF3"/>
    <w:rsid w:val="00AC5D2C"/>
    <w:rsid w:val="00AD2869"/>
    <w:rsid w:val="00AF340B"/>
    <w:rsid w:val="00AF5860"/>
    <w:rsid w:val="00B17825"/>
    <w:rsid w:val="00B253D8"/>
    <w:rsid w:val="00B33801"/>
    <w:rsid w:val="00B424B6"/>
    <w:rsid w:val="00B42812"/>
    <w:rsid w:val="00B56F3C"/>
    <w:rsid w:val="00B57E9B"/>
    <w:rsid w:val="00B614F2"/>
    <w:rsid w:val="00B6794B"/>
    <w:rsid w:val="00B758DB"/>
    <w:rsid w:val="00B917F0"/>
    <w:rsid w:val="00B97217"/>
    <w:rsid w:val="00B972E3"/>
    <w:rsid w:val="00BA46D0"/>
    <w:rsid w:val="00BB140D"/>
    <w:rsid w:val="00BC176A"/>
    <w:rsid w:val="00BC5E79"/>
    <w:rsid w:val="00BD21C6"/>
    <w:rsid w:val="00BD74FA"/>
    <w:rsid w:val="00BE6597"/>
    <w:rsid w:val="00BF2B29"/>
    <w:rsid w:val="00BF3561"/>
    <w:rsid w:val="00C041A2"/>
    <w:rsid w:val="00C06609"/>
    <w:rsid w:val="00C11902"/>
    <w:rsid w:val="00C17C66"/>
    <w:rsid w:val="00C25C37"/>
    <w:rsid w:val="00C359CB"/>
    <w:rsid w:val="00C40D61"/>
    <w:rsid w:val="00C43878"/>
    <w:rsid w:val="00C4767D"/>
    <w:rsid w:val="00C535DA"/>
    <w:rsid w:val="00C74E5A"/>
    <w:rsid w:val="00C8159D"/>
    <w:rsid w:val="00C9228E"/>
    <w:rsid w:val="00CB03F9"/>
    <w:rsid w:val="00CD24DE"/>
    <w:rsid w:val="00CD5F21"/>
    <w:rsid w:val="00CE2FA5"/>
    <w:rsid w:val="00D02854"/>
    <w:rsid w:val="00D1693B"/>
    <w:rsid w:val="00D26120"/>
    <w:rsid w:val="00D44A01"/>
    <w:rsid w:val="00D52ABF"/>
    <w:rsid w:val="00D530BC"/>
    <w:rsid w:val="00D81391"/>
    <w:rsid w:val="00D82CAB"/>
    <w:rsid w:val="00D83E2E"/>
    <w:rsid w:val="00DA5BA8"/>
    <w:rsid w:val="00DA61FF"/>
    <w:rsid w:val="00DD0C37"/>
    <w:rsid w:val="00DD3B2F"/>
    <w:rsid w:val="00DE29BF"/>
    <w:rsid w:val="00DE5C69"/>
    <w:rsid w:val="00E17F3F"/>
    <w:rsid w:val="00E34AEE"/>
    <w:rsid w:val="00E35361"/>
    <w:rsid w:val="00E36565"/>
    <w:rsid w:val="00E456F4"/>
    <w:rsid w:val="00E502E8"/>
    <w:rsid w:val="00E776E4"/>
    <w:rsid w:val="00EA4A81"/>
    <w:rsid w:val="00EB7A62"/>
    <w:rsid w:val="00ED3730"/>
    <w:rsid w:val="00F0330D"/>
    <w:rsid w:val="00F035A3"/>
    <w:rsid w:val="00F12729"/>
    <w:rsid w:val="00F34251"/>
    <w:rsid w:val="00F36434"/>
    <w:rsid w:val="00F46A24"/>
    <w:rsid w:val="00F50264"/>
    <w:rsid w:val="00F51305"/>
    <w:rsid w:val="00F56B64"/>
    <w:rsid w:val="00F60005"/>
    <w:rsid w:val="00F71A8A"/>
    <w:rsid w:val="00F845CF"/>
    <w:rsid w:val="00F91BDB"/>
    <w:rsid w:val="00FA6D17"/>
    <w:rsid w:val="00FB5E24"/>
    <w:rsid w:val="00FE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CCC46"/>
  <w15:docId w15:val="{562163C7-546B-488E-ADA5-B062B41D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rPr>
      <w:sz w:val="24"/>
      <w:szCs w:val="24"/>
    </w:rPr>
  </w:style>
  <w:style w:type="paragraph" w:styleId="Heading1">
    <w:name w:val="heading 1"/>
    <w:basedOn w:val="Normal"/>
    <w:next w:val="Noindent"/>
    <w:qFormat/>
    <w:rsid w:val="008A110F"/>
    <w:pPr>
      <w:keepNext/>
      <w:pageBreakBefore/>
      <w:numPr>
        <w:numId w:val="2"/>
      </w:numPr>
      <w:tabs>
        <w:tab w:val="clear" w:pos="-720"/>
      </w:tabs>
      <w:spacing w:before="1440" w:after="960"/>
      <w:ind w:left="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0"/>
      </w:tabs>
      <w:spacing w:before="960" w:after="480"/>
      <w:contextualSpacing/>
      <w:outlineLvl w:val="1"/>
    </w:pPr>
    <w:rPr>
      <w:bCs w:val="0"/>
      <w:iCs/>
    </w:rPr>
  </w:style>
  <w:style w:type="paragraph" w:styleId="Heading3">
    <w:name w:val="heading 3"/>
    <w:basedOn w:val="Heading2"/>
    <w:next w:val="Noindent"/>
    <w:qFormat/>
    <w:rsid w:val="007B600A"/>
    <w:pPr>
      <w:numPr>
        <w:ilvl w:val="2"/>
      </w:numPr>
      <w:tabs>
        <w:tab w:val="clear" w:pos="0"/>
      </w:tabs>
      <w:spacing w:before="480"/>
      <w:jc w:val="left"/>
      <w:outlineLvl w:val="2"/>
    </w:pPr>
    <w:rPr>
      <w:bCs/>
      <w:caps w:val="0"/>
    </w:rPr>
  </w:style>
  <w:style w:type="paragraph" w:styleId="Heading4">
    <w:name w:val="heading 4"/>
    <w:basedOn w:val="Heading3"/>
    <w:next w:val="Normal"/>
    <w:qFormat/>
    <w:rsid w:val="00276E7E"/>
    <w:pPr>
      <w:numPr>
        <w:ilvl w:val="3"/>
      </w:numPr>
      <w:tabs>
        <w:tab w:val="clear" w:pos="0"/>
      </w:tabs>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ndent">
    <w:name w:val="No indent"/>
    <w:basedOn w:val="Normal"/>
    <w:next w:val="Normal"/>
    <w:rsid w:val="00200B2E"/>
    <w:pPr>
      <w:ind w:firstLine="0"/>
    </w:pPr>
  </w:style>
  <w:style w:type="paragraph" w:styleId="TOC1">
    <w:name w:val="toc 1"/>
    <w:basedOn w:val="Normal"/>
    <w:next w:val="Normal"/>
    <w:autoRedefine/>
    <w:uiPriority w:val="39"/>
    <w:rsid w:val="00DA5BA8"/>
    <w:pPr>
      <w:ind w:firstLine="0"/>
    </w:pPr>
    <w:rPr>
      <w:b/>
      <w:caps/>
    </w:rPr>
  </w:style>
  <w:style w:type="paragraph" w:customStyle="1" w:styleId="AppSection">
    <w:name w:val="App Section"/>
    <w:basedOn w:val="Noindent"/>
    <w:next w:val="Noindent"/>
    <w:rsid w:val="00CE2FA5"/>
    <w:pPr>
      <w:keepNext/>
      <w:numPr>
        <w:ilvl w:val="5"/>
        <w:numId w:val="1"/>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1"/>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customStyle="1" w:styleId="Preliminary">
    <w:name w:val="Preliminary"/>
    <w:basedOn w:val="Heading1"/>
    <w:next w:val="Noindent"/>
    <w:rsid w:val="008A110F"/>
    <w:pPr>
      <w:numPr>
        <w:numId w:val="0"/>
      </w:numPr>
    </w:pPr>
  </w:style>
  <w:style w:type="paragraph" w:styleId="Header">
    <w:name w:val="header"/>
    <w:basedOn w:val="Normal"/>
    <w:link w:val="HeaderChar"/>
    <w:uiPriority w:val="99"/>
    <w:rsid w:val="00367476"/>
    <w:pPr>
      <w:tabs>
        <w:tab w:val="center" w:pos="4320"/>
        <w:tab w:val="right" w:pos="8640"/>
      </w:tabs>
    </w:pPr>
  </w:style>
  <w:style w:type="character" w:customStyle="1" w:styleId="HeaderChar">
    <w:name w:val="Header Char"/>
    <w:link w:val="Header"/>
    <w:uiPriority w:val="99"/>
    <w:rsid w:val="0099247D"/>
    <w:rPr>
      <w:sz w:val="24"/>
      <w:szCs w:val="24"/>
    </w:rPr>
  </w:style>
  <w:style w:type="paragraph" w:customStyle="1" w:styleId="Appsubsection">
    <w:name w:val="App subsection"/>
    <w:basedOn w:val="AppSection"/>
    <w:next w:val="Noindent"/>
    <w:rsid w:val="00CE2FA5"/>
    <w:pPr>
      <w:numPr>
        <w:ilvl w:val="0"/>
        <w:numId w:val="0"/>
      </w:numPr>
      <w:tabs>
        <w:tab w:val="num" w:pos="-31680"/>
      </w:tabs>
      <w:spacing w:before="48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uiPriority w:val="39"/>
    <w:rsid w:val="00DA5BA8"/>
    <w:pPr>
      <w:ind w:left="1008" w:firstLine="0"/>
    </w:pPr>
    <w:rPr>
      <w:b/>
    </w:rPr>
  </w:style>
  <w:style w:type="paragraph" w:styleId="Footer">
    <w:name w:val="footer"/>
    <w:basedOn w:val="Normal"/>
    <w:link w:val="FooterChar"/>
    <w:uiPriority w:val="99"/>
    <w:rsid w:val="00367476"/>
    <w:pPr>
      <w:tabs>
        <w:tab w:val="center" w:pos="4320"/>
        <w:tab w:val="right" w:pos="8640"/>
      </w:tabs>
    </w:pPr>
  </w:style>
  <w:style w:type="character" w:customStyle="1" w:styleId="FooterChar">
    <w:name w:val="Footer Char"/>
    <w:link w:val="Footer"/>
    <w:uiPriority w:val="99"/>
    <w:rsid w:val="0099247D"/>
    <w:rPr>
      <w:sz w:val="24"/>
      <w:szCs w:val="24"/>
    </w:r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uiPriority w:val="39"/>
    <w:rsid w:val="00DA5BA8"/>
    <w:pPr>
      <w:ind w:left="1512" w:firstLine="0"/>
    </w:pPr>
    <w:rPr>
      <w:b/>
    </w:rPr>
  </w:style>
  <w:style w:type="table" w:styleId="TableGrid">
    <w:name w:val="Table Grid"/>
    <w:basedOn w:val="TableNormal"/>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paragraph" w:styleId="NoSpacing">
    <w:name w:val="No Spacing"/>
    <w:link w:val="NoSpacingChar"/>
    <w:uiPriority w:val="1"/>
    <w:qFormat/>
    <w:rsid w:val="0099247D"/>
    <w:rPr>
      <w:rFonts w:ascii="Calibri" w:eastAsia="Calibri" w:hAnsi="Calibri"/>
      <w:sz w:val="22"/>
      <w:szCs w:val="22"/>
    </w:rPr>
  </w:style>
  <w:style w:type="character" w:customStyle="1" w:styleId="NoSpacingChar">
    <w:name w:val="No Spacing Char"/>
    <w:link w:val="NoSpacing"/>
    <w:uiPriority w:val="1"/>
    <w:rsid w:val="0099247D"/>
    <w:rPr>
      <w:rFonts w:ascii="Calibri" w:eastAsia="Calibri" w:hAnsi="Calibri"/>
      <w:sz w:val="22"/>
      <w:szCs w:val="22"/>
    </w:rPr>
  </w:style>
  <w:style w:type="paragraph" w:styleId="ListParagraph">
    <w:name w:val="List Paragraph"/>
    <w:basedOn w:val="Normal"/>
    <w:uiPriority w:val="34"/>
    <w:qFormat/>
    <w:rsid w:val="0099247D"/>
    <w:pPr>
      <w:spacing w:after="200" w:line="276" w:lineRule="auto"/>
      <w:ind w:left="720" w:firstLine="0"/>
      <w:contextualSpacing/>
      <w:jc w:val="left"/>
    </w:pPr>
    <w:rPr>
      <w:rFonts w:ascii="Calibri" w:eastAsia="Calibri" w:hAnsi="Calibri"/>
      <w:sz w:val="22"/>
      <w:szCs w:val="22"/>
    </w:rPr>
  </w:style>
  <w:style w:type="paragraph" w:styleId="BalloonText">
    <w:name w:val="Balloon Text"/>
    <w:basedOn w:val="Normal"/>
    <w:link w:val="BalloonTextChar"/>
    <w:uiPriority w:val="99"/>
    <w:unhideWhenUsed/>
    <w:rsid w:val="0099247D"/>
    <w:pPr>
      <w:spacing w:line="240" w:lineRule="auto"/>
      <w:ind w:firstLine="0"/>
      <w:jc w:val="left"/>
    </w:pPr>
    <w:rPr>
      <w:rFonts w:ascii="Tahoma" w:eastAsia="Calibri" w:hAnsi="Tahoma" w:cs="Tahoma"/>
      <w:sz w:val="16"/>
      <w:szCs w:val="16"/>
    </w:rPr>
  </w:style>
  <w:style w:type="character" w:customStyle="1" w:styleId="BalloonTextChar">
    <w:name w:val="Balloon Text Char"/>
    <w:link w:val="BalloonText"/>
    <w:uiPriority w:val="99"/>
    <w:rsid w:val="0099247D"/>
    <w:rPr>
      <w:rFonts w:ascii="Tahoma" w:eastAsia="Calibri" w:hAnsi="Tahoma" w:cs="Tahoma"/>
      <w:sz w:val="16"/>
      <w:szCs w:val="16"/>
    </w:rPr>
  </w:style>
  <w:style w:type="character" w:styleId="CommentReference">
    <w:name w:val="annotation reference"/>
    <w:uiPriority w:val="99"/>
    <w:unhideWhenUsed/>
    <w:rsid w:val="0099247D"/>
    <w:rPr>
      <w:sz w:val="16"/>
      <w:szCs w:val="16"/>
    </w:rPr>
  </w:style>
  <w:style w:type="paragraph" w:styleId="CommentText">
    <w:name w:val="annotation text"/>
    <w:basedOn w:val="Normal"/>
    <w:link w:val="CommentTextChar"/>
    <w:uiPriority w:val="99"/>
    <w:unhideWhenUsed/>
    <w:rsid w:val="0099247D"/>
    <w:pPr>
      <w:spacing w:after="200" w:line="240" w:lineRule="auto"/>
      <w:ind w:firstLine="0"/>
      <w:jc w:val="left"/>
    </w:pPr>
    <w:rPr>
      <w:rFonts w:ascii="Calibri" w:eastAsia="Calibri" w:hAnsi="Calibri"/>
      <w:sz w:val="20"/>
      <w:szCs w:val="20"/>
    </w:rPr>
  </w:style>
  <w:style w:type="character" w:customStyle="1" w:styleId="CommentTextChar">
    <w:name w:val="Comment Text Char"/>
    <w:link w:val="CommentText"/>
    <w:uiPriority w:val="99"/>
    <w:rsid w:val="0099247D"/>
    <w:rPr>
      <w:rFonts w:ascii="Calibri" w:eastAsia="Calibri" w:hAnsi="Calibri"/>
    </w:rPr>
  </w:style>
  <w:style w:type="paragraph" w:styleId="CommentSubject">
    <w:name w:val="annotation subject"/>
    <w:basedOn w:val="CommentText"/>
    <w:next w:val="CommentText"/>
    <w:link w:val="CommentSubjectChar"/>
    <w:uiPriority w:val="99"/>
    <w:unhideWhenUsed/>
    <w:rsid w:val="0099247D"/>
    <w:rPr>
      <w:b/>
      <w:bCs/>
    </w:rPr>
  </w:style>
  <w:style w:type="character" w:customStyle="1" w:styleId="CommentSubjectChar">
    <w:name w:val="Comment Subject Char"/>
    <w:link w:val="CommentSubject"/>
    <w:uiPriority w:val="99"/>
    <w:rsid w:val="0099247D"/>
    <w:rPr>
      <w:rFonts w:ascii="Calibri" w:eastAsia="Calibri" w:hAnsi="Calibri"/>
      <w:b/>
      <w:bCs/>
    </w:rPr>
  </w:style>
  <w:style w:type="character" w:styleId="FollowedHyperlink">
    <w:name w:val="FollowedHyperlink"/>
    <w:uiPriority w:val="99"/>
    <w:unhideWhenUsed/>
    <w:rsid w:val="0099247D"/>
    <w:rPr>
      <w:color w:val="800080"/>
      <w:u w:val="single"/>
    </w:rPr>
  </w:style>
  <w:style w:type="paragraph" w:styleId="NormalWeb">
    <w:name w:val="Normal (Web)"/>
    <w:basedOn w:val="Normal"/>
    <w:uiPriority w:val="99"/>
    <w:unhideWhenUsed/>
    <w:rsid w:val="0099247D"/>
    <w:pPr>
      <w:spacing w:before="100" w:beforeAutospacing="1" w:after="100" w:afterAutospacing="1" w:line="240" w:lineRule="auto"/>
      <w:ind w:firstLine="0"/>
      <w:jc w:val="left"/>
    </w:pPr>
  </w:style>
  <w:style w:type="paragraph" w:styleId="Bibliography">
    <w:name w:val="Bibliography"/>
    <w:basedOn w:val="Normal"/>
    <w:next w:val="Normal"/>
    <w:uiPriority w:val="37"/>
    <w:unhideWhenUsed/>
    <w:rsid w:val="0099247D"/>
    <w:pPr>
      <w:ind w:left="720" w:hanging="720"/>
      <w:jc w:val="left"/>
    </w:pPr>
    <w:rPr>
      <w:rFonts w:ascii="Calibri" w:eastAsia="Calibri" w:hAnsi="Calibri"/>
      <w:sz w:val="22"/>
      <w:szCs w:val="22"/>
    </w:rPr>
  </w:style>
  <w:style w:type="character" w:styleId="Emphasis">
    <w:name w:val="Emphasis"/>
    <w:uiPriority w:val="20"/>
    <w:qFormat/>
    <w:rsid w:val="0099247D"/>
    <w:rPr>
      <w:i/>
      <w:iCs/>
    </w:rPr>
  </w:style>
  <w:style w:type="paragraph" w:customStyle="1" w:styleId="Style1">
    <w:name w:val="Style1"/>
    <w:basedOn w:val="Heading1"/>
    <w:qFormat/>
    <w:rsid w:val="00DD3B2F"/>
    <w:rPr>
      <w:rFonts w:ascii="Calibri" w:hAnsi="Calibri"/>
    </w:rPr>
  </w:style>
  <w:style w:type="paragraph" w:customStyle="1" w:styleId="Style2">
    <w:name w:val="Style2"/>
    <w:basedOn w:val="Heading2"/>
    <w:qFormat/>
    <w:rsid w:val="00DD3B2F"/>
    <w:rPr>
      <w:rFonts w:ascii="Calibri" w:hAnsi="Calibri"/>
    </w:rPr>
  </w:style>
  <w:style w:type="paragraph" w:customStyle="1" w:styleId="Style3">
    <w:name w:val="Style3"/>
    <w:basedOn w:val="Heading2"/>
    <w:qFormat/>
    <w:rsid w:val="00DD3B2F"/>
    <w:rPr>
      <w:rFonts w:ascii="Calibri" w:hAnsi="Calibri"/>
    </w:rPr>
  </w:style>
  <w:style w:type="paragraph" w:customStyle="1" w:styleId="Style4">
    <w:name w:val="Style4"/>
    <w:basedOn w:val="Normal"/>
    <w:qFormat/>
    <w:rsid w:val="00DD3B2F"/>
    <w:pPr>
      <w:spacing w:line="360" w:lineRule="auto"/>
    </w:pPr>
    <w:rPr>
      <w:rFonts w:ascii="Calibri" w:hAnsi="Calibri" w:cs="Calibri"/>
      <w:b/>
    </w:rPr>
  </w:style>
  <w:style w:type="paragraph" w:customStyle="1" w:styleId="Style5">
    <w:name w:val="Style5"/>
    <w:basedOn w:val="Heading3"/>
    <w:qFormat/>
    <w:rsid w:val="007B600A"/>
    <w:rPr>
      <w:rFonts w:ascii="Calibri" w:hAnsi="Calibri"/>
    </w:rPr>
  </w:style>
  <w:style w:type="paragraph" w:customStyle="1" w:styleId="Style6">
    <w:name w:val="Style6"/>
    <w:basedOn w:val="Heading3"/>
    <w:autoRedefine/>
    <w:qFormat/>
    <w:rsid w:val="007B600A"/>
    <w:rPr>
      <w:rFonts w:ascii="Calibri" w:hAnsi="Calibri"/>
    </w:rPr>
  </w:style>
  <w:style w:type="paragraph" w:customStyle="1" w:styleId="Style7">
    <w:name w:val="Style7"/>
    <w:basedOn w:val="Heading2"/>
    <w:autoRedefine/>
    <w:qFormat/>
    <w:rsid w:val="007B600A"/>
    <w:rPr>
      <w:rFonts w:ascii="Calibri" w:hAnsi="Calibri"/>
    </w:rPr>
  </w:style>
  <w:style w:type="paragraph" w:customStyle="1" w:styleId="Style8">
    <w:name w:val="Style8"/>
    <w:basedOn w:val="Heading3"/>
    <w:autoRedefine/>
    <w:qFormat/>
    <w:rsid w:val="001F2D4C"/>
    <w:rPr>
      <w:rFonts w:ascii="Calibri" w:hAnsi="Calibri"/>
    </w:rPr>
  </w:style>
  <w:style w:type="paragraph" w:customStyle="1" w:styleId="Style9">
    <w:name w:val="Style9"/>
    <w:basedOn w:val="Heading4"/>
    <w:autoRedefine/>
    <w:qFormat/>
    <w:rsid w:val="001F2D4C"/>
    <w:rPr>
      <w:rFonts w:ascii="Calibri" w:hAnsi="Calibri"/>
    </w:rPr>
  </w:style>
  <w:style w:type="paragraph" w:styleId="Revision">
    <w:name w:val="Revision"/>
    <w:hidden/>
    <w:uiPriority w:val="99"/>
    <w:semiHidden/>
    <w:rsid w:val="001A7A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7671">
      <w:bodyDiv w:val="1"/>
      <w:marLeft w:val="0"/>
      <w:marRight w:val="0"/>
      <w:marTop w:val="0"/>
      <w:marBottom w:val="0"/>
      <w:divBdr>
        <w:top w:val="none" w:sz="0" w:space="0" w:color="auto"/>
        <w:left w:val="none" w:sz="0" w:space="0" w:color="auto"/>
        <w:bottom w:val="none" w:sz="0" w:space="0" w:color="auto"/>
        <w:right w:val="none" w:sz="0" w:space="0" w:color="auto"/>
      </w:divBdr>
      <w:divsChild>
        <w:div w:id="762847640">
          <w:marLeft w:val="1066"/>
          <w:marRight w:val="0"/>
          <w:marTop w:val="0"/>
          <w:marBottom w:val="0"/>
          <w:divBdr>
            <w:top w:val="none" w:sz="0" w:space="0" w:color="auto"/>
            <w:left w:val="none" w:sz="0" w:space="0" w:color="auto"/>
            <w:bottom w:val="none" w:sz="0" w:space="0" w:color="auto"/>
            <w:right w:val="none" w:sz="0" w:space="0" w:color="auto"/>
          </w:divBdr>
        </w:div>
        <w:div w:id="1508786408">
          <w:marLeft w:val="1066"/>
          <w:marRight w:val="0"/>
          <w:marTop w:val="0"/>
          <w:marBottom w:val="0"/>
          <w:divBdr>
            <w:top w:val="none" w:sz="0" w:space="0" w:color="auto"/>
            <w:left w:val="none" w:sz="0" w:space="0" w:color="auto"/>
            <w:bottom w:val="none" w:sz="0" w:space="0" w:color="auto"/>
            <w:right w:val="none" w:sz="0" w:space="0" w:color="auto"/>
          </w:divBdr>
        </w:div>
        <w:div w:id="28262690">
          <w:marLeft w:val="1066"/>
          <w:marRight w:val="0"/>
          <w:marTop w:val="0"/>
          <w:marBottom w:val="0"/>
          <w:divBdr>
            <w:top w:val="none" w:sz="0" w:space="0" w:color="auto"/>
            <w:left w:val="none" w:sz="0" w:space="0" w:color="auto"/>
            <w:bottom w:val="none" w:sz="0" w:space="0" w:color="auto"/>
            <w:right w:val="none" w:sz="0" w:space="0" w:color="auto"/>
          </w:divBdr>
        </w:div>
        <w:div w:id="1969125325">
          <w:marLeft w:val="10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533B-BAE3-4776-8C75-99ED4103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0</TotalTime>
  <Pages>66</Pages>
  <Words>64767</Words>
  <Characters>369177</Characters>
  <Application>Microsoft Office Word</Application>
  <DocSecurity>0</DocSecurity>
  <Lines>3076</Lines>
  <Paragraphs>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433078</CharactersWithSpaces>
  <SharedDoc>false</SharedDoc>
  <HLinks>
    <vt:vector size="294" baseType="variant">
      <vt:variant>
        <vt:i4>1703996</vt:i4>
      </vt:variant>
      <vt:variant>
        <vt:i4>296</vt:i4>
      </vt:variant>
      <vt:variant>
        <vt:i4>0</vt:i4>
      </vt:variant>
      <vt:variant>
        <vt:i4>5</vt:i4>
      </vt:variant>
      <vt:variant>
        <vt:lpwstr/>
      </vt:variant>
      <vt:variant>
        <vt:lpwstr>_Toc497999646</vt:lpwstr>
      </vt:variant>
      <vt:variant>
        <vt:i4>1703996</vt:i4>
      </vt:variant>
      <vt:variant>
        <vt:i4>290</vt:i4>
      </vt:variant>
      <vt:variant>
        <vt:i4>0</vt:i4>
      </vt:variant>
      <vt:variant>
        <vt:i4>5</vt:i4>
      </vt:variant>
      <vt:variant>
        <vt:lpwstr/>
      </vt:variant>
      <vt:variant>
        <vt:lpwstr>_Toc497999645</vt:lpwstr>
      </vt:variant>
      <vt:variant>
        <vt:i4>1703996</vt:i4>
      </vt:variant>
      <vt:variant>
        <vt:i4>281</vt:i4>
      </vt:variant>
      <vt:variant>
        <vt:i4>0</vt:i4>
      </vt:variant>
      <vt:variant>
        <vt:i4>5</vt:i4>
      </vt:variant>
      <vt:variant>
        <vt:lpwstr/>
      </vt:variant>
      <vt:variant>
        <vt:lpwstr>_Toc497999644</vt:lpwstr>
      </vt:variant>
      <vt:variant>
        <vt:i4>1703996</vt:i4>
      </vt:variant>
      <vt:variant>
        <vt:i4>275</vt:i4>
      </vt:variant>
      <vt:variant>
        <vt:i4>0</vt:i4>
      </vt:variant>
      <vt:variant>
        <vt:i4>5</vt:i4>
      </vt:variant>
      <vt:variant>
        <vt:lpwstr/>
      </vt:variant>
      <vt:variant>
        <vt:lpwstr>_Toc497999643</vt:lpwstr>
      </vt:variant>
      <vt:variant>
        <vt:i4>1703996</vt:i4>
      </vt:variant>
      <vt:variant>
        <vt:i4>269</vt:i4>
      </vt:variant>
      <vt:variant>
        <vt:i4>0</vt:i4>
      </vt:variant>
      <vt:variant>
        <vt:i4>5</vt:i4>
      </vt:variant>
      <vt:variant>
        <vt:lpwstr/>
      </vt:variant>
      <vt:variant>
        <vt:lpwstr>_Toc497999642</vt:lpwstr>
      </vt:variant>
      <vt:variant>
        <vt:i4>1703996</vt:i4>
      </vt:variant>
      <vt:variant>
        <vt:i4>263</vt:i4>
      </vt:variant>
      <vt:variant>
        <vt:i4>0</vt:i4>
      </vt:variant>
      <vt:variant>
        <vt:i4>5</vt:i4>
      </vt:variant>
      <vt:variant>
        <vt:lpwstr/>
      </vt:variant>
      <vt:variant>
        <vt:lpwstr>_Toc497999641</vt:lpwstr>
      </vt:variant>
      <vt:variant>
        <vt:i4>1114172</vt:i4>
      </vt:variant>
      <vt:variant>
        <vt:i4>254</vt:i4>
      </vt:variant>
      <vt:variant>
        <vt:i4>0</vt:i4>
      </vt:variant>
      <vt:variant>
        <vt:i4>5</vt:i4>
      </vt:variant>
      <vt:variant>
        <vt:lpwstr/>
      </vt:variant>
      <vt:variant>
        <vt:lpwstr>_Toc498259540</vt:lpwstr>
      </vt:variant>
      <vt:variant>
        <vt:i4>1441852</vt:i4>
      </vt:variant>
      <vt:variant>
        <vt:i4>248</vt:i4>
      </vt:variant>
      <vt:variant>
        <vt:i4>0</vt:i4>
      </vt:variant>
      <vt:variant>
        <vt:i4>5</vt:i4>
      </vt:variant>
      <vt:variant>
        <vt:lpwstr/>
      </vt:variant>
      <vt:variant>
        <vt:lpwstr>_Toc498259539</vt:lpwstr>
      </vt:variant>
      <vt:variant>
        <vt:i4>1441852</vt:i4>
      </vt:variant>
      <vt:variant>
        <vt:i4>242</vt:i4>
      </vt:variant>
      <vt:variant>
        <vt:i4>0</vt:i4>
      </vt:variant>
      <vt:variant>
        <vt:i4>5</vt:i4>
      </vt:variant>
      <vt:variant>
        <vt:lpwstr/>
      </vt:variant>
      <vt:variant>
        <vt:lpwstr>_Toc498259538</vt:lpwstr>
      </vt:variant>
      <vt:variant>
        <vt:i4>1441852</vt:i4>
      </vt:variant>
      <vt:variant>
        <vt:i4>236</vt:i4>
      </vt:variant>
      <vt:variant>
        <vt:i4>0</vt:i4>
      </vt:variant>
      <vt:variant>
        <vt:i4>5</vt:i4>
      </vt:variant>
      <vt:variant>
        <vt:lpwstr/>
      </vt:variant>
      <vt:variant>
        <vt:lpwstr>_Toc498259537</vt:lpwstr>
      </vt:variant>
      <vt:variant>
        <vt:i4>1441852</vt:i4>
      </vt:variant>
      <vt:variant>
        <vt:i4>230</vt:i4>
      </vt:variant>
      <vt:variant>
        <vt:i4>0</vt:i4>
      </vt:variant>
      <vt:variant>
        <vt:i4>5</vt:i4>
      </vt:variant>
      <vt:variant>
        <vt:lpwstr/>
      </vt:variant>
      <vt:variant>
        <vt:lpwstr>_Toc498259536</vt:lpwstr>
      </vt:variant>
      <vt:variant>
        <vt:i4>1441852</vt:i4>
      </vt:variant>
      <vt:variant>
        <vt:i4>224</vt:i4>
      </vt:variant>
      <vt:variant>
        <vt:i4>0</vt:i4>
      </vt:variant>
      <vt:variant>
        <vt:i4>5</vt:i4>
      </vt:variant>
      <vt:variant>
        <vt:lpwstr/>
      </vt:variant>
      <vt:variant>
        <vt:lpwstr>_Toc498259535</vt:lpwstr>
      </vt:variant>
      <vt:variant>
        <vt:i4>1441852</vt:i4>
      </vt:variant>
      <vt:variant>
        <vt:i4>218</vt:i4>
      </vt:variant>
      <vt:variant>
        <vt:i4>0</vt:i4>
      </vt:variant>
      <vt:variant>
        <vt:i4>5</vt:i4>
      </vt:variant>
      <vt:variant>
        <vt:lpwstr/>
      </vt:variant>
      <vt:variant>
        <vt:lpwstr>_Toc498259534</vt:lpwstr>
      </vt:variant>
      <vt:variant>
        <vt:i4>1441852</vt:i4>
      </vt:variant>
      <vt:variant>
        <vt:i4>212</vt:i4>
      </vt:variant>
      <vt:variant>
        <vt:i4>0</vt:i4>
      </vt:variant>
      <vt:variant>
        <vt:i4>5</vt:i4>
      </vt:variant>
      <vt:variant>
        <vt:lpwstr/>
      </vt:variant>
      <vt:variant>
        <vt:lpwstr>_Toc498259533</vt:lpwstr>
      </vt:variant>
      <vt:variant>
        <vt:i4>1441852</vt:i4>
      </vt:variant>
      <vt:variant>
        <vt:i4>206</vt:i4>
      </vt:variant>
      <vt:variant>
        <vt:i4>0</vt:i4>
      </vt:variant>
      <vt:variant>
        <vt:i4>5</vt:i4>
      </vt:variant>
      <vt:variant>
        <vt:lpwstr/>
      </vt:variant>
      <vt:variant>
        <vt:lpwstr>_Toc498259532</vt:lpwstr>
      </vt:variant>
      <vt:variant>
        <vt:i4>1441852</vt:i4>
      </vt:variant>
      <vt:variant>
        <vt:i4>200</vt:i4>
      </vt:variant>
      <vt:variant>
        <vt:i4>0</vt:i4>
      </vt:variant>
      <vt:variant>
        <vt:i4>5</vt:i4>
      </vt:variant>
      <vt:variant>
        <vt:lpwstr/>
      </vt:variant>
      <vt:variant>
        <vt:lpwstr>_Toc498259531</vt:lpwstr>
      </vt:variant>
      <vt:variant>
        <vt:i4>1441852</vt:i4>
      </vt:variant>
      <vt:variant>
        <vt:i4>194</vt:i4>
      </vt:variant>
      <vt:variant>
        <vt:i4>0</vt:i4>
      </vt:variant>
      <vt:variant>
        <vt:i4>5</vt:i4>
      </vt:variant>
      <vt:variant>
        <vt:lpwstr/>
      </vt:variant>
      <vt:variant>
        <vt:lpwstr>_Toc498259530</vt:lpwstr>
      </vt:variant>
      <vt:variant>
        <vt:i4>1507388</vt:i4>
      </vt:variant>
      <vt:variant>
        <vt:i4>188</vt:i4>
      </vt:variant>
      <vt:variant>
        <vt:i4>0</vt:i4>
      </vt:variant>
      <vt:variant>
        <vt:i4>5</vt:i4>
      </vt:variant>
      <vt:variant>
        <vt:lpwstr/>
      </vt:variant>
      <vt:variant>
        <vt:lpwstr>_Toc498259529</vt:lpwstr>
      </vt:variant>
      <vt:variant>
        <vt:i4>1507388</vt:i4>
      </vt:variant>
      <vt:variant>
        <vt:i4>182</vt:i4>
      </vt:variant>
      <vt:variant>
        <vt:i4>0</vt:i4>
      </vt:variant>
      <vt:variant>
        <vt:i4>5</vt:i4>
      </vt:variant>
      <vt:variant>
        <vt:lpwstr/>
      </vt:variant>
      <vt:variant>
        <vt:lpwstr>_Toc498259528</vt:lpwstr>
      </vt:variant>
      <vt:variant>
        <vt:i4>1507388</vt:i4>
      </vt:variant>
      <vt:variant>
        <vt:i4>176</vt:i4>
      </vt:variant>
      <vt:variant>
        <vt:i4>0</vt:i4>
      </vt:variant>
      <vt:variant>
        <vt:i4>5</vt:i4>
      </vt:variant>
      <vt:variant>
        <vt:lpwstr/>
      </vt:variant>
      <vt:variant>
        <vt:lpwstr>_Toc498259527</vt:lpwstr>
      </vt:variant>
      <vt:variant>
        <vt:i4>1507388</vt:i4>
      </vt:variant>
      <vt:variant>
        <vt:i4>170</vt:i4>
      </vt:variant>
      <vt:variant>
        <vt:i4>0</vt:i4>
      </vt:variant>
      <vt:variant>
        <vt:i4>5</vt:i4>
      </vt:variant>
      <vt:variant>
        <vt:lpwstr/>
      </vt:variant>
      <vt:variant>
        <vt:lpwstr>_Toc498259526</vt:lpwstr>
      </vt:variant>
      <vt:variant>
        <vt:i4>1507388</vt:i4>
      </vt:variant>
      <vt:variant>
        <vt:i4>164</vt:i4>
      </vt:variant>
      <vt:variant>
        <vt:i4>0</vt:i4>
      </vt:variant>
      <vt:variant>
        <vt:i4>5</vt:i4>
      </vt:variant>
      <vt:variant>
        <vt:lpwstr/>
      </vt:variant>
      <vt:variant>
        <vt:lpwstr>_Toc498259525</vt:lpwstr>
      </vt:variant>
      <vt:variant>
        <vt:i4>1507388</vt:i4>
      </vt:variant>
      <vt:variant>
        <vt:i4>158</vt:i4>
      </vt:variant>
      <vt:variant>
        <vt:i4>0</vt:i4>
      </vt:variant>
      <vt:variant>
        <vt:i4>5</vt:i4>
      </vt:variant>
      <vt:variant>
        <vt:lpwstr/>
      </vt:variant>
      <vt:variant>
        <vt:lpwstr>_Toc498259524</vt:lpwstr>
      </vt:variant>
      <vt:variant>
        <vt:i4>1507388</vt:i4>
      </vt:variant>
      <vt:variant>
        <vt:i4>152</vt:i4>
      </vt:variant>
      <vt:variant>
        <vt:i4>0</vt:i4>
      </vt:variant>
      <vt:variant>
        <vt:i4>5</vt:i4>
      </vt:variant>
      <vt:variant>
        <vt:lpwstr/>
      </vt:variant>
      <vt:variant>
        <vt:lpwstr>_Toc498259523</vt:lpwstr>
      </vt:variant>
      <vt:variant>
        <vt:i4>1507388</vt:i4>
      </vt:variant>
      <vt:variant>
        <vt:i4>146</vt:i4>
      </vt:variant>
      <vt:variant>
        <vt:i4>0</vt:i4>
      </vt:variant>
      <vt:variant>
        <vt:i4>5</vt:i4>
      </vt:variant>
      <vt:variant>
        <vt:lpwstr/>
      </vt:variant>
      <vt:variant>
        <vt:lpwstr>_Toc498259522</vt:lpwstr>
      </vt:variant>
      <vt:variant>
        <vt:i4>1507388</vt:i4>
      </vt:variant>
      <vt:variant>
        <vt:i4>140</vt:i4>
      </vt:variant>
      <vt:variant>
        <vt:i4>0</vt:i4>
      </vt:variant>
      <vt:variant>
        <vt:i4>5</vt:i4>
      </vt:variant>
      <vt:variant>
        <vt:lpwstr/>
      </vt:variant>
      <vt:variant>
        <vt:lpwstr>_Toc498259521</vt:lpwstr>
      </vt:variant>
      <vt:variant>
        <vt:i4>1507388</vt:i4>
      </vt:variant>
      <vt:variant>
        <vt:i4>134</vt:i4>
      </vt:variant>
      <vt:variant>
        <vt:i4>0</vt:i4>
      </vt:variant>
      <vt:variant>
        <vt:i4>5</vt:i4>
      </vt:variant>
      <vt:variant>
        <vt:lpwstr/>
      </vt:variant>
      <vt:variant>
        <vt:lpwstr>_Toc498259520</vt:lpwstr>
      </vt:variant>
      <vt:variant>
        <vt:i4>1310780</vt:i4>
      </vt:variant>
      <vt:variant>
        <vt:i4>128</vt:i4>
      </vt:variant>
      <vt:variant>
        <vt:i4>0</vt:i4>
      </vt:variant>
      <vt:variant>
        <vt:i4>5</vt:i4>
      </vt:variant>
      <vt:variant>
        <vt:lpwstr/>
      </vt:variant>
      <vt:variant>
        <vt:lpwstr>_Toc498259519</vt:lpwstr>
      </vt:variant>
      <vt:variant>
        <vt:i4>1310780</vt:i4>
      </vt:variant>
      <vt:variant>
        <vt:i4>122</vt:i4>
      </vt:variant>
      <vt:variant>
        <vt:i4>0</vt:i4>
      </vt:variant>
      <vt:variant>
        <vt:i4>5</vt:i4>
      </vt:variant>
      <vt:variant>
        <vt:lpwstr/>
      </vt:variant>
      <vt:variant>
        <vt:lpwstr>_Toc498259518</vt:lpwstr>
      </vt:variant>
      <vt:variant>
        <vt:i4>1310780</vt:i4>
      </vt:variant>
      <vt:variant>
        <vt:i4>116</vt:i4>
      </vt:variant>
      <vt:variant>
        <vt:i4>0</vt:i4>
      </vt:variant>
      <vt:variant>
        <vt:i4>5</vt:i4>
      </vt:variant>
      <vt:variant>
        <vt:lpwstr/>
      </vt:variant>
      <vt:variant>
        <vt:lpwstr>_Toc498259517</vt:lpwstr>
      </vt:variant>
      <vt:variant>
        <vt:i4>1310780</vt:i4>
      </vt:variant>
      <vt:variant>
        <vt:i4>110</vt:i4>
      </vt:variant>
      <vt:variant>
        <vt:i4>0</vt:i4>
      </vt:variant>
      <vt:variant>
        <vt:i4>5</vt:i4>
      </vt:variant>
      <vt:variant>
        <vt:lpwstr/>
      </vt:variant>
      <vt:variant>
        <vt:lpwstr>_Toc498259516</vt:lpwstr>
      </vt:variant>
      <vt:variant>
        <vt:i4>1310780</vt:i4>
      </vt:variant>
      <vt:variant>
        <vt:i4>104</vt:i4>
      </vt:variant>
      <vt:variant>
        <vt:i4>0</vt:i4>
      </vt:variant>
      <vt:variant>
        <vt:i4>5</vt:i4>
      </vt:variant>
      <vt:variant>
        <vt:lpwstr/>
      </vt:variant>
      <vt:variant>
        <vt:lpwstr>_Toc498259515</vt:lpwstr>
      </vt:variant>
      <vt:variant>
        <vt:i4>1310780</vt:i4>
      </vt:variant>
      <vt:variant>
        <vt:i4>98</vt:i4>
      </vt:variant>
      <vt:variant>
        <vt:i4>0</vt:i4>
      </vt:variant>
      <vt:variant>
        <vt:i4>5</vt:i4>
      </vt:variant>
      <vt:variant>
        <vt:lpwstr/>
      </vt:variant>
      <vt:variant>
        <vt:lpwstr>_Toc498259514</vt:lpwstr>
      </vt:variant>
      <vt:variant>
        <vt:i4>1310780</vt:i4>
      </vt:variant>
      <vt:variant>
        <vt:i4>92</vt:i4>
      </vt:variant>
      <vt:variant>
        <vt:i4>0</vt:i4>
      </vt:variant>
      <vt:variant>
        <vt:i4>5</vt:i4>
      </vt:variant>
      <vt:variant>
        <vt:lpwstr/>
      </vt:variant>
      <vt:variant>
        <vt:lpwstr>_Toc498259513</vt:lpwstr>
      </vt:variant>
      <vt:variant>
        <vt:i4>1310780</vt:i4>
      </vt:variant>
      <vt:variant>
        <vt:i4>86</vt:i4>
      </vt:variant>
      <vt:variant>
        <vt:i4>0</vt:i4>
      </vt:variant>
      <vt:variant>
        <vt:i4>5</vt:i4>
      </vt:variant>
      <vt:variant>
        <vt:lpwstr/>
      </vt:variant>
      <vt:variant>
        <vt:lpwstr>_Toc498259512</vt:lpwstr>
      </vt:variant>
      <vt:variant>
        <vt:i4>1310780</vt:i4>
      </vt:variant>
      <vt:variant>
        <vt:i4>80</vt:i4>
      </vt:variant>
      <vt:variant>
        <vt:i4>0</vt:i4>
      </vt:variant>
      <vt:variant>
        <vt:i4>5</vt:i4>
      </vt:variant>
      <vt:variant>
        <vt:lpwstr/>
      </vt:variant>
      <vt:variant>
        <vt:lpwstr>_Toc498259511</vt:lpwstr>
      </vt:variant>
      <vt:variant>
        <vt:i4>1310780</vt:i4>
      </vt:variant>
      <vt:variant>
        <vt:i4>74</vt:i4>
      </vt:variant>
      <vt:variant>
        <vt:i4>0</vt:i4>
      </vt:variant>
      <vt:variant>
        <vt:i4>5</vt:i4>
      </vt:variant>
      <vt:variant>
        <vt:lpwstr/>
      </vt:variant>
      <vt:variant>
        <vt:lpwstr>_Toc498259510</vt:lpwstr>
      </vt:variant>
      <vt:variant>
        <vt:i4>1376316</vt:i4>
      </vt:variant>
      <vt:variant>
        <vt:i4>68</vt:i4>
      </vt:variant>
      <vt:variant>
        <vt:i4>0</vt:i4>
      </vt:variant>
      <vt:variant>
        <vt:i4>5</vt:i4>
      </vt:variant>
      <vt:variant>
        <vt:lpwstr/>
      </vt:variant>
      <vt:variant>
        <vt:lpwstr>_Toc498259509</vt:lpwstr>
      </vt:variant>
      <vt:variant>
        <vt:i4>1376316</vt:i4>
      </vt:variant>
      <vt:variant>
        <vt:i4>62</vt:i4>
      </vt:variant>
      <vt:variant>
        <vt:i4>0</vt:i4>
      </vt:variant>
      <vt:variant>
        <vt:i4>5</vt:i4>
      </vt:variant>
      <vt:variant>
        <vt:lpwstr/>
      </vt:variant>
      <vt:variant>
        <vt:lpwstr>_Toc498259508</vt:lpwstr>
      </vt:variant>
      <vt:variant>
        <vt:i4>1376316</vt:i4>
      </vt:variant>
      <vt:variant>
        <vt:i4>56</vt:i4>
      </vt:variant>
      <vt:variant>
        <vt:i4>0</vt:i4>
      </vt:variant>
      <vt:variant>
        <vt:i4>5</vt:i4>
      </vt:variant>
      <vt:variant>
        <vt:lpwstr/>
      </vt:variant>
      <vt:variant>
        <vt:lpwstr>_Toc498259507</vt:lpwstr>
      </vt:variant>
      <vt:variant>
        <vt:i4>1376316</vt:i4>
      </vt:variant>
      <vt:variant>
        <vt:i4>50</vt:i4>
      </vt:variant>
      <vt:variant>
        <vt:i4>0</vt:i4>
      </vt:variant>
      <vt:variant>
        <vt:i4>5</vt:i4>
      </vt:variant>
      <vt:variant>
        <vt:lpwstr/>
      </vt:variant>
      <vt:variant>
        <vt:lpwstr>_Toc498259506</vt:lpwstr>
      </vt:variant>
      <vt:variant>
        <vt:i4>1376316</vt:i4>
      </vt:variant>
      <vt:variant>
        <vt:i4>44</vt:i4>
      </vt:variant>
      <vt:variant>
        <vt:i4>0</vt:i4>
      </vt:variant>
      <vt:variant>
        <vt:i4>5</vt:i4>
      </vt:variant>
      <vt:variant>
        <vt:lpwstr/>
      </vt:variant>
      <vt:variant>
        <vt:lpwstr>_Toc498259505</vt:lpwstr>
      </vt:variant>
      <vt:variant>
        <vt:i4>1376316</vt:i4>
      </vt:variant>
      <vt:variant>
        <vt:i4>38</vt:i4>
      </vt:variant>
      <vt:variant>
        <vt:i4>0</vt:i4>
      </vt:variant>
      <vt:variant>
        <vt:i4>5</vt:i4>
      </vt:variant>
      <vt:variant>
        <vt:lpwstr/>
      </vt:variant>
      <vt:variant>
        <vt:lpwstr>_Toc498259504</vt:lpwstr>
      </vt:variant>
      <vt:variant>
        <vt:i4>1376316</vt:i4>
      </vt:variant>
      <vt:variant>
        <vt:i4>32</vt:i4>
      </vt:variant>
      <vt:variant>
        <vt:i4>0</vt:i4>
      </vt:variant>
      <vt:variant>
        <vt:i4>5</vt:i4>
      </vt:variant>
      <vt:variant>
        <vt:lpwstr/>
      </vt:variant>
      <vt:variant>
        <vt:lpwstr>_Toc498259503</vt:lpwstr>
      </vt:variant>
      <vt:variant>
        <vt:i4>1376316</vt:i4>
      </vt:variant>
      <vt:variant>
        <vt:i4>26</vt:i4>
      </vt:variant>
      <vt:variant>
        <vt:i4>0</vt:i4>
      </vt:variant>
      <vt:variant>
        <vt:i4>5</vt:i4>
      </vt:variant>
      <vt:variant>
        <vt:lpwstr/>
      </vt:variant>
      <vt:variant>
        <vt:lpwstr>_Toc498259502</vt:lpwstr>
      </vt:variant>
      <vt:variant>
        <vt:i4>1376316</vt:i4>
      </vt:variant>
      <vt:variant>
        <vt:i4>20</vt:i4>
      </vt:variant>
      <vt:variant>
        <vt:i4>0</vt:i4>
      </vt:variant>
      <vt:variant>
        <vt:i4>5</vt:i4>
      </vt:variant>
      <vt:variant>
        <vt:lpwstr/>
      </vt:variant>
      <vt:variant>
        <vt:lpwstr>_Toc498259501</vt:lpwstr>
      </vt:variant>
      <vt:variant>
        <vt:i4>1376316</vt:i4>
      </vt:variant>
      <vt:variant>
        <vt:i4>14</vt:i4>
      </vt:variant>
      <vt:variant>
        <vt:i4>0</vt:i4>
      </vt:variant>
      <vt:variant>
        <vt:i4>5</vt:i4>
      </vt:variant>
      <vt:variant>
        <vt:lpwstr/>
      </vt:variant>
      <vt:variant>
        <vt:lpwstr>_Toc498259500</vt:lpwstr>
      </vt:variant>
      <vt:variant>
        <vt:i4>1835069</vt:i4>
      </vt:variant>
      <vt:variant>
        <vt:i4>8</vt:i4>
      </vt:variant>
      <vt:variant>
        <vt:i4>0</vt:i4>
      </vt:variant>
      <vt:variant>
        <vt:i4>5</vt:i4>
      </vt:variant>
      <vt:variant>
        <vt:lpwstr/>
      </vt:variant>
      <vt:variant>
        <vt:lpwstr>_Toc498259499</vt:lpwstr>
      </vt:variant>
      <vt:variant>
        <vt:i4>1835069</vt:i4>
      </vt:variant>
      <vt:variant>
        <vt:i4>2</vt:i4>
      </vt:variant>
      <vt:variant>
        <vt:i4>0</vt:i4>
      </vt:variant>
      <vt:variant>
        <vt:i4>5</vt:i4>
      </vt:variant>
      <vt:variant>
        <vt:lpwstr/>
      </vt:variant>
      <vt:variant>
        <vt:lpwstr>_Toc498259498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rlh52</dc:creator>
  <cp:lastModifiedBy>Pegher, Joanne</cp:lastModifiedBy>
  <cp:revision>2</cp:revision>
  <cp:lastPrinted>2018-07-16T19:49:00Z</cp:lastPrinted>
  <dcterms:created xsi:type="dcterms:W3CDTF">2018-07-16T19:54:00Z</dcterms:created>
  <dcterms:modified xsi:type="dcterms:W3CDTF">2018-07-16T19:54:00Z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id="3KHoF89x"/&gt;&lt;style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