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D41D85" w14:textId="77777777" w:rsidR="004E3B59" w:rsidRPr="005A7F38" w:rsidRDefault="00CA1741" w:rsidP="002446BB">
      <w:bookmarkStart w:id="0" w:name="_GoBack"/>
      <w:bookmarkEnd w:id="0"/>
      <w:r w:rsidRPr="005A7F38">
        <w:rPr>
          <w:noProof/>
        </w:rPr>
        <mc:AlternateContent>
          <mc:Choice Requires="wps">
            <w:drawing>
              <wp:anchor distT="0" distB="0" distL="114300" distR="114300" simplePos="0" relativeHeight="251664384" behindDoc="0" locked="0" layoutInCell="1" allowOverlap="1" wp14:anchorId="74617734" wp14:editId="05BAD56A">
                <wp:simplePos x="0" y="0"/>
                <wp:positionH relativeFrom="column">
                  <wp:posOffset>-238125</wp:posOffset>
                </wp:positionH>
                <wp:positionV relativeFrom="paragraph">
                  <wp:posOffset>0</wp:posOffset>
                </wp:positionV>
                <wp:extent cx="6343650" cy="8343900"/>
                <wp:effectExtent l="0" t="0" r="0" b="0"/>
                <wp:wrapTight wrapText="bothSides">
                  <wp:wrapPolygon edited="0">
                    <wp:start x="0" y="0"/>
                    <wp:lineTo x="0" y="21551"/>
                    <wp:lineTo x="21535" y="21551"/>
                    <wp:lineTo x="21535" y="0"/>
                    <wp:lineTo x="0" y="0"/>
                  </wp:wrapPolygon>
                </wp:wrapTight>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834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3D9DA7" w14:textId="77777777" w:rsidR="007325D3" w:rsidRDefault="007325D3" w:rsidP="002453E3">
                            <w:pPr>
                              <w:spacing w:line="240" w:lineRule="auto"/>
                              <w:ind w:firstLine="0"/>
                              <w:jc w:val="center"/>
                              <w:rPr>
                                <w:b/>
                              </w:rPr>
                            </w:pPr>
                            <w:r>
                              <w:rPr>
                                <w:b/>
                              </w:rPr>
                              <w:t>ENVIRONMENTAL AND PERSONAL RISK FACTORS FOR SARCOIDOSIS:</w:t>
                            </w:r>
                          </w:p>
                          <w:p w14:paraId="70D5F472" w14:textId="77777777" w:rsidR="007325D3" w:rsidRDefault="007325D3" w:rsidP="002453E3">
                            <w:pPr>
                              <w:spacing w:line="240" w:lineRule="auto"/>
                              <w:ind w:firstLine="0"/>
                              <w:jc w:val="center"/>
                              <w:rPr>
                                <w:b/>
                              </w:rPr>
                            </w:pPr>
                            <w:r>
                              <w:rPr>
                                <w:b/>
                              </w:rPr>
                              <w:t>A PILOT CASE-CONTROL STUDY</w:t>
                            </w:r>
                          </w:p>
                          <w:p w14:paraId="5B0F9F04" w14:textId="77777777" w:rsidR="007325D3" w:rsidRDefault="007325D3" w:rsidP="002453E3">
                            <w:pPr>
                              <w:ind w:firstLine="0"/>
                              <w:jc w:val="center"/>
                              <w:rPr>
                                <w:b/>
                              </w:rPr>
                            </w:pPr>
                          </w:p>
                          <w:p w14:paraId="015441FC" w14:textId="77777777" w:rsidR="007325D3" w:rsidRPr="0033460F" w:rsidRDefault="007325D3" w:rsidP="002453E3">
                            <w:pPr>
                              <w:ind w:firstLine="0"/>
                              <w:jc w:val="center"/>
                              <w:rPr>
                                <w:b/>
                              </w:rPr>
                            </w:pPr>
                          </w:p>
                          <w:p w14:paraId="38E613B5" w14:textId="77777777" w:rsidR="007325D3" w:rsidRDefault="007325D3" w:rsidP="002453E3">
                            <w:pPr>
                              <w:ind w:firstLine="0"/>
                              <w:jc w:val="center"/>
                            </w:pPr>
                          </w:p>
                          <w:p w14:paraId="6D8ECE32" w14:textId="77777777" w:rsidR="007325D3" w:rsidRDefault="007325D3" w:rsidP="002453E3">
                            <w:pPr>
                              <w:ind w:firstLine="0"/>
                              <w:jc w:val="center"/>
                            </w:pPr>
                          </w:p>
                          <w:p w14:paraId="1A89489B" w14:textId="77777777" w:rsidR="007325D3" w:rsidRDefault="007325D3" w:rsidP="002453E3">
                            <w:pPr>
                              <w:ind w:firstLine="0"/>
                              <w:jc w:val="center"/>
                            </w:pPr>
                          </w:p>
                          <w:p w14:paraId="1FB32047" w14:textId="77777777" w:rsidR="007325D3" w:rsidRDefault="007325D3" w:rsidP="002453E3">
                            <w:pPr>
                              <w:ind w:firstLine="0"/>
                              <w:jc w:val="center"/>
                            </w:pPr>
                            <w:r>
                              <w:t>by</w:t>
                            </w:r>
                          </w:p>
                          <w:p w14:paraId="35E9FF96" w14:textId="77777777" w:rsidR="007325D3" w:rsidRPr="00CC6890" w:rsidRDefault="007325D3" w:rsidP="002453E3">
                            <w:pPr>
                              <w:ind w:firstLine="0"/>
                              <w:jc w:val="center"/>
                              <w:rPr>
                                <w:b/>
                              </w:rPr>
                            </w:pPr>
                            <w:r w:rsidRPr="00CC6890">
                              <w:rPr>
                                <w:b/>
                              </w:rPr>
                              <w:t>Noel Britton</w:t>
                            </w:r>
                          </w:p>
                          <w:p w14:paraId="6CFEF561" w14:textId="77777777" w:rsidR="007325D3" w:rsidRDefault="007325D3" w:rsidP="002453E3">
                            <w:pPr>
                              <w:ind w:firstLine="0"/>
                              <w:jc w:val="center"/>
                            </w:pPr>
                            <w:r>
                              <w:t>BA, The Ohio State University, 2008</w:t>
                            </w:r>
                          </w:p>
                          <w:p w14:paraId="0C188CEB" w14:textId="77777777" w:rsidR="007325D3" w:rsidRDefault="007325D3" w:rsidP="002453E3">
                            <w:pPr>
                              <w:ind w:firstLine="0"/>
                              <w:jc w:val="center"/>
                            </w:pPr>
                          </w:p>
                          <w:p w14:paraId="24E2BE75" w14:textId="77777777" w:rsidR="007325D3" w:rsidRDefault="007325D3" w:rsidP="002453E3">
                            <w:pPr>
                              <w:ind w:firstLine="0"/>
                              <w:jc w:val="center"/>
                            </w:pPr>
                          </w:p>
                          <w:p w14:paraId="596C8F21" w14:textId="77777777" w:rsidR="007325D3" w:rsidRDefault="007325D3" w:rsidP="002453E3">
                            <w:pPr>
                              <w:ind w:firstLine="0"/>
                              <w:jc w:val="center"/>
                            </w:pPr>
                          </w:p>
                          <w:p w14:paraId="34BBBB88" w14:textId="57E1D3C0" w:rsidR="007325D3" w:rsidRDefault="007325D3" w:rsidP="0089350C">
                            <w:pPr>
                              <w:ind w:left="540" w:hanging="540"/>
                              <w:jc w:val="center"/>
                            </w:pPr>
                            <w:r>
                              <w:t>Submitted to the Graduate Faculty of</w:t>
                            </w:r>
                          </w:p>
                          <w:p w14:paraId="0D855355" w14:textId="3D9412DB" w:rsidR="007325D3" w:rsidRDefault="007325D3" w:rsidP="0089350C">
                            <w:pPr>
                              <w:ind w:left="540" w:hanging="540"/>
                              <w:jc w:val="center"/>
                            </w:pPr>
                            <w:r>
                              <w:t>the Department of Epidemiology</w:t>
                            </w:r>
                          </w:p>
                          <w:p w14:paraId="21162261" w14:textId="77777777" w:rsidR="007325D3" w:rsidRDefault="007325D3" w:rsidP="002453E3">
                            <w:pPr>
                              <w:ind w:firstLine="0"/>
                              <w:jc w:val="center"/>
                            </w:pPr>
                            <w:r>
                              <w:t>Graduate School of Public Health in partial fulfillment</w:t>
                            </w:r>
                          </w:p>
                          <w:p w14:paraId="6931B223" w14:textId="77777777" w:rsidR="007325D3" w:rsidRDefault="007325D3" w:rsidP="002453E3">
                            <w:pPr>
                              <w:ind w:firstLine="0"/>
                              <w:jc w:val="center"/>
                            </w:pPr>
                            <w:r>
                              <w:t>of the requirements for the degree of</w:t>
                            </w:r>
                          </w:p>
                          <w:p w14:paraId="328BCCD2" w14:textId="77777777" w:rsidR="007325D3" w:rsidRDefault="007325D3" w:rsidP="002453E3">
                            <w:pPr>
                              <w:ind w:firstLine="0"/>
                              <w:jc w:val="center"/>
                            </w:pPr>
                            <w:r>
                              <w:t>Master of Public Health.</w:t>
                            </w:r>
                          </w:p>
                          <w:p w14:paraId="383D618A" w14:textId="77777777" w:rsidR="007325D3" w:rsidRDefault="007325D3" w:rsidP="002453E3">
                            <w:pPr>
                              <w:ind w:firstLine="0"/>
                              <w:jc w:val="center"/>
                            </w:pPr>
                          </w:p>
                          <w:p w14:paraId="25D3CF64" w14:textId="5771B529" w:rsidR="007325D3" w:rsidRDefault="007325D3" w:rsidP="002453E3">
                            <w:pPr>
                              <w:ind w:firstLine="0"/>
                              <w:jc w:val="center"/>
                            </w:pPr>
                          </w:p>
                          <w:p w14:paraId="403FD217" w14:textId="65339C19" w:rsidR="007325D3" w:rsidRDefault="007325D3" w:rsidP="002453E3">
                            <w:pPr>
                              <w:ind w:firstLine="0"/>
                              <w:jc w:val="center"/>
                            </w:pPr>
                          </w:p>
                          <w:p w14:paraId="0EA935B5" w14:textId="3186047E" w:rsidR="007325D3" w:rsidRDefault="007325D3" w:rsidP="002453E3">
                            <w:pPr>
                              <w:ind w:firstLine="0"/>
                              <w:jc w:val="center"/>
                            </w:pPr>
                          </w:p>
                          <w:p w14:paraId="7D67365A" w14:textId="77777777" w:rsidR="007325D3" w:rsidRDefault="007325D3" w:rsidP="002453E3">
                            <w:pPr>
                              <w:ind w:firstLine="0"/>
                              <w:jc w:val="center"/>
                            </w:pPr>
                          </w:p>
                          <w:p w14:paraId="49C7E427" w14:textId="77777777" w:rsidR="007325D3" w:rsidRPr="00AB08F3" w:rsidRDefault="007325D3" w:rsidP="002453E3">
                            <w:pPr>
                              <w:ind w:firstLine="0"/>
                              <w:jc w:val="center"/>
                            </w:pPr>
                            <w:r w:rsidRPr="00AB08F3">
                              <w:t>University of Pittsburg</w:t>
                            </w:r>
                            <w:r>
                              <w:t>h</w:t>
                            </w:r>
                          </w:p>
                          <w:p w14:paraId="1488882F" w14:textId="77777777" w:rsidR="007325D3" w:rsidRPr="00AB08F3" w:rsidRDefault="007325D3" w:rsidP="002453E3">
                            <w:pPr>
                              <w:ind w:firstLine="0"/>
                              <w:jc w:val="center"/>
                              <w:rPr>
                                <w:noProof/>
                              </w:rPr>
                            </w:pPr>
                            <w:r>
                              <w:t>2017</w:t>
                            </w:r>
                          </w:p>
                          <w:p w14:paraId="54DD28A6" w14:textId="77777777" w:rsidR="007325D3" w:rsidRPr="004E3B59" w:rsidRDefault="007325D3" w:rsidP="002453E3">
                            <w:pPr>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617734" id="_x0000_t202" coordsize="21600,21600" o:spt="202" path="m,l,21600r21600,l21600,xe">
                <v:stroke joinstyle="miter"/>
                <v:path gradientshapeok="t" o:connecttype="rect"/>
              </v:shapetype>
              <v:shape id="Text Box 14" o:spid="_x0000_s1026" type="#_x0000_t202" style="position:absolute;left:0;text-align:left;margin-left:-18.75pt;margin-top:0;width:499.5pt;height:6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" stroked="f">
                <v:textbox inset="0,0,0,0">
                  <w:txbxContent>
                    <w:p w14:paraId="623D9DA7" w14:textId="77777777" w:rsidR="007325D3" w:rsidRDefault="007325D3" w:rsidP="002453E3">
                      <w:pPr>
                        <w:spacing w:line="240" w:lineRule="auto"/>
                        <w:ind w:firstLine="0"/>
                        <w:jc w:val="center"/>
                        <w:rPr>
                          <w:b/>
                        </w:rPr>
                      </w:pPr>
                      <w:r>
                        <w:rPr>
                          <w:b/>
                        </w:rPr>
                        <w:t>ENVIRONMENTAL AND PERSONAL RISK FACTORS FOR SARCOIDOSIS:</w:t>
                      </w:r>
                    </w:p>
                    <w:p w14:paraId="70D5F472" w14:textId="77777777" w:rsidR="007325D3" w:rsidRDefault="007325D3" w:rsidP="002453E3">
                      <w:pPr>
                        <w:spacing w:line="240" w:lineRule="auto"/>
                        <w:ind w:firstLine="0"/>
                        <w:jc w:val="center"/>
                        <w:rPr>
                          <w:b/>
                        </w:rPr>
                      </w:pPr>
                      <w:r>
                        <w:rPr>
                          <w:b/>
                        </w:rPr>
                        <w:t>A PILOT CASE-CONTROL STUDY</w:t>
                      </w:r>
                    </w:p>
                    <w:p w14:paraId="5B0F9F04" w14:textId="77777777" w:rsidR="007325D3" w:rsidRDefault="007325D3" w:rsidP="002453E3">
                      <w:pPr>
                        <w:ind w:firstLine="0"/>
                        <w:jc w:val="center"/>
                        <w:rPr>
                          <w:b/>
                        </w:rPr>
                      </w:pPr>
                    </w:p>
                    <w:p w14:paraId="015441FC" w14:textId="77777777" w:rsidR="007325D3" w:rsidRPr="0033460F" w:rsidRDefault="007325D3" w:rsidP="002453E3">
                      <w:pPr>
                        <w:ind w:firstLine="0"/>
                        <w:jc w:val="center"/>
                        <w:rPr>
                          <w:b/>
                        </w:rPr>
                      </w:pPr>
                    </w:p>
                    <w:p w14:paraId="38E613B5" w14:textId="77777777" w:rsidR="007325D3" w:rsidRDefault="007325D3" w:rsidP="002453E3">
                      <w:pPr>
                        <w:ind w:firstLine="0"/>
                        <w:jc w:val="center"/>
                      </w:pPr>
                    </w:p>
                    <w:p w14:paraId="6D8ECE32" w14:textId="77777777" w:rsidR="007325D3" w:rsidRDefault="007325D3" w:rsidP="002453E3">
                      <w:pPr>
                        <w:ind w:firstLine="0"/>
                        <w:jc w:val="center"/>
                      </w:pPr>
                    </w:p>
                    <w:p w14:paraId="1A89489B" w14:textId="77777777" w:rsidR="007325D3" w:rsidRDefault="007325D3" w:rsidP="002453E3">
                      <w:pPr>
                        <w:ind w:firstLine="0"/>
                        <w:jc w:val="center"/>
                      </w:pPr>
                    </w:p>
                    <w:p w14:paraId="1FB32047" w14:textId="77777777" w:rsidR="007325D3" w:rsidRDefault="007325D3" w:rsidP="002453E3">
                      <w:pPr>
                        <w:ind w:firstLine="0"/>
                        <w:jc w:val="center"/>
                      </w:pPr>
                      <w:r>
                        <w:t>by</w:t>
                      </w:r>
                    </w:p>
                    <w:p w14:paraId="35E9FF96" w14:textId="77777777" w:rsidR="007325D3" w:rsidRPr="00CC6890" w:rsidRDefault="007325D3" w:rsidP="002453E3">
                      <w:pPr>
                        <w:ind w:firstLine="0"/>
                        <w:jc w:val="center"/>
                        <w:rPr>
                          <w:b/>
                        </w:rPr>
                      </w:pPr>
                      <w:r w:rsidRPr="00CC6890">
                        <w:rPr>
                          <w:b/>
                        </w:rPr>
                        <w:t>Noel Britton</w:t>
                      </w:r>
                    </w:p>
                    <w:p w14:paraId="6CFEF561" w14:textId="77777777" w:rsidR="007325D3" w:rsidRDefault="007325D3" w:rsidP="002453E3">
                      <w:pPr>
                        <w:ind w:firstLine="0"/>
                        <w:jc w:val="center"/>
                      </w:pPr>
                      <w:r>
                        <w:t>BA, The Ohio State University, 2008</w:t>
                      </w:r>
                    </w:p>
                    <w:p w14:paraId="0C188CEB" w14:textId="77777777" w:rsidR="007325D3" w:rsidRDefault="007325D3" w:rsidP="002453E3">
                      <w:pPr>
                        <w:ind w:firstLine="0"/>
                        <w:jc w:val="center"/>
                      </w:pPr>
                    </w:p>
                    <w:p w14:paraId="24E2BE75" w14:textId="77777777" w:rsidR="007325D3" w:rsidRDefault="007325D3" w:rsidP="002453E3">
                      <w:pPr>
                        <w:ind w:firstLine="0"/>
                        <w:jc w:val="center"/>
                      </w:pPr>
                    </w:p>
                    <w:p w14:paraId="596C8F21" w14:textId="77777777" w:rsidR="007325D3" w:rsidRDefault="007325D3" w:rsidP="002453E3">
                      <w:pPr>
                        <w:ind w:firstLine="0"/>
                        <w:jc w:val="center"/>
                      </w:pPr>
                    </w:p>
                    <w:p w14:paraId="34BBBB88" w14:textId="57E1D3C0" w:rsidR="007325D3" w:rsidRDefault="007325D3" w:rsidP="0089350C">
                      <w:pPr>
                        <w:ind w:left="540" w:hanging="540"/>
                        <w:jc w:val="center"/>
                      </w:pPr>
                      <w:r>
                        <w:t>Submitted to the Graduate Faculty of</w:t>
                      </w:r>
                    </w:p>
                    <w:p w14:paraId="0D855355" w14:textId="3D9412DB" w:rsidR="007325D3" w:rsidRDefault="007325D3" w:rsidP="0089350C">
                      <w:pPr>
                        <w:ind w:left="540" w:hanging="540"/>
                        <w:jc w:val="center"/>
                      </w:pPr>
                      <w:r>
                        <w:t>the Department of Epidemiology</w:t>
                      </w:r>
                    </w:p>
                    <w:p w14:paraId="21162261" w14:textId="77777777" w:rsidR="007325D3" w:rsidRDefault="007325D3" w:rsidP="002453E3">
                      <w:pPr>
                        <w:ind w:firstLine="0"/>
                        <w:jc w:val="center"/>
                      </w:pPr>
                      <w:r>
                        <w:t>Graduate School of Public Health in partial fulfillment</w:t>
                      </w:r>
                    </w:p>
                    <w:p w14:paraId="6931B223" w14:textId="77777777" w:rsidR="007325D3" w:rsidRDefault="007325D3" w:rsidP="002453E3">
                      <w:pPr>
                        <w:ind w:firstLine="0"/>
                        <w:jc w:val="center"/>
                      </w:pPr>
                      <w:r>
                        <w:t>of the requirements for the degree of</w:t>
                      </w:r>
                    </w:p>
                    <w:p w14:paraId="328BCCD2" w14:textId="77777777" w:rsidR="007325D3" w:rsidRDefault="007325D3" w:rsidP="002453E3">
                      <w:pPr>
                        <w:ind w:firstLine="0"/>
                        <w:jc w:val="center"/>
                      </w:pPr>
                      <w:r>
                        <w:t>Master of Public Health.</w:t>
                      </w:r>
                    </w:p>
                    <w:p w14:paraId="383D618A" w14:textId="77777777" w:rsidR="007325D3" w:rsidRDefault="007325D3" w:rsidP="002453E3">
                      <w:pPr>
                        <w:ind w:firstLine="0"/>
                        <w:jc w:val="center"/>
                      </w:pPr>
                    </w:p>
                    <w:p w14:paraId="25D3CF64" w14:textId="5771B529" w:rsidR="007325D3" w:rsidRDefault="007325D3" w:rsidP="002453E3">
                      <w:pPr>
                        <w:ind w:firstLine="0"/>
                        <w:jc w:val="center"/>
                      </w:pPr>
                    </w:p>
                    <w:p w14:paraId="403FD217" w14:textId="65339C19" w:rsidR="007325D3" w:rsidRDefault="007325D3" w:rsidP="002453E3">
                      <w:pPr>
                        <w:ind w:firstLine="0"/>
                        <w:jc w:val="center"/>
                      </w:pPr>
                    </w:p>
                    <w:p w14:paraId="0EA935B5" w14:textId="3186047E" w:rsidR="007325D3" w:rsidRDefault="007325D3" w:rsidP="002453E3">
                      <w:pPr>
                        <w:ind w:firstLine="0"/>
                        <w:jc w:val="center"/>
                      </w:pPr>
                    </w:p>
                    <w:p w14:paraId="7D67365A" w14:textId="77777777" w:rsidR="007325D3" w:rsidRDefault="007325D3" w:rsidP="002453E3">
                      <w:pPr>
                        <w:ind w:firstLine="0"/>
                        <w:jc w:val="center"/>
                      </w:pPr>
                    </w:p>
                    <w:p w14:paraId="49C7E427" w14:textId="77777777" w:rsidR="007325D3" w:rsidRPr="00AB08F3" w:rsidRDefault="007325D3" w:rsidP="002453E3">
                      <w:pPr>
                        <w:ind w:firstLine="0"/>
                        <w:jc w:val="center"/>
                      </w:pPr>
                      <w:r w:rsidRPr="00AB08F3">
                        <w:t>University of Pittsburg</w:t>
                      </w:r>
                      <w:r>
                        <w:t>h</w:t>
                      </w:r>
                    </w:p>
                    <w:p w14:paraId="1488882F" w14:textId="77777777" w:rsidR="007325D3" w:rsidRPr="00AB08F3" w:rsidRDefault="007325D3" w:rsidP="002453E3">
                      <w:pPr>
                        <w:ind w:firstLine="0"/>
                        <w:jc w:val="center"/>
                        <w:rPr>
                          <w:noProof/>
                        </w:rPr>
                      </w:pPr>
                      <w:r>
                        <w:t>2017</w:t>
                      </w:r>
                    </w:p>
                    <w:p w14:paraId="54DD28A6" w14:textId="77777777" w:rsidR="007325D3" w:rsidRPr="004E3B59" w:rsidRDefault="007325D3" w:rsidP="002453E3">
                      <w:pPr>
                        <w:jc w:val="left"/>
                      </w:pPr>
                    </w:p>
                  </w:txbxContent>
                </v:textbox>
                <w10:wrap type="tight"/>
              </v:shape>
            </w:pict>
          </mc:Fallback>
        </mc:AlternateContent>
      </w:r>
    </w:p>
    <w:p w14:paraId="0F7D2CBE" w14:textId="77777777" w:rsidR="0028782F" w:rsidRPr="005A7F38" w:rsidRDefault="00CA1741" w:rsidP="002446BB">
      <w:pPr>
        <w:pStyle w:val="Noindent"/>
      </w:pPr>
      <w:r w:rsidRPr="005A7F38">
        <w:rPr>
          <w:noProof/>
        </w:rPr>
        <w:lastRenderedPageBreak/>
        <mc:AlternateContent>
          <mc:Choice Requires="wps">
            <w:drawing>
              <wp:inline distT="0" distB="0" distL="0" distR="0" wp14:anchorId="272CEC5D" wp14:editId="3F163912">
                <wp:extent cx="5943600" cy="8191500"/>
                <wp:effectExtent l="0" t="0" r="0" b="0"/>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19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D47F85" w14:textId="77777777" w:rsidR="007325D3" w:rsidRDefault="007325D3" w:rsidP="002453E3">
                            <w:pPr>
                              <w:ind w:firstLine="0"/>
                              <w:jc w:val="center"/>
                            </w:pPr>
                            <w:r>
                              <w:t>UNIVERSITY OF PITTSBURGH</w:t>
                            </w:r>
                          </w:p>
                          <w:p w14:paraId="032CEA09" w14:textId="77777777" w:rsidR="007325D3" w:rsidRDefault="007325D3" w:rsidP="002453E3">
                            <w:pPr>
                              <w:ind w:firstLine="0"/>
                              <w:jc w:val="center"/>
                            </w:pPr>
                            <w:r>
                              <w:t>Graduate School of Public Health</w:t>
                            </w:r>
                          </w:p>
                          <w:p w14:paraId="6D1B1124" w14:textId="77777777" w:rsidR="007325D3" w:rsidRDefault="007325D3" w:rsidP="002453E3">
                            <w:pPr>
                              <w:ind w:firstLine="0"/>
                              <w:jc w:val="center"/>
                            </w:pPr>
                          </w:p>
                          <w:p w14:paraId="426D82EC" w14:textId="77777777" w:rsidR="007325D3" w:rsidRDefault="007325D3" w:rsidP="002453E3">
                            <w:pPr>
                              <w:ind w:firstLine="0"/>
                              <w:jc w:val="center"/>
                            </w:pPr>
                          </w:p>
                          <w:p w14:paraId="47A7BB49" w14:textId="7F30B7CA" w:rsidR="007325D3" w:rsidRDefault="007325D3" w:rsidP="002453E3">
                            <w:pPr>
                              <w:ind w:firstLine="0"/>
                              <w:jc w:val="center"/>
                            </w:pPr>
                            <w:r>
                              <w:t>This essay is submitted</w:t>
                            </w:r>
                          </w:p>
                          <w:p w14:paraId="08C8CB7F" w14:textId="77777777" w:rsidR="007325D3" w:rsidRDefault="007325D3" w:rsidP="002453E3">
                            <w:pPr>
                              <w:ind w:firstLine="0"/>
                              <w:jc w:val="center"/>
                            </w:pPr>
                            <w:r>
                              <w:t>by</w:t>
                            </w:r>
                          </w:p>
                          <w:p w14:paraId="1A3370CD" w14:textId="77777777" w:rsidR="007325D3" w:rsidRPr="002453E3" w:rsidRDefault="007325D3" w:rsidP="002453E3">
                            <w:pPr>
                              <w:ind w:firstLine="0"/>
                              <w:jc w:val="center"/>
                              <w:rPr>
                                <w:b/>
                              </w:rPr>
                            </w:pPr>
                            <w:r w:rsidRPr="002453E3">
                              <w:rPr>
                                <w:b/>
                              </w:rPr>
                              <w:t>Noel Britton</w:t>
                            </w:r>
                          </w:p>
                          <w:p w14:paraId="427B1BA6" w14:textId="4659310D" w:rsidR="007325D3" w:rsidRDefault="007325D3" w:rsidP="002453E3">
                            <w:pPr>
                              <w:ind w:firstLine="0"/>
                              <w:jc w:val="center"/>
                            </w:pPr>
                            <w:r>
                              <w:t>on</w:t>
                            </w:r>
                          </w:p>
                          <w:p w14:paraId="1471879D" w14:textId="0FB06DA7" w:rsidR="007325D3" w:rsidRDefault="007325D3" w:rsidP="002453E3">
                            <w:pPr>
                              <w:ind w:firstLine="0"/>
                              <w:jc w:val="center"/>
                            </w:pPr>
                            <w:r>
                              <w:t>December 15, 2017</w:t>
                            </w:r>
                          </w:p>
                          <w:p w14:paraId="626C3D58" w14:textId="62DD635B" w:rsidR="007325D3" w:rsidRDefault="007325D3" w:rsidP="002453E3">
                            <w:pPr>
                              <w:ind w:firstLine="0"/>
                              <w:jc w:val="center"/>
                            </w:pPr>
                            <w:r>
                              <w:t>and approved by</w:t>
                            </w:r>
                          </w:p>
                          <w:p w14:paraId="6239856E" w14:textId="7D1B9917" w:rsidR="007325D3" w:rsidRDefault="007325D3" w:rsidP="002453E3">
                            <w:pPr>
                              <w:spacing w:line="240" w:lineRule="auto"/>
                              <w:ind w:firstLine="0"/>
                            </w:pPr>
                          </w:p>
                          <w:p w14:paraId="26CD00AB" w14:textId="432E422A" w:rsidR="007325D3" w:rsidRPr="00BE1092" w:rsidRDefault="007325D3" w:rsidP="002453E3">
                            <w:pPr>
                              <w:spacing w:line="240" w:lineRule="auto"/>
                              <w:ind w:firstLine="0"/>
                              <w:rPr>
                                <w:b/>
                              </w:rPr>
                            </w:pPr>
                            <w:r w:rsidRPr="00BE1092">
                              <w:rPr>
                                <w:b/>
                              </w:rPr>
                              <w:t>Essay Advisor:</w:t>
                            </w:r>
                          </w:p>
                          <w:p w14:paraId="60AD1B80" w14:textId="285ABFED" w:rsidR="007325D3" w:rsidRDefault="007325D3" w:rsidP="002453E3">
                            <w:pPr>
                              <w:spacing w:line="240" w:lineRule="auto"/>
                              <w:ind w:firstLine="0"/>
                            </w:pPr>
                            <w:r>
                              <w:t>Evelyn Talbott, DrPH</w:t>
                            </w:r>
                            <w:r>
                              <w:tab/>
                            </w:r>
                            <w:r>
                              <w:tab/>
                            </w:r>
                            <w:r>
                              <w:tab/>
                            </w:r>
                            <w:r>
                              <w:tab/>
                              <w:t>_______________________________________</w:t>
                            </w:r>
                          </w:p>
                          <w:p w14:paraId="576E6699" w14:textId="4B06D328" w:rsidR="007325D3" w:rsidRDefault="007325D3" w:rsidP="002453E3">
                            <w:pPr>
                              <w:spacing w:line="240" w:lineRule="auto"/>
                              <w:ind w:firstLine="0"/>
                            </w:pPr>
                            <w:r>
                              <w:t>Professor</w:t>
                            </w:r>
                          </w:p>
                          <w:p w14:paraId="5FDF81FE" w14:textId="2BD9A370" w:rsidR="007325D3" w:rsidRDefault="007325D3" w:rsidP="002453E3">
                            <w:pPr>
                              <w:spacing w:line="240" w:lineRule="auto"/>
                              <w:ind w:firstLine="0"/>
                            </w:pPr>
                            <w:r>
                              <w:t>Department of Epidemiology</w:t>
                            </w:r>
                          </w:p>
                          <w:p w14:paraId="464B9C73" w14:textId="44283113" w:rsidR="007325D3" w:rsidRDefault="007325D3" w:rsidP="002453E3">
                            <w:pPr>
                              <w:spacing w:line="240" w:lineRule="auto"/>
                              <w:ind w:firstLine="0"/>
                            </w:pPr>
                            <w:r>
                              <w:t>Graduate School of Public Health</w:t>
                            </w:r>
                          </w:p>
                          <w:p w14:paraId="54EF70D4" w14:textId="377F02DB" w:rsidR="007325D3" w:rsidRDefault="007325D3" w:rsidP="002453E3">
                            <w:pPr>
                              <w:spacing w:line="240" w:lineRule="auto"/>
                              <w:ind w:firstLine="0"/>
                            </w:pPr>
                            <w:r>
                              <w:t>University of Pittsburgh</w:t>
                            </w:r>
                          </w:p>
                          <w:p w14:paraId="1E9D5225" w14:textId="1D3883C4" w:rsidR="007325D3" w:rsidRDefault="007325D3" w:rsidP="002453E3">
                            <w:pPr>
                              <w:spacing w:line="240" w:lineRule="auto"/>
                              <w:ind w:firstLine="0"/>
                            </w:pPr>
                          </w:p>
                          <w:p w14:paraId="1C23C914" w14:textId="25291EA7" w:rsidR="007325D3" w:rsidRDefault="007325D3" w:rsidP="002453E3">
                            <w:pPr>
                              <w:spacing w:line="240" w:lineRule="auto"/>
                              <w:ind w:firstLine="0"/>
                            </w:pPr>
                          </w:p>
                          <w:p w14:paraId="3589B786" w14:textId="66B72171" w:rsidR="007325D3" w:rsidRDefault="007325D3" w:rsidP="002453E3">
                            <w:pPr>
                              <w:spacing w:line="240" w:lineRule="auto"/>
                              <w:ind w:firstLine="0"/>
                              <w:rPr>
                                <w:b/>
                              </w:rPr>
                            </w:pPr>
                            <w:r w:rsidRPr="00BE1092">
                              <w:rPr>
                                <w:b/>
                              </w:rPr>
                              <w:t>Committee Members:</w:t>
                            </w:r>
                          </w:p>
                          <w:p w14:paraId="1A8ACD29" w14:textId="77777777" w:rsidR="007325D3" w:rsidRPr="00BE1092" w:rsidRDefault="007325D3" w:rsidP="002453E3">
                            <w:pPr>
                              <w:spacing w:line="240" w:lineRule="auto"/>
                              <w:ind w:firstLine="0"/>
                              <w:rPr>
                                <w:b/>
                              </w:rPr>
                            </w:pPr>
                          </w:p>
                          <w:p w14:paraId="575FC119" w14:textId="4745CB91" w:rsidR="007325D3" w:rsidRDefault="007325D3" w:rsidP="002453E3">
                            <w:pPr>
                              <w:spacing w:line="240" w:lineRule="auto"/>
                              <w:ind w:firstLine="0"/>
                            </w:pPr>
                            <w:r>
                              <w:t xml:space="preserve">Alison Morris, MD, MS </w:t>
                            </w:r>
                            <w:r>
                              <w:tab/>
                            </w:r>
                            <w:r>
                              <w:tab/>
                            </w:r>
                            <w:r>
                              <w:tab/>
                              <w:t>_______________________________________</w:t>
                            </w:r>
                          </w:p>
                          <w:p w14:paraId="5B9F5310" w14:textId="346B182C" w:rsidR="007325D3" w:rsidRDefault="007325D3" w:rsidP="002453E3">
                            <w:pPr>
                              <w:spacing w:line="240" w:lineRule="auto"/>
                              <w:ind w:firstLine="0"/>
                            </w:pPr>
                            <w:r>
                              <w:t>Professor of Medicine, Immunology and Clinical and Translational Research</w:t>
                            </w:r>
                          </w:p>
                          <w:p w14:paraId="0A428168" w14:textId="72BC8D3F" w:rsidR="007325D3" w:rsidRDefault="007325D3" w:rsidP="002453E3">
                            <w:pPr>
                              <w:spacing w:line="240" w:lineRule="auto"/>
                              <w:ind w:firstLine="0"/>
                            </w:pPr>
                            <w:r>
                              <w:t>Director, Center for Medicine and the Microbiome</w:t>
                            </w:r>
                          </w:p>
                          <w:p w14:paraId="0B8B1BF7" w14:textId="4354EF36" w:rsidR="007325D3" w:rsidRDefault="007325D3" w:rsidP="002453E3">
                            <w:pPr>
                              <w:spacing w:line="240" w:lineRule="auto"/>
                              <w:ind w:firstLine="0"/>
                            </w:pPr>
                            <w:r>
                              <w:t>Vice Chair for Clinical Research, Department of Medicine</w:t>
                            </w:r>
                          </w:p>
                          <w:p w14:paraId="4683A4C5" w14:textId="6E6C47A7" w:rsidR="007325D3" w:rsidRDefault="007325D3" w:rsidP="002453E3">
                            <w:pPr>
                              <w:spacing w:line="240" w:lineRule="auto"/>
                              <w:ind w:firstLine="0"/>
                            </w:pPr>
                            <w:r>
                              <w:t>UPMC Chair in Translational Pulmonary and Critical Care Medicine</w:t>
                            </w:r>
                          </w:p>
                          <w:p w14:paraId="2C69B5B2" w14:textId="346EC1F1" w:rsidR="007325D3" w:rsidRDefault="007325D3" w:rsidP="002453E3">
                            <w:pPr>
                              <w:spacing w:line="240" w:lineRule="auto"/>
                              <w:ind w:firstLine="0"/>
                            </w:pPr>
                            <w:r>
                              <w:t>School of Medicine</w:t>
                            </w:r>
                          </w:p>
                          <w:p w14:paraId="4B05B147" w14:textId="18130987" w:rsidR="007325D3" w:rsidRDefault="007325D3" w:rsidP="002453E3">
                            <w:pPr>
                              <w:spacing w:line="240" w:lineRule="auto"/>
                              <w:ind w:firstLine="0"/>
                            </w:pPr>
                            <w:r>
                              <w:t>University of Pittsburgh</w:t>
                            </w:r>
                          </w:p>
                          <w:p w14:paraId="0F7FCBE1" w14:textId="77777777" w:rsidR="007325D3" w:rsidRDefault="007325D3" w:rsidP="002453E3">
                            <w:pPr>
                              <w:spacing w:line="240" w:lineRule="auto"/>
                              <w:ind w:firstLine="0"/>
                            </w:pPr>
                          </w:p>
                          <w:p w14:paraId="1360477D" w14:textId="5E68B274" w:rsidR="007325D3" w:rsidRDefault="007325D3" w:rsidP="002453E3">
                            <w:pPr>
                              <w:spacing w:line="240" w:lineRule="auto"/>
                              <w:ind w:firstLine="0"/>
                            </w:pPr>
                            <w:r>
                              <w:t>Jennifer Adibi, MPH, ScD</w:t>
                            </w:r>
                            <w:r>
                              <w:tab/>
                            </w:r>
                            <w:r>
                              <w:tab/>
                            </w:r>
                            <w:r>
                              <w:tab/>
                              <w:t>_______________________________________</w:t>
                            </w:r>
                          </w:p>
                          <w:p w14:paraId="2440105A" w14:textId="0E316BD8" w:rsidR="007325D3" w:rsidRDefault="007325D3" w:rsidP="002453E3">
                            <w:pPr>
                              <w:spacing w:line="240" w:lineRule="auto"/>
                              <w:ind w:firstLine="0"/>
                            </w:pPr>
                            <w:r>
                              <w:t>Assistant Professor</w:t>
                            </w:r>
                          </w:p>
                          <w:p w14:paraId="48C023FD" w14:textId="1ED15D62" w:rsidR="007325D3" w:rsidRDefault="007325D3" w:rsidP="002453E3">
                            <w:pPr>
                              <w:spacing w:line="240" w:lineRule="auto"/>
                              <w:ind w:firstLine="0"/>
                            </w:pPr>
                            <w:r>
                              <w:t>Department of Epidemiology</w:t>
                            </w:r>
                          </w:p>
                          <w:p w14:paraId="27E3AA38" w14:textId="54CEE1EB" w:rsidR="007325D3" w:rsidRDefault="007325D3" w:rsidP="002453E3">
                            <w:pPr>
                              <w:spacing w:line="240" w:lineRule="auto"/>
                              <w:ind w:firstLine="0"/>
                            </w:pPr>
                            <w:r>
                              <w:t>Graduate School of Public Health</w:t>
                            </w:r>
                          </w:p>
                          <w:p w14:paraId="1902E329" w14:textId="30155B05" w:rsidR="007325D3" w:rsidRDefault="007325D3" w:rsidP="002453E3">
                            <w:pPr>
                              <w:spacing w:line="240" w:lineRule="auto"/>
                              <w:ind w:firstLine="0"/>
                            </w:pPr>
                            <w:r>
                              <w:t>Department of Obstetrics/Gynecology and Reproductive Sciences</w:t>
                            </w:r>
                          </w:p>
                          <w:p w14:paraId="60F848FF" w14:textId="51406C68" w:rsidR="007325D3" w:rsidRDefault="007325D3" w:rsidP="002453E3">
                            <w:pPr>
                              <w:spacing w:line="240" w:lineRule="auto"/>
                              <w:ind w:firstLine="0"/>
                            </w:pPr>
                            <w:r>
                              <w:t>School of Medicine</w:t>
                            </w:r>
                          </w:p>
                          <w:p w14:paraId="47908F69" w14:textId="0FDA8AB6" w:rsidR="007325D3" w:rsidRDefault="007325D3" w:rsidP="002453E3">
                            <w:pPr>
                              <w:spacing w:line="240" w:lineRule="auto"/>
                              <w:ind w:firstLine="0"/>
                            </w:pPr>
                            <w:r>
                              <w:t>University of Pittsburgh</w:t>
                            </w:r>
                          </w:p>
                          <w:p w14:paraId="4C89AD56" w14:textId="77777777" w:rsidR="007325D3" w:rsidRDefault="007325D3" w:rsidP="002453E3">
                            <w:pPr>
                              <w:spacing w:line="240" w:lineRule="auto"/>
                              <w:ind w:firstLine="0"/>
                            </w:pPr>
                          </w:p>
                          <w:p w14:paraId="17445569" w14:textId="77777777" w:rsidR="007325D3" w:rsidRDefault="007325D3" w:rsidP="002453E3">
                            <w:pPr>
                              <w:spacing w:line="240" w:lineRule="auto"/>
                              <w:ind w:firstLine="0"/>
                            </w:pPr>
                          </w:p>
                          <w:p w14:paraId="6577798C" w14:textId="77777777" w:rsidR="007325D3" w:rsidRDefault="007325D3" w:rsidP="002453E3">
                            <w:pPr>
                              <w:spacing w:line="240" w:lineRule="auto"/>
                              <w:ind w:firstLine="0"/>
                            </w:pPr>
                          </w:p>
                          <w:p w14:paraId="59F1C9DA" w14:textId="77777777" w:rsidR="007325D3" w:rsidRDefault="007325D3" w:rsidP="002453E3">
                            <w:pPr>
                              <w:spacing w:line="240" w:lineRule="auto"/>
                              <w:ind w:firstLine="0"/>
                            </w:pPr>
                          </w:p>
                          <w:p w14:paraId="30B1FA22" w14:textId="3DAD3F8D" w:rsidR="007325D3" w:rsidRDefault="007325D3" w:rsidP="002453E3">
                            <w:pPr>
                              <w:spacing w:line="240" w:lineRule="auto"/>
                              <w:ind w:firstLine="0"/>
                            </w:pPr>
                          </w:p>
                          <w:p w14:paraId="3A6BDCCA" w14:textId="77777777" w:rsidR="007325D3" w:rsidRDefault="007325D3" w:rsidP="002453E3">
                            <w:pPr>
                              <w:spacing w:line="240" w:lineRule="auto"/>
                              <w:ind w:firstLine="0"/>
                            </w:pPr>
                          </w:p>
                        </w:txbxContent>
                      </wps:txbx>
                      <wps:bodyPr rot="0" vert="horz" wrap="square" lIns="91440" tIns="45720" rIns="91440" bIns="45720" anchor="t" anchorCtr="0" upright="1">
                        <a:noAutofit/>
                      </wps:bodyPr>
                    </wps:wsp>
                  </a:graphicData>
                </a:graphic>
              </wp:inline>
            </w:drawing>
          </mc:Choice>
          <mc:Fallback>
            <w:pict>
              <v:shape w14:anchorId="272CEC5D" id="Text Box 26" o:spid="_x0000_s1027" type="#_x0000_t202" style="width:468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ALhAIAABg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" stroked="f">
                <v:textbox>
                  <w:txbxContent>
                    <w:p w14:paraId="50D47F85" w14:textId="77777777" w:rsidR="007325D3" w:rsidRDefault="007325D3" w:rsidP="002453E3">
                      <w:pPr>
                        <w:ind w:firstLine="0"/>
                        <w:jc w:val="center"/>
                      </w:pPr>
                      <w:r>
                        <w:t>UNIVERSITY OF PITTSBURGH</w:t>
                      </w:r>
                    </w:p>
                    <w:p w14:paraId="032CEA09" w14:textId="77777777" w:rsidR="007325D3" w:rsidRDefault="007325D3" w:rsidP="002453E3">
                      <w:pPr>
                        <w:ind w:firstLine="0"/>
                        <w:jc w:val="center"/>
                      </w:pPr>
                      <w:r>
                        <w:t>Graduate School of Public Health</w:t>
                      </w:r>
                    </w:p>
                    <w:p w14:paraId="6D1B1124" w14:textId="77777777" w:rsidR="007325D3" w:rsidRDefault="007325D3" w:rsidP="002453E3">
                      <w:pPr>
                        <w:ind w:firstLine="0"/>
                        <w:jc w:val="center"/>
                      </w:pPr>
                    </w:p>
                    <w:p w14:paraId="426D82EC" w14:textId="77777777" w:rsidR="007325D3" w:rsidRDefault="007325D3" w:rsidP="002453E3">
                      <w:pPr>
                        <w:ind w:firstLine="0"/>
                        <w:jc w:val="center"/>
                      </w:pPr>
                    </w:p>
                    <w:p w14:paraId="47A7BB49" w14:textId="7F30B7CA" w:rsidR="007325D3" w:rsidRDefault="007325D3" w:rsidP="002453E3">
                      <w:pPr>
                        <w:ind w:firstLine="0"/>
                        <w:jc w:val="center"/>
                      </w:pPr>
                      <w:r>
                        <w:t>This essay is submitted</w:t>
                      </w:r>
                    </w:p>
                    <w:p w14:paraId="08C8CB7F" w14:textId="77777777" w:rsidR="007325D3" w:rsidRDefault="007325D3" w:rsidP="002453E3">
                      <w:pPr>
                        <w:ind w:firstLine="0"/>
                        <w:jc w:val="center"/>
                      </w:pPr>
                      <w:r>
                        <w:t>by</w:t>
                      </w:r>
                    </w:p>
                    <w:p w14:paraId="1A3370CD" w14:textId="77777777" w:rsidR="007325D3" w:rsidRPr="002453E3" w:rsidRDefault="007325D3" w:rsidP="002453E3">
                      <w:pPr>
                        <w:ind w:firstLine="0"/>
                        <w:jc w:val="center"/>
                        <w:rPr>
                          <w:b/>
                        </w:rPr>
                      </w:pPr>
                      <w:r w:rsidRPr="002453E3">
                        <w:rPr>
                          <w:b/>
                        </w:rPr>
                        <w:t>Noel Britton</w:t>
                      </w:r>
                    </w:p>
                    <w:p w14:paraId="427B1BA6" w14:textId="4659310D" w:rsidR="007325D3" w:rsidRDefault="007325D3" w:rsidP="002453E3">
                      <w:pPr>
                        <w:ind w:firstLine="0"/>
                        <w:jc w:val="center"/>
                      </w:pPr>
                      <w:r>
                        <w:t>on</w:t>
                      </w:r>
                    </w:p>
                    <w:p w14:paraId="1471879D" w14:textId="0FB06DA7" w:rsidR="007325D3" w:rsidRDefault="007325D3" w:rsidP="002453E3">
                      <w:pPr>
                        <w:ind w:firstLine="0"/>
                        <w:jc w:val="center"/>
                      </w:pPr>
                      <w:r>
                        <w:t>December 15, 2017</w:t>
                      </w:r>
                    </w:p>
                    <w:p w14:paraId="626C3D58" w14:textId="62DD635B" w:rsidR="007325D3" w:rsidRDefault="007325D3" w:rsidP="002453E3">
                      <w:pPr>
                        <w:ind w:firstLine="0"/>
                        <w:jc w:val="center"/>
                      </w:pPr>
                      <w:r>
                        <w:t>and approved by</w:t>
                      </w:r>
                    </w:p>
                    <w:p w14:paraId="6239856E" w14:textId="7D1B9917" w:rsidR="007325D3" w:rsidRDefault="007325D3" w:rsidP="002453E3">
                      <w:pPr>
                        <w:spacing w:line="240" w:lineRule="auto"/>
                        <w:ind w:firstLine="0"/>
                      </w:pPr>
                    </w:p>
                    <w:p w14:paraId="26CD00AB" w14:textId="432E422A" w:rsidR="007325D3" w:rsidRPr="00BE1092" w:rsidRDefault="007325D3" w:rsidP="002453E3">
                      <w:pPr>
                        <w:spacing w:line="240" w:lineRule="auto"/>
                        <w:ind w:firstLine="0"/>
                        <w:rPr>
                          <w:b/>
                        </w:rPr>
                      </w:pPr>
                      <w:r w:rsidRPr="00BE1092">
                        <w:rPr>
                          <w:b/>
                        </w:rPr>
                        <w:t>Essay Advisor:</w:t>
                      </w:r>
                    </w:p>
                    <w:p w14:paraId="60AD1B80" w14:textId="285ABFED" w:rsidR="007325D3" w:rsidRDefault="007325D3" w:rsidP="002453E3">
                      <w:pPr>
                        <w:spacing w:line="240" w:lineRule="auto"/>
                        <w:ind w:firstLine="0"/>
                      </w:pPr>
                      <w:r>
                        <w:t>Evelyn Talbott, DrPH</w:t>
                      </w:r>
                      <w:r>
                        <w:tab/>
                      </w:r>
                      <w:r>
                        <w:tab/>
                      </w:r>
                      <w:r>
                        <w:tab/>
                      </w:r>
                      <w:r>
                        <w:tab/>
                        <w:t>_______________________________________</w:t>
                      </w:r>
                    </w:p>
                    <w:p w14:paraId="576E6699" w14:textId="4B06D328" w:rsidR="007325D3" w:rsidRDefault="007325D3" w:rsidP="002453E3">
                      <w:pPr>
                        <w:spacing w:line="240" w:lineRule="auto"/>
                        <w:ind w:firstLine="0"/>
                      </w:pPr>
                      <w:r>
                        <w:t>Professor</w:t>
                      </w:r>
                    </w:p>
                    <w:p w14:paraId="5FDF81FE" w14:textId="2BD9A370" w:rsidR="007325D3" w:rsidRDefault="007325D3" w:rsidP="002453E3">
                      <w:pPr>
                        <w:spacing w:line="240" w:lineRule="auto"/>
                        <w:ind w:firstLine="0"/>
                      </w:pPr>
                      <w:r>
                        <w:t>Department of Epidemiology</w:t>
                      </w:r>
                    </w:p>
                    <w:p w14:paraId="464B9C73" w14:textId="44283113" w:rsidR="007325D3" w:rsidRDefault="007325D3" w:rsidP="002453E3">
                      <w:pPr>
                        <w:spacing w:line="240" w:lineRule="auto"/>
                        <w:ind w:firstLine="0"/>
                      </w:pPr>
                      <w:r>
                        <w:t>Graduate School of Public Health</w:t>
                      </w:r>
                    </w:p>
                    <w:p w14:paraId="54EF70D4" w14:textId="377F02DB" w:rsidR="007325D3" w:rsidRDefault="007325D3" w:rsidP="002453E3">
                      <w:pPr>
                        <w:spacing w:line="240" w:lineRule="auto"/>
                        <w:ind w:firstLine="0"/>
                      </w:pPr>
                      <w:r>
                        <w:t>University of Pittsburgh</w:t>
                      </w:r>
                    </w:p>
                    <w:p w14:paraId="1E9D5225" w14:textId="1D3883C4" w:rsidR="007325D3" w:rsidRDefault="007325D3" w:rsidP="002453E3">
                      <w:pPr>
                        <w:spacing w:line="240" w:lineRule="auto"/>
                        <w:ind w:firstLine="0"/>
                      </w:pPr>
                    </w:p>
                    <w:p w14:paraId="1C23C914" w14:textId="25291EA7" w:rsidR="007325D3" w:rsidRDefault="007325D3" w:rsidP="002453E3">
                      <w:pPr>
                        <w:spacing w:line="240" w:lineRule="auto"/>
                        <w:ind w:firstLine="0"/>
                      </w:pPr>
                    </w:p>
                    <w:p w14:paraId="3589B786" w14:textId="66B72171" w:rsidR="007325D3" w:rsidRDefault="007325D3" w:rsidP="002453E3">
                      <w:pPr>
                        <w:spacing w:line="240" w:lineRule="auto"/>
                        <w:ind w:firstLine="0"/>
                        <w:rPr>
                          <w:b/>
                        </w:rPr>
                      </w:pPr>
                      <w:r w:rsidRPr="00BE1092">
                        <w:rPr>
                          <w:b/>
                        </w:rPr>
                        <w:t>Committee Members:</w:t>
                      </w:r>
                    </w:p>
                    <w:p w14:paraId="1A8ACD29" w14:textId="77777777" w:rsidR="007325D3" w:rsidRPr="00BE1092" w:rsidRDefault="007325D3" w:rsidP="002453E3">
                      <w:pPr>
                        <w:spacing w:line="240" w:lineRule="auto"/>
                        <w:ind w:firstLine="0"/>
                        <w:rPr>
                          <w:b/>
                        </w:rPr>
                      </w:pPr>
                    </w:p>
                    <w:p w14:paraId="575FC119" w14:textId="4745CB91" w:rsidR="007325D3" w:rsidRDefault="007325D3" w:rsidP="002453E3">
                      <w:pPr>
                        <w:spacing w:line="240" w:lineRule="auto"/>
                        <w:ind w:firstLine="0"/>
                      </w:pPr>
                      <w:r>
                        <w:t xml:space="preserve">Alison Morris, MD, MS </w:t>
                      </w:r>
                      <w:r>
                        <w:tab/>
                      </w:r>
                      <w:r>
                        <w:tab/>
                      </w:r>
                      <w:r>
                        <w:tab/>
                        <w:t>_______________________________________</w:t>
                      </w:r>
                    </w:p>
                    <w:p w14:paraId="5B9F5310" w14:textId="346B182C" w:rsidR="007325D3" w:rsidRDefault="007325D3" w:rsidP="002453E3">
                      <w:pPr>
                        <w:spacing w:line="240" w:lineRule="auto"/>
                        <w:ind w:firstLine="0"/>
                      </w:pPr>
                      <w:r>
                        <w:t>Professor of Medicine, Immunology and Clinical and Translational Research</w:t>
                      </w:r>
                    </w:p>
                    <w:p w14:paraId="0A428168" w14:textId="72BC8D3F" w:rsidR="007325D3" w:rsidRDefault="007325D3" w:rsidP="002453E3">
                      <w:pPr>
                        <w:spacing w:line="240" w:lineRule="auto"/>
                        <w:ind w:firstLine="0"/>
                      </w:pPr>
                      <w:r>
                        <w:t>Director, Center for Medicine and the Microbiome</w:t>
                      </w:r>
                    </w:p>
                    <w:p w14:paraId="0B8B1BF7" w14:textId="4354EF36" w:rsidR="007325D3" w:rsidRDefault="007325D3" w:rsidP="002453E3">
                      <w:pPr>
                        <w:spacing w:line="240" w:lineRule="auto"/>
                        <w:ind w:firstLine="0"/>
                      </w:pPr>
                      <w:r>
                        <w:t>Vice Chair for Clinical Research, Department of Medicine</w:t>
                      </w:r>
                    </w:p>
                    <w:p w14:paraId="4683A4C5" w14:textId="6E6C47A7" w:rsidR="007325D3" w:rsidRDefault="007325D3" w:rsidP="002453E3">
                      <w:pPr>
                        <w:spacing w:line="240" w:lineRule="auto"/>
                        <w:ind w:firstLine="0"/>
                      </w:pPr>
                      <w:r>
                        <w:t>UPMC Chair in Translational Pulmonary and Critical Care Medicine</w:t>
                      </w:r>
                    </w:p>
                    <w:p w14:paraId="2C69B5B2" w14:textId="346EC1F1" w:rsidR="007325D3" w:rsidRDefault="007325D3" w:rsidP="002453E3">
                      <w:pPr>
                        <w:spacing w:line="240" w:lineRule="auto"/>
                        <w:ind w:firstLine="0"/>
                      </w:pPr>
                      <w:r>
                        <w:t>School of Medicine</w:t>
                      </w:r>
                    </w:p>
                    <w:p w14:paraId="4B05B147" w14:textId="18130987" w:rsidR="007325D3" w:rsidRDefault="007325D3" w:rsidP="002453E3">
                      <w:pPr>
                        <w:spacing w:line="240" w:lineRule="auto"/>
                        <w:ind w:firstLine="0"/>
                      </w:pPr>
                      <w:r>
                        <w:t>University of Pittsburgh</w:t>
                      </w:r>
                    </w:p>
                    <w:p w14:paraId="0F7FCBE1" w14:textId="77777777" w:rsidR="007325D3" w:rsidRDefault="007325D3" w:rsidP="002453E3">
                      <w:pPr>
                        <w:spacing w:line="240" w:lineRule="auto"/>
                        <w:ind w:firstLine="0"/>
                      </w:pPr>
                    </w:p>
                    <w:p w14:paraId="1360477D" w14:textId="5E68B274" w:rsidR="007325D3" w:rsidRDefault="007325D3" w:rsidP="002453E3">
                      <w:pPr>
                        <w:spacing w:line="240" w:lineRule="auto"/>
                        <w:ind w:firstLine="0"/>
                      </w:pPr>
                      <w:r>
                        <w:t>Jennifer Adibi, MPH, ScD</w:t>
                      </w:r>
                      <w:r>
                        <w:tab/>
                      </w:r>
                      <w:r>
                        <w:tab/>
                      </w:r>
                      <w:r>
                        <w:tab/>
                        <w:t>_______________________________________</w:t>
                      </w:r>
                    </w:p>
                    <w:p w14:paraId="2440105A" w14:textId="0E316BD8" w:rsidR="007325D3" w:rsidRDefault="007325D3" w:rsidP="002453E3">
                      <w:pPr>
                        <w:spacing w:line="240" w:lineRule="auto"/>
                        <w:ind w:firstLine="0"/>
                      </w:pPr>
                      <w:r>
                        <w:t>Assistant Professor</w:t>
                      </w:r>
                    </w:p>
                    <w:p w14:paraId="48C023FD" w14:textId="1ED15D62" w:rsidR="007325D3" w:rsidRDefault="007325D3" w:rsidP="002453E3">
                      <w:pPr>
                        <w:spacing w:line="240" w:lineRule="auto"/>
                        <w:ind w:firstLine="0"/>
                      </w:pPr>
                      <w:r>
                        <w:t>Department of Epidemiology</w:t>
                      </w:r>
                    </w:p>
                    <w:p w14:paraId="27E3AA38" w14:textId="54CEE1EB" w:rsidR="007325D3" w:rsidRDefault="007325D3" w:rsidP="002453E3">
                      <w:pPr>
                        <w:spacing w:line="240" w:lineRule="auto"/>
                        <w:ind w:firstLine="0"/>
                      </w:pPr>
                      <w:r>
                        <w:t>Graduate School of Public Health</w:t>
                      </w:r>
                    </w:p>
                    <w:p w14:paraId="1902E329" w14:textId="30155B05" w:rsidR="007325D3" w:rsidRDefault="007325D3" w:rsidP="002453E3">
                      <w:pPr>
                        <w:spacing w:line="240" w:lineRule="auto"/>
                        <w:ind w:firstLine="0"/>
                      </w:pPr>
                      <w:r>
                        <w:t>Department of Obstetrics/Gynecology and Reproductive Sciences</w:t>
                      </w:r>
                    </w:p>
                    <w:p w14:paraId="60F848FF" w14:textId="51406C68" w:rsidR="007325D3" w:rsidRDefault="007325D3" w:rsidP="002453E3">
                      <w:pPr>
                        <w:spacing w:line="240" w:lineRule="auto"/>
                        <w:ind w:firstLine="0"/>
                      </w:pPr>
                      <w:r>
                        <w:t>School of Medicine</w:t>
                      </w:r>
                    </w:p>
                    <w:p w14:paraId="47908F69" w14:textId="0FDA8AB6" w:rsidR="007325D3" w:rsidRDefault="007325D3" w:rsidP="002453E3">
                      <w:pPr>
                        <w:spacing w:line="240" w:lineRule="auto"/>
                        <w:ind w:firstLine="0"/>
                      </w:pPr>
                      <w:r>
                        <w:t>University of Pittsburgh</w:t>
                      </w:r>
                    </w:p>
                    <w:p w14:paraId="4C89AD56" w14:textId="77777777" w:rsidR="007325D3" w:rsidRDefault="007325D3" w:rsidP="002453E3">
                      <w:pPr>
                        <w:spacing w:line="240" w:lineRule="auto"/>
                        <w:ind w:firstLine="0"/>
                      </w:pPr>
                    </w:p>
                    <w:p w14:paraId="17445569" w14:textId="77777777" w:rsidR="007325D3" w:rsidRDefault="007325D3" w:rsidP="002453E3">
                      <w:pPr>
                        <w:spacing w:line="240" w:lineRule="auto"/>
                        <w:ind w:firstLine="0"/>
                      </w:pPr>
                    </w:p>
                    <w:p w14:paraId="6577798C" w14:textId="77777777" w:rsidR="007325D3" w:rsidRDefault="007325D3" w:rsidP="002453E3">
                      <w:pPr>
                        <w:spacing w:line="240" w:lineRule="auto"/>
                        <w:ind w:firstLine="0"/>
                      </w:pPr>
                    </w:p>
                    <w:p w14:paraId="59F1C9DA" w14:textId="77777777" w:rsidR="007325D3" w:rsidRDefault="007325D3" w:rsidP="002453E3">
                      <w:pPr>
                        <w:spacing w:line="240" w:lineRule="auto"/>
                        <w:ind w:firstLine="0"/>
                      </w:pPr>
                    </w:p>
                    <w:p w14:paraId="30B1FA22" w14:textId="3DAD3F8D" w:rsidR="007325D3" w:rsidRDefault="007325D3" w:rsidP="002453E3">
                      <w:pPr>
                        <w:spacing w:line="240" w:lineRule="auto"/>
                        <w:ind w:firstLine="0"/>
                      </w:pPr>
                    </w:p>
                    <w:p w14:paraId="3A6BDCCA" w14:textId="77777777" w:rsidR="007325D3" w:rsidRDefault="007325D3" w:rsidP="002453E3">
                      <w:pPr>
                        <w:spacing w:line="240" w:lineRule="auto"/>
                        <w:ind w:firstLine="0"/>
                      </w:pPr>
                    </w:p>
                  </w:txbxContent>
                </v:textbox>
                <w10:anchorlock/>
              </v:shape>
            </w:pict>
          </mc:Fallback>
        </mc:AlternateContent>
      </w:r>
      <w:r w:rsidR="00834193" w:rsidRPr="005A7F38">
        <w:br w:type="page"/>
      </w:r>
      <w:r w:rsidRPr="005A7F38">
        <w:rPr>
          <w:noProof/>
        </w:rPr>
        <w:lastRenderedPageBreak/>
        <mc:AlternateContent>
          <mc:Choice Requires="wps">
            <w:drawing>
              <wp:anchor distT="0" distB="0" distL="114300" distR="114300" simplePos="0" relativeHeight="251656192" behindDoc="0" locked="0" layoutInCell="1" allowOverlap="1" wp14:anchorId="6E343CEC" wp14:editId="65122D9B">
                <wp:simplePos x="0" y="0"/>
                <wp:positionH relativeFrom="page">
                  <wp:posOffset>622935</wp:posOffset>
                </wp:positionH>
                <wp:positionV relativeFrom="page">
                  <wp:posOffset>4571912</wp:posOffset>
                </wp:positionV>
                <wp:extent cx="5943600" cy="1066800"/>
                <wp:effectExtent l="0" t="0" r="0" b="0"/>
                <wp:wrapSquare wrapText="bothSides"/>
                <wp:docPr id="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0C95BD" w14:textId="77777777" w:rsidR="007325D3" w:rsidRDefault="007325D3" w:rsidP="00F65B53">
                            <w:pPr>
                              <w:jc w:val="center"/>
                            </w:pPr>
                            <w:r>
                              <w:t>Copyright © by Noel Britton</w:t>
                            </w:r>
                          </w:p>
                          <w:p w14:paraId="0ED94E07" w14:textId="77777777" w:rsidR="007325D3" w:rsidRDefault="007325D3" w:rsidP="00F65B53">
                            <w:pPr>
                              <w:jc w:val="center"/>
                            </w:pPr>
                            <w:r>
                              <w:t>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43CEC" id="Text Box 30" o:spid="_x0000_s1028" type="#_x0000_t202" style="position:absolute;left:0;text-align:left;margin-left:49.05pt;margin-top:5in;width:468pt;height:8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" stroked="f">
                <v:textbox>
                  <w:txbxContent>
                    <w:p w14:paraId="450C95BD" w14:textId="77777777" w:rsidR="007325D3" w:rsidRDefault="007325D3" w:rsidP="00F65B53">
                      <w:pPr>
                        <w:jc w:val="center"/>
                      </w:pPr>
                      <w:r>
                        <w:t>Copyright © by Noel Britton</w:t>
                      </w:r>
                    </w:p>
                    <w:p w14:paraId="0ED94E07" w14:textId="77777777" w:rsidR="007325D3" w:rsidRDefault="007325D3" w:rsidP="00F65B53">
                      <w:pPr>
                        <w:jc w:val="center"/>
                      </w:pPr>
                      <w:r>
                        <w:t>2017</w:t>
                      </w:r>
                    </w:p>
                  </w:txbxContent>
                </v:textbox>
                <w10:wrap type="square" anchorx="page" anchory="page"/>
              </v:shape>
            </w:pict>
          </mc:Fallback>
        </mc:AlternateContent>
      </w:r>
      <w:r w:rsidR="002D01B1" w:rsidRPr="005A7F38">
        <w:br w:type="page"/>
      </w:r>
      <w:r w:rsidRPr="005A7F38">
        <w:rPr>
          <w:noProof/>
        </w:rPr>
        <w:lastRenderedPageBreak/>
        <mc:AlternateContent>
          <mc:Choice Requires="wps">
            <w:drawing>
              <wp:inline distT="0" distB="0" distL="0" distR="0" wp14:anchorId="056C9311" wp14:editId="413229D1">
                <wp:extent cx="5943600" cy="2143125"/>
                <wp:effectExtent l="0" t="0" r="0" b="9525"/>
                <wp:docPr id="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4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BD6C1" w14:textId="7E4C3A6E" w:rsidR="007325D3" w:rsidRPr="00070D83" w:rsidRDefault="007325D3" w:rsidP="00070D83">
                            <w:pPr>
                              <w:ind w:firstLine="0"/>
                              <w:jc w:val="right"/>
                              <w:rPr>
                                <w:caps/>
                              </w:rPr>
                            </w:pPr>
                            <w:r w:rsidRPr="00070D83">
                              <w:t>Evelyn Talbott, DrPH</w:t>
                            </w:r>
                          </w:p>
                          <w:p w14:paraId="4316CB9C" w14:textId="02A7B451" w:rsidR="007325D3" w:rsidRDefault="007325D3" w:rsidP="00CC6890">
                            <w:pPr>
                              <w:ind w:firstLine="0"/>
                              <w:jc w:val="center"/>
                              <w:rPr>
                                <w:b/>
                                <w:caps/>
                              </w:rPr>
                            </w:pPr>
                            <w:r w:rsidRPr="00CC6890">
                              <w:rPr>
                                <w:b/>
                                <w:caps/>
                              </w:rPr>
                              <w:t xml:space="preserve">Environmental and Personal Risk Factors for Sarcoidosis: </w:t>
                            </w:r>
                          </w:p>
                          <w:p w14:paraId="5C8DF085" w14:textId="77777777" w:rsidR="007325D3" w:rsidRPr="00CC6890" w:rsidRDefault="007325D3" w:rsidP="00CC6890">
                            <w:pPr>
                              <w:ind w:firstLine="0"/>
                              <w:jc w:val="center"/>
                              <w:rPr>
                                <w:b/>
                                <w:caps/>
                              </w:rPr>
                            </w:pPr>
                            <w:r w:rsidRPr="00CC6890">
                              <w:rPr>
                                <w:b/>
                                <w:caps/>
                              </w:rPr>
                              <w:t>A</w:t>
                            </w:r>
                            <w:r>
                              <w:rPr>
                                <w:b/>
                                <w:caps/>
                              </w:rPr>
                              <w:t xml:space="preserve"> PILOT</w:t>
                            </w:r>
                            <w:r w:rsidRPr="00CC6890">
                              <w:rPr>
                                <w:b/>
                                <w:caps/>
                              </w:rPr>
                              <w:t xml:space="preserve"> Case-Control Study</w:t>
                            </w:r>
                          </w:p>
                          <w:p w14:paraId="4C50F7C8" w14:textId="77777777" w:rsidR="007325D3" w:rsidRDefault="007325D3" w:rsidP="0089350C">
                            <w:pPr>
                              <w:ind w:firstLine="0"/>
                              <w:jc w:val="center"/>
                            </w:pPr>
                            <w:r>
                              <w:t>Noel Britton, MPH</w:t>
                            </w:r>
                          </w:p>
                          <w:p w14:paraId="593E88D9" w14:textId="77777777" w:rsidR="007325D3" w:rsidRDefault="007325D3" w:rsidP="0089350C">
                            <w:pPr>
                              <w:ind w:firstLine="0"/>
                              <w:jc w:val="center"/>
                            </w:pPr>
                            <w:r>
                              <w:t>University of Pittsburgh, 2017</w:t>
                            </w:r>
                            <w:r>
                              <w:br w:type="page"/>
                            </w:r>
                          </w:p>
                        </w:txbxContent>
                      </wps:txbx>
                      <wps:bodyPr rot="0" vert="horz" wrap="none" lIns="91440" tIns="45720" rIns="91440" bIns="45720" anchor="t" anchorCtr="0" upright="1">
                        <a:noAutofit/>
                      </wps:bodyPr>
                    </wps:wsp>
                  </a:graphicData>
                </a:graphic>
              </wp:inline>
            </w:drawing>
          </mc:Choice>
          <mc:Fallback>
            <w:pict>
              <v:shape w14:anchorId="056C9311" id="Text Box 33" o:spid="_x0000_s1029" type="#_x0000_t202" style="width:468pt;height:168.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" filled="f" stroked="f">
                <v:textbox>
                  <w:txbxContent>
                    <w:p w14:paraId="4AABD6C1" w14:textId="7E4C3A6E" w:rsidR="007325D3" w:rsidRPr="00070D83" w:rsidRDefault="007325D3" w:rsidP="00070D83">
                      <w:pPr>
                        <w:ind w:firstLine="0"/>
                        <w:jc w:val="right"/>
                        <w:rPr>
                          <w:caps/>
                        </w:rPr>
                      </w:pPr>
                      <w:r w:rsidRPr="00070D83">
                        <w:t>Evelyn Talbott, DrPH</w:t>
                      </w:r>
                    </w:p>
                    <w:p w14:paraId="4316CB9C" w14:textId="02A7B451" w:rsidR="007325D3" w:rsidRDefault="007325D3" w:rsidP="00CC6890">
                      <w:pPr>
                        <w:ind w:firstLine="0"/>
                        <w:jc w:val="center"/>
                        <w:rPr>
                          <w:b/>
                          <w:caps/>
                        </w:rPr>
                      </w:pPr>
                      <w:r w:rsidRPr="00CC6890">
                        <w:rPr>
                          <w:b/>
                          <w:caps/>
                        </w:rPr>
                        <w:t xml:space="preserve">Environmental and Personal Risk Factors for Sarcoidosis: </w:t>
                      </w:r>
                    </w:p>
                    <w:p w14:paraId="5C8DF085" w14:textId="77777777" w:rsidR="007325D3" w:rsidRPr="00CC6890" w:rsidRDefault="007325D3" w:rsidP="00CC6890">
                      <w:pPr>
                        <w:ind w:firstLine="0"/>
                        <w:jc w:val="center"/>
                        <w:rPr>
                          <w:b/>
                          <w:caps/>
                        </w:rPr>
                      </w:pPr>
                      <w:r w:rsidRPr="00CC6890">
                        <w:rPr>
                          <w:b/>
                          <w:caps/>
                        </w:rPr>
                        <w:t>A</w:t>
                      </w:r>
                      <w:r>
                        <w:rPr>
                          <w:b/>
                          <w:caps/>
                        </w:rPr>
                        <w:t xml:space="preserve"> PILOT</w:t>
                      </w:r>
                      <w:r w:rsidRPr="00CC6890">
                        <w:rPr>
                          <w:b/>
                          <w:caps/>
                        </w:rPr>
                        <w:t xml:space="preserve"> Case-Control Study</w:t>
                      </w:r>
                    </w:p>
                    <w:p w14:paraId="4C50F7C8" w14:textId="77777777" w:rsidR="007325D3" w:rsidRDefault="007325D3" w:rsidP="0089350C">
                      <w:pPr>
                        <w:ind w:firstLine="0"/>
                        <w:jc w:val="center"/>
                      </w:pPr>
                      <w:r>
                        <w:t>Noel Britton, MPH</w:t>
                      </w:r>
                    </w:p>
                    <w:p w14:paraId="593E88D9" w14:textId="77777777" w:rsidR="007325D3" w:rsidRDefault="007325D3" w:rsidP="0089350C">
                      <w:pPr>
                        <w:ind w:firstLine="0"/>
                        <w:jc w:val="center"/>
                      </w:pPr>
                      <w:r>
                        <w:t>University of Pittsburgh, 2017</w:t>
                      </w:r>
                      <w:r>
                        <w:br w:type="page"/>
                      </w:r>
                    </w:p>
                  </w:txbxContent>
                </v:textbox>
                <w10:anchorlock/>
              </v:shape>
            </w:pict>
          </mc:Fallback>
        </mc:AlternateContent>
      </w:r>
    </w:p>
    <w:p w14:paraId="5E67505F" w14:textId="77777777" w:rsidR="00070D83" w:rsidRPr="00070D83" w:rsidRDefault="00070D83" w:rsidP="002446BB">
      <w:pPr>
        <w:pStyle w:val="Noindent"/>
        <w:rPr>
          <w:b/>
        </w:rPr>
      </w:pPr>
      <w:r w:rsidRPr="00070D83">
        <w:rPr>
          <w:b/>
        </w:rPr>
        <w:t>ABSTRACT</w:t>
      </w:r>
    </w:p>
    <w:p w14:paraId="1D482BC2" w14:textId="77777777" w:rsidR="00662F55" w:rsidRDefault="00662F55" w:rsidP="00662F55">
      <w:pPr>
        <w:pStyle w:val="Noindent"/>
        <w:rPr>
          <w:b/>
        </w:rPr>
      </w:pPr>
      <w:r w:rsidRPr="00B32930">
        <w:rPr>
          <w:b/>
        </w:rPr>
        <w:t>Rationale</w:t>
      </w:r>
    </w:p>
    <w:p w14:paraId="74C37A9B" w14:textId="011B1907" w:rsidR="00662F55" w:rsidRDefault="00662F55" w:rsidP="00662F55">
      <w:pPr>
        <w:ind w:firstLine="0"/>
      </w:pPr>
      <w:r>
        <w:t xml:space="preserve">Sarcoidosis is a life threatening systemic disease characterized by granulomatous inflammation in affected organs. There is significant clinical heterogeneity in both manifestation and disease course. Sarcoidosis is seen worldwide, however, there is tremendous difference in the prevalence of sarcoidosis between different racial groups and the sexes. In the U.S., sarcoidosis affects 8.8 people out of 100,000 yearly; </w:t>
      </w:r>
      <w:r w:rsidR="00B36D90">
        <w:t>however,</w:t>
      </w:r>
      <w:r>
        <w:t xml:space="preserve"> incidence rates vary widely between the races with 8.1 per 100,000 white individuals affected by sarcoidosis compared to 17.8 per 100,000. Females have a higher age-adjusted incidence rate (6.3 per 100,000) than</w:t>
      </w:r>
      <w:r w:rsidRPr="005A7F38">
        <w:t xml:space="preserve"> males (5.9 per 100,000). </w:t>
      </w:r>
      <w:r>
        <w:t xml:space="preserve"> Populations with exposure to specific environmental exposures have higher incidence rates of sarcoidosis as well. Although recent research has provided increased understanding of immunological pathways involved in sarcoidosis, determinants of the clinical course and manifestations as well as the etiologic processes remain uncertain. The human microbiome is increasingly recognized as a critical determinant of health and disease. The role of the microbiome in the pathobiology of immunologic diseases is as of yet unexplored. The microbiome may be responsible for the differences in clinical outcomes in sarcoidosis. </w:t>
      </w:r>
    </w:p>
    <w:p w14:paraId="079BC0A4" w14:textId="77777777" w:rsidR="003D419E" w:rsidRDefault="003D419E" w:rsidP="00662F55">
      <w:pPr>
        <w:ind w:firstLine="0"/>
      </w:pPr>
    </w:p>
    <w:p w14:paraId="69FD2C0E" w14:textId="5EA270A7" w:rsidR="00B32930" w:rsidRPr="005A1521" w:rsidRDefault="00B32930" w:rsidP="00B32930">
      <w:pPr>
        <w:ind w:firstLine="0"/>
      </w:pPr>
      <w:r w:rsidRPr="00B32930">
        <w:rPr>
          <w:b/>
        </w:rPr>
        <w:lastRenderedPageBreak/>
        <w:t>Objective</w:t>
      </w:r>
    </w:p>
    <w:p w14:paraId="1177FB86" w14:textId="2011D8BF" w:rsidR="00942D0D" w:rsidRDefault="00B1153C" w:rsidP="00B1153C">
      <w:pPr>
        <w:pStyle w:val="Noindent"/>
      </w:pPr>
      <w:r w:rsidRPr="005A7F38">
        <w:t xml:space="preserve">The analysis </w:t>
      </w:r>
      <w:r w:rsidR="00942D0D">
        <w:t xml:space="preserve">presented here aims to describe the epidemiology of sarcoidosis and risk </w:t>
      </w:r>
      <w:r w:rsidR="007E55C9">
        <w:t xml:space="preserve">factors using </w:t>
      </w:r>
    </w:p>
    <w:p w14:paraId="4BB38D04" w14:textId="77BC6D97" w:rsidR="00B1153C" w:rsidRPr="00B1153C" w:rsidRDefault="007E55C9" w:rsidP="00B1153C">
      <w:pPr>
        <w:pStyle w:val="Noindent"/>
      </w:pPr>
      <w:r>
        <w:t>a subset of cases with s</w:t>
      </w:r>
      <w:r w:rsidR="00B1153C" w:rsidRPr="005A7F38">
        <w:t>arcoidosis and</w:t>
      </w:r>
      <w:r>
        <w:t xml:space="preserve"> a comparison group of individuals with a diagnosis of</w:t>
      </w:r>
      <w:r w:rsidR="0049355D">
        <w:t xml:space="preserve"> </w:t>
      </w:r>
      <w:r w:rsidR="0049355D" w:rsidRPr="005A7F38">
        <w:t>Alpha-1 Antitrypsin Deficiency</w:t>
      </w:r>
      <w:r w:rsidR="00B1153C" w:rsidRPr="005A7F38">
        <w:t xml:space="preserve"> </w:t>
      </w:r>
      <w:r w:rsidR="0049355D">
        <w:t>(</w:t>
      </w:r>
      <w:r w:rsidR="00B1153C" w:rsidRPr="005A7F38">
        <w:t>AATD</w:t>
      </w:r>
      <w:r w:rsidR="0049355D">
        <w:t>)</w:t>
      </w:r>
      <w:r>
        <w:t xml:space="preserve">. The objective of this analysis is </w:t>
      </w:r>
      <w:r w:rsidR="00B1153C" w:rsidRPr="005A7F38">
        <w:t xml:space="preserve">to examine differences in residential, occupational, chemical and personal exposures and to characterize the gut fungal microbiome, the mycobiome, of participants with both disease types. In studying the mycobiome of sarcoidosis cases, the objective is to determine if distinct patterns in the microbiome are characteristic of sarcoidosis phenotypes. </w:t>
      </w:r>
    </w:p>
    <w:p w14:paraId="3090064E" w14:textId="49FECD7E" w:rsidR="00B32930" w:rsidRDefault="00B32930" w:rsidP="00B32930">
      <w:pPr>
        <w:ind w:firstLine="0"/>
        <w:rPr>
          <w:b/>
        </w:rPr>
      </w:pPr>
      <w:r w:rsidRPr="00B32930">
        <w:rPr>
          <w:b/>
        </w:rPr>
        <w:t>Methods</w:t>
      </w:r>
    </w:p>
    <w:p w14:paraId="28A5BB88" w14:textId="44F096C3" w:rsidR="00E011E9" w:rsidRPr="003F54BC" w:rsidRDefault="003F54BC" w:rsidP="00B32930">
      <w:pPr>
        <w:ind w:firstLine="0"/>
      </w:pPr>
      <w:r>
        <w:t>A subpopulation of 96 participants from the Genomic Research in Alpha-1 Antitrypsin Deficiency and Sarcoidosis (GRADS) study were included in an analysis that compared environmental exposures and personal risk factors between those with sarcoidosis (cases) and those with AATD (controls). Mycobiome analysis was performed on stool samples from participants with sarcoidosis. Comparisons between abundance of fungi were made between clinical phenotype groups.</w:t>
      </w:r>
    </w:p>
    <w:p w14:paraId="03E02BD9" w14:textId="54C9BD39" w:rsidR="00B32930" w:rsidRDefault="00B32930" w:rsidP="00B32930">
      <w:pPr>
        <w:ind w:firstLine="0"/>
        <w:rPr>
          <w:b/>
        </w:rPr>
      </w:pPr>
      <w:r w:rsidRPr="00B32930">
        <w:rPr>
          <w:b/>
        </w:rPr>
        <w:t>Results</w:t>
      </w:r>
    </w:p>
    <w:p w14:paraId="0FA3B9AF" w14:textId="17F8F58B" w:rsidR="00335110" w:rsidRPr="005A25C8" w:rsidRDefault="00A3423F" w:rsidP="00B32930">
      <w:pPr>
        <w:ind w:firstLine="0"/>
      </w:pPr>
      <w:r>
        <w:t xml:space="preserve">A significant negative association was found between some environmental exposures including </w:t>
      </w:r>
      <w:r w:rsidR="005B6A69">
        <w:t>exposur</w:t>
      </w:r>
      <w:r w:rsidR="00E011E9">
        <w:t>e to animal droppings (OR: 0.41, CI:0.17-0.96, p=0.04</w:t>
      </w:r>
      <w:r w:rsidR="005B6A69">
        <w:t xml:space="preserve">) and use of an air conditioner </w:t>
      </w:r>
      <w:r w:rsidR="00E011E9">
        <w:t>(OR:0.19, CI: 0.05-0.71, p=0.014</w:t>
      </w:r>
      <w:r w:rsidR="009B2428">
        <w:t xml:space="preserve">). </w:t>
      </w:r>
      <w:r w:rsidR="00E011E9">
        <w:t xml:space="preserve">A significant association was made between exposure to parakeets and sarcoidosis (OR: 0.23, CI:0.08-0.66, p=0.006). </w:t>
      </w:r>
      <w:r>
        <w:t>No significant association was found between sarcoidosis and industrial exposures including metallurgic, organic and inorganic e</w:t>
      </w:r>
      <w:r w:rsidR="00ED4004">
        <w:t xml:space="preserve">xposures. Differences were found in the abundance of fungi in the stool of phenotypically </w:t>
      </w:r>
      <w:r w:rsidR="00ED4004">
        <w:lastRenderedPageBreak/>
        <w:t>different participants with sarcoidosis</w:t>
      </w:r>
      <w:r w:rsidR="005A25C8">
        <w:t xml:space="preserve">, with differences in both the </w:t>
      </w:r>
      <w:r w:rsidR="005A25C8">
        <w:rPr>
          <w:i/>
        </w:rPr>
        <w:t xml:space="preserve">Saccharomyceales </w:t>
      </w:r>
      <w:r w:rsidR="005A25C8">
        <w:t xml:space="preserve">and </w:t>
      </w:r>
      <w:r w:rsidR="005A25C8" w:rsidRPr="005A25C8">
        <w:rPr>
          <w:i/>
        </w:rPr>
        <w:t xml:space="preserve">Nectriaceae </w:t>
      </w:r>
      <w:r w:rsidR="005A25C8">
        <w:t xml:space="preserve">families. </w:t>
      </w:r>
    </w:p>
    <w:p w14:paraId="4F1E3450" w14:textId="5A6D1D94" w:rsidR="00B32930" w:rsidRDefault="00B32930" w:rsidP="00B32930">
      <w:pPr>
        <w:ind w:firstLine="0"/>
        <w:rPr>
          <w:b/>
        </w:rPr>
      </w:pPr>
      <w:r w:rsidRPr="00B32930">
        <w:rPr>
          <w:b/>
        </w:rPr>
        <w:t>Conclusion</w:t>
      </w:r>
    </w:p>
    <w:p w14:paraId="5FD2CBAA" w14:textId="259B3B88" w:rsidR="005A25C8" w:rsidRPr="00671BBE" w:rsidRDefault="00C2205B" w:rsidP="00B32930">
      <w:pPr>
        <w:ind w:firstLine="0"/>
      </w:pPr>
      <w:r>
        <w:t>Sarcoidosis is a life-</w:t>
      </w:r>
      <w:r w:rsidR="00671BBE">
        <w:t xml:space="preserve">threatening disease that can cause significant disability in affected individuals. </w:t>
      </w:r>
      <w:r w:rsidR="003F76D8">
        <w:t xml:space="preserve">The etiology and heterogeneity in clinical outcomes remains unclear. However, understanding role of microbial and environmental exposure in activation of inflammatory pathways in sarcoidosis may elucidate the etiological mystery. </w:t>
      </w:r>
      <w:r>
        <w:t>Di</w:t>
      </w:r>
      <w:r w:rsidR="003F76D8">
        <w:t xml:space="preserve">scerning biological signatures specific to clinical phenotypes would provide for predictive biomarkers for disease outcomes. The potential therapeutic advances </w:t>
      </w:r>
      <w:r w:rsidR="003437B0">
        <w:t>such a biomarker would allow for</w:t>
      </w:r>
      <w:r w:rsidR="003F76D8">
        <w:t xml:space="preserve"> represent a significant advance in precision medicin</w:t>
      </w:r>
      <w:r w:rsidR="003437B0">
        <w:t>e and the potential for significant public health efforts toward prevention and awareness. The u</w:t>
      </w:r>
      <w:r w:rsidR="003F76D8">
        <w:t xml:space="preserve">nderstanding the clinical determinants and risk factors would allow for the development of public health programs targeting those in at-risk occupations or populations for possible prevention activities and additional screening. </w:t>
      </w:r>
    </w:p>
    <w:p w14:paraId="7F4EC66A" w14:textId="77777777" w:rsidR="00AA2C6A" w:rsidRPr="005A7F38" w:rsidRDefault="00AA2C6A" w:rsidP="00AC706F">
      <w:pPr>
        <w:ind w:firstLine="0"/>
      </w:pPr>
    </w:p>
    <w:p w14:paraId="0C1ECED7" w14:textId="77777777" w:rsidR="00AA2C6A" w:rsidRPr="005A7F38" w:rsidRDefault="00AA2C6A" w:rsidP="00AC706F">
      <w:pPr>
        <w:ind w:firstLine="0"/>
      </w:pPr>
    </w:p>
    <w:p w14:paraId="14F1CB2D" w14:textId="77777777" w:rsidR="008A110F" w:rsidRPr="005A7F38" w:rsidRDefault="008A110F" w:rsidP="002446BB">
      <w:pPr>
        <w:pStyle w:val="Preliminary"/>
        <w:rPr>
          <w:rFonts w:cs="Times New Roman"/>
        </w:rPr>
      </w:pPr>
      <w:bookmarkStart w:id="1" w:name="_Toc106717784"/>
      <w:r w:rsidRPr="005A7F38">
        <w:rPr>
          <w:rFonts w:cs="Times New Roman"/>
        </w:rPr>
        <w:lastRenderedPageBreak/>
        <w:t>TABLE OF CONTENTS</w:t>
      </w:r>
      <w:bookmarkEnd w:id="1"/>
    </w:p>
    <w:p w14:paraId="620C069D" w14:textId="1FFE4EFD" w:rsidR="0072146F" w:rsidRDefault="00367476">
      <w:pPr>
        <w:pStyle w:val="TOC1"/>
        <w:tabs>
          <w:tab w:val="right" w:leader="dot" w:pos="9350"/>
        </w:tabs>
        <w:rPr>
          <w:rFonts w:asciiTheme="minorHAnsi" w:eastAsiaTheme="minorEastAsia" w:hAnsiTheme="minorHAnsi" w:cstheme="minorBidi"/>
          <w:b w:val="0"/>
          <w:caps w:val="0"/>
          <w:noProof/>
          <w:sz w:val="22"/>
          <w:szCs w:val="22"/>
        </w:rPr>
      </w:pPr>
      <w:r w:rsidRPr="005A7F38">
        <w:fldChar w:fldCharType="begin"/>
      </w:r>
      <w:r w:rsidRPr="005A7F38">
        <w:instrText xml:space="preserve"> TOC \o "2-4" \h \z \t "Heading 1,1,Appendix,1,Heading,1" </w:instrText>
      </w:r>
      <w:r w:rsidRPr="005A7F38">
        <w:fldChar w:fldCharType="separate"/>
      </w:r>
      <w:hyperlink w:anchor="_Toc506539993" w:history="1">
        <w:r w:rsidR="0072146F" w:rsidRPr="00392554">
          <w:rPr>
            <w:rStyle w:val="Hyperlink"/>
            <w:noProof/>
          </w:rPr>
          <w:t>preface</w:t>
        </w:r>
        <w:r w:rsidR="0072146F">
          <w:rPr>
            <w:noProof/>
            <w:webHidden/>
          </w:rPr>
          <w:tab/>
        </w:r>
        <w:r w:rsidR="0072146F">
          <w:rPr>
            <w:noProof/>
            <w:webHidden/>
          </w:rPr>
          <w:fldChar w:fldCharType="begin"/>
        </w:r>
        <w:r w:rsidR="0072146F">
          <w:rPr>
            <w:noProof/>
            <w:webHidden/>
          </w:rPr>
          <w:instrText xml:space="preserve"> PAGEREF _Toc506539993 \h </w:instrText>
        </w:r>
        <w:r w:rsidR="0072146F">
          <w:rPr>
            <w:noProof/>
            <w:webHidden/>
          </w:rPr>
        </w:r>
        <w:r w:rsidR="0072146F">
          <w:rPr>
            <w:noProof/>
            <w:webHidden/>
          </w:rPr>
          <w:fldChar w:fldCharType="separate"/>
        </w:r>
        <w:r w:rsidR="0072146F">
          <w:rPr>
            <w:noProof/>
            <w:webHidden/>
          </w:rPr>
          <w:t>xiii</w:t>
        </w:r>
        <w:r w:rsidR="0072146F">
          <w:rPr>
            <w:noProof/>
            <w:webHidden/>
          </w:rPr>
          <w:fldChar w:fldCharType="end"/>
        </w:r>
      </w:hyperlink>
    </w:p>
    <w:p w14:paraId="0266A6EE" w14:textId="7D994DD3" w:rsidR="0072146F" w:rsidRDefault="0072146F">
      <w:pPr>
        <w:pStyle w:val="TOC1"/>
        <w:tabs>
          <w:tab w:val="left" w:pos="1008"/>
          <w:tab w:val="right" w:leader="dot" w:pos="9350"/>
        </w:tabs>
        <w:rPr>
          <w:rFonts w:asciiTheme="minorHAnsi" w:eastAsiaTheme="minorEastAsia" w:hAnsiTheme="minorHAnsi" w:cstheme="minorBidi"/>
          <w:b w:val="0"/>
          <w:caps w:val="0"/>
          <w:noProof/>
          <w:sz w:val="22"/>
          <w:szCs w:val="22"/>
        </w:rPr>
      </w:pPr>
      <w:hyperlink w:anchor="_Toc506539994" w:history="1">
        <w:r w:rsidRPr="00392554">
          <w:rPr>
            <w:rStyle w:val="Hyperlink"/>
            <w:noProof/>
          </w:rPr>
          <w:t>1.0</w:t>
        </w:r>
        <w:r>
          <w:rPr>
            <w:rFonts w:asciiTheme="minorHAnsi" w:eastAsiaTheme="minorEastAsia" w:hAnsiTheme="minorHAnsi" w:cstheme="minorBidi"/>
            <w:b w:val="0"/>
            <w:caps w:val="0"/>
            <w:noProof/>
            <w:sz w:val="22"/>
            <w:szCs w:val="22"/>
          </w:rPr>
          <w:tab/>
        </w:r>
        <w:r w:rsidRPr="00392554">
          <w:rPr>
            <w:rStyle w:val="Hyperlink"/>
            <w:noProof/>
          </w:rPr>
          <w:t>Introduction</w:t>
        </w:r>
        <w:r>
          <w:rPr>
            <w:noProof/>
            <w:webHidden/>
          </w:rPr>
          <w:tab/>
        </w:r>
        <w:r>
          <w:rPr>
            <w:noProof/>
            <w:webHidden/>
          </w:rPr>
          <w:fldChar w:fldCharType="begin"/>
        </w:r>
        <w:r>
          <w:rPr>
            <w:noProof/>
            <w:webHidden/>
          </w:rPr>
          <w:instrText xml:space="preserve"> PAGEREF _Toc506539994 \h </w:instrText>
        </w:r>
        <w:r>
          <w:rPr>
            <w:noProof/>
            <w:webHidden/>
          </w:rPr>
        </w:r>
        <w:r>
          <w:rPr>
            <w:noProof/>
            <w:webHidden/>
          </w:rPr>
          <w:fldChar w:fldCharType="separate"/>
        </w:r>
        <w:r>
          <w:rPr>
            <w:noProof/>
            <w:webHidden/>
          </w:rPr>
          <w:t>1</w:t>
        </w:r>
        <w:r>
          <w:rPr>
            <w:noProof/>
            <w:webHidden/>
          </w:rPr>
          <w:fldChar w:fldCharType="end"/>
        </w:r>
      </w:hyperlink>
    </w:p>
    <w:p w14:paraId="371EAF89" w14:textId="24178601" w:rsidR="0072146F" w:rsidRDefault="0072146F">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06539995" w:history="1">
        <w:r w:rsidRPr="00392554">
          <w:rPr>
            <w:rStyle w:val="Hyperlink"/>
            <w:noProof/>
          </w:rPr>
          <w:t>1.1</w:t>
        </w:r>
        <w:r>
          <w:rPr>
            <w:rFonts w:asciiTheme="minorHAnsi" w:eastAsiaTheme="minorEastAsia" w:hAnsiTheme="minorHAnsi" w:cstheme="minorBidi"/>
            <w:b w:val="0"/>
            <w:caps w:val="0"/>
            <w:noProof/>
            <w:sz w:val="22"/>
            <w:szCs w:val="22"/>
          </w:rPr>
          <w:tab/>
        </w:r>
        <w:r w:rsidRPr="00392554">
          <w:rPr>
            <w:rStyle w:val="Hyperlink"/>
            <w:noProof/>
          </w:rPr>
          <w:t>Sarcoidosis</w:t>
        </w:r>
        <w:r>
          <w:rPr>
            <w:noProof/>
            <w:webHidden/>
          </w:rPr>
          <w:tab/>
        </w:r>
        <w:r>
          <w:rPr>
            <w:noProof/>
            <w:webHidden/>
          </w:rPr>
          <w:fldChar w:fldCharType="begin"/>
        </w:r>
        <w:r>
          <w:rPr>
            <w:noProof/>
            <w:webHidden/>
          </w:rPr>
          <w:instrText xml:space="preserve"> PAGEREF _Toc506539995 \h </w:instrText>
        </w:r>
        <w:r>
          <w:rPr>
            <w:noProof/>
            <w:webHidden/>
          </w:rPr>
        </w:r>
        <w:r>
          <w:rPr>
            <w:noProof/>
            <w:webHidden/>
          </w:rPr>
          <w:fldChar w:fldCharType="separate"/>
        </w:r>
        <w:r>
          <w:rPr>
            <w:noProof/>
            <w:webHidden/>
          </w:rPr>
          <w:t>3</w:t>
        </w:r>
        <w:r>
          <w:rPr>
            <w:noProof/>
            <w:webHidden/>
          </w:rPr>
          <w:fldChar w:fldCharType="end"/>
        </w:r>
      </w:hyperlink>
    </w:p>
    <w:p w14:paraId="2F40E1A8" w14:textId="705779A5" w:rsidR="0072146F" w:rsidRDefault="0072146F">
      <w:pPr>
        <w:pStyle w:val="TOC3"/>
        <w:tabs>
          <w:tab w:val="left" w:pos="1760"/>
          <w:tab w:val="right" w:leader="dot" w:pos="9350"/>
        </w:tabs>
        <w:rPr>
          <w:rFonts w:asciiTheme="minorHAnsi" w:eastAsiaTheme="minorEastAsia" w:hAnsiTheme="minorHAnsi" w:cstheme="minorBidi"/>
          <w:b w:val="0"/>
          <w:noProof/>
          <w:sz w:val="22"/>
          <w:szCs w:val="22"/>
        </w:rPr>
      </w:pPr>
      <w:hyperlink w:anchor="_Toc506539996" w:history="1">
        <w:r w:rsidRPr="00392554">
          <w:rPr>
            <w:rStyle w:val="Hyperlink"/>
            <w:noProof/>
          </w:rPr>
          <w:t>1.1.1</w:t>
        </w:r>
        <w:r>
          <w:rPr>
            <w:rFonts w:asciiTheme="minorHAnsi" w:eastAsiaTheme="minorEastAsia" w:hAnsiTheme="minorHAnsi" w:cstheme="minorBidi"/>
            <w:b w:val="0"/>
            <w:noProof/>
            <w:sz w:val="22"/>
            <w:szCs w:val="22"/>
          </w:rPr>
          <w:tab/>
        </w:r>
        <w:r w:rsidRPr="00392554">
          <w:rPr>
            <w:rStyle w:val="Hyperlink"/>
            <w:noProof/>
          </w:rPr>
          <w:t>Diagnosis</w:t>
        </w:r>
        <w:r>
          <w:rPr>
            <w:noProof/>
            <w:webHidden/>
          </w:rPr>
          <w:tab/>
        </w:r>
        <w:r>
          <w:rPr>
            <w:noProof/>
            <w:webHidden/>
          </w:rPr>
          <w:fldChar w:fldCharType="begin"/>
        </w:r>
        <w:r>
          <w:rPr>
            <w:noProof/>
            <w:webHidden/>
          </w:rPr>
          <w:instrText xml:space="preserve"> PAGEREF _Toc506539996 \h </w:instrText>
        </w:r>
        <w:r>
          <w:rPr>
            <w:noProof/>
            <w:webHidden/>
          </w:rPr>
        </w:r>
        <w:r>
          <w:rPr>
            <w:noProof/>
            <w:webHidden/>
          </w:rPr>
          <w:fldChar w:fldCharType="separate"/>
        </w:r>
        <w:r>
          <w:rPr>
            <w:noProof/>
            <w:webHidden/>
          </w:rPr>
          <w:t>5</w:t>
        </w:r>
        <w:r>
          <w:rPr>
            <w:noProof/>
            <w:webHidden/>
          </w:rPr>
          <w:fldChar w:fldCharType="end"/>
        </w:r>
      </w:hyperlink>
    </w:p>
    <w:p w14:paraId="671DAE10" w14:textId="4F6B25DE" w:rsidR="0072146F" w:rsidRDefault="0072146F">
      <w:pPr>
        <w:pStyle w:val="TOC3"/>
        <w:tabs>
          <w:tab w:val="left" w:pos="1760"/>
          <w:tab w:val="right" w:leader="dot" w:pos="9350"/>
        </w:tabs>
        <w:rPr>
          <w:rFonts w:asciiTheme="minorHAnsi" w:eastAsiaTheme="minorEastAsia" w:hAnsiTheme="minorHAnsi" w:cstheme="minorBidi"/>
          <w:b w:val="0"/>
          <w:noProof/>
          <w:sz w:val="22"/>
          <w:szCs w:val="22"/>
        </w:rPr>
      </w:pPr>
      <w:hyperlink w:anchor="_Toc506539997" w:history="1">
        <w:r w:rsidRPr="00392554">
          <w:rPr>
            <w:rStyle w:val="Hyperlink"/>
            <w:noProof/>
          </w:rPr>
          <w:t>1.1.2</w:t>
        </w:r>
        <w:r>
          <w:rPr>
            <w:rFonts w:asciiTheme="minorHAnsi" w:eastAsiaTheme="minorEastAsia" w:hAnsiTheme="minorHAnsi" w:cstheme="minorBidi"/>
            <w:b w:val="0"/>
            <w:noProof/>
            <w:sz w:val="22"/>
            <w:szCs w:val="22"/>
          </w:rPr>
          <w:tab/>
        </w:r>
        <w:r w:rsidRPr="00392554">
          <w:rPr>
            <w:rStyle w:val="Hyperlink"/>
            <w:noProof/>
          </w:rPr>
          <w:t>Staging of Disease Progression in Sarcoidosis</w:t>
        </w:r>
        <w:r>
          <w:rPr>
            <w:noProof/>
            <w:webHidden/>
          </w:rPr>
          <w:tab/>
        </w:r>
        <w:r>
          <w:rPr>
            <w:noProof/>
            <w:webHidden/>
          </w:rPr>
          <w:fldChar w:fldCharType="begin"/>
        </w:r>
        <w:r>
          <w:rPr>
            <w:noProof/>
            <w:webHidden/>
          </w:rPr>
          <w:instrText xml:space="preserve"> PAGEREF _Toc506539997 \h </w:instrText>
        </w:r>
        <w:r>
          <w:rPr>
            <w:noProof/>
            <w:webHidden/>
          </w:rPr>
        </w:r>
        <w:r>
          <w:rPr>
            <w:noProof/>
            <w:webHidden/>
          </w:rPr>
          <w:fldChar w:fldCharType="separate"/>
        </w:r>
        <w:r>
          <w:rPr>
            <w:noProof/>
            <w:webHidden/>
          </w:rPr>
          <w:t>7</w:t>
        </w:r>
        <w:r>
          <w:rPr>
            <w:noProof/>
            <w:webHidden/>
          </w:rPr>
          <w:fldChar w:fldCharType="end"/>
        </w:r>
      </w:hyperlink>
    </w:p>
    <w:p w14:paraId="78AB9950" w14:textId="54D7AA8E" w:rsidR="0072146F" w:rsidRDefault="0072146F">
      <w:pPr>
        <w:pStyle w:val="TOC3"/>
        <w:tabs>
          <w:tab w:val="left" w:pos="1760"/>
          <w:tab w:val="right" w:leader="dot" w:pos="9350"/>
        </w:tabs>
        <w:rPr>
          <w:rFonts w:asciiTheme="minorHAnsi" w:eastAsiaTheme="minorEastAsia" w:hAnsiTheme="minorHAnsi" w:cstheme="minorBidi"/>
          <w:b w:val="0"/>
          <w:noProof/>
          <w:sz w:val="22"/>
          <w:szCs w:val="22"/>
        </w:rPr>
      </w:pPr>
      <w:hyperlink w:anchor="_Toc506539998" w:history="1">
        <w:r w:rsidRPr="00392554">
          <w:rPr>
            <w:rStyle w:val="Hyperlink"/>
            <w:noProof/>
          </w:rPr>
          <w:t>1.1.3</w:t>
        </w:r>
        <w:r>
          <w:rPr>
            <w:rFonts w:asciiTheme="minorHAnsi" w:eastAsiaTheme="minorEastAsia" w:hAnsiTheme="minorHAnsi" w:cstheme="minorBidi"/>
            <w:b w:val="0"/>
            <w:noProof/>
            <w:sz w:val="22"/>
            <w:szCs w:val="22"/>
          </w:rPr>
          <w:tab/>
        </w:r>
        <w:r w:rsidRPr="00392554">
          <w:rPr>
            <w:rStyle w:val="Hyperlink"/>
            <w:noProof/>
          </w:rPr>
          <w:t>Clinical Heterogeneity</w:t>
        </w:r>
        <w:r>
          <w:rPr>
            <w:noProof/>
            <w:webHidden/>
          </w:rPr>
          <w:tab/>
        </w:r>
        <w:r>
          <w:rPr>
            <w:noProof/>
            <w:webHidden/>
          </w:rPr>
          <w:fldChar w:fldCharType="begin"/>
        </w:r>
        <w:r>
          <w:rPr>
            <w:noProof/>
            <w:webHidden/>
          </w:rPr>
          <w:instrText xml:space="preserve"> PAGEREF _Toc506539998 \h </w:instrText>
        </w:r>
        <w:r>
          <w:rPr>
            <w:noProof/>
            <w:webHidden/>
          </w:rPr>
        </w:r>
        <w:r>
          <w:rPr>
            <w:noProof/>
            <w:webHidden/>
          </w:rPr>
          <w:fldChar w:fldCharType="separate"/>
        </w:r>
        <w:r>
          <w:rPr>
            <w:noProof/>
            <w:webHidden/>
          </w:rPr>
          <w:t>8</w:t>
        </w:r>
        <w:r>
          <w:rPr>
            <w:noProof/>
            <w:webHidden/>
          </w:rPr>
          <w:fldChar w:fldCharType="end"/>
        </w:r>
      </w:hyperlink>
    </w:p>
    <w:p w14:paraId="6A259BC7" w14:textId="00AD95D2" w:rsidR="0072146F" w:rsidRDefault="0072146F">
      <w:pPr>
        <w:pStyle w:val="TOC3"/>
        <w:tabs>
          <w:tab w:val="left" w:pos="1760"/>
          <w:tab w:val="right" w:leader="dot" w:pos="9350"/>
        </w:tabs>
        <w:rPr>
          <w:rFonts w:asciiTheme="minorHAnsi" w:eastAsiaTheme="minorEastAsia" w:hAnsiTheme="minorHAnsi" w:cstheme="minorBidi"/>
          <w:b w:val="0"/>
          <w:noProof/>
          <w:sz w:val="22"/>
          <w:szCs w:val="22"/>
        </w:rPr>
      </w:pPr>
      <w:hyperlink w:anchor="_Toc506539999" w:history="1">
        <w:r w:rsidRPr="00392554">
          <w:rPr>
            <w:rStyle w:val="Hyperlink"/>
            <w:noProof/>
          </w:rPr>
          <w:t>1.1.4</w:t>
        </w:r>
        <w:r>
          <w:rPr>
            <w:rFonts w:asciiTheme="minorHAnsi" w:eastAsiaTheme="minorEastAsia" w:hAnsiTheme="minorHAnsi" w:cstheme="minorBidi"/>
            <w:b w:val="0"/>
            <w:noProof/>
            <w:sz w:val="22"/>
            <w:szCs w:val="22"/>
          </w:rPr>
          <w:tab/>
        </w:r>
        <w:r w:rsidRPr="00392554">
          <w:rPr>
            <w:rStyle w:val="Hyperlink"/>
            <w:noProof/>
          </w:rPr>
          <w:t>Treatment of Sarcoidosis</w:t>
        </w:r>
        <w:r>
          <w:rPr>
            <w:noProof/>
            <w:webHidden/>
          </w:rPr>
          <w:tab/>
        </w:r>
        <w:r>
          <w:rPr>
            <w:noProof/>
            <w:webHidden/>
          </w:rPr>
          <w:fldChar w:fldCharType="begin"/>
        </w:r>
        <w:r>
          <w:rPr>
            <w:noProof/>
            <w:webHidden/>
          </w:rPr>
          <w:instrText xml:space="preserve"> PAGEREF _Toc506539999 \h </w:instrText>
        </w:r>
        <w:r>
          <w:rPr>
            <w:noProof/>
            <w:webHidden/>
          </w:rPr>
        </w:r>
        <w:r>
          <w:rPr>
            <w:noProof/>
            <w:webHidden/>
          </w:rPr>
          <w:fldChar w:fldCharType="separate"/>
        </w:r>
        <w:r>
          <w:rPr>
            <w:noProof/>
            <w:webHidden/>
          </w:rPr>
          <w:t>9</w:t>
        </w:r>
        <w:r>
          <w:rPr>
            <w:noProof/>
            <w:webHidden/>
          </w:rPr>
          <w:fldChar w:fldCharType="end"/>
        </w:r>
      </w:hyperlink>
    </w:p>
    <w:p w14:paraId="3FD61C1A" w14:textId="37230D2A" w:rsidR="0072146F" w:rsidRDefault="0072146F">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06540000" w:history="1">
        <w:r w:rsidRPr="00392554">
          <w:rPr>
            <w:rStyle w:val="Hyperlink"/>
            <w:noProof/>
          </w:rPr>
          <w:t>1.2</w:t>
        </w:r>
        <w:r>
          <w:rPr>
            <w:rFonts w:asciiTheme="minorHAnsi" w:eastAsiaTheme="minorEastAsia" w:hAnsiTheme="minorHAnsi" w:cstheme="minorBidi"/>
            <w:b w:val="0"/>
            <w:caps w:val="0"/>
            <w:noProof/>
            <w:sz w:val="22"/>
            <w:szCs w:val="22"/>
          </w:rPr>
          <w:tab/>
        </w:r>
        <w:r w:rsidRPr="00392554">
          <w:rPr>
            <w:rStyle w:val="Hyperlink"/>
            <w:noProof/>
          </w:rPr>
          <w:t>EPIDEMIOLOGY OF SARCOIDOSIS</w:t>
        </w:r>
        <w:r>
          <w:rPr>
            <w:noProof/>
            <w:webHidden/>
          </w:rPr>
          <w:tab/>
        </w:r>
        <w:r>
          <w:rPr>
            <w:noProof/>
            <w:webHidden/>
          </w:rPr>
          <w:fldChar w:fldCharType="begin"/>
        </w:r>
        <w:r>
          <w:rPr>
            <w:noProof/>
            <w:webHidden/>
          </w:rPr>
          <w:instrText xml:space="preserve"> PAGEREF _Toc506540000 \h </w:instrText>
        </w:r>
        <w:r>
          <w:rPr>
            <w:noProof/>
            <w:webHidden/>
          </w:rPr>
        </w:r>
        <w:r>
          <w:rPr>
            <w:noProof/>
            <w:webHidden/>
          </w:rPr>
          <w:fldChar w:fldCharType="separate"/>
        </w:r>
        <w:r>
          <w:rPr>
            <w:noProof/>
            <w:webHidden/>
          </w:rPr>
          <w:t>10</w:t>
        </w:r>
        <w:r>
          <w:rPr>
            <w:noProof/>
            <w:webHidden/>
          </w:rPr>
          <w:fldChar w:fldCharType="end"/>
        </w:r>
      </w:hyperlink>
    </w:p>
    <w:p w14:paraId="1400E01F" w14:textId="46B53977" w:rsidR="0072146F" w:rsidRDefault="0072146F">
      <w:pPr>
        <w:pStyle w:val="TOC3"/>
        <w:tabs>
          <w:tab w:val="left" w:pos="1760"/>
          <w:tab w:val="right" w:leader="dot" w:pos="9350"/>
        </w:tabs>
        <w:rPr>
          <w:rFonts w:asciiTheme="minorHAnsi" w:eastAsiaTheme="minorEastAsia" w:hAnsiTheme="minorHAnsi" w:cstheme="minorBidi"/>
          <w:b w:val="0"/>
          <w:noProof/>
          <w:sz w:val="22"/>
          <w:szCs w:val="22"/>
        </w:rPr>
      </w:pPr>
      <w:hyperlink w:anchor="_Toc506540001" w:history="1">
        <w:r w:rsidRPr="00392554">
          <w:rPr>
            <w:rStyle w:val="Hyperlink"/>
            <w:noProof/>
          </w:rPr>
          <w:t>1.2.1</w:t>
        </w:r>
        <w:r>
          <w:rPr>
            <w:rFonts w:asciiTheme="minorHAnsi" w:eastAsiaTheme="minorEastAsia" w:hAnsiTheme="minorHAnsi" w:cstheme="minorBidi"/>
            <w:b w:val="0"/>
            <w:noProof/>
            <w:sz w:val="22"/>
            <w:szCs w:val="22"/>
          </w:rPr>
          <w:tab/>
        </w:r>
        <w:r w:rsidRPr="00392554">
          <w:rPr>
            <w:rStyle w:val="Hyperlink"/>
            <w:noProof/>
          </w:rPr>
          <w:t>Incidence and Prevalence</w:t>
        </w:r>
        <w:r>
          <w:rPr>
            <w:noProof/>
            <w:webHidden/>
          </w:rPr>
          <w:tab/>
        </w:r>
        <w:r>
          <w:rPr>
            <w:noProof/>
            <w:webHidden/>
          </w:rPr>
          <w:fldChar w:fldCharType="begin"/>
        </w:r>
        <w:r>
          <w:rPr>
            <w:noProof/>
            <w:webHidden/>
          </w:rPr>
          <w:instrText xml:space="preserve"> PAGEREF _Toc506540001 \h </w:instrText>
        </w:r>
        <w:r>
          <w:rPr>
            <w:noProof/>
            <w:webHidden/>
          </w:rPr>
        </w:r>
        <w:r>
          <w:rPr>
            <w:noProof/>
            <w:webHidden/>
          </w:rPr>
          <w:fldChar w:fldCharType="separate"/>
        </w:r>
        <w:r>
          <w:rPr>
            <w:noProof/>
            <w:webHidden/>
          </w:rPr>
          <w:t>10</w:t>
        </w:r>
        <w:r>
          <w:rPr>
            <w:noProof/>
            <w:webHidden/>
          </w:rPr>
          <w:fldChar w:fldCharType="end"/>
        </w:r>
      </w:hyperlink>
    </w:p>
    <w:p w14:paraId="00A2D477" w14:textId="2405E16D" w:rsidR="0072146F" w:rsidRDefault="0072146F">
      <w:pPr>
        <w:pStyle w:val="TOC3"/>
        <w:tabs>
          <w:tab w:val="left" w:pos="1760"/>
          <w:tab w:val="right" w:leader="dot" w:pos="9350"/>
        </w:tabs>
        <w:rPr>
          <w:rFonts w:asciiTheme="minorHAnsi" w:eastAsiaTheme="minorEastAsia" w:hAnsiTheme="minorHAnsi" w:cstheme="minorBidi"/>
          <w:b w:val="0"/>
          <w:noProof/>
          <w:sz w:val="22"/>
          <w:szCs w:val="22"/>
        </w:rPr>
      </w:pPr>
      <w:hyperlink w:anchor="_Toc506540002" w:history="1">
        <w:r w:rsidRPr="00392554">
          <w:rPr>
            <w:rStyle w:val="Hyperlink"/>
            <w:noProof/>
          </w:rPr>
          <w:t>1.2.2</w:t>
        </w:r>
        <w:r>
          <w:rPr>
            <w:rFonts w:asciiTheme="minorHAnsi" w:eastAsiaTheme="minorEastAsia" w:hAnsiTheme="minorHAnsi" w:cstheme="minorBidi"/>
            <w:b w:val="0"/>
            <w:noProof/>
            <w:sz w:val="22"/>
            <w:szCs w:val="22"/>
          </w:rPr>
          <w:tab/>
        </w:r>
        <w:r w:rsidRPr="00392554">
          <w:rPr>
            <w:rStyle w:val="Hyperlink"/>
            <w:noProof/>
          </w:rPr>
          <w:t>Morbidity and Mortality</w:t>
        </w:r>
        <w:r>
          <w:rPr>
            <w:noProof/>
            <w:webHidden/>
          </w:rPr>
          <w:tab/>
        </w:r>
        <w:r>
          <w:rPr>
            <w:noProof/>
            <w:webHidden/>
          </w:rPr>
          <w:fldChar w:fldCharType="begin"/>
        </w:r>
        <w:r>
          <w:rPr>
            <w:noProof/>
            <w:webHidden/>
          </w:rPr>
          <w:instrText xml:space="preserve"> PAGEREF _Toc506540002 \h </w:instrText>
        </w:r>
        <w:r>
          <w:rPr>
            <w:noProof/>
            <w:webHidden/>
          </w:rPr>
        </w:r>
        <w:r>
          <w:rPr>
            <w:noProof/>
            <w:webHidden/>
          </w:rPr>
          <w:fldChar w:fldCharType="separate"/>
        </w:r>
        <w:r>
          <w:rPr>
            <w:noProof/>
            <w:webHidden/>
          </w:rPr>
          <w:t>11</w:t>
        </w:r>
        <w:r>
          <w:rPr>
            <w:noProof/>
            <w:webHidden/>
          </w:rPr>
          <w:fldChar w:fldCharType="end"/>
        </w:r>
      </w:hyperlink>
    </w:p>
    <w:p w14:paraId="01BD8C7C" w14:textId="21240BAA" w:rsidR="0072146F" w:rsidRDefault="0072146F">
      <w:pPr>
        <w:pStyle w:val="TOC4"/>
        <w:tabs>
          <w:tab w:val="left" w:pos="2392"/>
          <w:tab w:val="right" w:leader="dot" w:pos="9350"/>
        </w:tabs>
        <w:rPr>
          <w:rFonts w:asciiTheme="minorHAnsi" w:eastAsiaTheme="minorEastAsia" w:hAnsiTheme="minorHAnsi" w:cstheme="minorBidi"/>
          <w:b w:val="0"/>
          <w:noProof/>
          <w:sz w:val="22"/>
          <w:szCs w:val="22"/>
        </w:rPr>
      </w:pPr>
      <w:hyperlink w:anchor="_Toc506540003" w:history="1">
        <w:r w:rsidRPr="00392554">
          <w:rPr>
            <w:rStyle w:val="Hyperlink"/>
            <w:noProof/>
          </w:rPr>
          <w:t>1.2.2.1</w:t>
        </w:r>
        <w:r>
          <w:rPr>
            <w:rFonts w:asciiTheme="minorHAnsi" w:eastAsiaTheme="minorEastAsia" w:hAnsiTheme="minorHAnsi" w:cstheme="minorBidi"/>
            <w:b w:val="0"/>
            <w:noProof/>
            <w:sz w:val="22"/>
            <w:szCs w:val="22"/>
          </w:rPr>
          <w:tab/>
        </w:r>
        <w:r w:rsidRPr="00392554">
          <w:rPr>
            <w:rStyle w:val="Hyperlink"/>
            <w:noProof/>
          </w:rPr>
          <w:t>Comorbid Conditions</w:t>
        </w:r>
        <w:r>
          <w:rPr>
            <w:noProof/>
            <w:webHidden/>
          </w:rPr>
          <w:tab/>
        </w:r>
        <w:r>
          <w:rPr>
            <w:noProof/>
            <w:webHidden/>
          </w:rPr>
          <w:fldChar w:fldCharType="begin"/>
        </w:r>
        <w:r>
          <w:rPr>
            <w:noProof/>
            <w:webHidden/>
          </w:rPr>
          <w:instrText xml:space="preserve"> PAGEREF _Toc506540003 \h </w:instrText>
        </w:r>
        <w:r>
          <w:rPr>
            <w:noProof/>
            <w:webHidden/>
          </w:rPr>
        </w:r>
        <w:r>
          <w:rPr>
            <w:noProof/>
            <w:webHidden/>
          </w:rPr>
          <w:fldChar w:fldCharType="separate"/>
        </w:r>
        <w:r>
          <w:rPr>
            <w:noProof/>
            <w:webHidden/>
          </w:rPr>
          <w:t>13</w:t>
        </w:r>
        <w:r>
          <w:rPr>
            <w:noProof/>
            <w:webHidden/>
          </w:rPr>
          <w:fldChar w:fldCharType="end"/>
        </w:r>
      </w:hyperlink>
    </w:p>
    <w:p w14:paraId="5FC32DD0" w14:textId="17C8545B" w:rsidR="0072146F" w:rsidRDefault="0072146F">
      <w:pPr>
        <w:pStyle w:val="TOC4"/>
        <w:tabs>
          <w:tab w:val="left" w:pos="2392"/>
          <w:tab w:val="right" w:leader="dot" w:pos="9350"/>
        </w:tabs>
        <w:rPr>
          <w:rFonts w:asciiTheme="minorHAnsi" w:eastAsiaTheme="minorEastAsia" w:hAnsiTheme="minorHAnsi" w:cstheme="minorBidi"/>
          <w:b w:val="0"/>
          <w:noProof/>
          <w:sz w:val="22"/>
          <w:szCs w:val="22"/>
        </w:rPr>
      </w:pPr>
      <w:hyperlink w:anchor="_Toc506540004" w:history="1">
        <w:r w:rsidRPr="00392554">
          <w:rPr>
            <w:rStyle w:val="Hyperlink"/>
            <w:noProof/>
          </w:rPr>
          <w:t>1.2.2.2</w:t>
        </w:r>
        <w:r>
          <w:rPr>
            <w:rFonts w:asciiTheme="minorHAnsi" w:eastAsiaTheme="minorEastAsia" w:hAnsiTheme="minorHAnsi" w:cstheme="minorBidi"/>
            <w:b w:val="0"/>
            <w:noProof/>
            <w:sz w:val="22"/>
            <w:szCs w:val="22"/>
          </w:rPr>
          <w:tab/>
        </w:r>
        <w:r w:rsidRPr="00392554">
          <w:rPr>
            <w:rStyle w:val="Hyperlink"/>
            <w:noProof/>
          </w:rPr>
          <w:t>Geographic Region</w:t>
        </w:r>
        <w:r>
          <w:rPr>
            <w:noProof/>
            <w:webHidden/>
          </w:rPr>
          <w:tab/>
        </w:r>
        <w:r>
          <w:rPr>
            <w:noProof/>
            <w:webHidden/>
          </w:rPr>
          <w:fldChar w:fldCharType="begin"/>
        </w:r>
        <w:r>
          <w:rPr>
            <w:noProof/>
            <w:webHidden/>
          </w:rPr>
          <w:instrText xml:space="preserve"> PAGEREF _Toc506540004 \h </w:instrText>
        </w:r>
        <w:r>
          <w:rPr>
            <w:noProof/>
            <w:webHidden/>
          </w:rPr>
        </w:r>
        <w:r>
          <w:rPr>
            <w:noProof/>
            <w:webHidden/>
          </w:rPr>
          <w:fldChar w:fldCharType="separate"/>
        </w:r>
        <w:r>
          <w:rPr>
            <w:noProof/>
            <w:webHidden/>
          </w:rPr>
          <w:t>14</w:t>
        </w:r>
        <w:r>
          <w:rPr>
            <w:noProof/>
            <w:webHidden/>
          </w:rPr>
          <w:fldChar w:fldCharType="end"/>
        </w:r>
      </w:hyperlink>
    </w:p>
    <w:p w14:paraId="5DC175D0" w14:textId="0F5029B5" w:rsidR="0072146F" w:rsidRDefault="0072146F">
      <w:pPr>
        <w:pStyle w:val="TOC4"/>
        <w:tabs>
          <w:tab w:val="left" w:pos="2012"/>
          <w:tab w:val="right" w:leader="dot" w:pos="9350"/>
        </w:tabs>
        <w:rPr>
          <w:rFonts w:asciiTheme="minorHAnsi" w:eastAsiaTheme="minorEastAsia" w:hAnsiTheme="minorHAnsi" w:cstheme="minorBidi"/>
          <w:b w:val="0"/>
          <w:noProof/>
          <w:sz w:val="22"/>
          <w:szCs w:val="22"/>
        </w:rPr>
      </w:pPr>
      <w:hyperlink w:anchor="_Toc506540005" w:history="1">
        <w:r w:rsidRPr="00392554">
          <w:rPr>
            <w:rStyle w:val="Hyperlink"/>
            <w:noProof/>
          </w:rPr>
          <w:t>(a)</w:t>
        </w:r>
        <w:r>
          <w:rPr>
            <w:rFonts w:asciiTheme="minorHAnsi" w:eastAsiaTheme="minorEastAsia" w:hAnsiTheme="minorHAnsi" w:cstheme="minorBidi"/>
            <w:b w:val="0"/>
            <w:noProof/>
            <w:sz w:val="22"/>
            <w:szCs w:val="22"/>
          </w:rPr>
          <w:tab/>
        </w:r>
        <w:r w:rsidRPr="00392554">
          <w:rPr>
            <w:rStyle w:val="Hyperlink"/>
            <w:noProof/>
          </w:rPr>
          <w:t>Sarcoidosis in the United States</w:t>
        </w:r>
        <w:r>
          <w:rPr>
            <w:noProof/>
            <w:webHidden/>
          </w:rPr>
          <w:tab/>
        </w:r>
        <w:r>
          <w:rPr>
            <w:noProof/>
            <w:webHidden/>
          </w:rPr>
          <w:fldChar w:fldCharType="begin"/>
        </w:r>
        <w:r>
          <w:rPr>
            <w:noProof/>
            <w:webHidden/>
          </w:rPr>
          <w:instrText xml:space="preserve"> PAGEREF _Toc506540005 \h </w:instrText>
        </w:r>
        <w:r>
          <w:rPr>
            <w:noProof/>
            <w:webHidden/>
          </w:rPr>
        </w:r>
        <w:r>
          <w:rPr>
            <w:noProof/>
            <w:webHidden/>
          </w:rPr>
          <w:fldChar w:fldCharType="separate"/>
        </w:r>
        <w:r>
          <w:rPr>
            <w:noProof/>
            <w:webHidden/>
          </w:rPr>
          <w:t>14</w:t>
        </w:r>
        <w:r>
          <w:rPr>
            <w:noProof/>
            <w:webHidden/>
          </w:rPr>
          <w:fldChar w:fldCharType="end"/>
        </w:r>
      </w:hyperlink>
    </w:p>
    <w:p w14:paraId="61D197B5" w14:textId="1D4FCCDD" w:rsidR="0072146F" w:rsidRDefault="0072146F">
      <w:pPr>
        <w:pStyle w:val="TOC4"/>
        <w:tabs>
          <w:tab w:val="left" w:pos="2025"/>
          <w:tab w:val="right" w:leader="dot" w:pos="9350"/>
        </w:tabs>
        <w:rPr>
          <w:rFonts w:asciiTheme="minorHAnsi" w:eastAsiaTheme="minorEastAsia" w:hAnsiTheme="minorHAnsi" w:cstheme="minorBidi"/>
          <w:b w:val="0"/>
          <w:noProof/>
          <w:sz w:val="22"/>
          <w:szCs w:val="22"/>
        </w:rPr>
      </w:pPr>
      <w:hyperlink w:anchor="_Toc506540006" w:history="1">
        <w:r w:rsidRPr="00392554">
          <w:rPr>
            <w:rStyle w:val="Hyperlink"/>
            <w:noProof/>
          </w:rPr>
          <w:t>(b)</w:t>
        </w:r>
        <w:r>
          <w:rPr>
            <w:rFonts w:asciiTheme="minorHAnsi" w:eastAsiaTheme="minorEastAsia" w:hAnsiTheme="minorHAnsi" w:cstheme="minorBidi"/>
            <w:b w:val="0"/>
            <w:noProof/>
            <w:sz w:val="22"/>
            <w:szCs w:val="22"/>
          </w:rPr>
          <w:tab/>
        </w:r>
        <w:r w:rsidRPr="00392554">
          <w:rPr>
            <w:rStyle w:val="Hyperlink"/>
            <w:noProof/>
          </w:rPr>
          <w:t>Sarcoidosis Worldwide</w:t>
        </w:r>
        <w:r>
          <w:rPr>
            <w:noProof/>
            <w:webHidden/>
          </w:rPr>
          <w:tab/>
        </w:r>
        <w:r>
          <w:rPr>
            <w:noProof/>
            <w:webHidden/>
          </w:rPr>
          <w:fldChar w:fldCharType="begin"/>
        </w:r>
        <w:r>
          <w:rPr>
            <w:noProof/>
            <w:webHidden/>
          </w:rPr>
          <w:instrText xml:space="preserve"> PAGEREF _Toc506540006 \h </w:instrText>
        </w:r>
        <w:r>
          <w:rPr>
            <w:noProof/>
            <w:webHidden/>
          </w:rPr>
        </w:r>
        <w:r>
          <w:rPr>
            <w:noProof/>
            <w:webHidden/>
          </w:rPr>
          <w:fldChar w:fldCharType="separate"/>
        </w:r>
        <w:r>
          <w:rPr>
            <w:noProof/>
            <w:webHidden/>
          </w:rPr>
          <w:t>17</w:t>
        </w:r>
        <w:r>
          <w:rPr>
            <w:noProof/>
            <w:webHidden/>
          </w:rPr>
          <w:fldChar w:fldCharType="end"/>
        </w:r>
      </w:hyperlink>
    </w:p>
    <w:p w14:paraId="40B5F137" w14:textId="02210C85" w:rsidR="0072146F" w:rsidRDefault="0072146F">
      <w:pPr>
        <w:pStyle w:val="TOC3"/>
        <w:tabs>
          <w:tab w:val="left" w:pos="1760"/>
          <w:tab w:val="right" w:leader="dot" w:pos="9350"/>
        </w:tabs>
        <w:rPr>
          <w:rFonts w:asciiTheme="minorHAnsi" w:eastAsiaTheme="minorEastAsia" w:hAnsiTheme="minorHAnsi" w:cstheme="minorBidi"/>
          <w:b w:val="0"/>
          <w:noProof/>
          <w:sz w:val="22"/>
          <w:szCs w:val="22"/>
        </w:rPr>
      </w:pPr>
      <w:hyperlink w:anchor="_Toc506540007" w:history="1">
        <w:r w:rsidRPr="00392554">
          <w:rPr>
            <w:rStyle w:val="Hyperlink"/>
            <w:noProof/>
          </w:rPr>
          <w:t>1.2.3</w:t>
        </w:r>
        <w:r>
          <w:rPr>
            <w:rFonts w:asciiTheme="minorHAnsi" w:eastAsiaTheme="minorEastAsia" w:hAnsiTheme="minorHAnsi" w:cstheme="minorBidi"/>
            <w:b w:val="0"/>
            <w:noProof/>
            <w:sz w:val="22"/>
            <w:szCs w:val="22"/>
          </w:rPr>
          <w:tab/>
        </w:r>
        <w:r w:rsidRPr="00392554">
          <w:rPr>
            <w:rStyle w:val="Hyperlink"/>
            <w:noProof/>
          </w:rPr>
          <w:t>Risk Factors</w:t>
        </w:r>
        <w:r>
          <w:rPr>
            <w:noProof/>
            <w:webHidden/>
          </w:rPr>
          <w:tab/>
        </w:r>
        <w:r>
          <w:rPr>
            <w:noProof/>
            <w:webHidden/>
          </w:rPr>
          <w:fldChar w:fldCharType="begin"/>
        </w:r>
        <w:r>
          <w:rPr>
            <w:noProof/>
            <w:webHidden/>
          </w:rPr>
          <w:instrText xml:space="preserve"> PAGEREF _Toc506540007 \h </w:instrText>
        </w:r>
        <w:r>
          <w:rPr>
            <w:noProof/>
            <w:webHidden/>
          </w:rPr>
        </w:r>
        <w:r>
          <w:rPr>
            <w:noProof/>
            <w:webHidden/>
          </w:rPr>
          <w:fldChar w:fldCharType="separate"/>
        </w:r>
        <w:r>
          <w:rPr>
            <w:noProof/>
            <w:webHidden/>
          </w:rPr>
          <w:t>18</w:t>
        </w:r>
        <w:r>
          <w:rPr>
            <w:noProof/>
            <w:webHidden/>
          </w:rPr>
          <w:fldChar w:fldCharType="end"/>
        </w:r>
      </w:hyperlink>
    </w:p>
    <w:p w14:paraId="1EF3AB7E" w14:textId="44EF0F2F" w:rsidR="0072146F" w:rsidRDefault="0072146F">
      <w:pPr>
        <w:pStyle w:val="TOC4"/>
        <w:tabs>
          <w:tab w:val="left" w:pos="2392"/>
          <w:tab w:val="right" w:leader="dot" w:pos="9350"/>
        </w:tabs>
        <w:rPr>
          <w:rFonts w:asciiTheme="minorHAnsi" w:eastAsiaTheme="minorEastAsia" w:hAnsiTheme="minorHAnsi" w:cstheme="minorBidi"/>
          <w:b w:val="0"/>
          <w:noProof/>
          <w:sz w:val="22"/>
          <w:szCs w:val="22"/>
        </w:rPr>
      </w:pPr>
      <w:hyperlink w:anchor="_Toc506540008" w:history="1">
        <w:r w:rsidRPr="00392554">
          <w:rPr>
            <w:rStyle w:val="Hyperlink"/>
            <w:noProof/>
          </w:rPr>
          <w:t>1.2.3.1</w:t>
        </w:r>
        <w:r>
          <w:rPr>
            <w:rFonts w:asciiTheme="minorHAnsi" w:eastAsiaTheme="minorEastAsia" w:hAnsiTheme="minorHAnsi" w:cstheme="minorBidi"/>
            <w:b w:val="0"/>
            <w:noProof/>
            <w:sz w:val="22"/>
            <w:szCs w:val="22"/>
          </w:rPr>
          <w:tab/>
        </w:r>
        <w:r w:rsidRPr="00392554">
          <w:rPr>
            <w:rStyle w:val="Hyperlink"/>
            <w:noProof/>
          </w:rPr>
          <w:t>Age</w:t>
        </w:r>
        <w:r>
          <w:rPr>
            <w:noProof/>
            <w:webHidden/>
          </w:rPr>
          <w:tab/>
        </w:r>
        <w:r>
          <w:rPr>
            <w:noProof/>
            <w:webHidden/>
          </w:rPr>
          <w:fldChar w:fldCharType="begin"/>
        </w:r>
        <w:r>
          <w:rPr>
            <w:noProof/>
            <w:webHidden/>
          </w:rPr>
          <w:instrText xml:space="preserve"> PAGEREF _Toc506540008 \h </w:instrText>
        </w:r>
        <w:r>
          <w:rPr>
            <w:noProof/>
            <w:webHidden/>
          </w:rPr>
        </w:r>
        <w:r>
          <w:rPr>
            <w:noProof/>
            <w:webHidden/>
          </w:rPr>
          <w:fldChar w:fldCharType="separate"/>
        </w:r>
        <w:r>
          <w:rPr>
            <w:noProof/>
            <w:webHidden/>
          </w:rPr>
          <w:t>18</w:t>
        </w:r>
        <w:r>
          <w:rPr>
            <w:noProof/>
            <w:webHidden/>
          </w:rPr>
          <w:fldChar w:fldCharType="end"/>
        </w:r>
      </w:hyperlink>
    </w:p>
    <w:p w14:paraId="0506B274" w14:textId="221DB55F" w:rsidR="0072146F" w:rsidRDefault="0072146F">
      <w:pPr>
        <w:pStyle w:val="TOC4"/>
        <w:tabs>
          <w:tab w:val="left" w:pos="2392"/>
          <w:tab w:val="right" w:leader="dot" w:pos="9350"/>
        </w:tabs>
        <w:rPr>
          <w:rFonts w:asciiTheme="minorHAnsi" w:eastAsiaTheme="minorEastAsia" w:hAnsiTheme="minorHAnsi" w:cstheme="minorBidi"/>
          <w:b w:val="0"/>
          <w:noProof/>
          <w:sz w:val="22"/>
          <w:szCs w:val="22"/>
        </w:rPr>
      </w:pPr>
      <w:hyperlink w:anchor="_Toc506540009" w:history="1">
        <w:r w:rsidRPr="00392554">
          <w:rPr>
            <w:rStyle w:val="Hyperlink"/>
            <w:noProof/>
          </w:rPr>
          <w:t>1.2.3.2</w:t>
        </w:r>
        <w:r>
          <w:rPr>
            <w:rFonts w:asciiTheme="minorHAnsi" w:eastAsiaTheme="minorEastAsia" w:hAnsiTheme="minorHAnsi" w:cstheme="minorBidi"/>
            <w:b w:val="0"/>
            <w:noProof/>
            <w:sz w:val="22"/>
            <w:szCs w:val="22"/>
          </w:rPr>
          <w:tab/>
        </w:r>
        <w:r w:rsidRPr="00392554">
          <w:rPr>
            <w:rStyle w:val="Hyperlink"/>
            <w:noProof/>
          </w:rPr>
          <w:t>Sex</w:t>
        </w:r>
        <w:r>
          <w:rPr>
            <w:noProof/>
            <w:webHidden/>
          </w:rPr>
          <w:tab/>
        </w:r>
        <w:r>
          <w:rPr>
            <w:noProof/>
            <w:webHidden/>
          </w:rPr>
          <w:fldChar w:fldCharType="begin"/>
        </w:r>
        <w:r>
          <w:rPr>
            <w:noProof/>
            <w:webHidden/>
          </w:rPr>
          <w:instrText xml:space="preserve"> PAGEREF _Toc506540009 \h </w:instrText>
        </w:r>
        <w:r>
          <w:rPr>
            <w:noProof/>
            <w:webHidden/>
          </w:rPr>
        </w:r>
        <w:r>
          <w:rPr>
            <w:noProof/>
            <w:webHidden/>
          </w:rPr>
          <w:fldChar w:fldCharType="separate"/>
        </w:r>
        <w:r>
          <w:rPr>
            <w:noProof/>
            <w:webHidden/>
          </w:rPr>
          <w:t>19</w:t>
        </w:r>
        <w:r>
          <w:rPr>
            <w:noProof/>
            <w:webHidden/>
          </w:rPr>
          <w:fldChar w:fldCharType="end"/>
        </w:r>
      </w:hyperlink>
    </w:p>
    <w:p w14:paraId="6CF8D006" w14:textId="7D4AC26E" w:rsidR="0072146F" w:rsidRDefault="0072146F">
      <w:pPr>
        <w:pStyle w:val="TOC4"/>
        <w:tabs>
          <w:tab w:val="left" w:pos="2392"/>
          <w:tab w:val="right" w:leader="dot" w:pos="9350"/>
        </w:tabs>
        <w:rPr>
          <w:rFonts w:asciiTheme="minorHAnsi" w:eastAsiaTheme="minorEastAsia" w:hAnsiTheme="minorHAnsi" w:cstheme="minorBidi"/>
          <w:b w:val="0"/>
          <w:noProof/>
          <w:sz w:val="22"/>
          <w:szCs w:val="22"/>
        </w:rPr>
      </w:pPr>
      <w:hyperlink w:anchor="_Toc506540010" w:history="1">
        <w:r w:rsidRPr="00392554">
          <w:rPr>
            <w:rStyle w:val="Hyperlink"/>
            <w:noProof/>
          </w:rPr>
          <w:t>1.2.3.3</w:t>
        </w:r>
        <w:r>
          <w:rPr>
            <w:rFonts w:asciiTheme="minorHAnsi" w:eastAsiaTheme="minorEastAsia" w:hAnsiTheme="minorHAnsi" w:cstheme="minorBidi"/>
            <w:b w:val="0"/>
            <w:noProof/>
            <w:sz w:val="22"/>
            <w:szCs w:val="22"/>
          </w:rPr>
          <w:tab/>
        </w:r>
        <w:r w:rsidRPr="00392554">
          <w:rPr>
            <w:rStyle w:val="Hyperlink"/>
            <w:noProof/>
          </w:rPr>
          <w:t>Race</w:t>
        </w:r>
        <w:r>
          <w:rPr>
            <w:noProof/>
            <w:webHidden/>
          </w:rPr>
          <w:tab/>
        </w:r>
        <w:r>
          <w:rPr>
            <w:noProof/>
            <w:webHidden/>
          </w:rPr>
          <w:fldChar w:fldCharType="begin"/>
        </w:r>
        <w:r>
          <w:rPr>
            <w:noProof/>
            <w:webHidden/>
          </w:rPr>
          <w:instrText xml:space="preserve"> PAGEREF _Toc506540010 \h </w:instrText>
        </w:r>
        <w:r>
          <w:rPr>
            <w:noProof/>
            <w:webHidden/>
          </w:rPr>
        </w:r>
        <w:r>
          <w:rPr>
            <w:noProof/>
            <w:webHidden/>
          </w:rPr>
          <w:fldChar w:fldCharType="separate"/>
        </w:r>
        <w:r>
          <w:rPr>
            <w:noProof/>
            <w:webHidden/>
          </w:rPr>
          <w:t>24</w:t>
        </w:r>
        <w:r>
          <w:rPr>
            <w:noProof/>
            <w:webHidden/>
          </w:rPr>
          <w:fldChar w:fldCharType="end"/>
        </w:r>
      </w:hyperlink>
    </w:p>
    <w:p w14:paraId="205165C0" w14:textId="4B775A59" w:rsidR="0072146F" w:rsidRDefault="0072146F">
      <w:pPr>
        <w:pStyle w:val="TOC4"/>
        <w:tabs>
          <w:tab w:val="left" w:pos="2392"/>
          <w:tab w:val="right" w:leader="dot" w:pos="9350"/>
        </w:tabs>
        <w:rPr>
          <w:rFonts w:asciiTheme="minorHAnsi" w:eastAsiaTheme="minorEastAsia" w:hAnsiTheme="minorHAnsi" w:cstheme="minorBidi"/>
          <w:b w:val="0"/>
          <w:noProof/>
          <w:sz w:val="22"/>
          <w:szCs w:val="22"/>
        </w:rPr>
      </w:pPr>
      <w:hyperlink w:anchor="_Toc506540011" w:history="1">
        <w:r w:rsidRPr="00392554">
          <w:rPr>
            <w:rStyle w:val="Hyperlink"/>
            <w:noProof/>
          </w:rPr>
          <w:t>1.2.3.4</w:t>
        </w:r>
        <w:r>
          <w:rPr>
            <w:rFonts w:asciiTheme="minorHAnsi" w:eastAsiaTheme="minorEastAsia" w:hAnsiTheme="minorHAnsi" w:cstheme="minorBidi"/>
            <w:b w:val="0"/>
            <w:noProof/>
            <w:sz w:val="22"/>
            <w:szCs w:val="22"/>
          </w:rPr>
          <w:tab/>
        </w:r>
        <w:r w:rsidRPr="00392554">
          <w:rPr>
            <w:rStyle w:val="Hyperlink"/>
            <w:noProof/>
          </w:rPr>
          <w:t>Socioeconomic Status</w:t>
        </w:r>
        <w:r>
          <w:rPr>
            <w:noProof/>
            <w:webHidden/>
          </w:rPr>
          <w:tab/>
        </w:r>
        <w:r>
          <w:rPr>
            <w:noProof/>
            <w:webHidden/>
          </w:rPr>
          <w:fldChar w:fldCharType="begin"/>
        </w:r>
        <w:r>
          <w:rPr>
            <w:noProof/>
            <w:webHidden/>
          </w:rPr>
          <w:instrText xml:space="preserve"> PAGEREF _Toc506540011 \h </w:instrText>
        </w:r>
        <w:r>
          <w:rPr>
            <w:noProof/>
            <w:webHidden/>
          </w:rPr>
        </w:r>
        <w:r>
          <w:rPr>
            <w:noProof/>
            <w:webHidden/>
          </w:rPr>
          <w:fldChar w:fldCharType="separate"/>
        </w:r>
        <w:r>
          <w:rPr>
            <w:noProof/>
            <w:webHidden/>
          </w:rPr>
          <w:t>26</w:t>
        </w:r>
        <w:r>
          <w:rPr>
            <w:noProof/>
            <w:webHidden/>
          </w:rPr>
          <w:fldChar w:fldCharType="end"/>
        </w:r>
      </w:hyperlink>
    </w:p>
    <w:p w14:paraId="6DB93C0E" w14:textId="6B10628D" w:rsidR="0072146F" w:rsidRDefault="0072146F">
      <w:pPr>
        <w:pStyle w:val="TOC4"/>
        <w:tabs>
          <w:tab w:val="left" w:pos="2392"/>
          <w:tab w:val="right" w:leader="dot" w:pos="9350"/>
        </w:tabs>
        <w:rPr>
          <w:rFonts w:asciiTheme="minorHAnsi" w:eastAsiaTheme="minorEastAsia" w:hAnsiTheme="minorHAnsi" w:cstheme="minorBidi"/>
          <w:b w:val="0"/>
          <w:noProof/>
          <w:sz w:val="22"/>
          <w:szCs w:val="22"/>
        </w:rPr>
      </w:pPr>
      <w:hyperlink w:anchor="_Toc506540012" w:history="1">
        <w:r w:rsidRPr="00392554">
          <w:rPr>
            <w:rStyle w:val="Hyperlink"/>
            <w:noProof/>
          </w:rPr>
          <w:t>1.2.3.5</w:t>
        </w:r>
        <w:r>
          <w:rPr>
            <w:rFonts w:asciiTheme="minorHAnsi" w:eastAsiaTheme="minorEastAsia" w:hAnsiTheme="minorHAnsi" w:cstheme="minorBidi"/>
            <w:b w:val="0"/>
            <w:noProof/>
            <w:sz w:val="22"/>
            <w:szCs w:val="22"/>
          </w:rPr>
          <w:tab/>
        </w:r>
        <w:r w:rsidRPr="00392554">
          <w:rPr>
            <w:rStyle w:val="Hyperlink"/>
            <w:noProof/>
          </w:rPr>
          <w:t>Occupational Exposure</w:t>
        </w:r>
        <w:r>
          <w:rPr>
            <w:noProof/>
            <w:webHidden/>
          </w:rPr>
          <w:tab/>
        </w:r>
        <w:r>
          <w:rPr>
            <w:noProof/>
            <w:webHidden/>
          </w:rPr>
          <w:fldChar w:fldCharType="begin"/>
        </w:r>
        <w:r>
          <w:rPr>
            <w:noProof/>
            <w:webHidden/>
          </w:rPr>
          <w:instrText xml:space="preserve"> PAGEREF _Toc506540012 \h </w:instrText>
        </w:r>
        <w:r>
          <w:rPr>
            <w:noProof/>
            <w:webHidden/>
          </w:rPr>
        </w:r>
        <w:r>
          <w:rPr>
            <w:noProof/>
            <w:webHidden/>
          </w:rPr>
          <w:fldChar w:fldCharType="separate"/>
        </w:r>
        <w:r>
          <w:rPr>
            <w:noProof/>
            <w:webHidden/>
          </w:rPr>
          <w:t>30</w:t>
        </w:r>
        <w:r>
          <w:rPr>
            <w:noProof/>
            <w:webHidden/>
          </w:rPr>
          <w:fldChar w:fldCharType="end"/>
        </w:r>
      </w:hyperlink>
    </w:p>
    <w:p w14:paraId="7641E5F6" w14:textId="1A65E439" w:rsidR="0072146F" w:rsidRDefault="0072146F">
      <w:pPr>
        <w:pStyle w:val="TOC4"/>
        <w:tabs>
          <w:tab w:val="left" w:pos="2392"/>
          <w:tab w:val="right" w:leader="dot" w:pos="9350"/>
        </w:tabs>
        <w:rPr>
          <w:rFonts w:asciiTheme="minorHAnsi" w:eastAsiaTheme="minorEastAsia" w:hAnsiTheme="minorHAnsi" w:cstheme="minorBidi"/>
          <w:b w:val="0"/>
          <w:noProof/>
          <w:sz w:val="22"/>
          <w:szCs w:val="22"/>
        </w:rPr>
      </w:pPr>
      <w:hyperlink w:anchor="_Toc506540013" w:history="1">
        <w:r w:rsidRPr="00392554">
          <w:rPr>
            <w:rStyle w:val="Hyperlink"/>
            <w:noProof/>
          </w:rPr>
          <w:t>1.2.3.6</w:t>
        </w:r>
        <w:r>
          <w:rPr>
            <w:rFonts w:asciiTheme="minorHAnsi" w:eastAsiaTheme="minorEastAsia" w:hAnsiTheme="minorHAnsi" w:cstheme="minorBidi"/>
            <w:b w:val="0"/>
            <w:noProof/>
            <w:sz w:val="22"/>
            <w:szCs w:val="22"/>
          </w:rPr>
          <w:tab/>
        </w:r>
        <w:r w:rsidRPr="00392554">
          <w:rPr>
            <w:rStyle w:val="Hyperlink"/>
            <w:noProof/>
          </w:rPr>
          <w:t>Animal Exposures</w:t>
        </w:r>
        <w:r>
          <w:rPr>
            <w:noProof/>
            <w:webHidden/>
          </w:rPr>
          <w:tab/>
        </w:r>
        <w:r>
          <w:rPr>
            <w:noProof/>
            <w:webHidden/>
          </w:rPr>
          <w:fldChar w:fldCharType="begin"/>
        </w:r>
        <w:r>
          <w:rPr>
            <w:noProof/>
            <w:webHidden/>
          </w:rPr>
          <w:instrText xml:space="preserve"> PAGEREF _Toc506540013 \h </w:instrText>
        </w:r>
        <w:r>
          <w:rPr>
            <w:noProof/>
            <w:webHidden/>
          </w:rPr>
        </w:r>
        <w:r>
          <w:rPr>
            <w:noProof/>
            <w:webHidden/>
          </w:rPr>
          <w:fldChar w:fldCharType="separate"/>
        </w:r>
        <w:r>
          <w:rPr>
            <w:noProof/>
            <w:webHidden/>
          </w:rPr>
          <w:t>33</w:t>
        </w:r>
        <w:r>
          <w:rPr>
            <w:noProof/>
            <w:webHidden/>
          </w:rPr>
          <w:fldChar w:fldCharType="end"/>
        </w:r>
      </w:hyperlink>
    </w:p>
    <w:p w14:paraId="591FF864" w14:textId="5A085999" w:rsidR="0072146F" w:rsidRDefault="0072146F">
      <w:pPr>
        <w:pStyle w:val="TOC4"/>
        <w:tabs>
          <w:tab w:val="left" w:pos="2392"/>
          <w:tab w:val="right" w:leader="dot" w:pos="9350"/>
        </w:tabs>
        <w:rPr>
          <w:rFonts w:asciiTheme="minorHAnsi" w:eastAsiaTheme="minorEastAsia" w:hAnsiTheme="minorHAnsi" w:cstheme="minorBidi"/>
          <w:b w:val="0"/>
          <w:noProof/>
          <w:sz w:val="22"/>
          <w:szCs w:val="22"/>
        </w:rPr>
      </w:pPr>
      <w:hyperlink w:anchor="_Toc506540014" w:history="1">
        <w:r w:rsidRPr="00392554">
          <w:rPr>
            <w:rStyle w:val="Hyperlink"/>
            <w:noProof/>
          </w:rPr>
          <w:t>1.2.3.7</w:t>
        </w:r>
        <w:r>
          <w:rPr>
            <w:rFonts w:asciiTheme="minorHAnsi" w:eastAsiaTheme="minorEastAsia" w:hAnsiTheme="minorHAnsi" w:cstheme="minorBidi"/>
            <w:b w:val="0"/>
            <w:noProof/>
            <w:sz w:val="22"/>
            <w:szCs w:val="22"/>
          </w:rPr>
          <w:tab/>
        </w:r>
        <w:r w:rsidRPr="00392554">
          <w:rPr>
            <w:rStyle w:val="Hyperlink"/>
            <w:noProof/>
          </w:rPr>
          <w:t>Smoking</w:t>
        </w:r>
        <w:r>
          <w:rPr>
            <w:noProof/>
            <w:webHidden/>
          </w:rPr>
          <w:tab/>
        </w:r>
        <w:r>
          <w:rPr>
            <w:noProof/>
            <w:webHidden/>
          </w:rPr>
          <w:fldChar w:fldCharType="begin"/>
        </w:r>
        <w:r>
          <w:rPr>
            <w:noProof/>
            <w:webHidden/>
          </w:rPr>
          <w:instrText xml:space="preserve"> PAGEREF _Toc506540014 \h </w:instrText>
        </w:r>
        <w:r>
          <w:rPr>
            <w:noProof/>
            <w:webHidden/>
          </w:rPr>
        </w:r>
        <w:r>
          <w:rPr>
            <w:noProof/>
            <w:webHidden/>
          </w:rPr>
          <w:fldChar w:fldCharType="separate"/>
        </w:r>
        <w:r>
          <w:rPr>
            <w:noProof/>
            <w:webHidden/>
          </w:rPr>
          <w:t>34</w:t>
        </w:r>
        <w:r>
          <w:rPr>
            <w:noProof/>
            <w:webHidden/>
          </w:rPr>
          <w:fldChar w:fldCharType="end"/>
        </w:r>
      </w:hyperlink>
    </w:p>
    <w:p w14:paraId="3A88EF11" w14:textId="13E530B2" w:rsidR="0072146F" w:rsidRDefault="0072146F">
      <w:pPr>
        <w:pStyle w:val="TOC4"/>
        <w:tabs>
          <w:tab w:val="left" w:pos="2392"/>
          <w:tab w:val="right" w:leader="dot" w:pos="9350"/>
        </w:tabs>
        <w:rPr>
          <w:rFonts w:asciiTheme="minorHAnsi" w:eastAsiaTheme="minorEastAsia" w:hAnsiTheme="minorHAnsi" w:cstheme="minorBidi"/>
          <w:b w:val="0"/>
          <w:noProof/>
          <w:sz w:val="22"/>
          <w:szCs w:val="22"/>
        </w:rPr>
      </w:pPr>
      <w:hyperlink w:anchor="_Toc506540015" w:history="1">
        <w:r w:rsidRPr="00392554">
          <w:rPr>
            <w:rStyle w:val="Hyperlink"/>
            <w:noProof/>
          </w:rPr>
          <w:t>1.2.3.8</w:t>
        </w:r>
        <w:r>
          <w:rPr>
            <w:rFonts w:asciiTheme="minorHAnsi" w:eastAsiaTheme="minorEastAsia" w:hAnsiTheme="minorHAnsi" w:cstheme="minorBidi"/>
            <w:b w:val="0"/>
            <w:noProof/>
            <w:sz w:val="22"/>
            <w:szCs w:val="22"/>
          </w:rPr>
          <w:tab/>
        </w:r>
        <w:r w:rsidRPr="00392554">
          <w:rPr>
            <w:rStyle w:val="Hyperlink"/>
            <w:noProof/>
          </w:rPr>
          <w:t>Exposure to Sarcoidosis</w:t>
        </w:r>
        <w:r>
          <w:rPr>
            <w:noProof/>
            <w:webHidden/>
          </w:rPr>
          <w:tab/>
        </w:r>
        <w:r>
          <w:rPr>
            <w:noProof/>
            <w:webHidden/>
          </w:rPr>
          <w:fldChar w:fldCharType="begin"/>
        </w:r>
        <w:r>
          <w:rPr>
            <w:noProof/>
            <w:webHidden/>
          </w:rPr>
          <w:instrText xml:space="preserve"> PAGEREF _Toc506540015 \h </w:instrText>
        </w:r>
        <w:r>
          <w:rPr>
            <w:noProof/>
            <w:webHidden/>
          </w:rPr>
        </w:r>
        <w:r>
          <w:rPr>
            <w:noProof/>
            <w:webHidden/>
          </w:rPr>
          <w:fldChar w:fldCharType="separate"/>
        </w:r>
        <w:r>
          <w:rPr>
            <w:noProof/>
            <w:webHidden/>
          </w:rPr>
          <w:t>35</w:t>
        </w:r>
        <w:r>
          <w:rPr>
            <w:noProof/>
            <w:webHidden/>
          </w:rPr>
          <w:fldChar w:fldCharType="end"/>
        </w:r>
      </w:hyperlink>
    </w:p>
    <w:p w14:paraId="324837BE" w14:textId="63E82E4C" w:rsidR="0072146F" w:rsidRDefault="0072146F">
      <w:pPr>
        <w:pStyle w:val="TOC3"/>
        <w:tabs>
          <w:tab w:val="left" w:pos="1760"/>
          <w:tab w:val="right" w:leader="dot" w:pos="9350"/>
        </w:tabs>
        <w:rPr>
          <w:rFonts w:asciiTheme="minorHAnsi" w:eastAsiaTheme="minorEastAsia" w:hAnsiTheme="minorHAnsi" w:cstheme="minorBidi"/>
          <w:b w:val="0"/>
          <w:noProof/>
          <w:sz w:val="22"/>
          <w:szCs w:val="22"/>
        </w:rPr>
      </w:pPr>
      <w:hyperlink w:anchor="_Toc506540016" w:history="1">
        <w:r w:rsidRPr="00392554">
          <w:rPr>
            <w:rStyle w:val="Hyperlink"/>
            <w:noProof/>
          </w:rPr>
          <w:t>1.2.4</w:t>
        </w:r>
        <w:r>
          <w:rPr>
            <w:rFonts w:asciiTheme="minorHAnsi" w:eastAsiaTheme="minorEastAsia" w:hAnsiTheme="minorHAnsi" w:cstheme="minorBidi"/>
            <w:b w:val="0"/>
            <w:noProof/>
            <w:sz w:val="22"/>
            <w:szCs w:val="22"/>
          </w:rPr>
          <w:tab/>
        </w:r>
        <w:r w:rsidRPr="00392554">
          <w:rPr>
            <w:rStyle w:val="Hyperlink"/>
            <w:noProof/>
          </w:rPr>
          <w:t>Public Health Significance</w:t>
        </w:r>
        <w:r>
          <w:rPr>
            <w:noProof/>
            <w:webHidden/>
          </w:rPr>
          <w:tab/>
        </w:r>
        <w:r>
          <w:rPr>
            <w:noProof/>
            <w:webHidden/>
          </w:rPr>
          <w:fldChar w:fldCharType="begin"/>
        </w:r>
        <w:r>
          <w:rPr>
            <w:noProof/>
            <w:webHidden/>
          </w:rPr>
          <w:instrText xml:space="preserve"> PAGEREF _Toc506540016 \h </w:instrText>
        </w:r>
        <w:r>
          <w:rPr>
            <w:noProof/>
            <w:webHidden/>
          </w:rPr>
        </w:r>
        <w:r>
          <w:rPr>
            <w:noProof/>
            <w:webHidden/>
          </w:rPr>
          <w:fldChar w:fldCharType="separate"/>
        </w:r>
        <w:r>
          <w:rPr>
            <w:noProof/>
            <w:webHidden/>
          </w:rPr>
          <w:t>36</w:t>
        </w:r>
        <w:r>
          <w:rPr>
            <w:noProof/>
            <w:webHidden/>
          </w:rPr>
          <w:fldChar w:fldCharType="end"/>
        </w:r>
      </w:hyperlink>
    </w:p>
    <w:p w14:paraId="178F4254" w14:textId="5FB3C37F" w:rsidR="0072146F" w:rsidRDefault="0072146F">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06540017" w:history="1">
        <w:r w:rsidRPr="00392554">
          <w:rPr>
            <w:rStyle w:val="Hyperlink"/>
            <w:noProof/>
          </w:rPr>
          <w:t>1.3</w:t>
        </w:r>
        <w:r>
          <w:rPr>
            <w:rFonts w:asciiTheme="minorHAnsi" w:eastAsiaTheme="minorEastAsia" w:hAnsiTheme="minorHAnsi" w:cstheme="minorBidi"/>
            <w:b w:val="0"/>
            <w:caps w:val="0"/>
            <w:noProof/>
            <w:sz w:val="22"/>
            <w:szCs w:val="22"/>
          </w:rPr>
          <w:tab/>
        </w:r>
        <w:r w:rsidRPr="00392554">
          <w:rPr>
            <w:rStyle w:val="Hyperlink"/>
            <w:noProof/>
          </w:rPr>
          <w:t>Pathobiology OF Sarcoidosis</w:t>
        </w:r>
        <w:r>
          <w:rPr>
            <w:noProof/>
            <w:webHidden/>
          </w:rPr>
          <w:tab/>
        </w:r>
        <w:r>
          <w:rPr>
            <w:noProof/>
            <w:webHidden/>
          </w:rPr>
          <w:fldChar w:fldCharType="begin"/>
        </w:r>
        <w:r>
          <w:rPr>
            <w:noProof/>
            <w:webHidden/>
          </w:rPr>
          <w:instrText xml:space="preserve"> PAGEREF _Toc506540017 \h </w:instrText>
        </w:r>
        <w:r>
          <w:rPr>
            <w:noProof/>
            <w:webHidden/>
          </w:rPr>
        </w:r>
        <w:r>
          <w:rPr>
            <w:noProof/>
            <w:webHidden/>
          </w:rPr>
          <w:fldChar w:fldCharType="separate"/>
        </w:r>
        <w:r>
          <w:rPr>
            <w:noProof/>
            <w:webHidden/>
          </w:rPr>
          <w:t>38</w:t>
        </w:r>
        <w:r>
          <w:rPr>
            <w:noProof/>
            <w:webHidden/>
          </w:rPr>
          <w:fldChar w:fldCharType="end"/>
        </w:r>
      </w:hyperlink>
    </w:p>
    <w:p w14:paraId="6DF03CDF" w14:textId="2D40E54E" w:rsidR="0072146F" w:rsidRDefault="0072146F">
      <w:pPr>
        <w:pStyle w:val="TOC3"/>
        <w:tabs>
          <w:tab w:val="left" w:pos="1760"/>
          <w:tab w:val="right" w:leader="dot" w:pos="9350"/>
        </w:tabs>
        <w:rPr>
          <w:rFonts w:asciiTheme="minorHAnsi" w:eastAsiaTheme="minorEastAsia" w:hAnsiTheme="minorHAnsi" w:cstheme="minorBidi"/>
          <w:b w:val="0"/>
          <w:noProof/>
          <w:sz w:val="22"/>
          <w:szCs w:val="22"/>
        </w:rPr>
      </w:pPr>
      <w:hyperlink w:anchor="_Toc506540018" w:history="1">
        <w:r w:rsidRPr="00392554">
          <w:rPr>
            <w:rStyle w:val="Hyperlink"/>
            <w:noProof/>
          </w:rPr>
          <w:t>1.3.1</w:t>
        </w:r>
        <w:r>
          <w:rPr>
            <w:rFonts w:asciiTheme="minorHAnsi" w:eastAsiaTheme="minorEastAsia" w:hAnsiTheme="minorHAnsi" w:cstheme="minorBidi"/>
            <w:b w:val="0"/>
            <w:noProof/>
            <w:sz w:val="22"/>
            <w:szCs w:val="22"/>
          </w:rPr>
          <w:tab/>
        </w:r>
        <w:r w:rsidRPr="00392554">
          <w:rPr>
            <w:rStyle w:val="Hyperlink"/>
            <w:noProof/>
          </w:rPr>
          <w:t>Etiological Hypotheses of Sarcoidosis</w:t>
        </w:r>
        <w:r>
          <w:rPr>
            <w:noProof/>
            <w:webHidden/>
          </w:rPr>
          <w:tab/>
        </w:r>
        <w:r>
          <w:rPr>
            <w:noProof/>
            <w:webHidden/>
          </w:rPr>
          <w:fldChar w:fldCharType="begin"/>
        </w:r>
        <w:r>
          <w:rPr>
            <w:noProof/>
            <w:webHidden/>
          </w:rPr>
          <w:instrText xml:space="preserve"> PAGEREF _Toc506540018 \h </w:instrText>
        </w:r>
        <w:r>
          <w:rPr>
            <w:noProof/>
            <w:webHidden/>
          </w:rPr>
        </w:r>
        <w:r>
          <w:rPr>
            <w:noProof/>
            <w:webHidden/>
          </w:rPr>
          <w:fldChar w:fldCharType="separate"/>
        </w:r>
        <w:r>
          <w:rPr>
            <w:noProof/>
            <w:webHidden/>
          </w:rPr>
          <w:t>39</w:t>
        </w:r>
        <w:r>
          <w:rPr>
            <w:noProof/>
            <w:webHidden/>
          </w:rPr>
          <w:fldChar w:fldCharType="end"/>
        </w:r>
      </w:hyperlink>
    </w:p>
    <w:p w14:paraId="345C253B" w14:textId="306CE7AF" w:rsidR="0072146F" w:rsidRDefault="0072146F">
      <w:pPr>
        <w:pStyle w:val="TOC4"/>
        <w:tabs>
          <w:tab w:val="left" w:pos="2392"/>
          <w:tab w:val="right" w:leader="dot" w:pos="9350"/>
        </w:tabs>
        <w:rPr>
          <w:rFonts w:asciiTheme="minorHAnsi" w:eastAsiaTheme="minorEastAsia" w:hAnsiTheme="minorHAnsi" w:cstheme="minorBidi"/>
          <w:b w:val="0"/>
          <w:noProof/>
          <w:sz w:val="22"/>
          <w:szCs w:val="22"/>
        </w:rPr>
      </w:pPr>
      <w:hyperlink w:anchor="_Toc506540019" w:history="1">
        <w:r w:rsidRPr="00392554">
          <w:rPr>
            <w:rStyle w:val="Hyperlink"/>
            <w:noProof/>
          </w:rPr>
          <w:t>1.3.1.1</w:t>
        </w:r>
        <w:r>
          <w:rPr>
            <w:rFonts w:asciiTheme="minorHAnsi" w:eastAsiaTheme="minorEastAsia" w:hAnsiTheme="minorHAnsi" w:cstheme="minorBidi"/>
            <w:b w:val="0"/>
            <w:noProof/>
            <w:sz w:val="22"/>
            <w:szCs w:val="22"/>
          </w:rPr>
          <w:tab/>
        </w:r>
        <w:r w:rsidRPr="00392554">
          <w:rPr>
            <w:rStyle w:val="Hyperlink"/>
            <w:noProof/>
          </w:rPr>
          <w:t>Infectious Agents in Sarcoidosis</w:t>
        </w:r>
        <w:r>
          <w:rPr>
            <w:noProof/>
            <w:webHidden/>
          </w:rPr>
          <w:tab/>
        </w:r>
        <w:r>
          <w:rPr>
            <w:noProof/>
            <w:webHidden/>
          </w:rPr>
          <w:fldChar w:fldCharType="begin"/>
        </w:r>
        <w:r>
          <w:rPr>
            <w:noProof/>
            <w:webHidden/>
          </w:rPr>
          <w:instrText xml:space="preserve"> PAGEREF _Toc506540019 \h </w:instrText>
        </w:r>
        <w:r>
          <w:rPr>
            <w:noProof/>
            <w:webHidden/>
          </w:rPr>
        </w:r>
        <w:r>
          <w:rPr>
            <w:noProof/>
            <w:webHidden/>
          </w:rPr>
          <w:fldChar w:fldCharType="separate"/>
        </w:r>
        <w:r>
          <w:rPr>
            <w:noProof/>
            <w:webHidden/>
          </w:rPr>
          <w:t>39</w:t>
        </w:r>
        <w:r>
          <w:rPr>
            <w:noProof/>
            <w:webHidden/>
          </w:rPr>
          <w:fldChar w:fldCharType="end"/>
        </w:r>
      </w:hyperlink>
    </w:p>
    <w:p w14:paraId="4E0D29C4" w14:textId="545966B2" w:rsidR="0072146F" w:rsidRDefault="0072146F">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06540020" w:history="1">
        <w:r w:rsidRPr="00392554">
          <w:rPr>
            <w:rStyle w:val="Hyperlink"/>
            <w:noProof/>
          </w:rPr>
          <w:t>1.4</w:t>
        </w:r>
        <w:r>
          <w:rPr>
            <w:rFonts w:asciiTheme="minorHAnsi" w:eastAsiaTheme="minorEastAsia" w:hAnsiTheme="minorHAnsi" w:cstheme="minorBidi"/>
            <w:b w:val="0"/>
            <w:caps w:val="0"/>
            <w:noProof/>
            <w:sz w:val="22"/>
            <w:szCs w:val="22"/>
          </w:rPr>
          <w:tab/>
        </w:r>
        <w:r w:rsidRPr="00392554">
          <w:rPr>
            <w:rStyle w:val="Hyperlink"/>
            <w:noProof/>
          </w:rPr>
          <w:t>The Microbiome</w:t>
        </w:r>
        <w:r>
          <w:rPr>
            <w:noProof/>
            <w:webHidden/>
          </w:rPr>
          <w:tab/>
        </w:r>
        <w:r>
          <w:rPr>
            <w:noProof/>
            <w:webHidden/>
          </w:rPr>
          <w:fldChar w:fldCharType="begin"/>
        </w:r>
        <w:r>
          <w:rPr>
            <w:noProof/>
            <w:webHidden/>
          </w:rPr>
          <w:instrText xml:space="preserve"> PAGEREF _Toc506540020 \h </w:instrText>
        </w:r>
        <w:r>
          <w:rPr>
            <w:noProof/>
            <w:webHidden/>
          </w:rPr>
        </w:r>
        <w:r>
          <w:rPr>
            <w:noProof/>
            <w:webHidden/>
          </w:rPr>
          <w:fldChar w:fldCharType="separate"/>
        </w:r>
        <w:r>
          <w:rPr>
            <w:noProof/>
            <w:webHidden/>
          </w:rPr>
          <w:t>47</w:t>
        </w:r>
        <w:r>
          <w:rPr>
            <w:noProof/>
            <w:webHidden/>
          </w:rPr>
          <w:fldChar w:fldCharType="end"/>
        </w:r>
      </w:hyperlink>
    </w:p>
    <w:p w14:paraId="6A081C2B" w14:textId="09B9C981" w:rsidR="0072146F" w:rsidRDefault="0072146F">
      <w:pPr>
        <w:pStyle w:val="TOC3"/>
        <w:tabs>
          <w:tab w:val="left" w:pos="1760"/>
          <w:tab w:val="right" w:leader="dot" w:pos="9350"/>
        </w:tabs>
        <w:rPr>
          <w:rFonts w:asciiTheme="minorHAnsi" w:eastAsiaTheme="minorEastAsia" w:hAnsiTheme="minorHAnsi" w:cstheme="minorBidi"/>
          <w:b w:val="0"/>
          <w:noProof/>
          <w:sz w:val="22"/>
          <w:szCs w:val="22"/>
        </w:rPr>
      </w:pPr>
      <w:hyperlink w:anchor="_Toc506540021" w:history="1">
        <w:r w:rsidRPr="00392554">
          <w:rPr>
            <w:rStyle w:val="Hyperlink"/>
            <w:noProof/>
          </w:rPr>
          <w:t>1.4.1</w:t>
        </w:r>
        <w:r>
          <w:rPr>
            <w:rFonts w:asciiTheme="minorHAnsi" w:eastAsiaTheme="minorEastAsia" w:hAnsiTheme="minorHAnsi" w:cstheme="minorBidi"/>
            <w:b w:val="0"/>
            <w:noProof/>
            <w:sz w:val="22"/>
            <w:szCs w:val="22"/>
          </w:rPr>
          <w:tab/>
        </w:r>
        <w:r w:rsidRPr="00392554">
          <w:rPr>
            <w:rStyle w:val="Hyperlink"/>
            <w:noProof/>
          </w:rPr>
          <w:t>Defining the Microbiome</w:t>
        </w:r>
        <w:r>
          <w:rPr>
            <w:noProof/>
            <w:webHidden/>
          </w:rPr>
          <w:tab/>
        </w:r>
        <w:r>
          <w:rPr>
            <w:noProof/>
            <w:webHidden/>
          </w:rPr>
          <w:fldChar w:fldCharType="begin"/>
        </w:r>
        <w:r>
          <w:rPr>
            <w:noProof/>
            <w:webHidden/>
          </w:rPr>
          <w:instrText xml:space="preserve"> PAGEREF _Toc506540021 \h </w:instrText>
        </w:r>
        <w:r>
          <w:rPr>
            <w:noProof/>
            <w:webHidden/>
          </w:rPr>
        </w:r>
        <w:r>
          <w:rPr>
            <w:noProof/>
            <w:webHidden/>
          </w:rPr>
          <w:fldChar w:fldCharType="separate"/>
        </w:r>
        <w:r>
          <w:rPr>
            <w:noProof/>
            <w:webHidden/>
          </w:rPr>
          <w:t>47</w:t>
        </w:r>
        <w:r>
          <w:rPr>
            <w:noProof/>
            <w:webHidden/>
          </w:rPr>
          <w:fldChar w:fldCharType="end"/>
        </w:r>
      </w:hyperlink>
    </w:p>
    <w:p w14:paraId="542D80E6" w14:textId="7C82032C" w:rsidR="0072146F" w:rsidRDefault="0072146F">
      <w:pPr>
        <w:pStyle w:val="TOC3"/>
        <w:tabs>
          <w:tab w:val="left" w:pos="1760"/>
          <w:tab w:val="right" w:leader="dot" w:pos="9350"/>
        </w:tabs>
        <w:rPr>
          <w:rFonts w:asciiTheme="minorHAnsi" w:eastAsiaTheme="minorEastAsia" w:hAnsiTheme="minorHAnsi" w:cstheme="minorBidi"/>
          <w:b w:val="0"/>
          <w:noProof/>
          <w:sz w:val="22"/>
          <w:szCs w:val="22"/>
        </w:rPr>
      </w:pPr>
      <w:hyperlink w:anchor="_Toc506540022" w:history="1">
        <w:r w:rsidRPr="00392554">
          <w:rPr>
            <w:rStyle w:val="Hyperlink"/>
            <w:noProof/>
          </w:rPr>
          <w:t>1.4.2</w:t>
        </w:r>
        <w:r>
          <w:rPr>
            <w:rFonts w:asciiTheme="minorHAnsi" w:eastAsiaTheme="minorEastAsia" w:hAnsiTheme="minorHAnsi" w:cstheme="minorBidi"/>
            <w:b w:val="0"/>
            <w:noProof/>
            <w:sz w:val="22"/>
            <w:szCs w:val="22"/>
          </w:rPr>
          <w:tab/>
        </w:r>
        <w:r w:rsidRPr="00392554">
          <w:rPr>
            <w:rStyle w:val="Hyperlink"/>
            <w:noProof/>
          </w:rPr>
          <w:t>Defining the Mycobiome</w:t>
        </w:r>
        <w:r>
          <w:rPr>
            <w:noProof/>
            <w:webHidden/>
          </w:rPr>
          <w:tab/>
        </w:r>
        <w:r>
          <w:rPr>
            <w:noProof/>
            <w:webHidden/>
          </w:rPr>
          <w:fldChar w:fldCharType="begin"/>
        </w:r>
        <w:r>
          <w:rPr>
            <w:noProof/>
            <w:webHidden/>
          </w:rPr>
          <w:instrText xml:space="preserve"> PAGEREF _Toc506540022 \h </w:instrText>
        </w:r>
        <w:r>
          <w:rPr>
            <w:noProof/>
            <w:webHidden/>
          </w:rPr>
        </w:r>
        <w:r>
          <w:rPr>
            <w:noProof/>
            <w:webHidden/>
          </w:rPr>
          <w:fldChar w:fldCharType="separate"/>
        </w:r>
        <w:r>
          <w:rPr>
            <w:noProof/>
            <w:webHidden/>
          </w:rPr>
          <w:t>48</w:t>
        </w:r>
        <w:r>
          <w:rPr>
            <w:noProof/>
            <w:webHidden/>
          </w:rPr>
          <w:fldChar w:fldCharType="end"/>
        </w:r>
      </w:hyperlink>
    </w:p>
    <w:p w14:paraId="70B6EB3E" w14:textId="1DCF4A97" w:rsidR="0072146F" w:rsidRDefault="0072146F">
      <w:pPr>
        <w:pStyle w:val="TOC3"/>
        <w:tabs>
          <w:tab w:val="left" w:pos="1760"/>
          <w:tab w:val="right" w:leader="dot" w:pos="9350"/>
        </w:tabs>
        <w:rPr>
          <w:rFonts w:asciiTheme="minorHAnsi" w:eastAsiaTheme="minorEastAsia" w:hAnsiTheme="minorHAnsi" w:cstheme="minorBidi"/>
          <w:b w:val="0"/>
          <w:noProof/>
          <w:sz w:val="22"/>
          <w:szCs w:val="22"/>
        </w:rPr>
      </w:pPr>
      <w:hyperlink w:anchor="_Toc506540023" w:history="1">
        <w:r w:rsidRPr="00392554">
          <w:rPr>
            <w:rStyle w:val="Hyperlink"/>
            <w:noProof/>
          </w:rPr>
          <w:t>1.4.3</w:t>
        </w:r>
        <w:r>
          <w:rPr>
            <w:rFonts w:asciiTheme="minorHAnsi" w:eastAsiaTheme="minorEastAsia" w:hAnsiTheme="minorHAnsi" w:cstheme="minorBidi"/>
            <w:b w:val="0"/>
            <w:noProof/>
            <w:sz w:val="22"/>
            <w:szCs w:val="22"/>
          </w:rPr>
          <w:tab/>
        </w:r>
        <w:r w:rsidRPr="00392554">
          <w:rPr>
            <w:rStyle w:val="Hyperlink"/>
            <w:noProof/>
          </w:rPr>
          <w:t>Role of the Microbiome in Sarcoidosis</w:t>
        </w:r>
        <w:r>
          <w:rPr>
            <w:noProof/>
            <w:webHidden/>
          </w:rPr>
          <w:tab/>
        </w:r>
        <w:r>
          <w:rPr>
            <w:noProof/>
            <w:webHidden/>
          </w:rPr>
          <w:fldChar w:fldCharType="begin"/>
        </w:r>
        <w:r>
          <w:rPr>
            <w:noProof/>
            <w:webHidden/>
          </w:rPr>
          <w:instrText xml:space="preserve"> PAGEREF _Toc506540023 \h </w:instrText>
        </w:r>
        <w:r>
          <w:rPr>
            <w:noProof/>
            <w:webHidden/>
          </w:rPr>
        </w:r>
        <w:r>
          <w:rPr>
            <w:noProof/>
            <w:webHidden/>
          </w:rPr>
          <w:fldChar w:fldCharType="separate"/>
        </w:r>
        <w:r>
          <w:rPr>
            <w:noProof/>
            <w:webHidden/>
          </w:rPr>
          <w:t>49</w:t>
        </w:r>
        <w:r>
          <w:rPr>
            <w:noProof/>
            <w:webHidden/>
          </w:rPr>
          <w:fldChar w:fldCharType="end"/>
        </w:r>
      </w:hyperlink>
    </w:p>
    <w:p w14:paraId="346B94BF" w14:textId="23B4D0E1" w:rsidR="0072146F" w:rsidRDefault="0072146F">
      <w:pPr>
        <w:pStyle w:val="TOC4"/>
        <w:tabs>
          <w:tab w:val="left" w:pos="2392"/>
          <w:tab w:val="right" w:leader="dot" w:pos="9350"/>
        </w:tabs>
        <w:rPr>
          <w:rFonts w:asciiTheme="minorHAnsi" w:eastAsiaTheme="minorEastAsia" w:hAnsiTheme="minorHAnsi" w:cstheme="minorBidi"/>
          <w:b w:val="0"/>
          <w:noProof/>
          <w:sz w:val="22"/>
          <w:szCs w:val="22"/>
        </w:rPr>
      </w:pPr>
      <w:hyperlink w:anchor="_Toc506540024" w:history="1">
        <w:r w:rsidRPr="00392554">
          <w:rPr>
            <w:rStyle w:val="Hyperlink"/>
            <w:noProof/>
          </w:rPr>
          <w:t>1.4.3.1</w:t>
        </w:r>
        <w:r>
          <w:rPr>
            <w:rFonts w:asciiTheme="minorHAnsi" w:eastAsiaTheme="minorEastAsia" w:hAnsiTheme="minorHAnsi" w:cstheme="minorBidi"/>
            <w:b w:val="0"/>
            <w:noProof/>
            <w:sz w:val="22"/>
            <w:szCs w:val="22"/>
          </w:rPr>
          <w:tab/>
        </w:r>
        <w:r w:rsidRPr="00392554">
          <w:rPr>
            <w:rStyle w:val="Hyperlink"/>
            <w:noProof/>
          </w:rPr>
          <w:t>Gaps in Current Knowledge Regarding the Microbiome and Sarcoidosis</w:t>
        </w:r>
        <w:r>
          <w:rPr>
            <w:noProof/>
            <w:webHidden/>
          </w:rPr>
          <w:tab/>
        </w:r>
        <w:r>
          <w:rPr>
            <w:noProof/>
            <w:webHidden/>
          </w:rPr>
          <w:fldChar w:fldCharType="begin"/>
        </w:r>
        <w:r>
          <w:rPr>
            <w:noProof/>
            <w:webHidden/>
          </w:rPr>
          <w:instrText xml:space="preserve"> PAGEREF _Toc506540024 \h </w:instrText>
        </w:r>
        <w:r>
          <w:rPr>
            <w:noProof/>
            <w:webHidden/>
          </w:rPr>
        </w:r>
        <w:r>
          <w:rPr>
            <w:noProof/>
            <w:webHidden/>
          </w:rPr>
          <w:fldChar w:fldCharType="separate"/>
        </w:r>
        <w:r>
          <w:rPr>
            <w:noProof/>
            <w:webHidden/>
          </w:rPr>
          <w:t>51</w:t>
        </w:r>
        <w:r>
          <w:rPr>
            <w:noProof/>
            <w:webHidden/>
          </w:rPr>
          <w:fldChar w:fldCharType="end"/>
        </w:r>
      </w:hyperlink>
    </w:p>
    <w:p w14:paraId="1E363A88" w14:textId="4AF48954" w:rsidR="0072146F" w:rsidRDefault="0072146F">
      <w:pPr>
        <w:pStyle w:val="TOC1"/>
        <w:tabs>
          <w:tab w:val="left" w:pos="1008"/>
          <w:tab w:val="right" w:leader="dot" w:pos="9350"/>
        </w:tabs>
        <w:rPr>
          <w:rFonts w:asciiTheme="minorHAnsi" w:eastAsiaTheme="minorEastAsia" w:hAnsiTheme="minorHAnsi" w:cstheme="minorBidi"/>
          <w:b w:val="0"/>
          <w:caps w:val="0"/>
          <w:noProof/>
          <w:sz w:val="22"/>
          <w:szCs w:val="22"/>
        </w:rPr>
      </w:pPr>
      <w:hyperlink w:anchor="_Toc506540025" w:history="1">
        <w:r w:rsidRPr="00392554">
          <w:rPr>
            <w:rStyle w:val="Hyperlink"/>
            <w:noProof/>
          </w:rPr>
          <w:t>2.0</w:t>
        </w:r>
        <w:r>
          <w:rPr>
            <w:rFonts w:asciiTheme="minorHAnsi" w:eastAsiaTheme="minorEastAsia" w:hAnsiTheme="minorHAnsi" w:cstheme="minorBidi"/>
            <w:b w:val="0"/>
            <w:caps w:val="0"/>
            <w:noProof/>
            <w:sz w:val="22"/>
            <w:szCs w:val="22"/>
          </w:rPr>
          <w:tab/>
        </w:r>
        <w:r w:rsidRPr="00392554">
          <w:rPr>
            <w:rStyle w:val="Hyperlink"/>
            <w:noProof/>
          </w:rPr>
          <w:t>objectives</w:t>
        </w:r>
        <w:r>
          <w:rPr>
            <w:noProof/>
            <w:webHidden/>
          </w:rPr>
          <w:tab/>
        </w:r>
        <w:r>
          <w:rPr>
            <w:noProof/>
            <w:webHidden/>
          </w:rPr>
          <w:fldChar w:fldCharType="begin"/>
        </w:r>
        <w:r>
          <w:rPr>
            <w:noProof/>
            <w:webHidden/>
          </w:rPr>
          <w:instrText xml:space="preserve"> PAGEREF _Toc506540025 \h </w:instrText>
        </w:r>
        <w:r>
          <w:rPr>
            <w:noProof/>
            <w:webHidden/>
          </w:rPr>
        </w:r>
        <w:r>
          <w:rPr>
            <w:noProof/>
            <w:webHidden/>
          </w:rPr>
          <w:fldChar w:fldCharType="separate"/>
        </w:r>
        <w:r>
          <w:rPr>
            <w:noProof/>
            <w:webHidden/>
          </w:rPr>
          <w:t>53</w:t>
        </w:r>
        <w:r>
          <w:rPr>
            <w:noProof/>
            <w:webHidden/>
          </w:rPr>
          <w:fldChar w:fldCharType="end"/>
        </w:r>
      </w:hyperlink>
    </w:p>
    <w:p w14:paraId="21703066" w14:textId="534AE430" w:rsidR="0072146F" w:rsidRDefault="0072146F">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06540026" w:history="1">
        <w:r w:rsidRPr="00392554">
          <w:rPr>
            <w:rStyle w:val="Hyperlink"/>
            <w:noProof/>
          </w:rPr>
          <w:t>2.1</w:t>
        </w:r>
        <w:r>
          <w:rPr>
            <w:rFonts w:asciiTheme="minorHAnsi" w:eastAsiaTheme="minorEastAsia" w:hAnsiTheme="minorHAnsi" w:cstheme="minorBidi"/>
            <w:b w:val="0"/>
            <w:caps w:val="0"/>
            <w:noProof/>
            <w:sz w:val="22"/>
            <w:szCs w:val="22"/>
          </w:rPr>
          <w:tab/>
        </w:r>
        <w:r w:rsidRPr="00392554">
          <w:rPr>
            <w:rStyle w:val="Hyperlink"/>
            <w:noProof/>
          </w:rPr>
          <w:t>OBjectives of the Overall GRADS STUDy</w:t>
        </w:r>
        <w:r>
          <w:rPr>
            <w:noProof/>
            <w:webHidden/>
          </w:rPr>
          <w:tab/>
        </w:r>
        <w:r>
          <w:rPr>
            <w:noProof/>
            <w:webHidden/>
          </w:rPr>
          <w:fldChar w:fldCharType="begin"/>
        </w:r>
        <w:r>
          <w:rPr>
            <w:noProof/>
            <w:webHidden/>
          </w:rPr>
          <w:instrText xml:space="preserve"> PAGEREF _Toc506540026 \h </w:instrText>
        </w:r>
        <w:r>
          <w:rPr>
            <w:noProof/>
            <w:webHidden/>
          </w:rPr>
        </w:r>
        <w:r>
          <w:rPr>
            <w:noProof/>
            <w:webHidden/>
          </w:rPr>
          <w:fldChar w:fldCharType="separate"/>
        </w:r>
        <w:r>
          <w:rPr>
            <w:noProof/>
            <w:webHidden/>
          </w:rPr>
          <w:t>53</w:t>
        </w:r>
        <w:r>
          <w:rPr>
            <w:noProof/>
            <w:webHidden/>
          </w:rPr>
          <w:fldChar w:fldCharType="end"/>
        </w:r>
      </w:hyperlink>
    </w:p>
    <w:p w14:paraId="67FD8D59" w14:textId="426E2CDA" w:rsidR="0072146F" w:rsidRDefault="0072146F">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06540027" w:history="1">
        <w:r w:rsidRPr="00392554">
          <w:rPr>
            <w:rStyle w:val="Hyperlink"/>
            <w:noProof/>
          </w:rPr>
          <w:t>2.2</w:t>
        </w:r>
        <w:r>
          <w:rPr>
            <w:rFonts w:asciiTheme="minorHAnsi" w:eastAsiaTheme="minorEastAsia" w:hAnsiTheme="minorHAnsi" w:cstheme="minorBidi"/>
            <w:b w:val="0"/>
            <w:caps w:val="0"/>
            <w:noProof/>
            <w:sz w:val="22"/>
            <w:szCs w:val="22"/>
          </w:rPr>
          <w:tab/>
        </w:r>
        <w:r w:rsidRPr="00392554">
          <w:rPr>
            <w:rStyle w:val="Hyperlink"/>
            <w:noProof/>
          </w:rPr>
          <w:t>Objectives of the current analysis</w:t>
        </w:r>
        <w:r>
          <w:rPr>
            <w:noProof/>
            <w:webHidden/>
          </w:rPr>
          <w:tab/>
        </w:r>
        <w:r>
          <w:rPr>
            <w:noProof/>
            <w:webHidden/>
          </w:rPr>
          <w:fldChar w:fldCharType="begin"/>
        </w:r>
        <w:r>
          <w:rPr>
            <w:noProof/>
            <w:webHidden/>
          </w:rPr>
          <w:instrText xml:space="preserve"> PAGEREF _Toc506540027 \h </w:instrText>
        </w:r>
        <w:r>
          <w:rPr>
            <w:noProof/>
            <w:webHidden/>
          </w:rPr>
        </w:r>
        <w:r>
          <w:rPr>
            <w:noProof/>
            <w:webHidden/>
          </w:rPr>
          <w:fldChar w:fldCharType="separate"/>
        </w:r>
        <w:r>
          <w:rPr>
            <w:noProof/>
            <w:webHidden/>
          </w:rPr>
          <w:t>54</w:t>
        </w:r>
        <w:r>
          <w:rPr>
            <w:noProof/>
            <w:webHidden/>
          </w:rPr>
          <w:fldChar w:fldCharType="end"/>
        </w:r>
      </w:hyperlink>
    </w:p>
    <w:p w14:paraId="05247670" w14:textId="6934057A" w:rsidR="0072146F" w:rsidRDefault="0072146F">
      <w:pPr>
        <w:pStyle w:val="TOC1"/>
        <w:tabs>
          <w:tab w:val="left" w:pos="1008"/>
          <w:tab w:val="right" w:leader="dot" w:pos="9350"/>
        </w:tabs>
        <w:rPr>
          <w:rFonts w:asciiTheme="minorHAnsi" w:eastAsiaTheme="minorEastAsia" w:hAnsiTheme="minorHAnsi" w:cstheme="minorBidi"/>
          <w:b w:val="0"/>
          <w:caps w:val="0"/>
          <w:noProof/>
          <w:sz w:val="22"/>
          <w:szCs w:val="22"/>
        </w:rPr>
      </w:pPr>
      <w:hyperlink w:anchor="_Toc506540028" w:history="1">
        <w:r w:rsidRPr="00392554">
          <w:rPr>
            <w:rStyle w:val="Hyperlink"/>
            <w:noProof/>
          </w:rPr>
          <w:t>3.0</w:t>
        </w:r>
        <w:r>
          <w:rPr>
            <w:rFonts w:asciiTheme="minorHAnsi" w:eastAsiaTheme="minorEastAsia" w:hAnsiTheme="minorHAnsi" w:cstheme="minorBidi"/>
            <w:b w:val="0"/>
            <w:caps w:val="0"/>
            <w:noProof/>
            <w:sz w:val="22"/>
            <w:szCs w:val="22"/>
          </w:rPr>
          <w:tab/>
        </w:r>
        <w:r w:rsidRPr="00392554">
          <w:rPr>
            <w:rStyle w:val="Hyperlink"/>
            <w:noProof/>
          </w:rPr>
          <w:t>Methods</w:t>
        </w:r>
        <w:r>
          <w:rPr>
            <w:noProof/>
            <w:webHidden/>
          </w:rPr>
          <w:tab/>
        </w:r>
        <w:r>
          <w:rPr>
            <w:noProof/>
            <w:webHidden/>
          </w:rPr>
          <w:fldChar w:fldCharType="begin"/>
        </w:r>
        <w:r>
          <w:rPr>
            <w:noProof/>
            <w:webHidden/>
          </w:rPr>
          <w:instrText xml:space="preserve"> PAGEREF _Toc506540028 \h </w:instrText>
        </w:r>
        <w:r>
          <w:rPr>
            <w:noProof/>
            <w:webHidden/>
          </w:rPr>
        </w:r>
        <w:r>
          <w:rPr>
            <w:noProof/>
            <w:webHidden/>
          </w:rPr>
          <w:fldChar w:fldCharType="separate"/>
        </w:r>
        <w:r>
          <w:rPr>
            <w:noProof/>
            <w:webHidden/>
          </w:rPr>
          <w:t>55</w:t>
        </w:r>
        <w:r>
          <w:rPr>
            <w:noProof/>
            <w:webHidden/>
          </w:rPr>
          <w:fldChar w:fldCharType="end"/>
        </w:r>
      </w:hyperlink>
    </w:p>
    <w:p w14:paraId="62E057C4" w14:textId="082988BF" w:rsidR="0072146F" w:rsidRDefault="0072146F">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06540029" w:history="1">
        <w:r w:rsidRPr="00392554">
          <w:rPr>
            <w:rStyle w:val="Hyperlink"/>
            <w:noProof/>
          </w:rPr>
          <w:t>3.1</w:t>
        </w:r>
        <w:r>
          <w:rPr>
            <w:rFonts w:asciiTheme="minorHAnsi" w:eastAsiaTheme="minorEastAsia" w:hAnsiTheme="minorHAnsi" w:cstheme="minorBidi"/>
            <w:b w:val="0"/>
            <w:caps w:val="0"/>
            <w:noProof/>
            <w:sz w:val="22"/>
            <w:szCs w:val="22"/>
          </w:rPr>
          <w:tab/>
        </w:r>
        <w:r w:rsidRPr="00392554">
          <w:rPr>
            <w:rStyle w:val="Hyperlink"/>
            <w:noProof/>
          </w:rPr>
          <w:t>Case Control study of environmental and Personal risk factors in sarcoidosis: A PILOT case control Study</w:t>
        </w:r>
        <w:r>
          <w:rPr>
            <w:noProof/>
            <w:webHidden/>
          </w:rPr>
          <w:tab/>
        </w:r>
        <w:r>
          <w:rPr>
            <w:noProof/>
            <w:webHidden/>
          </w:rPr>
          <w:fldChar w:fldCharType="begin"/>
        </w:r>
        <w:r>
          <w:rPr>
            <w:noProof/>
            <w:webHidden/>
          </w:rPr>
          <w:instrText xml:space="preserve"> PAGEREF _Toc506540029 \h </w:instrText>
        </w:r>
        <w:r>
          <w:rPr>
            <w:noProof/>
            <w:webHidden/>
          </w:rPr>
        </w:r>
        <w:r>
          <w:rPr>
            <w:noProof/>
            <w:webHidden/>
          </w:rPr>
          <w:fldChar w:fldCharType="separate"/>
        </w:r>
        <w:r>
          <w:rPr>
            <w:noProof/>
            <w:webHidden/>
          </w:rPr>
          <w:t>55</w:t>
        </w:r>
        <w:r>
          <w:rPr>
            <w:noProof/>
            <w:webHidden/>
          </w:rPr>
          <w:fldChar w:fldCharType="end"/>
        </w:r>
      </w:hyperlink>
    </w:p>
    <w:p w14:paraId="5393D311" w14:textId="1EC17B1A" w:rsidR="0072146F" w:rsidRDefault="0072146F">
      <w:pPr>
        <w:pStyle w:val="TOC3"/>
        <w:tabs>
          <w:tab w:val="left" w:pos="1760"/>
          <w:tab w:val="right" w:leader="dot" w:pos="9350"/>
        </w:tabs>
        <w:rPr>
          <w:rFonts w:asciiTheme="minorHAnsi" w:eastAsiaTheme="minorEastAsia" w:hAnsiTheme="minorHAnsi" w:cstheme="minorBidi"/>
          <w:b w:val="0"/>
          <w:noProof/>
          <w:sz w:val="22"/>
          <w:szCs w:val="22"/>
        </w:rPr>
      </w:pPr>
      <w:hyperlink w:anchor="_Toc506540030" w:history="1">
        <w:r w:rsidRPr="00392554">
          <w:rPr>
            <w:rStyle w:val="Hyperlink"/>
            <w:noProof/>
          </w:rPr>
          <w:t>3.1.1</w:t>
        </w:r>
        <w:r>
          <w:rPr>
            <w:rFonts w:asciiTheme="minorHAnsi" w:eastAsiaTheme="minorEastAsia" w:hAnsiTheme="minorHAnsi" w:cstheme="minorBidi"/>
            <w:b w:val="0"/>
            <w:noProof/>
            <w:sz w:val="22"/>
            <w:szCs w:val="22"/>
          </w:rPr>
          <w:tab/>
        </w:r>
        <w:r w:rsidRPr="00392554">
          <w:rPr>
            <w:rStyle w:val="Hyperlink"/>
            <w:noProof/>
          </w:rPr>
          <w:t>Data Sources</w:t>
        </w:r>
        <w:r>
          <w:rPr>
            <w:noProof/>
            <w:webHidden/>
          </w:rPr>
          <w:tab/>
        </w:r>
        <w:r>
          <w:rPr>
            <w:noProof/>
            <w:webHidden/>
          </w:rPr>
          <w:fldChar w:fldCharType="begin"/>
        </w:r>
        <w:r>
          <w:rPr>
            <w:noProof/>
            <w:webHidden/>
          </w:rPr>
          <w:instrText xml:space="preserve"> PAGEREF _Toc506540030 \h </w:instrText>
        </w:r>
        <w:r>
          <w:rPr>
            <w:noProof/>
            <w:webHidden/>
          </w:rPr>
        </w:r>
        <w:r>
          <w:rPr>
            <w:noProof/>
            <w:webHidden/>
          </w:rPr>
          <w:fldChar w:fldCharType="separate"/>
        </w:r>
        <w:r>
          <w:rPr>
            <w:noProof/>
            <w:webHidden/>
          </w:rPr>
          <w:t>55</w:t>
        </w:r>
        <w:r>
          <w:rPr>
            <w:noProof/>
            <w:webHidden/>
          </w:rPr>
          <w:fldChar w:fldCharType="end"/>
        </w:r>
      </w:hyperlink>
    </w:p>
    <w:p w14:paraId="69151D59" w14:textId="49A3F258" w:rsidR="0072146F" w:rsidRDefault="0072146F">
      <w:pPr>
        <w:pStyle w:val="TOC3"/>
        <w:tabs>
          <w:tab w:val="left" w:pos="1760"/>
          <w:tab w:val="right" w:leader="dot" w:pos="9350"/>
        </w:tabs>
        <w:rPr>
          <w:rFonts w:asciiTheme="minorHAnsi" w:eastAsiaTheme="minorEastAsia" w:hAnsiTheme="minorHAnsi" w:cstheme="minorBidi"/>
          <w:b w:val="0"/>
          <w:noProof/>
          <w:sz w:val="22"/>
          <w:szCs w:val="22"/>
        </w:rPr>
      </w:pPr>
      <w:hyperlink w:anchor="_Toc506540031" w:history="1">
        <w:r w:rsidRPr="00392554">
          <w:rPr>
            <w:rStyle w:val="Hyperlink"/>
            <w:noProof/>
          </w:rPr>
          <w:t>3.1.2</w:t>
        </w:r>
        <w:r>
          <w:rPr>
            <w:rFonts w:asciiTheme="minorHAnsi" w:eastAsiaTheme="minorEastAsia" w:hAnsiTheme="minorHAnsi" w:cstheme="minorBidi"/>
            <w:b w:val="0"/>
            <w:noProof/>
            <w:sz w:val="22"/>
            <w:szCs w:val="22"/>
          </w:rPr>
          <w:tab/>
        </w:r>
        <w:r w:rsidRPr="00392554">
          <w:rPr>
            <w:rStyle w:val="Hyperlink"/>
            <w:noProof/>
          </w:rPr>
          <w:t>Data Collection</w:t>
        </w:r>
        <w:r>
          <w:rPr>
            <w:noProof/>
            <w:webHidden/>
          </w:rPr>
          <w:tab/>
        </w:r>
        <w:r>
          <w:rPr>
            <w:noProof/>
            <w:webHidden/>
          </w:rPr>
          <w:fldChar w:fldCharType="begin"/>
        </w:r>
        <w:r>
          <w:rPr>
            <w:noProof/>
            <w:webHidden/>
          </w:rPr>
          <w:instrText xml:space="preserve"> PAGEREF _Toc506540031 \h </w:instrText>
        </w:r>
        <w:r>
          <w:rPr>
            <w:noProof/>
            <w:webHidden/>
          </w:rPr>
        </w:r>
        <w:r>
          <w:rPr>
            <w:noProof/>
            <w:webHidden/>
          </w:rPr>
          <w:fldChar w:fldCharType="separate"/>
        </w:r>
        <w:r>
          <w:rPr>
            <w:noProof/>
            <w:webHidden/>
          </w:rPr>
          <w:t>56</w:t>
        </w:r>
        <w:r>
          <w:rPr>
            <w:noProof/>
            <w:webHidden/>
          </w:rPr>
          <w:fldChar w:fldCharType="end"/>
        </w:r>
      </w:hyperlink>
    </w:p>
    <w:p w14:paraId="6A13C7EE" w14:textId="40484B32" w:rsidR="0072146F" w:rsidRDefault="0072146F">
      <w:pPr>
        <w:pStyle w:val="TOC3"/>
        <w:tabs>
          <w:tab w:val="left" w:pos="1760"/>
          <w:tab w:val="right" w:leader="dot" w:pos="9350"/>
        </w:tabs>
        <w:rPr>
          <w:rFonts w:asciiTheme="minorHAnsi" w:eastAsiaTheme="minorEastAsia" w:hAnsiTheme="minorHAnsi" w:cstheme="minorBidi"/>
          <w:b w:val="0"/>
          <w:noProof/>
          <w:sz w:val="22"/>
          <w:szCs w:val="22"/>
        </w:rPr>
      </w:pPr>
      <w:hyperlink w:anchor="_Toc506540032" w:history="1">
        <w:r w:rsidRPr="00392554">
          <w:rPr>
            <w:rStyle w:val="Hyperlink"/>
            <w:noProof/>
          </w:rPr>
          <w:t>3.1.3</w:t>
        </w:r>
        <w:r>
          <w:rPr>
            <w:rFonts w:asciiTheme="minorHAnsi" w:eastAsiaTheme="minorEastAsia" w:hAnsiTheme="minorHAnsi" w:cstheme="minorBidi"/>
            <w:b w:val="0"/>
            <w:noProof/>
            <w:sz w:val="22"/>
            <w:szCs w:val="22"/>
          </w:rPr>
          <w:tab/>
        </w:r>
        <w:r w:rsidRPr="00392554">
          <w:rPr>
            <w:rStyle w:val="Hyperlink"/>
            <w:noProof/>
          </w:rPr>
          <w:t>Statistical Methods</w:t>
        </w:r>
        <w:r>
          <w:rPr>
            <w:noProof/>
            <w:webHidden/>
          </w:rPr>
          <w:tab/>
        </w:r>
        <w:r>
          <w:rPr>
            <w:noProof/>
            <w:webHidden/>
          </w:rPr>
          <w:fldChar w:fldCharType="begin"/>
        </w:r>
        <w:r>
          <w:rPr>
            <w:noProof/>
            <w:webHidden/>
          </w:rPr>
          <w:instrText xml:space="preserve"> PAGEREF _Toc506540032 \h </w:instrText>
        </w:r>
        <w:r>
          <w:rPr>
            <w:noProof/>
            <w:webHidden/>
          </w:rPr>
        </w:r>
        <w:r>
          <w:rPr>
            <w:noProof/>
            <w:webHidden/>
          </w:rPr>
          <w:fldChar w:fldCharType="separate"/>
        </w:r>
        <w:r>
          <w:rPr>
            <w:noProof/>
            <w:webHidden/>
          </w:rPr>
          <w:t>56</w:t>
        </w:r>
        <w:r>
          <w:rPr>
            <w:noProof/>
            <w:webHidden/>
          </w:rPr>
          <w:fldChar w:fldCharType="end"/>
        </w:r>
      </w:hyperlink>
    </w:p>
    <w:p w14:paraId="13E9E52F" w14:textId="545F319E" w:rsidR="0072146F" w:rsidRDefault="0072146F">
      <w:pPr>
        <w:pStyle w:val="TOC3"/>
        <w:tabs>
          <w:tab w:val="left" w:pos="1760"/>
          <w:tab w:val="right" w:leader="dot" w:pos="9350"/>
        </w:tabs>
        <w:rPr>
          <w:rFonts w:asciiTheme="minorHAnsi" w:eastAsiaTheme="minorEastAsia" w:hAnsiTheme="minorHAnsi" w:cstheme="minorBidi"/>
          <w:b w:val="0"/>
          <w:noProof/>
          <w:sz w:val="22"/>
          <w:szCs w:val="22"/>
        </w:rPr>
      </w:pPr>
      <w:hyperlink w:anchor="_Toc506540033" w:history="1">
        <w:r w:rsidRPr="00392554">
          <w:rPr>
            <w:rStyle w:val="Hyperlink"/>
            <w:noProof/>
          </w:rPr>
          <w:t>3.1.4</w:t>
        </w:r>
        <w:r>
          <w:rPr>
            <w:rFonts w:asciiTheme="minorHAnsi" w:eastAsiaTheme="minorEastAsia" w:hAnsiTheme="minorHAnsi" w:cstheme="minorBidi"/>
            <w:b w:val="0"/>
            <w:noProof/>
            <w:sz w:val="22"/>
            <w:szCs w:val="22"/>
          </w:rPr>
          <w:tab/>
        </w:r>
        <w:r w:rsidRPr="00392554">
          <w:rPr>
            <w:rStyle w:val="Hyperlink"/>
            <w:noProof/>
          </w:rPr>
          <w:t>Microbiome Analysis</w:t>
        </w:r>
        <w:r>
          <w:rPr>
            <w:noProof/>
            <w:webHidden/>
          </w:rPr>
          <w:tab/>
        </w:r>
        <w:r>
          <w:rPr>
            <w:noProof/>
            <w:webHidden/>
          </w:rPr>
          <w:fldChar w:fldCharType="begin"/>
        </w:r>
        <w:r>
          <w:rPr>
            <w:noProof/>
            <w:webHidden/>
          </w:rPr>
          <w:instrText xml:space="preserve"> PAGEREF _Toc506540033 \h </w:instrText>
        </w:r>
        <w:r>
          <w:rPr>
            <w:noProof/>
            <w:webHidden/>
          </w:rPr>
        </w:r>
        <w:r>
          <w:rPr>
            <w:noProof/>
            <w:webHidden/>
          </w:rPr>
          <w:fldChar w:fldCharType="separate"/>
        </w:r>
        <w:r>
          <w:rPr>
            <w:noProof/>
            <w:webHidden/>
          </w:rPr>
          <w:t>57</w:t>
        </w:r>
        <w:r>
          <w:rPr>
            <w:noProof/>
            <w:webHidden/>
          </w:rPr>
          <w:fldChar w:fldCharType="end"/>
        </w:r>
      </w:hyperlink>
    </w:p>
    <w:p w14:paraId="0F09E8E2" w14:textId="3BF5B0B0" w:rsidR="0072146F" w:rsidRDefault="0072146F">
      <w:pPr>
        <w:pStyle w:val="TOC3"/>
        <w:tabs>
          <w:tab w:val="left" w:pos="1760"/>
          <w:tab w:val="right" w:leader="dot" w:pos="9350"/>
        </w:tabs>
        <w:rPr>
          <w:rFonts w:asciiTheme="minorHAnsi" w:eastAsiaTheme="minorEastAsia" w:hAnsiTheme="minorHAnsi" w:cstheme="minorBidi"/>
          <w:b w:val="0"/>
          <w:noProof/>
          <w:sz w:val="22"/>
          <w:szCs w:val="22"/>
        </w:rPr>
      </w:pPr>
      <w:hyperlink w:anchor="_Toc506540034" w:history="1">
        <w:r w:rsidRPr="00392554">
          <w:rPr>
            <w:rStyle w:val="Hyperlink"/>
            <w:noProof/>
          </w:rPr>
          <w:t>3.1.5</w:t>
        </w:r>
        <w:r>
          <w:rPr>
            <w:rFonts w:asciiTheme="minorHAnsi" w:eastAsiaTheme="minorEastAsia" w:hAnsiTheme="minorHAnsi" w:cstheme="minorBidi"/>
            <w:b w:val="0"/>
            <w:noProof/>
            <w:sz w:val="22"/>
            <w:szCs w:val="22"/>
          </w:rPr>
          <w:tab/>
        </w:r>
        <w:r w:rsidRPr="00392554">
          <w:rPr>
            <w:rStyle w:val="Hyperlink"/>
            <w:noProof/>
          </w:rPr>
          <w:t>Inclusion/Exclusion Criteria of GRADS study</w:t>
        </w:r>
        <w:r>
          <w:rPr>
            <w:noProof/>
            <w:webHidden/>
          </w:rPr>
          <w:tab/>
        </w:r>
        <w:r>
          <w:rPr>
            <w:noProof/>
            <w:webHidden/>
          </w:rPr>
          <w:fldChar w:fldCharType="begin"/>
        </w:r>
        <w:r>
          <w:rPr>
            <w:noProof/>
            <w:webHidden/>
          </w:rPr>
          <w:instrText xml:space="preserve"> PAGEREF _Toc506540034 \h </w:instrText>
        </w:r>
        <w:r>
          <w:rPr>
            <w:noProof/>
            <w:webHidden/>
          </w:rPr>
        </w:r>
        <w:r>
          <w:rPr>
            <w:noProof/>
            <w:webHidden/>
          </w:rPr>
          <w:fldChar w:fldCharType="separate"/>
        </w:r>
        <w:r>
          <w:rPr>
            <w:noProof/>
            <w:webHidden/>
          </w:rPr>
          <w:t>58</w:t>
        </w:r>
        <w:r>
          <w:rPr>
            <w:noProof/>
            <w:webHidden/>
          </w:rPr>
          <w:fldChar w:fldCharType="end"/>
        </w:r>
      </w:hyperlink>
    </w:p>
    <w:p w14:paraId="0A37F168" w14:textId="7A619415" w:rsidR="0072146F" w:rsidRDefault="0072146F">
      <w:pPr>
        <w:pStyle w:val="TOC4"/>
        <w:tabs>
          <w:tab w:val="left" w:pos="2392"/>
          <w:tab w:val="right" w:leader="dot" w:pos="9350"/>
        </w:tabs>
        <w:rPr>
          <w:rFonts w:asciiTheme="minorHAnsi" w:eastAsiaTheme="minorEastAsia" w:hAnsiTheme="minorHAnsi" w:cstheme="minorBidi"/>
          <w:b w:val="0"/>
          <w:noProof/>
          <w:sz w:val="22"/>
          <w:szCs w:val="22"/>
        </w:rPr>
      </w:pPr>
      <w:hyperlink w:anchor="_Toc506540035" w:history="1">
        <w:r w:rsidRPr="00392554">
          <w:rPr>
            <w:rStyle w:val="Hyperlink"/>
            <w:noProof/>
          </w:rPr>
          <w:t>3.1.5.1</w:t>
        </w:r>
        <w:r>
          <w:rPr>
            <w:rFonts w:asciiTheme="minorHAnsi" w:eastAsiaTheme="minorEastAsia" w:hAnsiTheme="minorHAnsi" w:cstheme="minorBidi"/>
            <w:b w:val="0"/>
            <w:noProof/>
            <w:sz w:val="22"/>
            <w:szCs w:val="22"/>
          </w:rPr>
          <w:tab/>
        </w:r>
        <w:r w:rsidRPr="00392554">
          <w:rPr>
            <w:rStyle w:val="Hyperlink"/>
            <w:noProof/>
          </w:rPr>
          <w:t>Sarcoidosis Patient Cohort</w:t>
        </w:r>
        <w:r>
          <w:rPr>
            <w:noProof/>
            <w:webHidden/>
          </w:rPr>
          <w:tab/>
        </w:r>
        <w:r>
          <w:rPr>
            <w:noProof/>
            <w:webHidden/>
          </w:rPr>
          <w:fldChar w:fldCharType="begin"/>
        </w:r>
        <w:r>
          <w:rPr>
            <w:noProof/>
            <w:webHidden/>
          </w:rPr>
          <w:instrText xml:space="preserve"> PAGEREF _Toc506540035 \h </w:instrText>
        </w:r>
        <w:r>
          <w:rPr>
            <w:noProof/>
            <w:webHidden/>
          </w:rPr>
        </w:r>
        <w:r>
          <w:rPr>
            <w:noProof/>
            <w:webHidden/>
          </w:rPr>
          <w:fldChar w:fldCharType="separate"/>
        </w:r>
        <w:r>
          <w:rPr>
            <w:noProof/>
            <w:webHidden/>
          </w:rPr>
          <w:t>58</w:t>
        </w:r>
        <w:r>
          <w:rPr>
            <w:noProof/>
            <w:webHidden/>
          </w:rPr>
          <w:fldChar w:fldCharType="end"/>
        </w:r>
      </w:hyperlink>
    </w:p>
    <w:p w14:paraId="1F34EB50" w14:textId="7CB21C72" w:rsidR="0072146F" w:rsidRDefault="0072146F">
      <w:pPr>
        <w:pStyle w:val="TOC4"/>
        <w:tabs>
          <w:tab w:val="left" w:pos="2392"/>
          <w:tab w:val="right" w:leader="dot" w:pos="9350"/>
        </w:tabs>
        <w:rPr>
          <w:rFonts w:asciiTheme="minorHAnsi" w:eastAsiaTheme="minorEastAsia" w:hAnsiTheme="minorHAnsi" w:cstheme="minorBidi"/>
          <w:b w:val="0"/>
          <w:noProof/>
          <w:sz w:val="22"/>
          <w:szCs w:val="22"/>
        </w:rPr>
      </w:pPr>
      <w:hyperlink w:anchor="_Toc506540036" w:history="1">
        <w:r w:rsidRPr="00392554">
          <w:rPr>
            <w:rStyle w:val="Hyperlink"/>
            <w:noProof/>
          </w:rPr>
          <w:t>3.1.5.2</w:t>
        </w:r>
        <w:r>
          <w:rPr>
            <w:rFonts w:asciiTheme="minorHAnsi" w:eastAsiaTheme="minorEastAsia" w:hAnsiTheme="minorHAnsi" w:cstheme="minorBidi"/>
            <w:b w:val="0"/>
            <w:noProof/>
            <w:sz w:val="22"/>
            <w:szCs w:val="22"/>
          </w:rPr>
          <w:tab/>
        </w:r>
        <w:r w:rsidRPr="00392554">
          <w:rPr>
            <w:rStyle w:val="Hyperlink"/>
            <w:noProof/>
          </w:rPr>
          <w:t>Alpha 1 Antitrypsin Deficiency Cohort</w:t>
        </w:r>
        <w:r>
          <w:rPr>
            <w:noProof/>
            <w:webHidden/>
          </w:rPr>
          <w:tab/>
        </w:r>
        <w:r>
          <w:rPr>
            <w:noProof/>
            <w:webHidden/>
          </w:rPr>
          <w:fldChar w:fldCharType="begin"/>
        </w:r>
        <w:r>
          <w:rPr>
            <w:noProof/>
            <w:webHidden/>
          </w:rPr>
          <w:instrText xml:space="preserve"> PAGEREF _Toc506540036 \h </w:instrText>
        </w:r>
        <w:r>
          <w:rPr>
            <w:noProof/>
            <w:webHidden/>
          </w:rPr>
        </w:r>
        <w:r>
          <w:rPr>
            <w:noProof/>
            <w:webHidden/>
          </w:rPr>
          <w:fldChar w:fldCharType="separate"/>
        </w:r>
        <w:r>
          <w:rPr>
            <w:noProof/>
            <w:webHidden/>
          </w:rPr>
          <w:t>59</w:t>
        </w:r>
        <w:r>
          <w:rPr>
            <w:noProof/>
            <w:webHidden/>
          </w:rPr>
          <w:fldChar w:fldCharType="end"/>
        </w:r>
      </w:hyperlink>
    </w:p>
    <w:p w14:paraId="4C342F4F" w14:textId="041A0076" w:rsidR="0072146F" w:rsidRDefault="0072146F">
      <w:pPr>
        <w:pStyle w:val="TOC3"/>
        <w:tabs>
          <w:tab w:val="left" w:pos="1760"/>
          <w:tab w:val="right" w:leader="dot" w:pos="9350"/>
        </w:tabs>
        <w:rPr>
          <w:rFonts w:asciiTheme="minorHAnsi" w:eastAsiaTheme="minorEastAsia" w:hAnsiTheme="minorHAnsi" w:cstheme="minorBidi"/>
          <w:b w:val="0"/>
          <w:noProof/>
          <w:sz w:val="22"/>
          <w:szCs w:val="22"/>
        </w:rPr>
      </w:pPr>
      <w:hyperlink w:anchor="_Toc506540037" w:history="1">
        <w:r w:rsidRPr="00392554">
          <w:rPr>
            <w:rStyle w:val="Hyperlink"/>
            <w:noProof/>
          </w:rPr>
          <w:t>3.1.6</w:t>
        </w:r>
        <w:r>
          <w:rPr>
            <w:rFonts w:asciiTheme="minorHAnsi" w:eastAsiaTheme="minorEastAsia" w:hAnsiTheme="minorHAnsi" w:cstheme="minorBidi"/>
            <w:b w:val="0"/>
            <w:noProof/>
            <w:sz w:val="22"/>
            <w:szCs w:val="22"/>
          </w:rPr>
          <w:tab/>
        </w:r>
        <w:r w:rsidRPr="00392554">
          <w:rPr>
            <w:rStyle w:val="Hyperlink"/>
            <w:noProof/>
          </w:rPr>
          <w:t>Phenotypic Designations</w:t>
        </w:r>
        <w:r>
          <w:rPr>
            <w:noProof/>
            <w:webHidden/>
          </w:rPr>
          <w:tab/>
        </w:r>
        <w:r>
          <w:rPr>
            <w:noProof/>
            <w:webHidden/>
          </w:rPr>
          <w:fldChar w:fldCharType="begin"/>
        </w:r>
        <w:r>
          <w:rPr>
            <w:noProof/>
            <w:webHidden/>
          </w:rPr>
          <w:instrText xml:space="preserve"> PAGEREF _Toc506540037 \h </w:instrText>
        </w:r>
        <w:r>
          <w:rPr>
            <w:noProof/>
            <w:webHidden/>
          </w:rPr>
        </w:r>
        <w:r>
          <w:rPr>
            <w:noProof/>
            <w:webHidden/>
          </w:rPr>
          <w:fldChar w:fldCharType="separate"/>
        </w:r>
        <w:r>
          <w:rPr>
            <w:noProof/>
            <w:webHidden/>
          </w:rPr>
          <w:t>60</w:t>
        </w:r>
        <w:r>
          <w:rPr>
            <w:noProof/>
            <w:webHidden/>
          </w:rPr>
          <w:fldChar w:fldCharType="end"/>
        </w:r>
      </w:hyperlink>
    </w:p>
    <w:p w14:paraId="0907BBF9" w14:textId="3F6A8291" w:rsidR="0072146F" w:rsidRDefault="0072146F">
      <w:pPr>
        <w:pStyle w:val="TOC3"/>
        <w:tabs>
          <w:tab w:val="left" w:pos="1760"/>
          <w:tab w:val="right" w:leader="dot" w:pos="9350"/>
        </w:tabs>
        <w:rPr>
          <w:rFonts w:asciiTheme="minorHAnsi" w:eastAsiaTheme="minorEastAsia" w:hAnsiTheme="minorHAnsi" w:cstheme="minorBidi"/>
          <w:b w:val="0"/>
          <w:noProof/>
          <w:sz w:val="22"/>
          <w:szCs w:val="22"/>
        </w:rPr>
      </w:pPr>
      <w:hyperlink w:anchor="_Toc506540038" w:history="1">
        <w:r w:rsidRPr="00392554">
          <w:rPr>
            <w:rStyle w:val="Hyperlink"/>
            <w:noProof/>
          </w:rPr>
          <w:t>3.1.7</w:t>
        </w:r>
        <w:r>
          <w:rPr>
            <w:rFonts w:asciiTheme="minorHAnsi" w:eastAsiaTheme="minorEastAsia" w:hAnsiTheme="minorHAnsi" w:cstheme="minorBidi"/>
            <w:b w:val="0"/>
            <w:noProof/>
            <w:sz w:val="22"/>
            <w:szCs w:val="22"/>
          </w:rPr>
          <w:tab/>
        </w:r>
        <w:r w:rsidRPr="00392554">
          <w:rPr>
            <w:rStyle w:val="Hyperlink"/>
            <w:noProof/>
          </w:rPr>
          <w:t>Patient Recruitment</w:t>
        </w:r>
        <w:r>
          <w:rPr>
            <w:noProof/>
            <w:webHidden/>
          </w:rPr>
          <w:tab/>
        </w:r>
        <w:r>
          <w:rPr>
            <w:noProof/>
            <w:webHidden/>
          </w:rPr>
          <w:fldChar w:fldCharType="begin"/>
        </w:r>
        <w:r>
          <w:rPr>
            <w:noProof/>
            <w:webHidden/>
          </w:rPr>
          <w:instrText xml:space="preserve"> PAGEREF _Toc506540038 \h </w:instrText>
        </w:r>
        <w:r>
          <w:rPr>
            <w:noProof/>
            <w:webHidden/>
          </w:rPr>
        </w:r>
        <w:r>
          <w:rPr>
            <w:noProof/>
            <w:webHidden/>
          </w:rPr>
          <w:fldChar w:fldCharType="separate"/>
        </w:r>
        <w:r>
          <w:rPr>
            <w:noProof/>
            <w:webHidden/>
          </w:rPr>
          <w:t>65</w:t>
        </w:r>
        <w:r>
          <w:rPr>
            <w:noProof/>
            <w:webHidden/>
          </w:rPr>
          <w:fldChar w:fldCharType="end"/>
        </w:r>
      </w:hyperlink>
    </w:p>
    <w:p w14:paraId="08C303DF" w14:textId="2513BFE9" w:rsidR="0072146F" w:rsidRDefault="0072146F">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06540039" w:history="1">
        <w:r w:rsidRPr="00392554">
          <w:rPr>
            <w:rStyle w:val="Hyperlink"/>
            <w:noProof/>
          </w:rPr>
          <w:t>3.2</w:t>
        </w:r>
        <w:r>
          <w:rPr>
            <w:rFonts w:asciiTheme="minorHAnsi" w:eastAsiaTheme="minorEastAsia" w:hAnsiTheme="minorHAnsi" w:cstheme="minorBidi"/>
            <w:b w:val="0"/>
            <w:caps w:val="0"/>
            <w:noProof/>
            <w:sz w:val="22"/>
            <w:szCs w:val="22"/>
          </w:rPr>
          <w:tab/>
        </w:r>
        <w:r w:rsidRPr="00392554">
          <w:rPr>
            <w:rStyle w:val="Hyperlink"/>
            <w:noProof/>
          </w:rPr>
          <w:t>GRADS Study Design</w:t>
        </w:r>
        <w:r>
          <w:rPr>
            <w:noProof/>
            <w:webHidden/>
          </w:rPr>
          <w:tab/>
        </w:r>
        <w:r>
          <w:rPr>
            <w:noProof/>
            <w:webHidden/>
          </w:rPr>
          <w:fldChar w:fldCharType="begin"/>
        </w:r>
        <w:r>
          <w:rPr>
            <w:noProof/>
            <w:webHidden/>
          </w:rPr>
          <w:instrText xml:space="preserve"> PAGEREF _Toc506540039 \h </w:instrText>
        </w:r>
        <w:r>
          <w:rPr>
            <w:noProof/>
            <w:webHidden/>
          </w:rPr>
        </w:r>
        <w:r>
          <w:rPr>
            <w:noProof/>
            <w:webHidden/>
          </w:rPr>
          <w:fldChar w:fldCharType="separate"/>
        </w:r>
        <w:r>
          <w:rPr>
            <w:noProof/>
            <w:webHidden/>
          </w:rPr>
          <w:t>66</w:t>
        </w:r>
        <w:r>
          <w:rPr>
            <w:noProof/>
            <w:webHidden/>
          </w:rPr>
          <w:fldChar w:fldCharType="end"/>
        </w:r>
      </w:hyperlink>
    </w:p>
    <w:p w14:paraId="3C782F45" w14:textId="33700B22" w:rsidR="0072146F" w:rsidRDefault="0072146F">
      <w:pPr>
        <w:pStyle w:val="TOC4"/>
        <w:tabs>
          <w:tab w:val="left" w:pos="2392"/>
          <w:tab w:val="right" w:leader="dot" w:pos="9350"/>
        </w:tabs>
        <w:rPr>
          <w:rFonts w:asciiTheme="minorHAnsi" w:eastAsiaTheme="minorEastAsia" w:hAnsiTheme="minorHAnsi" w:cstheme="minorBidi"/>
          <w:b w:val="0"/>
          <w:noProof/>
          <w:sz w:val="22"/>
          <w:szCs w:val="22"/>
        </w:rPr>
      </w:pPr>
      <w:hyperlink w:anchor="_Toc506540040" w:history="1">
        <w:r w:rsidRPr="00392554">
          <w:rPr>
            <w:rStyle w:val="Hyperlink"/>
            <w:noProof/>
          </w:rPr>
          <w:t>3.2.1.1</w:t>
        </w:r>
        <w:r>
          <w:rPr>
            <w:rFonts w:asciiTheme="minorHAnsi" w:eastAsiaTheme="minorEastAsia" w:hAnsiTheme="minorHAnsi" w:cstheme="minorBidi"/>
            <w:b w:val="0"/>
            <w:noProof/>
            <w:sz w:val="22"/>
            <w:szCs w:val="22"/>
          </w:rPr>
          <w:tab/>
        </w:r>
        <w:r w:rsidRPr="00392554">
          <w:rPr>
            <w:rStyle w:val="Hyperlink"/>
            <w:noProof/>
          </w:rPr>
          <w:t>Data Collection</w:t>
        </w:r>
        <w:r>
          <w:rPr>
            <w:noProof/>
            <w:webHidden/>
          </w:rPr>
          <w:tab/>
        </w:r>
        <w:r>
          <w:rPr>
            <w:noProof/>
            <w:webHidden/>
          </w:rPr>
          <w:fldChar w:fldCharType="begin"/>
        </w:r>
        <w:r>
          <w:rPr>
            <w:noProof/>
            <w:webHidden/>
          </w:rPr>
          <w:instrText xml:space="preserve"> PAGEREF _Toc506540040 \h </w:instrText>
        </w:r>
        <w:r>
          <w:rPr>
            <w:noProof/>
            <w:webHidden/>
          </w:rPr>
        </w:r>
        <w:r>
          <w:rPr>
            <w:noProof/>
            <w:webHidden/>
          </w:rPr>
          <w:fldChar w:fldCharType="separate"/>
        </w:r>
        <w:r>
          <w:rPr>
            <w:noProof/>
            <w:webHidden/>
          </w:rPr>
          <w:t>67</w:t>
        </w:r>
        <w:r>
          <w:rPr>
            <w:noProof/>
            <w:webHidden/>
          </w:rPr>
          <w:fldChar w:fldCharType="end"/>
        </w:r>
      </w:hyperlink>
    </w:p>
    <w:p w14:paraId="69BA38D0" w14:textId="2B2C803D" w:rsidR="0072146F" w:rsidRDefault="0072146F">
      <w:pPr>
        <w:pStyle w:val="TOC4"/>
        <w:tabs>
          <w:tab w:val="left" w:pos="2392"/>
          <w:tab w:val="right" w:leader="dot" w:pos="9350"/>
        </w:tabs>
        <w:rPr>
          <w:rFonts w:asciiTheme="minorHAnsi" w:eastAsiaTheme="minorEastAsia" w:hAnsiTheme="minorHAnsi" w:cstheme="minorBidi"/>
          <w:b w:val="0"/>
          <w:noProof/>
          <w:sz w:val="22"/>
          <w:szCs w:val="22"/>
        </w:rPr>
      </w:pPr>
      <w:hyperlink w:anchor="_Toc506540041" w:history="1">
        <w:r w:rsidRPr="00392554">
          <w:rPr>
            <w:rStyle w:val="Hyperlink"/>
            <w:noProof/>
          </w:rPr>
          <w:t>3.2.1.2</w:t>
        </w:r>
        <w:r>
          <w:rPr>
            <w:rFonts w:asciiTheme="minorHAnsi" w:eastAsiaTheme="minorEastAsia" w:hAnsiTheme="minorHAnsi" w:cstheme="minorBidi"/>
            <w:b w:val="0"/>
            <w:noProof/>
            <w:sz w:val="22"/>
            <w:szCs w:val="22"/>
          </w:rPr>
          <w:tab/>
        </w:r>
        <w:r w:rsidRPr="00392554">
          <w:rPr>
            <w:rStyle w:val="Hyperlink"/>
            <w:noProof/>
          </w:rPr>
          <w:t>Data Handling</w:t>
        </w:r>
        <w:r>
          <w:rPr>
            <w:noProof/>
            <w:webHidden/>
          </w:rPr>
          <w:tab/>
        </w:r>
        <w:r>
          <w:rPr>
            <w:noProof/>
            <w:webHidden/>
          </w:rPr>
          <w:fldChar w:fldCharType="begin"/>
        </w:r>
        <w:r>
          <w:rPr>
            <w:noProof/>
            <w:webHidden/>
          </w:rPr>
          <w:instrText xml:space="preserve"> PAGEREF _Toc506540041 \h </w:instrText>
        </w:r>
        <w:r>
          <w:rPr>
            <w:noProof/>
            <w:webHidden/>
          </w:rPr>
        </w:r>
        <w:r>
          <w:rPr>
            <w:noProof/>
            <w:webHidden/>
          </w:rPr>
          <w:fldChar w:fldCharType="separate"/>
        </w:r>
        <w:r>
          <w:rPr>
            <w:noProof/>
            <w:webHidden/>
          </w:rPr>
          <w:t>69</w:t>
        </w:r>
        <w:r>
          <w:rPr>
            <w:noProof/>
            <w:webHidden/>
          </w:rPr>
          <w:fldChar w:fldCharType="end"/>
        </w:r>
      </w:hyperlink>
    </w:p>
    <w:p w14:paraId="28228018" w14:textId="6069817C" w:rsidR="0072146F" w:rsidRDefault="0072146F">
      <w:pPr>
        <w:pStyle w:val="TOC4"/>
        <w:tabs>
          <w:tab w:val="left" w:pos="2392"/>
          <w:tab w:val="right" w:leader="dot" w:pos="9350"/>
        </w:tabs>
        <w:rPr>
          <w:rFonts w:asciiTheme="minorHAnsi" w:eastAsiaTheme="minorEastAsia" w:hAnsiTheme="minorHAnsi" w:cstheme="minorBidi"/>
          <w:b w:val="0"/>
          <w:noProof/>
          <w:sz w:val="22"/>
          <w:szCs w:val="22"/>
        </w:rPr>
      </w:pPr>
      <w:hyperlink w:anchor="_Toc506540042" w:history="1">
        <w:r w:rsidRPr="00392554">
          <w:rPr>
            <w:rStyle w:val="Hyperlink"/>
            <w:noProof/>
          </w:rPr>
          <w:t>3.2.1.3</w:t>
        </w:r>
        <w:r>
          <w:rPr>
            <w:rFonts w:asciiTheme="minorHAnsi" w:eastAsiaTheme="minorEastAsia" w:hAnsiTheme="minorHAnsi" w:cstheme="minorBidi"/>
            <w:b w:val="0"/>
            <w:noProof/>
            <w:sz w:val="22"/>
            <w:szCs w:val="22"/>
          </w:rPr>
          <w:tab/>
        </w:r>
        <w:r w:rsidRPr="00392554">
          <w:rPr>
            <w:rStyle w:val="Hyperlink"/>
            <w:noProof/>
          </w:rPr>
          <w:t>Sample Collection and Processing</w:t>
        </w:r>
        <w:r>
          <w:rPr>
            <w:noProof/>
            <w:webHidden/>
          </w:rPr>
          <w:tab/>
        </w:r>
        <w:r>
          <w:rPr>
            <w:noProof/>
            <w:webHidden/>
          </w:rPr>
          <w:fldChar w:fldCharType="begin"/>
        </w:r>
        <w:r>
          <w:rPr>
            <w:noProof/>
            <w:webHidden/>
          </w:rPr>
          <w:instrText xml:space="preserve"> PAGEREF _Toc506540042 \h </w:instrText>
        </w:r>
        <w:r>
          <w:rPr>
            <w:noProof/>
            <w:webHidden/>
          </w:rPr>
        </w:r>
        <w:r>
          <w:rPr>
            <w:noProof/>
            <w:webHidden/>
          </w:rPr>
          <w:fldChar w:fldCharType="separate"/>
        </w:r>
        <w:r>
          <w:rPr>
            <w:noProof/>
            <w:webHidden/>
          </w:rPr>
          <w:t>70</w:t>
        </w:r>
        <w:r>
          <w:rPr>
            <w:noProof/>
            <w:webHidden/>
          </w:rPr>
          <w:fldChar w:fldCharType="end"/>
        </w:r>
      </w:hyperlink>
    </w:p>
    <w:p w14:paraId="4E98EE36" w14:textId="346448E2" w:rsidR="0072146F" w:rsidRDefault="0072146F">
      <w:pPr>
        <w:pStyle w:val="TOC1"/>
        <w:tabs>
          <w:tab w:val="left" w:pos="1008"/>
          <w:tab w:val="right" w:leader="dot" w:pos="9350"/>
        </w:tabs>
        <w:rPr>
          <w:rFonts w:asciiTheme="minorHAnsi" w:eastAsiaTheme="minorEastAsia" w:hAnsiTheme="minorHAnsi" w:cstheme="minorBidi"/>
          <w:b w:val="0"/>
          <w:caps w:val="0"/>
          <w:noProof/>
          <w:sz w:val="22"/>
          <w:szCs w:val="22"/>
        </w:rPr>
      </w:pPr>
      <w:hyperlink w:anchor="_Toc506540043" w:history="1">
        <w:r w:rsidRPr="00392554">
          <w:rPr>
            <w:rStyle w:val="Hyperlink"/>
            <w:noProof/>
          </w:rPr>
          <w:t>4.0</w:t>
        </w:r>
        <w:r>
          <w:rPr>
            <w:rFonts w:asciiTheme="minorHAnsi" w:eastAsiaTheme="minorEastAsia" w:hAnsiTheme="minorHAnsi" w:cstheme="minorBidi"/>
            <w:b w:val="0"/>
            <w:caps w:val="0"/>
            <w:noProof/>
            <w:sz w:val="22"/>
            <w:szCs w:val="22"/>
          </w:rPr>
          <w:tab/>
        </w:r>
        <w:r w:rsidRPr="00392554">
          <w:rPr>
            <w:rStyle w:val="Hyperlink"/>
            <w:noProof/>
          </w:rPr>
          <w:t>Results</w:t>
        </w:r>
        <w:r>
          <w:rPr>
            <w:noProof/>
            <w:webHidden/>
          </w:rPr>
          <w:tab/>
        </w:r>
        <w:r>
          <w:rPr>
            <w:noProof/>
            <w:webHidden/>
          </w:rPr>
          <w:fldChar w:fldCharType="begin"/>
        </w:r>
        <w:r>
          <w:rPr>
            <w:noProof/>
            <w:webHidden/>
          </w:rPr>
          <w:instrText xml:space="preserve"> PAGEREF _Toc506540043 \h </w:instrText>
        </w:r>
        <w:r>
          <w:rPr>
            <w:noProof/>
            <w:webHidden/>
          </w:rPr>
        </w:r>
        <w:r>
          <w:rPr>
            <w:noProof/>
            <w:webHidden/>
          </w:rPr>
          <w:fldChar w:fldCharType="separate"/>
        </w:r>
        <w:r>
          <w:rPr>
            <w:noProof/>
            <w:webHidden/>
          </w:rPr>
          <w:t>72</w:t>
        </w:r>
        <w:r>
          <w:rPr>
            <w:noProof/>
            <w:webHidden/>
          </w:rPr>
          <w:fldChar w:fldCharType="end"/>
        </w:r>
      </w:hyperlink>
    </w:p>
    <w:p w14:paraId="5BF7711F" w14:textId="4A81F4CF" w:rsidR="0072146F" w:rsidRDefault="0072146F">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06540044" w:history="1">
        <w:r w:rsidRPr="00392554">
          <w:rPr>
            <w:rStyle w:val="Hyperlink"/>
            <w:noProof/>
          </w:rPr>
          <w:t>4.1</w:t>
        </w:r>
        <w:r>
          <w:rPr>
            <w:rFonts w:asciiTheme="minorHAnsi" w:eastAsiaTheme="minorEastAsia" w:hAnsiTheme="minorHAnsi" w:cstheme="minorBidi"/>
            <w:b w:val="0"/>
            <w:caps w:val="0"/>
            <w:noProof/>
            <w:sz w:val="22"/>
            <w:szCs w:val="22"/>
          </w:rPr>
          <w:tab/>
        </w:r>
        <w:r w:rsidRPr="00392554">
          <w:rPr>
            <w:rStyle w:val="Hyperlink"/>
            <w:noProof/>
          </w:rPr>
          <w:t>Characteristics of Cases and Controls</w:t>
        </w:r>
        <w:r>
          <w:rPr>
            <w:noProof/>
            <w:webHidden/>
          </w:rPr>
          <w:tab/>
        </w:r>
        <w:r>
          <w:rPr>
            <w:noProof/>
            <w:webHidden/>
          </w:rPr>
          <w:fldChar w:fldCharType="begin"/>
        </w:r>
        <w:r>
          <w:rPr>
            <w:noProof/>
            <w:webHidden/>
          </w:rPr>
          <w:instrText xml:space="preserve"> PAGEREF _Toc506540044 \h </w:instrText>
        </w:r>
        <w:r>
          <w:rPr>
            <w:noProof/>
            <w:webHidden/>
          </w:rPr>
        </w:r>
        <w:r>
          <w:rPr>
            <w:noProof/>
            <w:webHidden/>
          </w:rPr>
          <w:fldChar w:fldCharType="separate"/>
        </w:r>
        <w:r>
          <w:rPr>
            <w:noProof/>
            <w:webHidden/>
          </w:rPr>
          <w:t>72</w:t>
        </w:r>
        <w:r>
          <w:rPr>
            <w:noProof/>
            <w:webHidden/>
          </w:rPr>
          <w:fldChar w:fldCharType="end"/>
        </w:r>
      </w:hyperlink>
    </w:p>
    <w:p w14:paraId="3EBB947E" w14:textId="0C8EAE8F" w:rsidR="0072146F" w:rsidRDefault="0072146F">
      <w:pPr>
        <w:pStyle w:val="TOC3"/>
        <w:tabs>
          <w:tab w:val="left" w:pos="1760"/>
          <w:tab w:val="right" w:leader="dot" w:pos="9350"/>
        </w:tabs>
        <w:rPr>
          <w:rFonts w:asciiTheme="minorHAnsi" w:eastAsiaTheme="minorEastAsia" w:hAnsiTheme="minorHAnsi" w:cstheme="minorBidi"/>
          <w:b w:val="0"/>
          <w:noProof/>
          <w:sz w:val="22"/>
          <w:szCs w:val="22"/>
        </w:rPr>
      </w:pPr>
      <w:hyperlink w:anchor="_Toc506540045" w:history="1">
        <w:r w:rsidRPr="00392554">
          <w:rPr>
            <w:rStyle w:val="Hyperlink"/>
            <w:noProof/>
          </w:rPr>
          <w:t>4.1.1</w:t>
        </w:r>
        <w:r>
          <w:rPr>
            <w:rFonts w:asciiTheme="minorHAnsi" w:eastAsiaTheme="minorEastAsia" w:hAnsiTheme="minorHAnsi" w:cstheme="minorBidi"/>
            <w:b w:val="0"/>
            <w:noProof/>
            <w:sz w:val="22"/>
            <w:szCs w:val="22"/>
          </w:rPr>
          <w:tab/>
        </w:r>
        <w:r w:rsidRPr="00392554">
          <w:rPr>
            <w:rStyle w:val="Hyperlink"/>
            <w:noProof/>
          </w:rPr>
          <w:t>Participants with Sarcoidosis</w:t>
        </w:r>
        <w:r>
          <w:rPr>
            <w:noProof/>
            <w:webHidden/>
          </w:rPr>
          <w:tab/>
        </w:r>
        <w:r>
          <w:rPr>
            <w:noProof/>
            <w:webHidden/>
          </w:rPr>
          <w:fldChar w:fldCharType="begin"/>
        </w:r>
        <w:r>
          <w:rPr>
            <w:noProof/>
            <w:webHidden/>
          </w:rPr>
          <w:instrText xml:space="preserve"> PAGEREF _Toc506540045 \h </w:instrText>
        </w:r>
        <w:r>
          <w:rPr>
            <w:noProof/>
            <w:webHidden/>
          </w:rPr>
        </w:r>
        <w:r>
          <w:rPr>
            <w:noProof/>
            <w:webHidden/>
          </w:rPr>
          <w:fldChar w:fldCharType="separate"/>
        </w:r>
        <w:r>
          <w:rPr>
            <w:noProof/>
            <w:webHidden/>
          </w:rPr>
          <w:t>73</w:t>
        </w:r>
        <w:r>
          <w:rPr>
            <w:noProof/>
            <w:webHidden/>
          </w:rPr>
          <w:fldChar w:fldCharType="end"/>
        </w:r>
      </w:hyperlink>
    </w:p>
    <w:p w14:paraId="3D3C84A2" w14:textId="23C01447" w:rsidR="0072146F" w:rsidRDefault="0072146F">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06540046" w:history="1">
        <w:r w:rsidRPr="00392554">
          <w:rPr>
            <w:rStyle w:val="Hyperlink"/>
            <w:noProof/>
          </w:rPr>
          <w:t>4.2</w:t>
        </w:r>
        <w:r>
          <w:rPr>
            <w:rFonts w:asciiTheme="minorHAnsi" w:eastAsiaTheme="minorEastAsia" w:hAnsiTheme="minorHAnsi" w:cstheme="minorBidi"/>
            <w:b w:val="0"/>
            <w:caps w:val="0"/>
            <w:noProof/>
            <w:sz w:val="22"/>
            <w:szCs w:val="22"/>
          </w:rPr>
          <w:tab/>
        </w:r>
        <w:r w:rsidRPr="00392554">
          <w:rPr>
            <w:rStyle w:val="Hyperlink"/>
            <w:noProof/>
          </w:rPr>
          <w:t>Characterization of exposures in sarcoidosis</w:t>
        </w:r>
        <w:r>
          <w:rPr>
            <w:noProof/>
            <w:webHidden/>
          </w:rPr>
          <w:tab/>
        </w:r>
        <w:r>
          <w:rPr>
            <w:noProof/>
            <w:webHidden/>
          </w:rPr>
          <w:fldChar w:fldCharType="begin"/>
        </w:r>
        <w:r>
          <w:rPr>
            <w:noProof/>
            <w:webHidden/>
          </w:rPr>
          <w:instrText xml:space="preserve"> PAGEREF _Toc506540046 \h </w:instrText>
        </w:r>
        <w:r>
          <w:rPr>
            <w:noProof/>
            <w:webHidden/>
          </w:rPr>
        </w:r>
        <w:r>
          <w:rPr>
            <w:noProof/>
            <w:webHidden/>
          </w:rPr>
          <w:fldChar w:fldCharType="separate"/>
        </w:r>
        <w:r>
          <w:rPr>
            <w:noProof/>
            <w:webHidden/>
          </w:rPr>
          <w:t>75</w:t>
        </w:r>
        <w:r>
          <w:rPr>
            <w:noProof/>
            <w:webHidden/>
          </w:rPr>
          <w:fldChar w:fldCharType="end"/>
        </w:r>
      </w:hyperlink>
    </w:p>
    <w:p w14:paraId="55B9130B" w14:textId="46319932" w:rsidR="0072146F" w:rsidRDefault="0072146F">
      <w:pPr>
        <w:pStyle w:val="TOC3"/>
        <w:tabs>
          <w:tab w:val="left" w:pos="1760"/>
          <w:tab w:val="right" w:leader="dot" w:pos="9350"/>
        </w:tabs>
        <w:rPr>
          <w:rFonts w:asciiTheme="minorHAnsi" w:eastAsiaTheme="minorEastAsia" w:hAnsiTheme="minorHAnsi" w:cstheme="minorBidi"/>
          <w:b w:val="0"/>
          <w:noProof/>
          <w:sz w:val="22"/>
          <w:szCs w:val="22"/>
        </w:rPr>
      </w:pPr>
      <w:hyperlink w:anchor="_Toc506540047" w:history="1">
        <w:r w:rsidRPr="00392554">
          <w:rPr>
            <w:rStyle w:val="Hyperlink"/>
            <w:noProof/>
          </w:rPr>
          <w:t>4.2.1</w:t>
        </w:r>
        <w:r>
          <w:rPr>
            <w:rFonts w:asciiTheme="minorHAnsi" w:eastAsiaTheme="minorEastAsia" w:hAnsiTheme="minorHAnsi" w:cstheme="minorBidi"/>
            <w:b w:val="0"/>
            <w:noProof/>
            <w:sz w:val="22"/>
            <w:szCs w:val="22"/>
          </w:rPr>
          <w:tab/>
        </w:r>
        <w:r w:rsidRPr="00392554">
          <w:rPr>
            <w:rStyle w:val="Hyperlink"/>
            <w:noProof/>
          </w:rPr>
          <w:t>Occupational Exposures</w:t>
        </w:r>
        <w:r>
          <w:rPr>
            <w:noProof/>
            <w:webHidden/>
          </w:rPr>
          <w:tab/>
        </w:r>
        <w:r>
          <w:rPr>
            <w:noProof/>
            <w:webHidden/>
          </w:rPr>
          <w:fldChar w:fldCharType="begin"/>
        </w:r>
        <w:r>
          <w:rPr>
            <w:noProof/>
            <w:webHidden/>
          </w:rPr>
          <w:instrText xml:space="preserve"> PAGEREF _Toc506540047 \h </w:instrText>
        </w:r>
        <w:r>
          <w:rPr>
            <w:noProof/>
            <w:webHidden/>
          </w:rPr>
        </w:r>
        <w:r>
          <w:rPr>
            <w:noProof/>
            <w:webHidden/>
          </w:rPr>
          <w:fldChar w:fldCharType="separate"/>
        </w:r>
        <w:r>
          <w:rPr>
            <w:noProof/>
            <w:webHidden/>
          </w:rPr>
          <w:t>75</w:t>
        </w:r>
        <w:r>
          <w:rPr>
            <w:noProof/>
            <w:webHidden/>
          </w:rPr>
          <w:fldChar w:fldCharType="end"/>
        </w:r>
      </w:hyperlink>
    </w:p>
    <w:p w14:paraId="381C5ED2" w14:textId="7A0F94A3" w:rsidR="0072146F" w:rsidRDefault="0072146F">
      <w:pPr>
        <w:pStyle w:val="TOC3"/>
        <w:tabs>
          <w:tab w:val="left" w:pos="1760"/>
          <w:tab w:val="right" w:leader="dot" w:pos="9350"/>
        </w:tabs>
        <w:rPr>
          <w:rFonts w:asciiTheme="minorHAnsi" w:eastAsiaTheme="minorEastAsia" w:hAnsiTheme="minorHAnsi" w:cstheme="minorBidi"/>
          <w:b w:val="0"/>
          <w:noProof/>
          <w:sz w:val="22"/>
          <w:szCs w:val="22"/>
        </w:rPr>
      </w:pPr>
      <w:hyperlink w:anchor="_Toc506540048" w:history="1">
        <w:r w:rsidRPr="00392554">
          <w:rPr>
            <w:rStyle w:val="Hyperlink"/>
            <w:noProof/>
          </w:rPr>
          <w:t>4.2.2</w:t>
        </w:r>
        <w:r>
          <w:rPr>
            <w:rFonts w:asciiTheme="minorHAnsi" w:eastAsiaTheme="minorEastAsia" w:hAnsiTheme="minorHAnsi" w:cstheme="minorBidi"/>
            <w:b w:val="0"/>
            <w:noProof/>
            <w:sz w:val="22"/>
            <w:szCs w:val="22"/>
          </w:rPr>
          <w:tab/>
        </w:r>
        <w:r w:rsidRPr="00392554">
          <w:rPr>
            <w:rStyle w:val="Hyperlink"/>
            <w:noProof/>
          </w:rPr>
          <w:t>Animal Exposures</w:t>
        </w:r>
        <w:r>
          <w:rPr>
            <w:noProof/>
            <w:webHidden/>
          </w:rPr>
          <w:tab/>
        </w:r>
        <w:r>
          <w:rPr>
            <w:noProof/>
            <w:webHidden/>
          </w:rPr>
          <w:fldChar w:fldCharType="begin"/>
        </w:r>
        <w:r>
          <w:rPr>
            <w:noProof/>
            <w:webHidden/>
          </w:rPr>
          <w:instrText xml:space="preserve"> PAGEREF _Toc506540048 \h </w:instrText>
        </w:r>
        <w:r>
          <w:rPr>
            <w:noProof/>
            <w:webHidden/>
          </w:rPr>
        </w:r>
        <w:r>
          <w:rPr>
            <w:noProof/>
            <w:webHidden/>
          </w:rPr>
          <w:fldChar w:fldCharType="separate"/>
        </w:r>
        <w:r>
          <w:rPr>
            <w:noProof/>
            <w:webHidden/>
          </w:rPr>
          <w:t>76</w:t>
        </w:r>
        <w:r>
          <w:rPr>
            <w:noProof/>
            <w:webHidden/>
          </w:rPr>
          <w:fldChar w:fldCharType="end"/>
        </w:r>
      </w:hyperlink>
    </w:p>
    <w:p w14:paraId="336E5F41" w14:textId="69781584" w:rsidR="0072146F" w:rsidRDefault="0072146F">
      <w:pPr>
        <w:pStyle w:val="TOC3"/>
        <w:tabs>
          <w:tab w:val="left" w:pos="1760"/>
          <w:tab w:val="right" w:leader="dot" w:pos="9350"/>
        </w:tabs>
        <w:rPr>
          <w:rFonts w:asciiTheme="minorHAnsi" w:eastAsiaTheme="minorEastAsia" w:hAnsiTheme="minorHAnsi" w:cstheme="minorBidi"/>
          <w:b w:val="0"/>
          <w:noProof/>
          <w:sz w:val="22"/>
          <w:szCs w:val="22"/>
        </w:rPr>
      </w:pPr>
      <w:hyperlink w:anchor="_Toc506540049" w:history="1">
        <w:r w:rsidRPr="00392554">
          <w:rPr>
            <w:rStyle w:val="Hyperlink"/>
            <w:noProof/>
          </w:rPr>
          <w:t>4.2.3</w:t>
        </w:r>
        <w:r>
          <w:rPr>
            <w:rFonts w:asciiTheme="minorHAnsi" w:eastAsiaTheme="minorEastAsia" w:hAnsiTheme="minorHAnsi" w:cstheme="minorBidi"/>
            <w:b w:val="0"/>
            <w:noProof/>
            <w:sz w:val="22"/>
            <w:szCs w:val="22"/>
          </w:rPr>
          <w:tab/>
        </w:r>
        <w:r w:rsidRPr="00392554">
          <w:rPr>
            <w:rStyle w:val="Hyperlink"/>
            <w:noProof/>
          </w:rPr>
          <w:t>Residential Exposures</w:t>
        </w:r>
        <w:r>
          <w:rPr>
            <w:noProof/>
            <w:webHidden/>
          </w:rPr>
          <w:tab/>
        </w:r>
        <w:r>
          <w:rPr>
            <w:noProof/>
            <w:webHidden/>
          </w:rPr>
          <w:fldChar w:fldCharType="begin"/>
        </w:r>
        <w:r>
          <w:rPr>
            <w:noProof/>
            <w:webHidden/>
          </w:rPr>
          <w:instrText xml:space="preserve"> PAGEREF _Toc506540049 \h </w:instrText>
        </w:r>
        <w:r>
          <w:rPr>
            <w:noProof/>
            <w:webHidden/>
          </w:rPr>
        </w:r>
        <w:r>
          <w:rPr>
            <w:noProof/>
            <w:webHidden/>
          </w:rPr>
          <w:fldChar w:fldCharType="separate"/>
        </w:r>
        <w:r>
          <w:rPr>
            <w:noProof/>
            <w:webHidden/>
          </w:rPr>
          <w:t>78</w:t>
        </w:r>
        <w:r>
          <w:rPr>
            <w:noProof/>
            <w:webHidden/>
          </w:rPr>
          <w:fldChar w:fldCharType="end"/>
        </w:r>
      </w:hyperlink>
    </w:p>
    <w:p w14:paraId="2C490699" w14:textId="5F36E2BC" w:rsidR="0072146F" w:rsidRDefault="0072146F">
      <w:pPr>
        <w:pStyle w:val="TOC3"/>
        <w:tabs>
          <w:tab w:val="right" w:leader="dot" w:pos="9350"/>
        </w:tabs>
        <w:rPr>
          <w:rFonts w:asciiTheme="minorHAnsi" w:eastAsiaTheme="minorEastAsia" w:hAnsiTheme="minorHAnsi" w:cstheme="minorBidi"/>
          <w:b w:val="0"/>
          <w:noProof/>
          <w:sz w:val="22"/>
          <w:szCs w:val="22"/>
        </w:rPr>
      </w:pPr>
      <w:hyperlink w:anchor="_Toc506540050" w:history="1">
        <w:r w:rsidRPr="00392554">
          <w:rPr>
            <w:rStyle w:val="Hyperlink"/>
            <w:noProof/>
          </w:rPr>
          <w:t>4.2.4 Personal Exposures</w:t>
        </w:r>
        <w:r>
          <w:rPr>
            <w:noProof/>
            <w:webHidden/>
          </w:rPr>
          <w:tab/>
        </w:r>
        <w:r>
          <w:rPr>
            <w:noProof/>
            <w:webHidden/>
          </w:rPr>
          <w:fldChar w:fldCharType="begin"/>
        </w:r>
        <w:r>
          <w:rPr>
            <w:noProof/>
            <w:webHidden/>
          </w:rPr>
          <w:instrText xml:space="preserve"> PAGEREF _Toc506540050 \h </w:instrText>
        </w:r>
        <w:r>
          <w:rPr>
            <w:noProof/>
            <w:webHidden/>
          </w:rPr>
        </w:r>
        <w:r>
          <w:rPr>
            <w:noProof/>
            <w:webHidden/>
          </w:rPr>
          <w:fldChar w:fldCharType="separate"/>
        </w:r>
        <w:r>
          <w:rPr>
            <w:noProof/>
            <w:webHidden/>
          </w:rPr>
          <w:t>80</w:t>
        </w:r>
        <w:r>
          <w:rPr>
            <w:noProof/>
            <w:webHidden/>
          </w:rPr>
          <w:fldChar w:fldCharType="end"/>
        </w:r>
      </w:hyperlink>
    </w:p>
    <w:p w14:paraId="088EE816" w14:textId="236F95EC" w:rsidR="0072146F" w:rsidRDefault="0072146F">
      <w:pPr>
        <w:pStyle w:val="TOC4"/>
        <w:tabs>
          <w:tab w:val="left" w:pos="2392"/>
          <w:tab w:val="right" w:leader="dot" w:pos="9350"/>
        </w:tabs>
        <w:rPr>
          <w:rFonts w:asciiTheme="minorHAnsi" w:eastAsiaTheme="minorEastAsia" w:hAnsiTheme="minorHAnsi" w:cstheme="minorBidi"/>
          <w:b w:val="0"/>
          <w:noProof/>
          <w:sz w:val="22"/>
          <w:szCs w:val="22"/>
        </w:rPr>
      </w:pPr>
      <w:hyperlink w:anchor="_Toc506540051" w:history="1">
        <w:r w:rsidRPr="00392554">
          <w:rPr>
            <w:rStyle w:val="Hyperlink"/>
            <w:noProof/>
          </w:rPr>
          <w:t>4.2.3.1</w:t>
        </w:r>
        <w:r>
          <w:rPr>
            <w:rFonts w:asciiTheme="minorHAnsi" w:eastAsiaTheme="minorEastAsia" w:hAnsiTheme="minorHAnsi" w:cstheme="minorBidi"/>
            <w:b w:val="0"/>
            <w:noProof/>
            <w:sz w:val="22"/>
            <w:szCs w:val="22"/>
          </w:rPr>
          <w:tab/>
        </w:r>
        <w:r w:rsidRPr="00392554">
          <w:rPr>
            <w:rStyle w:val="Hyperlink"/>
            <w:noProof/>
          </w:rPr>
          <w:t>Medical History</w:t>
        </w:r>
        <w:r>
          <w:rPr>
            <w:noProof/>
            <w:webHidden/>
          </w:rPr>
          <w:tab/>
        </w:r>
        <w:r>
          <w:rPr>
            <w:noProof/>
            <w:webHidden/>
          </w:rPr>
          <w:fldChar w:fldCharType="begin"/>
        </w:r>
        <w:r>
          <w:rPr>
            <w:noProof/>
            <w:webHidden/>
          </w:rPr>
          <w:instrText xml:space="preserve"> PAGEREF _Toc506540051 \h </w:instrText>
        </w:r>
        <w:r>
          <w:rPr>
            <w:noProof/>
            <w:webHidden/>
          </w:rPr>
        </w:r>
        <w:r>
          <w:rPr>
            <w:noProof/>
            <w:webHidden/>
          </w:rPr>
          <w:fldChar w:fldCharType="separate"/>
        </w:r>
        <w:r>
          <w:rPr>
            <w:noProof/>
            <w:webHidden/>
          </w:rPr>
          <w:t>80</w:t>
        </w:r>
        <w:r>
          <w:rPr>
            <w:noProof/>
            <w:webHidden/>
          </w:rPr>
          <w:fldChar w:fldCharType="end"/>
        </w:r>
      </w:hyperlink>
    </w:p>
    <w:p w14:paraId="6D6A58EC" w14:textId="070E2B13" w:rsidR="0072146F" w:rsidRDefault="0072146F">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06540052" w:history="1">
        <w:r w:rsidRPr="00392554">
          <w:rPr>
            <w:rStyle w:val="Hyperlink"/>
            <w:noProof/>
          </w:rPr>
          <w:t>4.3</w:t>
        </w:r>
        <w:r>
          <w:rPr>
            <w:rFonts w:asciiTheme="minorHAnsi" w:eastAsiaTheme="minorEastAsia" w:hAnsiTheme="minorHAnsi" w:cstheme="minorBidi"/>
            <w:b w:val="0"/>
            <w:caps w:val="0"/>
            <w:noProof/>
            <w:sz w:val="22"/>
            <w:szCs w:val="22"/>
          </w:rPr>
          <w:tab/>
        </w:r>
        <w:r w:rsidRPr="00392554">
          <w:rPr>
            <w:rStyle w:val="Hyperlink"/>
            <w:noProof/>
          </w:rPr>
          <w:t>Characterization of the GUt mycobiome in sarcoidosis</w:t>
        </w:r>
        <w:r>
          <w:rPr>
            <w:noProof/>
            <w:webHidden/>
          </w:rPr>
          <w:tab/>
        </w:r>
        <w:r>
          <w:rPr>
            <w:noProof/>
            <w:webHidden/>
          </w:rPr>
          <w:tab/>
        </w:r>
        <w:r>
          <w:rPr>
            <w:noProof/>
            <w:webHidden/>
          </w:rPr>
          <w:tab/>
        </w:r>
        <w:r>
          <w:rPr>
            <w:noProof/>
            <w:webHidden/>
          </w:rPr>
          <w:tab/>
        </w:r>
        <w:r>
          <w:rPr>
            <w:noProof/>
            <w:webHidden/>
          </w:rPr>
          <w:fldChar w:fldCharType="begin"/>
        </w:r>
        <w:r>
          <w:rPr>
            <w:noProof/>
            <w:webHidden/>
          </w:rPr>
          <w:instrText xml:space="preserve"> PAGEREF _Toc506540052 \h </w:instrText>
        </w:r>
        <w:r>
          <w:rPr>
            <w:noProof/>
            <w:webHidden/>
          </w:rPr>
        </w:r>
        <w:r>
          <w:rPr>
            <w:noProof/>
            <w:webHidden/>
          </w:rPr>
          <w:fldChar w:fldCharType="separate"/>
        </w:r>
        <w:r>
          <w:rPr>
            <w:noProof/>
            <w:webHidden/>
          </w:rPr>
          <w:t>82</w:t>
        </w:r>
        <w:r>
          <w:rPr>
            <w:noProof/>
            <w:webHidden/>
          </w:rPr>
          <w:fldChar w:fldCharType="end"/>
        </w:r>
      </w:hyperlink>
    </w:p>
    <w:p w14:paraId="23E25A22" w14:textId="779DE404" w:rsidR="0072146F" w:rsidRDefault="0072146F">
      <w:pPr>
        <w:pStyle w:val="TOC3"/>
        <w:tabs>
          <w:tab w:val="left" w:pos="1760"/>
          <w:tab w:val="right" w:leader="dot" w:pos="9350"/>
        </w:tabs>
        <w:rPr>
          <w:rFonts w:asciiTheme="minorHAnsi" w:eastAsiaTheme="minorEastAsia" w:hAnsiTheme="minorHAnsi" w:cstheme="minorBidi"/>
          <w:b w:val="0"/>
          <w:noProof/>
          <w:sz w:val="22"/>
          <w:szCs w:val="22"/>
        </w:rPr>
      </w:pPr>
      <w:hyperlink w:anchor="_Toc506540053" w:history="1">
        <w:r w:rsidRPr="00392554">
          <w:rPr>
            <w:rStyle w:val="Hyperlink"/>
            <w:noProof/>
          </w:rPr>
          <w:t>4.3.1</w:t>
        </w:r>
        <w:r>
          <w:rPr>
            <w:rFonts w:asciiTheme="minorHAnsi" w:eastAsiaTheme="minorEastAsia" w:hAnsiTheme="minorHAnsi" w:cstheme="minorBidi"/>
            <w:b w:val="0"/>
            <w:noProof/>
            <w:sz w:val="22"/>
            <w:szCs w:val="22"/>
          </w:rPr>
          <w:tab/>
        </w:r>
        <w:r w:rsidRPr="00392554">
          <w:rPr>
            <w:rStyle w:val="Hyperlink"/>
            <w:noProof/>
          </w:rPr>
          <w:t>Abundance</w:t>
        </w:r>
        <w:r>
          <w:rPr>
            <w:noProof/>
            <w:webHidden/>
          </w:rPr>
          <w:tab/>
        </w:r>
        <w:r>
          <w:rPr>
            <w:noProof/>
            <w:webHidden/>
          </w:rPr>
          <w:fldChar w:fldCharType="begin"/>
        </w:r>
        <w:r>
          <w:rPr>
            <w:noProof/>
            <w:webHidden/>
          </w:rPr>
          <w:instrText xml:space="preserve"> PAGEREF _Toc506540053 \h </w:instrText>
        </w:r>
        <w:r>
          <w:rPr>
            <w:noProof/>
            <w:webHidden/>
          </w:rPr>
        </w:r>
        <w:r>
          <w:rPr>
            <w:noProof/>
            <w:webHidden/>
          </w:rPr>
          <w:fldChar w:fldCharType="separate"/>
        </w:r>
        <w:r>
          <w:rPr>
            <w:noProof/>
            <w:webHidden/>
          </w:rPr>
          <w:t>82</w:t>
        </w:r>
        <w:r>
          <w:rPr>
            <w:noProof/>
            <w:webHidden/>
          </w:rPr>
          <w:fldChar w:fldCharType="end"/>
        </w:r>
      </w:hyperlink>
    </w:p>
    <w:p w14:paraId="3DA8A2B1" w14:textId="7FA5F82E" w:rsidR="0072146F" w:rsidRDefault="0072146F">
      <w:pPr>
        <w:pStyle w:val="TOC3"/>
        <w:tabs>
          <w:tab w:val="left" w:pos="1760"/>
          <w:tab w:val="right" w:leader="dot" w:pos="9350"/>
        </w:tabs>
        <w:rPr>
          <w:rFonts w:asciiTheme="minorHAnsi" w:eastAsiaTheme="minorEastAsia" w:hAnsiTheme="minorHAnsi" w:cstheme="minorBidi"/>
          <w:b w:val="0"/>
          <w:noProof/>
          <w:sz w:val="22"/>
          <w:szCs w:val="22"/>
        </w:rPr>
      </w:pPr>
      <w:hyperlink w:anchor="_Toc506540054" w:history="1">
        <w:r w:rsidRPr="00392554">
          <w:rPr>
            <w:rStyle w:val="Hyperlink"/>
            <w:noProof/>
          </w:rPr>
          <w:t>4.3.2</w:t>
        </w:r>
        <w:r>
          <w:rPr>
            <w:rFonts w:asciiTheme="minorHAnsi" w:eastAsiaTheme="minorEastAsia" w:hAnsiTheme="minorHAnsi" w:cstheme="minorBidi"/>
            <w:b w:val="0"/>
            <w:noProof/>
            <w:sz w:val="22"/>
            <w:szCs w:val="22"/>
          </w:rPr>
          <w:tab/>
        </w:r>
        <w:r w:rsidRPr="00392554">
          <w:rPr>
            <w:rStyle w:val="Hyperlink"/>
            <w:noProof/>
          </w:rPr>
          <w:t>Differences in Clinical Phenotypes</w:t>
        </w:r>
        <w:r>
          <w:rPr>
            <w:noProof/>
            <w:webHidden/>
          </w:rPr>
          <w:tab/>
        </w:r>
        <w:r>
          <w:rPr>
            <w:noProof/>
            <w:webHidden/>
          </w:rPr>
          <w:fldChar w:fldCharType="begin"/>
        </w:r>
        <w:r>
          <w:rPr>
            <w:noProof/>
            <w:webHidden/>
          </w:rPr>
          <w:instrText xml:space="preserve"> PAGEREF _Toc506540054 \h </w:instrText>
        </w:r>
        <w:r>
          <w:rPr>
            <w:noProof/>
            <w:webHidden/>
          </w:rPr>
        </w:r>
        <w:r>
          <w:rPr>
            <w:noProof/>
            <w:webHidden/>
          </w:rPr>
          <w:fldChar w:fldCharType="separate"/>
        </w:r>
        <w:r>
          <w:rPr>
            <w:noProof/>
            <w:webHidden/>
          </w:rPr>
          <w:t>87</w:t>
        </w:r>
        <w:r>
          <w:rPr>
            <w:noProof/>
            <w:webHidden/>
          </w:rPr>
          <w:fldChar w:fldCharType="end"/>
        </w:r>
      </w:hyperlink>
    </w:p>
    <w:p w14:paraId="09764010" w14:textId="0F023727" w:rsidR="0072146F" w:rsidRDefault="0072146F">
      <w:pPr>
        <w:pStyle w:val="TOC1"/>
        <w:tabs>
          <w:tab w:val="left" w:pos="1008"/>
          <w:tab w:val="right" w:leader="dot" w:pos="9350"/>
        </w:tabs>
        <w:rPr>
          <w:rFonts w:asciiTheme="minorHAnsi" w:eastAsiaTheme="minorEastAsia" w:hAnsiTheme="minorHAnsi" w:cstheme="minorBidi"/>
          <w:b w:val="0"/>
          <w:caps w:val="0"/>
          <w:noProof/>
          <w:sz w:val="22"/>
          <w:szCs w:val="22"/>
        </w:rPr>
      </w:pPr>
      <w:hyperlink w:anchor="_Toc506540055" w:history="1">
        <w:r w:rsidRPr="00392554">
          <w:rPr>
            <w:rStyle w:val="Hyperlink"/>
            <w:noProof/>
          </w:rPr>
          <w:t>5.0</w:t>
        </w:r>
        <w:r>
          <w:rPr>
            <w:rFonts w:asciiTheme="minorHAnsi" w:eastAsiaTheme="minorEastAsia" w:hAnsiTheme="minorHAnsi" w:cstheme="minorBidi"/>
            <w:b w:val="0"/>
            <w:caps w:val="0"/>
            <w:noProof/>
            <w:sz w:val="22"/>
            <w:szCs w:val="22"/>
          </w:rPr>
          <w:tab/>
        </w:r>
        <w:r w:rsidRPr="00392554">
          <w:rPr>
            <w:rStyle w:val="Hyperlink"/>
            <w:noProof/>
          </w:rPr>
          <w:t>Discussion</w:t>
        </w:r>
        <w:r>
          <w:rPr>
            <w:noProof/>
            <w:webHidden/>
          </w:rPr>
          <w:tab/>
        </w:r>
        <w:r>
          <w:rPr>
            <w:noProof/>
            <w:webHidden/>
          </w:rPr>
          <w:fldChar w:fldCharType="begin"/>
        </w:r>
        <w:r>
          <w:rPr>
            <w:noProof/>
            <w:webHidden/>
          </w:rPr>
          <w:instrText xml:space="preserve"> PAGEREF _Toc506540055 \h </w:instrText>
        </w:r>
        <w:r>
          <w:rPr>
            <w:noProof/>
            <w:webHidden/>
          </w:rPr>
        </w:r>
        <w:r>
          <w:rPr>
            <w:noProof/>
            <w:webHidden/>
          </w:rPr>
          <w:fldChar w:fldCharType="separate"/>
        </w:r>
        <w:r>
          <w:rPr>
            <w:noProof/>
            <w:webHidden/>
          </w:rPr>
          <w:t>93</w:t>
        </w:r>
        <w:r>
          <w:rPr>
            <w:noProof/>
            <w:webHidden/>
          </w:rPr>
          <w:fldChar w:fldCharType="end"/>
        </w:r>
      </w:hyperlink>
    </w:p>
    <w:p w14:paraId="18845E89" w14:textId="19F1D380" w:rsidR="0072146F" w:rsidRDefault="0072146F">
      <w:pPr>
        <w:pStyle w:val="TOC3"/>
        <w:tabs>
          <w:tab w:val="left" w:pos="1760"/>
          <w:tab w:val="right" w:leader="dot" w:pos="9350"/>
        </w:tabs>
        <w:rPr>
          <w:rFonts w:asciiTheme="minorHAnsi" w:eastAsiaTheme="minorEastAsia" w:hAnsiTheme="minorHAnsi" w:cstheme="minorBidi"/>
          <w:b w:val="0"/>
          <w:noProof/>
          <w:sz w:val="22"/>
          <w:szCs w:val="22"/>
        </w:rPr>
      </w:pPr>
      <w:hyperlink w:anchor="_Toc506540056" w:history="1">
        <w:r w:rsidRPr="00392554">
          <w:rPr>
            <w:rStyle w:val="Hyperlink"/>
            <w:noProof/>
          </w:rPr>
          <w:t>5.1.1</w:t>
        </w:r>
        <w:r>
          <w:rPr>
            <w:rFonts w:asciiTheme="minorHAnsi" w:eastAsiaTheme="minorEastAsia" w:hAnsiTheme="minorHAnsi" w:cstheme="minorBidi"/>
            <w:b w:val="0"/>
            <w:noProof/>
            <w:sz w:val="22"/>
            <w:szCs w:val="22"/>
          </w:rPr>
          <w:tab/>
        </w:r>
        <w:r w:rsidRPr="00392554">
          <w:rPr>
            <w:rStyle w:val="Hyperlink"/>
            <w:noProof/>
          </w:rPr>
          <w:t>Strengths</w:t>
        </w:r>
        <w:r>
          <w:rPr>
            <w:noProof/>
            <w:webHidden/>
          </w:rPr>
          <w:tab/>
        </w:r>
        <w:r>
          <w:rPr>
            <w:noProof/>
            <w:webHidden/>
          </w:rPr>
          <w:fldChar w:fldCharType="begin"/>
        </w:r>
        <w:r>
          <w:rPr>
            <w:noProof/>
            <w:webHidden/>
          </w:rPr>
          <w:instrText xml:space="preserve"> PAGEREF _Toc506540056 \h </w:instrText>
        </w:r>
        <w:r>
          <w:rPr>
            <w:noProof/>
            <w:webHidden/>
          </w:rPr>
        </w:r>
        <w:r>
          <w:rPr>
            <w:noProof/>
            <w:webHidden/>
          </w:rPr>
          <w:fldChar w:fldCharType="separate"/>
        </w:r>
        <w:r>
          <w:rPr>
            <w:noProof/>
            <w:webHidden/>
          </w:rPr>
          <w:t>94</w:t>
        </w:r>
        <w:r>
          <w:rPr>
            <w:noProof/>
            <w:webHidden/>
          </w:rPr>
          <w:fldChar w:fldCharType="end"/>
        </w:r>
      </w:hyperlink>
    </w:p>
    <w:p w14:paraId="292B7481" w14:textId="40B3C576" w:rsidR="0072146F" w:rsidRDefault="0072146F">
      <w:pPr>
        <w:pStyle w:val="TOC3"/>
        <w:tabs>
          <w:tab w:val="left" w:pos="1760"/>
          <w:tab w:val="right" w:leader="dot" w:pos="9350"/>
        </w:tabs>
        <w:rPr>
          <w:rFonts w:asciiTheme="minorHAnsi" w:eastAsiaTheme="minorEastAsia" w:hAnsiTheme="minorHAnsi" w:cstheme="minorBidi"/>
          <w:b w:val="0"/>
          <w:noProof/>
          <w:sz w:val="22"/>
          <w:szCs w:val="22"/>
        </w:rPr>
      </w:pPr>
      <w:hyperlink w:anchor="_Toc506540057" w:history="1">
        <w:r w:rsidRPr="00392554">
          <w:rPr>
            <w:rStyle w:val="Hyperlink"/>
            <w:noProof/>
          </w:rPr>
          <w:t>5.1.2</w:t>
        </w:r>
        <w:r>
          <w:rPr>
            <w:rFonts w:asciiTheme="minorHAnsi" w:eastAsiaTheme="minorEastAsia" w:hAnsiTheme="minorHAnsi" w:cstheme="minorBidi"/>
            <w:b w:val="0"/>
            <w:noProof/>
            <w:sz w:val="22"/>
            <w:szCs w:val="22"/>
          </w:rPr>
          <w:tab/>
        </w:r>
        <w:r w:rsidRPr="00392554">
          <w:rPr>
            <w:rStyle w:val="Hyperlink"/>
            <w:noProof/>
          </w:rPr>
          <w:t>Limitations</w:t>
        </w:r>
        <w:r>
          <w:rPr>
            <w:noProof/>
            <w:webHidden/>
          </w:rPr>
          <w:tab/>
        </w:r>
        <w:r>
          <w:rPr>
            <w:noProof/>
            <w:webHidden/>
          </w:rPr>
          <w:fldChar w:fldCharType="begin"/>
        </w:r>
        <w:r>
          <w:rPr>
            <w:noProof/>
            <w:webHidden/>
          </w:rPr>
          <w:instrText xml:space="preserve"> PAGEREF _Toc506540057 \h </w:instrText>
        </w:r>
        <w:r>
          <w:rPr>
            <w:noProof/>
            <w:webHidden/>
          </w:rPr>
        </w:r>
        <w:r>
          <w:rPr>
            <w:noProof/>
            <w:webHidden/>
          </w:rPr>
          <w:fldChar w:fldCharType="separate"/>
        </w:r>
        <w:r>
          <w:rPr>
            <w:noProof/>
            <w:webHidden/>
          </w:rPr>
          <w:t>95</w:t>
        </w:r>
        <w:r>
          <w:rPr>
            <w:noProof/>
            <w:webHidden/>
          </w:rPr>
          <w:fldChar w:fldCharType="end"/>
        </w:r>
      </w:hyperlink>
    </w:p>
    <w:p w14:paraId="03213E53" w14:textId="3C4A73B8" w:rsidR="0072146F" w:rsidRDefault="0072146F">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06540058" w:history="1">
        <w:r w:rsidRPr="00392554">
          <w:rPr>
            <w:rStyle w:val="Hyperlink"/>
            <w:noProof/>
          </w:rPr>
          <w:t>5.2</w:t>
        </w:r>
        <w:r>
          <w:rPr>
            <w:rFonts w:asciiTheme="minorHAnsi" w:eastAsiaTheme="minorEastAsia" w:hAnsiTheme="minorHAnsi" w:cstheme="minorBidi"/>
            <w:b w:val="0"/>
            <w:caps w:val="0"/>
            <w:noProof/>
            <w:sz w:val="22"/>
            <w:szCs w:val="22"/>
          </w:rPr>
          <w:tab/>
        </w:r>
        <w:r w:rsidRPr="00392554">
          <w:rPr>
            <w:rStyle w:val="Hyperlink"/>
            <w:noProof/>
          </w:rPr>
          <w:t>Future Directions</w:t>
        </w:r>
        <w:r>
          <w:rPr>
            <w:noProof/>
            <w:webHidden/>
          </w:rPr>
          <w:tab/>
        </w:r>
        <w:r>
          <w:rPr>
            <w:noProof/>
            <w:webHidden/>
          </w:rPr>
          <w:fldChar w:fldCharType="begin"/>
        </w:r>
        <w:r>
          <w:rPr>
            <w:noProof/>
            <w:webHidden/>
          </w:rPr>
          <w:instrText xml:space="preserve"> PAGEREF _Toc506540058 \h </w:instrText>
        </w:r>
        <w:r>
          <w:rPr>
            <w:noProof/>
            <w:webHidden/>
          </w:rPr>
        </w:r>
        <w:r>
          <w:rPr>
            <w:noProof/>
            <w:webHidden/>
          </w:rPr>
          <w:fldChar w:fldCharType="separate"/>
        </w:r>
        <w:r>
          <w:rPr>
            <w:noProof/>
            <w:webHidden/>
          </w:rPr>
          <w:t>97</w:t>
        </w:r>
        <w:r>
          <w:rPr>
            <w:noProof/>
            <w:webHidden/>
          </w:rPr>
          <w:fldChar w:fldCharType="end"/>
        </w:r>
      </w:hyperlink>
    </w:p>
    <w:p w14:paraId="2D60B83E" w14:textId="766C9411" w:rsidR="0072146F" w:rsidRDefault="0072146F">
      <w:pPr>
        <w:pStyle w:val="TOC1"/>
        <w:tabs>
          <w:tab w:val="right" w:leader="dot" w:pos="9350"/>
        </w:tabs>
        <w:rPr>
          <w:rFonts w:asciiTheme="minorHAnsi" w:eastAsiaTheme="minorEastAsia" w:hAnsiTheme="minorHAnsi" w:cstheme="minorBidi"/>
          <w:b w:val="0"/>
          <w:caps w:val="0"/>
          <w:noProof/>
          <w:sz w:val="22"/>
          <w:szCs w:val="22"/>
        </w:rPr>
      </w:pPr>
      <w:hyperlink w:anchor="_Toc506540059" w:history="1">
        <w:r w:rsidRPr="00392554">
          <w:rPr>
            <w:rStyle w:val="Hyperlink"/>
            <w:noProof/>
          </w:rPr>
          <w:t>APPENDIX: ENVIRONMENTAL QUESTIONNAIRE</w:t>
        </w:r>
        <w:r>
          <w:rPr>
            <w:noProof/>
            <w:webHidden/>
          </w:rPr>
          <w:tab/>
        </w:r>
        <w:r>
          <w:rPr>
            <w:noProof/>
            <w:webHidden/>
          </w:rPr>
          <w:fldChar w:fldCharType="begin"/>
        </w:r>
        <w:r>
          <w:rPr>
            <w:noProof/>
            <w:webHidden/>
          </w:rPr>
          <w:instrText xml:space="preserve"> PAGEREF _Toc506540059 \h </w:instrText>
        </w:r>
        <w:r>
          <w:rPr>
            <w:noProof/>
            <w:webHidden/>
          </w:rPr>
        </w:r>
        <w:r>
          <w:rPr>
            <w:noProof/>
            <w:webHidden/>
          </w:rPr>
          <w:fldChar w:fldCharType="separate"/>
        </w:r>
        <w:r>
          <w:rPr>
            <w:noProof/>
            <w:webHidden/>
          </w:rPr>
          <w:t>98</w:t>
        </w:r>
        <w:r>
          <w:rPr>
            <w:noProof/>
            <w:webHidden/>
          </w:rPr>
          <w:fldChar w:fldCharType="end"/>
        </w:r>
      </w:hyperlink>
    </w:p>
    <w:p w14:paraId="7288DDF1" w14:textId="62CAED28" w:rsidR="0072146F" w:rsidRDefault="0072146F">
      <w:pPr>
        <w:pStyle w:val="TOC1"/>
        <w:tabs>
          <w:tab w:val="right" w:leader="dot" w:pos="9350"/>
        </w:tabs>
        <w:rPr>
          <w:rFonts w:asciiTheme="minorHAnsi" w:eastAsiaTheme="minorEastAsia" w:hAnsiTheme="minorHAnsi" w:cstheme="minorBidi"/>
          <w:b w:val="0"/>
          <w:caps w:val="0"/>
          <w:noProof/>
          <w:sz w:val="22"/>
          <w:szCs w:val="22"/>
        </w:rPr>
      </w:pPr>
      <w:hyperlink w:anchor="_Toc506540060" w:history="1">
        <w:r w:rsidRPr="00392554">
          <w:rPr>
            <w:rStyle w:val="Hyperlink"/>
            <w:noProof/>
          </w:rPr>
          <w:t>Bibliography</w:t>
        </w:r>
        <w:r>
          <w:rPr>
            <w:noProof/>
            <w:webHidden/>
          </w:rPr>
          <w:tab/>
        </w:r>
        <w:r>
          <w:rPr>
            <w:noProof/>
            <w:webHidden/>
          </w:rPr>
          <w:fldChar w:fldCharType="begin"/>
        </w:r>
        <w:r>
          <w:rPr>
            <w:noProof/>
            <w:webHidden/>
          </w:rPr>
          <w:instrText xml:space="preserve"> PAGEREF _Toc506540060 \h </w:instrText>
        </w:r>
        <w:r>
          <w:rPr>
            <w:noProof/>
            <w:webHidden/>
          </w:rPr>
        </w:r>
        <w:r>
          <w:rPr>
            <w:noProof/>
            <w:webHidden/>
          </w:rPr>
          <w:fldChar w:fldCharType="separate"/>
        </w:r>
        <w:r>
          <w:rPr>
            <w:noProof/>
            <w:webHidden/>
          </w:rPr>
          <w:t>113</w:t>
        </w:r>
        <w:r>
          <w:rPr>
            <w:noProof/>
            <w:webHidden/>
          </w:rPr>
          <w:fldChar w:fldCharType="end"/>
        </w:r>
      </w:hyperlink>
    </w:p>
    <w:p w14:paraId="00BEFDFF" w14:textId="585578E6" w:rsidR="00CB03F9" w:rsidRPr="005A7F38" w:rsidRDefault="00367476" w:rsidP="002446BB">
      <w:pPr>
        <w:pStyle w:val="Preliminary"/>
        <w:rPr>
          <w:rFonts w:cs="Times New Roman"/>
        </w:rPr>
      </w:pPr>
      <w:r w:rsidRPr="005A7F38">
        <w:rPr>
          <w:rFonts w:cs="Times New Roman"/>
        </w:rPr>
        <w:lastRenderedPageBreak/>
        <w:fldChar w:fldCharType="end"/>
      </w:r>
      <w:r w:rsidR="00CB03F9" w:rsidRPr="005A7F38">
        <w:rPr>
          <w:rFonts w:cs="Times New Roman"/>
        </w:rPr>
        <w:t>List of tables</w:t>
      </w:r>
    </w:p>
    <w:p w14:paraId="0E6EA921" w14:textId="5C2D96F1" w:rsidR="0072146F" w:rsidRDefault="00CB03F9">
      <w:pPr>
        <w:pStyle w:val="TableofFigures"/>
        <w:tabs>
          <w:tab w:val="right" w:leader="dot" w:pos="9350"/>
        </w:tabs>
        <w:rPr>
          <w:rFonts w:asciiTheme="minorHAnsi" w:eastAsiaTheme="minorEastAsia" w:hAnsiTheme="minorHAnsi" w:cstheme="minorBidi"/>
          <w:noProof/>
          <w:sz w:val="22"/>
          <w:szCs w:val="22"/>
        </w:rPr>
      </w:pPr>
      <w:r w:rsidRPr="005A7F38">
        <w:fldChar w:fldCharType="begin"/>
      </w:r>
      <w:r w:rsidRPr="005A7F38">
        <w:instrText xml:space="preserve"> TOC \h \z \c "Table" </w:instrText>
      </w:r>
      <w:r w:rsidRPr="005A7F38">
        <w:fldChar w:fldCharType="separate"/>
      </w:r>
      <w:hyperlink w:anchor="_Toc506540061" w:history="1">
        <w:r w:rsidR="0072146F" w:rsidRPr="00151050">
          <w:rPr>
            <w:rStyle w:val="Hyperlink"/>
            <w:noProof/>
          </w:rPr>
          <w:t>Table 1. GRADS Phenotypic Designations</w:t>
        </w:r>
        <w:r w:rsidR="0072146F">
          <w:rPr>
            <w:noProof/>
            <w:webHidden/>
          </w:rPr>
          <w:tab/>
        </w:r>
        <w:r w:rsidR="0072146F">
          <w:rPr>
            <w:noProof/>
            <w:webHidden/>
          </w:rPr>
          <w:fldChar w:fldCharType="begin"/>
        </w:r>
        <w:r w:rsidR="0072146F">
          <w:rPr>
            <w:noProof/>
            <w:webHidden/>
          </w:rPr>
          <w:instrText xml:space="preserve"> PAGEREF _Toc506540061 \h </w:instrText>
        </w:r>
        <w:r w:rsidR="0072146F">
          <w:rPr>
            <w:noProof/>
            <w:webHidden/>
          </w:rPr>
        </w:r>
        <w:r w:rsidR="0072146F">
          <w:rPr>
            <w:noProof/>
            <w:webHidden/>
          </w:rPr>
          <w:fldChar w:fldCharType="separate"/>
        </w:r>
        <w:r w:rsidR="0072146F">
          <w:rPr>
            <w:noProof/>
            <w:webHidden/>
          </w:rPr>
          <w:t>62</w:t>
        </w:r>
        <w:r w:rsidR="0072146F">
          <w:rPr>
            <w:noProof/>
            <w:webHidden/>
          </w:rPr>
          <w:fldChar w:fldCharType="end"/>
        </w:r>
      </w:hyperlink>
    </w:p>
    <w:p w14:paraId="465B0CDD" w14:textId="61D9E497" w:rsidR="0072146F" w:rsidRDefault="0072146F">
      <w:pPr>
        <w:pStyle w:val="TableofFigures"/>
        <w:tabs>
          <w:tab w:val="right" w:leader="dot" w:pos="9350"/>
        </w:tabs>
        <w:rPr>
          <w:rFonts w:asciiTheme="minorHAnsi" w:eastAsiaTheme="minorEastAsia" w:hAnsiTheme="minorHAnsi" w:cstheme="minorBidi"/>
          <w:noProof/>
          <w:sz w:val="22"/>
          <w:szCs w:val="22"/>
        </w:rPr>
      </w:pPr>
      <w:hyperlink w:anchor="_Toc506540062" w:history="1">
        <w:r w:rsidRPr="00151050">
          <w:rPr>
            <w:rStyle w:val="Hyperlink"/>
            <w:noProof/>
          </w:rPr>
          <w:t>Table 2. GRADS Schedule of Study Procedures</w:t>
        </w:r>
        <w:r>
          <w:rPr>
            <w:noProof/>
            <w:webHidden/>
          </w:rPr>
          <w:tab/>
        </w:r>
        <w:r>
          <w:rPr>
            <w:noProof/>
            <w:webHidden/>
          </w:rPr>
          <w:fldChar w:fldCharType="begin"/>
        </w:r>
        <w:r>
          <w:rPr>
            <w:noProof/>
            <w:webHidden/>
          </w:rPr>
          <w:instrText xml:space="preserve"> PAGEREF _Toc506540062 \h </w:instrText>
        </w:r>
        <w:r>
          <w:rPr>
            <w:noProof/>
            <w:webHidden/>
          </w:rPr>
        </w:r>
        <w:r>
          <w:rPr>
            <w:noProof/>
            <w:webHidden/>
          </w:rPr>
          <w:fldChar w:fldCharType="separate"/>
        </w:r>
        <w:r>
          <w:rPr>
            <w:noProof/>
            <w:webHidden/>
          </w:rPr>
          <w:t>67</w:t>
        </w:r>
        <w:r>
          <w:rPr>
            <w:noProof/>
            <w:webHidden/>
          </w:rPr>
          <w:fldChar w:fldCharType="end"/>
        </w:r>
      </w:hyperlink>
    </w:p>
    <w:p w14:paraId="2E0944C4" w14:textId="7C9ED077" w:rsidR="0072146F" w:rsidRDefault="0072146F">
      <w:pPr>
        <w:pStyle w:val="TableofFigures"/>
        <w:tabs>
          <w:tab w:val="right" w:leader="dot" w:pos="9350"/>
        </w:tabs>
        <w:rPr>
          <w:rFonts w:asciiTheme="minorHAnsi" w:eastAsiaTheme="minorEastAsia" w:hAnsiTheme="minorHAnsi" w:cstheme="minorBidi"/>
          <w:noProof/>
          <w:sz w:val="22"/>
          <w:szCs w:val="22"/>
        </w:rPr>
      </w:pPr>
      <w:hyperlink w:anchor="_Toc506540063" w:history="1">
        <w:r w:rsidRPr="00151050">
          <w:rPr>
            <w:rStyle w:val="Hyperlink"/>
            <w:noProof/>
          </w:rPr>
          <w:t>Table 3. Sociodemographic Characteristics of Sarcoidosis Cases and Controls</w:t>
        </w:r>
        <w:r>
          <w:rPr>
            <w:noProof/>
            <w:webHidden/>
          </w:rPr>
          <w:tab/>
        </w:r>
        <w:r>
          <w:rPr>
            <w:noProof/>
            <w:webHidden/>
          </w:rPr>
          <w:fldChar w:fldCharType="begin"/>
        </w:r>
        <w:r>
          <w:rPr>
            <w:noProof/>
            <w:webHidden/>
          </w:rPr>
          <w:instrText xml:space="preserve"> PAGEREF _Toc506540063 \h </w:instrText>
        </w:r>
        <w:r>
          <w:rPr>
            <w:noProof/>
            <w:webHidden/>
          </w:rPr>
        </w:r>
        <w:r>
          <w:rPr>
            <w:noProof/>
            <w:webHidden/>
          </w:rPr>
          <w:fldChar w:fldCharType="separate"/>
        </w:r>
        <w:r>
          <w:rPr>
            <w:noProof/>
            <w:webHidden/>
          </w:rPr>
          <w:t>73</w:t>
        </w:r>
        <w:r>
          <w:rPr>
            <w:noProof/>
            <w:webHidden/>
          </w:rPr>
          <w:fldChar w:fldCharType="end"/>
        </w:r>
      </w:hyperlink>
    </w:p>
    <w:p w14:paraId="349FDBCF" w14:textId="51C837CF" w:rsidR="0072146F" w:rsidRDefault="0072146F">
      <w:pPr>
        <w:pStyle w:val="TableofFigures"/>
        <w:tabs>
          <w:tab w:val="right" w:leader="dot" w:pos="9350"/>
        </w:tabs>
        <w:rPr>
          <w:rFonts w:asciiTheme="minorHAnsi" w:eastAsiaTheme="minorEastAsia" w:hAnsiTheme="minorHAnsi" w:cstheme="minorBidi"/>
          <w:noProof/>
          <w:sz w:val="22"/>
          <w:szCs w:val="22"/>
        </w:rPr>
      </w:pPr>
      <w:hyperlink w:anchor="_Toc506540064" w:history="1">
        <w:r w:rsidRPr="00151050">
          <w:rPr>
            <w:rStyle w:val="Hyperlink"/>
            <w:noProof/>
          </w:rPr>
          <w:t>Table 4. Scadding Stage Distribution Among Sarcoidosis Cases</w:t>
        </w:r>
        <w:r>
          <w:rPr>
            <w:noProof/>
            <w:webHidden/>
          </w:rPr>
          <w:tab/>
        </w:r>
        <w:r>
          <w:rPr>
            <w:noProof/>
            <w:webHidden/>
          </w:rPr>
          <w:fldChar w:fldCharType="begin"/>
        </w:r>
        <w:r>
          <w:rPr>
            <w:noProof/>
            <w:webHidden/>
          </w:rPr>
          <w:instrText xml:space="preserve"> PAGEREF _Toc506540064 \h </w:instrText>
        </w:r>
        <w:r>
          <w:rPr>
            <w:noProof/>
            <w:webHidden/>
          </w:rPr>
        </w:r>
        <w:r>
          <w:rPr>
            <w:noProof/>
            <w:webHidden/>
          </w:rPr>
          <w:fldChar w:fldCharType="separate"/>
        </w:r>
        <w:r>
          <w:rPr>
            <w:noProof/>
            <w:webHidden/>
          </w:rPr>
          <w:t>74</w:t>
        </w:r>
        <w:r>
          <w:rPr>
            <w:noProof/>
            <w:webHidden/>
          </w:rPr>
          <w:fldChar w:fldCharType="end"/>
        </w:r>
      </w:hyperlink>
    </w:p>
    <w:p w14:paraId="73C06E69" w14:textId="3F5D0A28" w:rsidR="0072146F" w:rsidRDefault="0072146F">
      <w:pPr>
        <w:pStyle w:val="TableofFigures"/>
        <w:tabs>
          <w:tab w:val="right" w:leader="dot" w:pos="9350"/>
        </w:tabs>
        <w:rPr>
          <w:rFonts w:asciiTheme="minorHAnsi" w:eastAsiaTheme="minorEastAsia" w:hAnsiTheme="minorHAnsi" w:cstheme="minorBidi"/>
          <w:noProof/>
          <w:sz w:val="22"/>
          <w:szCs w:val="22"/>
        </w:rPr>
      </w:pPr>
      <w:hyperlink w:anchor="_Toc506540065" w:history="1">
        <w:r w:rsidRPr="00151050">
          <w:rPr>
            <w:rStyle w:val="Hyperlink"/>
            <w:noProof/>
          </w:rPr>
          <w:t>Table 5. Clinical Phenotype Group Distribution Among Sarcoidosis Cases</w:t>
        </w:r>
        <w:r>
          <w:rPr>
            <w:noProof/>
            <w:webHidden/>
          </w:rPr>
          <w:tab/>
        </w:r>
        <w:r>
          <w:rPr>
            <w:noProof/>
            <w:webHidden/>
          </w:rPr>
          <w:fldChar w:fldCharType="begin"/>
        </w:r>
        <w:r>
          <w:rPr>
            <w:noProof/>
            <w:webHidden/>
          </w:rPr>
          <w:instrText xml:space="preserve"> PAGEREF _Toc506540065 \h </w:instrText>
        </w:r>
        <w:r>
          <w:rPr>
            <w:noProof/>
            <w:webHidden/>
          </w:rPr>
        </w:r>
        <w:r>
          <w:rPr>
            <w:noProof/>
            <w:webHidden/>
          </w:rPr>
          <w:fldChar w:fldCharType="separate"/>
        </w:r>
        <w:r>
          <w:rPr>
            <w:noProof/>
            <w:webHidden/>
          </w:rPr>
          <w:t>74</w:t>
        </w:r>
        <w:r>
          <w:rPr>
            <w:noProof/>
            <w:webHidden/>
          </w:rPr>
          <w:fldChar w:fldCharType="end"/>
        </w:r>
      </w:hyperlink>
    </w:p>
    <w:p w14:paraId="3858A6A9" w14:textId="507C782D" w:rsidR="0072146F" w:rsidRDefault="0072146F">
      <w:pPr>
        <w:pStyle w:val="TableofFigures"/>
        <w:tabs>
          <w:tab w:val="right" w:leader="dot" w:pos="9350"/>
        </w:tabs>
        <w:rPr>
          <w:rFonts w:asciiTheme="minorHAnsi" w:eastAsiaTheme="minorEastAsia" w:hAnsiTheme="minorHAnsi" w:cstheme="minorBidi"/>
          <w:noProof/>
          <w:sz w:val="22"/>
          <w:szCs w:val="22"/>
        </w:rPr>
      </w:pPr>
      <w:hyperlink w:anchor="_Toc506540066" w:history="1">
        <w:r w:rsidRPr="00151050">
          <w:rPr>
            <w:rStyle w:val="Hyperlink"/>
            <w:noProof/>
          </w:rPr>
          <w:t>Table 6. Occupational Exposures Among Sarcoidosis Cases and Controls</w:t>
        </w:r>
        <w:r>
          <w:rPr>
            <w:noProof/>
            <w:webHidden/>
          </w:rPr>
          <w:tab/>
        </w:r>
        <w:r>
          <w:rPr>
            <w:noProof/>
            <w:webHidden/>
          </w:rPr>
          <w:fldChar w:fldCharType="begin"/>
        </w:r>
        <w:r>
          <w:rPr>
            <w:noProof/>
            <w:webHidden/>
          </w:rPr>
          <w:instrText xml:space="preserve"> PAGEREF _Toc506540066 \h </w:instrText>
        </w:r>
        <w:r>
          <w:rPr>
            <w:noProof/>
            <w:webHidden/>
          </w:rPr>
        </w:r>
        <w:r>
          <w:rPr>
            <w:noProof/>
            <w:webHidden/>
          </w:rPr>
          <w:fldChar w:fldCharType="separate"/>
        </w:r>
        <w:r>
          <w:rPr>
            <w:noProof/>
            <w:webHidden/>
          </w:rPr>
          <w:t>76</w:t>
        </w:r>
        <w:r>
          <w:rPr>
            <w:noProof/>
            <w:webHidden/>
          </w:rPr>
          <w:fldChar w:fldCharType="end"/>
        </w:r>
      </w:hyperlink>
    </w:p>
    <w:p w14:paraId="3BFE6641" w14:textId="19EB88C3" w:rsidR="0072146F" w:rsidRDefault="0072146F">
      <w:pPr>
        <w:pStyle w:val="TableofFigures"/>
        <w:tabs>
          <w:tab w:val="right" w:leader="dot" w:pos="9350"/>
        </w:tabs>
        <w:rPr>
          <w:rFonts w:asciiTheme="minorHAnsi" w:eastAsiaTheme="minorEastAsia" w:hAnsiTheme="minorHAnsi" w:cstheme="minorBidi"/>
          <w:noProof/>
          <w:sz w:val="22"/>
          <w:szCs w:val="22"/>
        </w:rPr>
      </w:pPr>
      <w:hyperlink w:anchor="_Toc506540067" w:history="1">
        <w:r w:rsidRPr="00151050">
          <w:rPr>
            <w:rStyle w:val="Hyperlink"/>
            <w:noProof/>
          </w:rPr>
          <w:t>Table 7. Animal Exposures Among Sarcoidosis Cases and Controls</w:t>
        </w:r>
        <w:r>
          <w:rPr>
            <w:noProof/>
            <w:webHidden/>
          </w:rPr>
          <w:tab/>
        </w:r>
        <w:r>
          <w:rPr>
            <w:noProof/>
            <w:webHidden/>
          </w:rPr>
          <w:fldChar w:fldCharType="begin"/>
        </w:r>
        <w:r>
          <w:rPr>
            <w:noProof/>
            <w:webHidden/>
          </w:rPr>
          <w:instrText xml:space="preserve"> PAGEREF _Toc506540067 \h </w:instrText>
        </w:r>
        <w:r>
          <w:rPr>
            <w:noProof/>
            <w:webHidden/>
          </w:rPr>
        </w:r>
        <w:r>
          <w:rPr>
            <w:noProof/>
            <w:webHidden/>
          </w:rPr>
          <w:fldChar w:fldCharType="separate"/>
        </w:r>
        <w:r>
          <w:rPr>
            <w:noProof/>
            <w:webHidden/>
          </w:rPr>
          <w:t>78</w:t>
        </w:r>
        <w:r>
          <w:rPr>
            <w:noProof/>
            <w:webHidden/>
          </w:rPr>
          <w:fldChar w:fldCharType="end"/>
        </w:r>
      </w:hyperlink>
    </w:p>
    <w:p w14:paraId="29A5A2AF" w14:textId="404F83FB" w:rsidR="0072146F" w:rsidRDefault="0072146F">
      <w:pPr>
        <w:pStyle w:val="TableofFigures"/>
        <w:tabs>
          <w:tab w:val="right" w:leader="dot" w:pos="9350"/>
        </w:tabs>
        <w:rPr>
          <w:rFonts w:asciiTheme="minorHAnsi" w:eastAsiaTheme="minorEastAsia" w:hAnsiTheme="minorHAnsi" w:cstheme="minorBidi"/>
          <w:noProof/>
          <w:sz w:val="22"/>
          <w:szCs w:val="22"/>
        </w:rPr>
      </w:pPr>
      <w:hyperlink w:anchor="_Toc506540068" w:history="1">
        <w:r w:rsidRPr="00151050">
          <w:rPr>
            <w:rStyle w:val="Hyperlink"/>
            <w:noProof/>
          </w:rPr>
          <w:t>Table 8. Residential Exposures Among Cases and Controls</w:t>
        </w:r>
        <w:r>
          <w:rPr>
            <w:noProof/>
            <w:webHidden/>
          </w:rPr>
          <w:tab/>
        </w:r>
        <w:r>
          <w:rPr>
            <w:noProof/>
            <w:webHidden/>
          </w:rPr>
          <w:fldChar w:fldCharType="begin"/>
        </w:r>
        <w:r>
          <w:rPr>
            <w:noProof/>
            <w:webHidden/>
          </w:rPr>
          <w:instrText xml:space="preserve"> PAGEREF _Toc506540068 \h </w:instrText>
        </w:r>
        <w:r>
          <w:rPr>
            <w:noProof/>
            <w:webHidden/>
          </w:rPr>
        </w:r>
        <w:r>
          <w:rPr>
            <w:noProof/>
            <w:webHidden/>
          </w:rPr>
          <w:fldChar w:fldCharType="separate"/>
        </w:r>
        <w:r>
          <w:rPr>
            <w:noProof/>
            <w:webHidden/>
          </w:rPr>
          <w:t>79</w:t>
        </w:r>
        <w:r>
          <w:rPr>
            <w:noProof/>
            <w:webHidden/>
          </w:rPr>
          <w:fldChar w:fldCharType="end"/>
        </w:r>
      </w:hyperlink>
    </w:p>
    <w:p w14:paraId="525EC999" w14:textId="79370EC2" w:rsidR="0072146F" w:rsidRDefault="0072146F">
      <w:pPr>
        <w:pStyle w:val="TableofFigures"/>
        <w:tabs>
          <w:tab w:val="right" w:leader="dot" w:pos="9350"/>
        </w:tabs>
        <w:rPr>
          <w:rFonts w:asciiTheme="minorHAnsi" w:eastAsiaTheme="minorEastAsia" w:hAnsiTheme="minorHAnsi" w:cstheme="minorBidi"/>
          <w:noProof/>
          <w:sz w:val="22"/>
          <w:szCs w:val="22"/>
        </w:rPr>
      </w:pPr>
      <w:hyperlink w:anchor="_Toc506540069" w:history="1">
        <w:r w:rsidRPr="00151050">
          <w:rPr>
            <w:rStyle w:val="Hyperlink"/>
            <w:noProof/>
          </w:rPr>
          <w:t>Table 9. Environmental Exposures Among Sarcoidosis Cases and Controls using a Multivariate Model</w:t>
        </w:r>
        <w:r>
          <w:rPr>
            <w:noProof/>
            <w:webHidden/>
          </w:rPr>
          <w:tab/>
        </w:r>
        <w:r>
          <w:rPr>
            <w:noProof/>
            <w:webHidden/>
          </w:rPr>
          <w:fldChar w:fldCharType="begin"/>
        </w:r>
        <w:r>
          <w:rPr>
            <w:noProof/>
            <w:webHidden/>
          </w:rPr>
          <w:instrText xml:space="preserve"> PAGEREF _Toc506540069 \h </w:instrText>
        </w:r>
        <w:r>
          <w:rPr>
            <w:noProof/>
            <w:webHidden/>
          </w:rPr>
        </w:r>
        <w:r>
          <w:rPr>
            <w:noProof/>
            <w:webHidden/>
          </w:rPr>
          <w:fldChar w:fldCharType="separate"/>
        </w:r>
        <w:r>
          <w:rPr>
            <w:noProof/>
            <w:webHidden/>
          </w:rPr>
          <w:t>79</w:t>
        </w:r>
        <w:r>
          <w:rPr>
            <w:noProof/>
            <w:webHidden/>
          </w:rPr>
          <w:fldChar w:fldCharType="end"/>
        </w:r>
      </w:hyperlink>
    </w:p>
    <w:p w14:paraId="1968CB00" w14:textId="5B363221" w:rsidR="0072146F" w:rsidRDefault="0072146F">
      <w:pPr>
        <w:pStyle w:val="TableofFigures"/>
        <w:tabs>
          <w:tab w:val="right" w:leader="dot" w:pos="9350"/>
        </w:tabs>
        <w:rPr>
          <w:rFonts w:asciiTheme="minorHAnsi" w:eastAsiaTheme="minorEastAsia" w:hAnsiTheme="minorHAnsi" w:cstheme="minorBidi"/>
          <w:noProof/>
          <w:sz w:val="22"/>
          <w:szCs w:val="22"/>
        </w:rPr>
      </w:pPr>
      <w:hyperlink w:anchor="_Toc506540070" w:history="1">
        <w:r w:rsidRPr="00151050">
          <w:rPr>
            <w:rStyle w:val="Hyperlink"/>
            <w:noProof/>
          </w:rPr>
          <w:t>Table 10. Vitals Signs Among Sarcoidosis Cases and Controls</w:t>
        </w:r>
        <w:r>
          <w:rPr>
            <w:noProof/>
            <w:webHidden/>
          </w:rPr>
          <w:tab/>
        </w:r>
        <w:r>
          <w:rPr>
            <w:noProof/>
            <w:webHidden/>
          </w:rPr>
          <w:fldChar w:fldCharType="begin"/>
        </w:r>
        <w:r>
          <w:rPr>
            <w:noProof/>
            <w:webHidden/>
          </w:rPr>
          <w:instrText xml:space="preserve"> PAGEREF _Toc506540070 \h </w:instrText>
        </w:r>
        <w:r>
          <w:rPr>
            <w:noProof/>
            <w:webHidden/>
          </w:rPr>
        </w:r>
        <w:r>
          <w:rPr>
            <w:noProof/>
            <w:webHidden/>
          </w:rPr>
          <w:fldChar w:fldCharType="separate"/>
        </w:r>
        <w:r>
          <w:rPr>
            <w:noProof/>
            <w:webHidden/>
          </w:rPr>
          <w:t>81</w:t>
        </w:r>
        <w:r>
          <w:rPr>
            <w:noProof/>
            <w:webHidden/>
          </w:rPr>
          <w:fldChar w:fldCharType="end"/>
        </w:r>
      </w:hyperlink>
    </w:p>
    <w:p w14:paraId="64407F5D" w14:textId="219EA780" w:rsidR="0072146F" w:rsidRDefault="0072146F">
      <w:pPr>
        <w:pStyle w:val="TableofFigures"/>
        <w:tabs>
          <w:tab w:val="right" w:leader="dot" w:pos="9350"/>
        </w:tabs>
        <w:rPr>
          <w:rFonts w:asciiTheme="minorHAnsi" w:eastAsiaTheme="minorEastAsia" w:hAnsiTheme="minorHAnsi" w:cstheme="minorBidi"/>
          <w:noProof/>
          <w:sz w:val="22"/>
          <w:szCs w:val="22"/>
        </w:rPr>
      </w:pPr>
      <w:hyperlink w:anchor="_Toc506540071" w:history="1">
        <w:r w:rsidRPr="00151050">
          <w:rPr>
            <w:rStyle w:val="Hyperlink"/>
            <w:noProof/>
          </w:rPr>
          <w:t>Table 11. Family Medical History Among Sarcoidosis Case and Controls</w:t>
        </w:r>
        <w:r>
          <w:rPr>
            <w:noProof/>
            <w:webHidden/>
          </w:rPr>
          <w:tab/>
        </w:r>
        <w:r>
          <w:rPr>
            <w:noProof/>
            <w:webHidden/>
          </w:rPr>
          <w:fldChar w:fldCharType="begin"/>
        </w:r>
        <w:r>
          <w:rPr>
            <w:noProof/>
            <w:webHidden/>
          </w:rPr>
          <w:instrText xml:space="preserve"> PAGEREF _Toc506540071 \h </w:instrText>
        </w:r>
        <w:r>
          <w:rPr>
            <w:noProof/>
            <w:webHidden/>
          </w:rPr>
        </w:r>
        <w:r>
          <w:rPr>
            <w:noProof/>
            <w:webHidden/>
          </w:rPr>
          <w:fldChar w:fldCharType="separate"/>
        </w:r>
        <w:r>
          <w:rPr>
            <w:noProof/>
            <w:webHidden/>
          </w:rPr>
          <w:t>81</w:t>
        </w:r>
        <w:r>
          <w:rPr>
            <w:noProof/>
            <w:webHidden/>
          </w:rPr>
          <w:fldChar w:fldCharType="end"/>
        </w:r>
      </w:hyperlink>
    </w:p>
    <w:p w14:paraId="5A265F60" w14:textId="69842AE6" w:rsidR="00B424B6" w:rsidRPr="005A7F38" w:rsidRDefault="00CB03F9" w:rsidP="002446BB">
      <w:pPr>
        <w:pStyle w:val="Preliminary"/>
        <w:rPr>
          <w:rFonts w:cs="Times New Roman"/>
        </w:rPr>
      </w:pPr>
      <w:r w:rsidRPr="005A7F38">
        <w:rPr>
          <w:rFonts w:cs="Times New Roman"/>
        </w:rPr>
        <w:lastRenderedPageBreak/>
        <w:fldChar w:fldCharType="end"/>
      </w:r>
      <w:r w:rsidR="00B424B6" w:rsidRPr="005A7F38">
        <w:rPr>
          <w:rFonts w:cs="Times New Roman"/>
        </w:rPr>
        <w:t>List of figures</w:t>
      </w:r>
    </w:p>
    <w:p w14:paraId="40375C3F" w14:textId="385EE190" w:rsidR="0072146F" w:rsidRDefault="00B424B6">
      <w:pPr>
        <w:pStyle w:val="TableofFigures"/>
        <w:tabs>
          <w:tab w:val="right" w:leader="dot" w:pos="9350"/>
        </w:tabs>
        <w:rPr>
          <w:rFonts w:asciiTheme="minorHAnsi" w:eastAsiaTheme="minorEastAsia" w:hAnsiTheme="minorHAnsi" w:cstheme="minorBidi"/>
          <w:noProof/>
          <w:sz w:val="22"/>
          <w:szCs w:val="22"/>
        </w:rPr>
      </w:pPr>
      <w:r w:rsidRPr="005A7F38">
        <w:fldChar w:fldCharType="begin"/>
      </w:r>
      <w:r w:rsidRPr="005A7F38">
        <w:instrText xml:space="preserve"> TOC \h \z \c "Figure" </w:instrText>
      </w:r>
      <w:r w:rsidRPr="005A7F38">
        <w:fldChar w:fldCharType="separate"/>
      </w:r>
      <w:hyperlink w:anchor="_Toc506540072" w:history="1">
        <w:r w:rsidR="0072146F" w:rsidRPr="00BF6686">
          <w:rPr>
            <w:rStyle w:val="Hyperlink"/>
            <w:noProof/>
          </w:rPr>
          <w:t>Figure 1. Gross pathology of pulmonary sarcoidosis with obvious granulomatous inflammation.</w:t>
        </w:r>
        <w:r w:rsidR="0072146F">
          <w:rPr>
            <w:noProof/>
            <w:webHidden/>
          </w:rPr>
          <w:tab/>
        </w:r>
        <w:r w:rsidR="0072146F">
          <w:rPr>
            <w:noProof/>
            <w:webHidden/>
          </w:rPr>
          <w:fldChar w:fldCharType="begin"/>
        </w:r>
        <w:r w:rsidR="0072146F">
          <w:rPr>
            <w:noProof/>
            <w:webHidden/>
          </w:rPr>
          <w:instrText xml:space="preserve"> PAGEREF _Toc506540072 \h </w:instrText>
        </w:r>
        <w:r w:rsidR="0072146F">
          <w:rPr>
            <w:noProof/>
            <w:webHidden/>
          </w:rPr>
        </w:r>
        <w:r w:rsidR="0072146F">
          <w:rPr>
            <w:noProof/>
            <w:webHidden/>
          </w:rPr>
          <w:fldChar w:fldCharType="separate"/>
        </w:r>
        <w:r w:rsidR="0072146F">
          <w:rPr>
            <w:noProof/>
            <w:webHidden/>
          </w:rPr>
          <w:t>3</w:t>
        </w:r>
        <w:r w:rsidR="0072146F">
          <w:rPr>
            <w:noProof/>
            <w:webHidden/>
          </w:rPr>
          <w:fldChar w:fldCharType="end"/>
        </w:r>
      </w:hyperlink>
    </w:p>
    <w:p w14:paraId="26DABCB9" w14:textId="50300DAC" w:rsidR="0072146F" w:rsidRDefault="0072146F">
      <w:pPr>
        <w:pStyle w:val="TableofFigures"/>
        <w:tabs>
          <w:tab w:val="right" w:leader="dot" w:pos="9350"/>
        </w:tabs>
        <w:rPr>
          <w:rFonts w:asciiTheme="minorHAnsi" w:eastAsiaTheme="minorEastAsia" w:hAnsiTheme="minorHAnsi" w:cstheme="minorBidi"/>
          <w:noProof/>
          <w:sz w:val="22"/>
          <w:szCs w:val="22"/>
        </w:rPr>
      </w:pPr>
      <w:hyperlink w:anchor="_Toc506540073" w:history="1">
        <w:r w:rsidRPr="00BF6686">
          <w:rPr>
            <w:rStyle w:val="Hyperlink"/>
            <w:noProof/>
          </w:rPr>
          <w:t>Figure 2. Axial CT image of Pulmonary Sarcoidosis</w:t>
        </w:r>
        <w:r>
          <w:rPr>
            <w:noProof/>
            <w:webHidden/>
          </w:rPr>
          <w:tab/>
        </w:r>
        <w:r>
          <w:rPr>
            <w:noProof/>
            <w:webHidden/>
          </w:rPr>
          <w:fldChar w:fldCharType="begin"/>
        </w:r>
        <w:r>
          <w:rPr>
            <w:noProof/>
            <w:webHidden/>
          </w:rPr>
          <w:instrText xml:space="preserve"> PAGEREF _Toc506540073 \h </w:instrText>
        </w:r>
        <w:r>
          <w:rPr>
            <w:noProof/>
            <w:webHidden/>
          </w:rPr>
        </w:r>
        <w:r>
          <w:rPr>
            <w:noProof/>
            <w:webHidden/>
          </w:rPr>
          <w:fldChar w:fldCharType="separate"/>
        </w:r>
        <w:r>
          <w:rPr>
            <w:noProof/>
            <w:webHidden/>
          </w:rPr>
          <w:t>5</w:t>
        </w:r>
        <w:r>
          <w:rPr>
            <w:noProof/>
            <w:webHidden/>
          </w:rPr>
          <w:fldChar w:fldCharType="end"/>
        </w:r>
      </w:hyperlink>
    </w:p>
    <w:p w14:paraId="3086C4E6" w14:textId="27D43647" w:rsidR="0072146F" w:rsidRDefault="0072146F">
      <w:pPr>
        <w:pStyle w:val="TableofFigures"/>
        <w:tabs>
          <w:tab w:val="right" w:leader="dot" w:pos="9350"/>
        </w:tabs>
        <w:rPr>
          <w:rFonts w:asciiTheme="minorHAnsi" w:eastAsiaTheme="minorEastAsia" w:hAnsiTheme="minorHAnsi" w:cstheme="minorBidi"/>
          <w:noProof/>
          <w:sz w:val="22"/>
          <w:szCs w:val="22"/>
        </w:rPr>
      </w:pPr>
      <w:hyperlink w:anchor="_Toc506540074" w:history="1">
        <w:r w:rsidRPr="00BF6686">
          <w:rPr>
            <w:rStyle w:val="Hyperlink"/>
            <w:noProof/>
          </w:rPr>
          <w:t>Figure 3. Histopathology of Lymph Node with Multiple Sarcoid Granulomas</w:t>
        </w:r>
        <w:r>
          <w:rPr>
            <w:noProof/>
            <w:webHidden/>
          </w:rPr>
          <w:tab/>
        </w:r>
        <w:r>
          <w:rPr>
            <w:noProof/>
            <w:webHidden/>
          </w:rPr>
          <w:fldChar w:fldCharType="begin"/>
        </w:r>
        <w:r>
          <w:rPr>
            <w:noProof/>
            <w:webHidden/>
          </w:rPr>
          <w:instrText xml:space="preserve"> PAGEREF _Toc506540074 \h </w:instrText>
        </w:r>
        <w:r>
          <w:rPr>
            <w:noProof/>
            <w:webHidden/>
          </w:rPr>
        </w:r>
        <w:r>
          <w:rPr>
            <w:noProof/>
            <w:webHidden/>
          </w:rPr>
          <w:fldChar w:fldCharType="separate"/>
        </w:r>
        <w:r>
          <w:rPr>
            <w:noProof/>
            <w:webHidden/>
          </w:rPr>
          <w:t>6</w:t>
        </w:r>
        <w:r>
          <w:rPr>
            <w:noProof/>
            <w:webHidden/>
          </w:rPr>
          <w:fldChar w:fldCharType="end"/>
        </w:r>
      </w:hyperlink>
    </w:p>
    <w:p w14:paraId="3D3C6E2B" w14:textId="2744998D" w:rsidR="0072146F" w:rsidRDefault="0072146F">
      <w:pPr>
        <w:pStyle w:val="TableofFigures"/>
        <w:tabs>
          <w:tab w:val="right" w:leader="dot" w:pos="9350"/>
        </w:tabs>
        <w:rPr>
          <w:rFonts w:asciiTheme="minorHAnsi" w:eastAsiaTheme="minorEastAsia" w:hAnsiTheme="minorHAnsi" w:cstheme="minorBidi"/>
          <w:noProof/>
          <w:sz w:val="22"/>
          <w:szCs w:val="22"/>
        </w:rPr>
      </w:pPr>
      <w:hyperlink w:anchor="_Toc506540075" w:history="1">
        <w:r w:rsidRPr="00BF6686">
          <w:rPr>
            <w:rStyle w:val="Hyperlink"/>
            <w:noProof/>
          </w:rPr>
          <w:t>Figure 4. Chest radiograph of Scadding stage IV Pulmonary Sarcoidosis</w:t>
        </w:r>
        <w:r>
          <w:rPr>
            <w:noProof/>
            <w:webHidden/>
          </w:rPr>
          <w:tab/>
        </w:r>
        <w:r>
          <w:rPr>
            <w:noProof/>
            <w:webHidden/>
          </w:rPr>
          <w:fldChar w:fldCharType="begin"/>
        </w:r>
        <w:r>
          <w:rPr>
            <w:noProof/>
            <w:webHidden/>
          </w:rPr>
          <w:instrText xml:space="preserve"> PAGEREF _Toc506540075 \h </w:instrText>
        </w:r>
        <w:r>
          <w:rPr>
            <w:noProof/>
            <w:webHidden/>
          </w:rPr>
        </w:r>
        <w:r>
          <w:rPr>
            <w:noProof/>
            <w:webHidden/>
          </w:rPr>
          <w:fldChar w:fldCharType="separate"/>
        </w:r>
        <w:r>
          <w:rPr>
            <w:noProof/>
            <w:webHidden/>
          </w:rPr>
          <w:t>8</w:t>
        </w:r>
        <w:r>
          <w:rPr>
            <w:noProof/>
            <w:webHidden/>
          </w:rPr>
          <w:fldChar w:fldCharType="end"/>
        </w:r>
      </w:hyperlink>
    </w:p>
    <w:p w14:paraId="525B2D74" w14:textId="61F718F9" w:rsidR="0072146F" w:rsidRDefault="0072146F">
      <w:pPr>
        <w:pStyle w:val="TableofFigures"/>
        <w:tabs>
          <w:tab w:val="right" w:leader="dot" w:pos="9350"/>
        </w:tabs>
        <w:rPr>
          <w:rFonts w:asciiTheme="minorHAnsi" w:eastAsiaTheme="minorEastAsia" w:hAnsiTheme="minorHAnsi" w:cstheme="minorBidi"/>
          <w:noProof/>
          <w:sz w:val="22"/>
          <w:szCs w:val="22"/>
        </w:rPr>
      </w:pPr>
      <w:hyperlink w:anchor="_Toc506540076" w:history="1">
        <w:r w:rsidRPr="00BF6686">
          <w:rPr>
            <w:rStyle w:val="Hyperlink"/>
            <w:noProof/>
          </w:rPr>
          <w:t>Figure 5. Rank Abundance of Fungi at the Level of Phylum</w:t>
        </w:r>
        <w:r>
          <w:rPr>
            <w:noProof/>
            <w:webHidden/>
          </w:rPr>
          <w:tab/>
        </w:r>
        <w:r>
          <w:rPr>
            <w:noProof/>
            <w:webHidden/>
          </w:rPr>
          <w:fldChar w:fldCharType="begin"/>
        </w:r>
        <w:r>
          <w:rPr>
            <w:noProof/>
            <w:webHidden/>
          </w:rPr>
          <w:instrText xml:space="preserve"> PAGEREF _Toc506540076 \h </w:instrText>
        </w:r>
        <w:r>
          <w:rPr>
            <w:noProof/>
            <w:webHidden/>
          </w:rPr>
        </w:r>
        <w:r>
          <w:rPr>
            <w:noProof/>
            <w:webHidden/>
          </w:rPr>
          <w:fldChar w:fldCharType="separate"/>
        </w:r>
        <w:r>
          <w:rPr>
            <w:noProof/>
            <w:webHidden/>
          </w:rPr>
          <w:t>82</w:t>
        </w:r>
        <w:r>
          <w:rPr>
            <w:noProof/>
            <w:webHidden/>
          </w:rPr>
          <w:fldChar w:fldCharType="end"/>
        </w:r>
      </w:hyperlink>
    </w:p>
    <w:p w14:paraId="0EEBA013" w14:textId="00C0259B" w:rsidR="0072146F" w:rsidRDefault="0072146F">
      <w:pPr>
        <w:pStyle w:val="TableofFigures"/>
        <w:tabs>
          <w:tab w:val="right" w:leader="dot" w:pos="9350"/>
        </w:tabs>
        <w:rPr>
          <w:rFonts w:asciiTheme="minorHAnsi" w:eastAsiaTheme="minorEastAsia" w:hAnsiTheme="minorHAnsi" w:cstheme="minorBidi"/>
          <w:noProof/>
          <w:sz w:val="22"/>
          <w:szCs w:val="22"/>
        </w:rPr>
      </w:pPr>
      <w:hyperlink w:anchor="_Toc506540077" w:history="1">
        <w:r w:rsidRPr="00BF6686">
          <w:rPr>
            <w:rStyle w:val="Hyperlink"/>
            <w:noProof/>
          </w:rPr>
          <w:t>Figure 6. Rank Abundance of Fungi at the Level of Order</w:t>
        </w:r>
        <w:r>
          <w:rPr>
            <w:noProof/>
            <w:webHidden/>
          </w:rPr>
          <w:tab/>
        </w:r>
        <w:r>
          <w:rPr>
            <w:noProof/>
            <w:webHidden/>
          </w:rPr>
          <w:fldChar w:fldCharType="begin"/>
        </w:r>
        <w:r>
          <w:rPr>
            <w:noProof/>
            <w:webHidden/>
          </w:rPr>
          <w:instrText xml:space="preserve"> PAGEREF _Toc506540077 \h </w:instrText>
        </w:r>
        <w:r>
          <w:rPr>
            <w:noProof/>
            <w:webHidden/>
          </w:rPr>
        </w:r>
        <w:r>
          <w:rPr>
            <w:noProof/>
            <w:webHidden/>
          </w:rPr>
          <w:fldChar w:fldCharType="separate"/>
        </w:r>
        <w:r>
          <w:rPr>
            <w:noProof/>
            <w:webHidden/>
          </w:rPr>
          <w:t>84</w:t>
        </w:r>
        <w:r>
          <w:rPr>
            <w:noProof/>
            <w:webHidden/>
          </w:rPr>
          <w:fldChar w:fldCharType="end"/>
        </w:r>
      </w:hyperlink>
    </w:p>
    <w:p w14:paraId="00689FB8" w14:textId="255DC55F" w:rsidR="0072146F" w:rsidRDefault="0072146F">
      <w:pPr>
        <w:pStyle w:val="TableofFigures"/>
        <w:tabs>
          <w:tab w:val="right" w:leader="dot" w:pos="9350"/>
        </w:tabs>
        <w:rPr>
          <w:rFonts w:asciiTheme="minorHAnsi" w:eastAsiaTheme="minorEastAsia" w:hAnsiTheme="minorHAnsi" w:cstheme="minorBidi"/>
          <w:noProof/>
          <w:sz w:val="22"/>
          <w:szCs w:val="22"/>
        </w:rPr>
      </w:pPr>
      <w:hyperlink w:anchor="_Toc506540078" w:history="1">
        <w:r w:rsidRPr="00BF6686">
          <w:rPr>
            <w:rStyle w:val="Hyperlink"/>
            <w:noProof/>
          </w:rPr>
          <w:t>Figure 7. Rank Abundance of the 15 Most Abundant Fungi at the Level of Order</w:t>
        </w:r>
        <w:r>
          <w:rPr>
            <w:noProof/>
            <w:webHidden/>
          </w:rPr>
          <w:tab/>
        </w:r>
        <w:r>
          <w:rPr>
            <w:noProof/>
            <w:webHidden/>
          </w:rPr>
          <w:fldChar w:fldCharType="begin"/>
        </w:r>
        <w:r>
          <w:rPr>
            <w:noProof/>
            <w:webHidden/>
          </w:rPr>
          <w:instrText xml:space="preserve"> PAGEREF _Toc506540078 \h </w:instrText>
        </w:r>
        <w:r>
          <w:rPr>
            <w:noProof/>
            <w:webHidden/>
          </w:rPr>
        </w:r>
        <w:r>
          <w:rPr>
            <w:noProof/>
            <w:webHidden/>
          </w:rPr>
          <w:fldChar w:fldCharType="separate"/>
        </w:r>
        <w:r>
          <w:rPr>
            <w:noProof/>
            <w:webHidden/>
          </w:rPr>
          <w:t>85</w:t>
        </w:r>
        <w:r>
          <w:rPr>
            <w:noProof/>
            <w:webHidden/>
          </w:rPr>
          <w:fldChar w:fldCharType="end"/>
        </w:r>
      </w:hyperlink>
    </w:p>
    <w:p w14:paraId="48C40CC4" w14:textId="48723B69" w:rsidR="0072146F" w:rsidRDefault="0072146F">
      <w:pPr>
        <w:pStyle w:val="TableofFigures"/>
        <w:tabs>
          <w:tab w:val="right" w:leader="dot" w:pos="9350"/>
        </w:tabs>
        <w:rPr>
          <w:rFonts w:asciiTheme="minorHAnsi" w:eastAsiaTheme="minorEastAsia" w:hAnsiTheme="minorHAnsi" w:cstheme="minorBidi"/>
          <w:noProof/>
          <w:sz w:val="22"/>
          <w:szCs w:val="22"/>
        </w:rPr>
      </w:pPr>
      <w:hyperlink w:anchor="_Toc506540079" w:history="1">
        <w:r w:rsidRPr="00BF6686">
          <w:rPr>
            <w:rStyle w:val="Hyperlink"/>
            <w:noProof/>
          </w:rPr>
          <w:t>Figure 8. Rank Abundance of Fungi at the Level of Genus</w:t>
        </w:r>
        <w:r>
          <w:rPr>
            <w:noProof/>
            <w:webHidden/>
          </w:rPr>
          <w:tab/>
        </w:r>
        <w:r>
          <w:rPr>
            <w:noProof/>
            <w:webHidden/>
          </w:rPr>
          <w:fldChar w:fldCharType="begin"/>
        </w:r>
        <w:r>
          <w:rPr>
            <w:noProof/>
            <w:webHidden/>
          </w:rPr>
          <w:instrText xml:space="preserve"> PAGEREF _Toc506540079 \h </w:instrText>
        </w:r>
        <w:r>
          <w:rPr>
            <w:noProof/>
            <w:webHidden/>
          </w:rPr>
        </w:r>
        <w:r>
          <w:rPr>
            <w:noProof/>
            <w:webHidden/>
          </w:rPr>
          <w:fldChar w:fldCharType="separate"/>
        </w:r>
        <w:r>
          <w:rPr>
            <w:noProof/>
            <w:webHidden/>
          </w:rPr>
          <w:t>86</w:t>
        </w:r>
        <w:r>
          <w:rPr>
            <w:noProof/>
            <w:webHidden/>
          </w:rPr>
          <w:fldChar w:fldCharType="end"/>
        </w:r>
      </w:hyperlink>
    </w:p>
    <w:p w14:paraId="242A9A84" w14:textId="61ACE4AA" w:rsidR="0072146F" w:rsidRDefault="0072146F">
      <w:pPr>
        <w:pStyle w:val="TableofFigures"/>
        <w:tabs>
          <w:tab w:val="right" w:leader="dot" w:pos="9350"/>
        </w:tabs>
        <w:rPr>
          <w:rFonts w:asciiTheme="minorHAnsi" w:eastAsiaTheme="minorEastAsia" w:hAnsiTheme="minorHAnsi" w:cstheme="minorBidi"/>
          <w:noProof/>
          <w:sz w:val="22"/>
          <w:szCs w:val="22"/>
        </w:rPr>
      </w:pPr>
      <w:hyperlink w:anchor="_Toc506540080" w:history="1">
        <w:r w:rsidRPr="00BF6686">
          <w:rPr>
            <w:rStyle w:val="Hyperlink"/>
            <w:noProof/>
          </w:rPr>
          <w:t>Figure 9. Rank Abundance of the 15 most Abundant Fungi at the Level of Genus</w:t>
        </w:r>
        <w:r>
          <w:rPr>
            <w:noProof/>
            <w:webHidden/>
          </w:rPr>
          <w:tab/>
        </w:r>
        <w:r>
          <w:rPr>
            <w:noProof/>
            <w:webHidden/>
          </w:rPr>
          <w:fldChar w:fldCharType="begin"/>
        </w:r>
        <w:r>
          <w:rPr>
            <w:noProof/>
            <w:webHidden/>
          </w:rPr>
          <w:instrText xml:space="preserve"> PAGEREF _Toc506540080 \h </w:instrText>
        </w:r>
        <w:r>
          <w:rPr>
            <w:noProof/>
            <w:webHidden/>
          </w:rPr>
        </w:r>
        <w:r>
          <w:rPr>
            <w:noProof/>
            <w:webHidden/>
          </w:rPr>
          <w:fldChar w:fldCharType="separate"/>
        </w:r>
        <w:r>
          <w:rPr>
            <w:noProof/>
            <w:webHidden/>
          </w:rPr>
          <w:t>87</w:t>
        </w:r>
        <w:r>
          <w:rPr>
            <w:noProof/>
            <w:webHidden/>
          </w:rPr>
          <w:fldChar w:fldCharType="end"/>
        </w:r>
      </w:hyperlink>
    </w:p>
    <w:p w14:paraId="11767D9E" w14:textId="736D67AF" w:rsidR="0072146F" w:rsidRDefault="0072146F">
      <w:pPr>
        <w:pStyle w:val="TableofFigures"/>
        <w:tabs>
          <w:tab w:val="right" w:leader="dot" w:pos="9350"/>
        </w:tabs>
        <w:rPr>
          <w:rFonts w:asciiTheme="minorHAnsi" w:eastAsiaTheme="minorEastAsia" w:hAnsiTheme="minorHAnsi" w:cstheme="minorBidi"/>
          <w:noProof/>
          <w:sz w:val="22"/>
          <w:szCs w:val="22"/>
        </w:rPr>
      </w:pPr>
      <w:hyperlink w:anchor="_Toc506540081" w:history="1">
        <w:r w:rsidRPr="00BF6686">
          <w:rPr>
            <w:rStyle w:val="Hyperlink"/>
            <w:noProof/>
          </w:rPr>
          <w:t xml:space="preserve">Figure 10. Ubiquity-Ubiquity Plot Comparing Abundance of </w:t>
        </w:r>
        <w:r w:rsidRPr="00BF6686">
          <w:rPr>
            <w:rStyle w:val="Hyperlink"/>
            <w:i/>
            <w:noProof/>
          </w:rPr>
          <w:t>Nectriaceae</w:t>
        </w:r>
        <w:r w:rsidRPr="00BF6686">
          <w:rPr>
            <w:rStyle w:val="Hyperlink"/>
            <w:noProof/>
          </w:rPr>
          <w:t xml:space="preserve"> in Participants with Multi-Organ Involvement to All Participants who have been treated</w:t>
        </w:r>
        <w:r>
          <w:rPr>
            <w:noProof/>
            <w:webHidden/>
          </w:rPr>
          <w:tab/>
        </w:r>
        <w:r>
          <w:rPr>
            <w:noProof/>
            <w:webHidden/>
          </w:rPr>
          <w:fldChar w:fldCharType="begin"/>
        </w:r>
        <w:r>
          <w:rPr>
            <w:noProof/>
            <w:webHidden/>
          </w:rPr>
          <w:instrText xml:space="preserve"> PAGEREF _Toc506540081 \h </w:instrText>
        </w:r>
        <w:r>
          <w:rPr>
            <w:noProof/>
            <w:webHidden/>
          </w:rPr>
        </w:r>
        <w:r>
          <w:rPr>
            <w:noProof/>
            <w:webHidden/>
          </w:rPr>
          <w:fldChar w:fldCharType="separate"/>
        </w:r>
        <w:r>
          <w:rPr>
            <w:noProof/>
            <w:webHidden/>
          </w:rPr>
          <w:t>88</w:t>
        </w:r>
        <w:r>
          <w:rPr>
            <w:noProof/>
            <w:webHidden/>
          </w:rPr>
          <w:fldChar w:fldCharType="end"/>
        </w:r>
      </w:hyperlink>
    </w:p>
    <w:p w14:paraId="09BDCAB4" w14:textId="7278BAEB" w:rsidR="0072146F" w:rsidRDefault="0072146F">
      <w:pPr>
        <w:pStyle w:val="TableofFigures"/>
        <w:tabs>
          <w:tab w:val="right" w:leader="dot" w:pos="9350"/>
        </w:tabs>
        <w:rPr>
          <w:rFonts w:asciiTheme="minorHAnsi" w:eastAsiaTheme="minorEastAsia" w:hAnsiTheme="minorHAnsi" w:cstheme="minorBidi"/>
          <w:noProof/>
          <w:sz w:val="22"/>
          <w:szCs w:val="22"/>
        </w:rPr>
      </w:pPr>
      <w:hyperlink w:anchor="_Toc506540082" w:history="1">
        <w:r w:rsidRPr="00BF6686">
          <w:rPr>
            <w:rStyle w:val="Hyperlink"/>
            <w:noProof/>
          </w:rPr>
          <w:t xml:space="preserve">Figure 11. Ubiquity-Ubiquity Plot Comparing Abundance of </w:t>
        </w:r>
        <w:r w:rsidRPr="00BF6686">
          <w:rPr>
            <w:rStyle w:val="Hyperlink"/>
            <w:i/>
            <w:noProof/>
          </w:rPr>
          <w:t>Hypocreales</w:t>
        </w:r>
        <w:r w:rsidRPr="00BF6686">
          <w:rPr>
            <w:rStyle w:val="Hyperlink"/>
            <w:noProof/>
          </w:rPr>
          <w:t xml:space="preserve"> in Participants with Remitting Disease and those with treated stage II-III disease</w:t>
        </w:r>
        <w:r>
          <w:rPr>
            <w:noProof/>
            <w:webHidden/>
          </w:rPr>
          <w:tab/>
        </w:r>
        <w:r>
          <w:rPr>
            <w:noProof/>
            <w:webHidden/>
          </w:rPr>
          <w:fldChar w:fldCharType="begin"/>
        </w:r>
        <w:r>
          <w:rPr>
            <w:noProof/>
            <w:webHidden/>
          </w:rPr>
          <w:instrText xml:space="preserve"> PAGEREF _Toc506540082 \h </w:instrText>
        </w:r>
        <w:r>
          <w:rPr>
            <w:noProof/>
            <w:webHidden/>
          </w:rPr>
        </w:r>
        <w:r>
          <w:rPr>
            <w:noProof/>
            <w:webHidden/>
          </w:rPr>
          <w:fldChar w:fldCharType="separate"/>
        </w:r>
        <w:r>
          <w:rPr>
            <w:noProof/>
            <w:webHidden/>
          </w:rPr>
          <w:t>89</w:t>
        </w:r>
        <w:r>
          <w:rPr>
            <w:noProof/>
            <w:webHidden/>
          </w:rPr>
          <w:fldChar w:fldCharType="end"/>
        </w:r>
      </w:hyperlink>
    </w:p>
    <w:p w14:paraId="511606A0" w14:textId="7427681D" w:rsidR="0072146F" w:rsidRDefault="0072146F">
      <w:pPr>
        <w:pStyle w:val="TableofFigures"/>
        <w:tabs>
          <w:tab w:val="right" w:leader="dot" w:pos="9350"/>
        </w:tabs>
        <w:rPr>
          <w:rFonts w:asciiTheme="minorHAnsi" w:eastAsiaTheme="minorEastAsia" w:hAnsiTheme="minorHAnsi" w:cstheme="minorBidi"/>
          <w:noProof/>
          <w:sz w:val="22"/>
          <w:szCs w:val="22"/>
        </w:rPr>
      </w:pPr>
      <w:hyperlink w:anchor="_Toc506540083" w:history="1">
        <w:r w:rsidRPr="00BF6686">
          <w:rPr>
            <w:rStyle w:val="Hyperlink"/>
            <w:noProof/>
          </w:rPr>
          <w:t xml:space="preserve">Figure 12. Ubiquity-Ubiquity Plot of Abundance of </w:t>
        </w:r>
        <w:r w:rsidRPr="00BF6686">
          <w:rPr>
            <w:rStyle w:val="Hyperlink"/>
            <w:i/>
            <w:noProof/>
          </w:rPr>
          <w:t xml:space="preserve">Saccharomycetales </w:t>
        </w:r>
        <w:r w:rsidRPr="00BF6686">
          <w:rPr>
            <w:rStyle w:val="Hyperlink"/>
            <w:noProof/>
          </w:rPr>
          <w:t>in Participants with Multi-Organ Involvement and Participants with untreated stage II-III disease</w:t>
        </w:r>
        <w:r>
          <w:rPr>
            <w:noProof/>
            <w:webHidden/>
          </w:rPr>
          <w:tab/>
        </w:r>
        <w:r>
          <w:rPr>
            <w:noProof/>
            <w:webHidden/>
          </w:rPr>
          <w:fldChar w:fldCharType="begin"/>
        </w:r>
        <w:r>
          <w:rPr>
            <w:noProof/>
            <w:webHidden/>
          </w:rPr>
          <w:instrText xml:space="preserve"> PAGEREF _Toc506540083 \h </w:instrText>
        </w:r>
        <w:r>
          <w:rPr>
            <w:noProof/>
            <w:webHidden/>
          </w:rPr>
        </w:r>
        <w:r>
          <w:rPr>
            <w:noProof/>
            <w:webHidden/>
          </w:rPr>
          <w:fldChar w:fldCharType="separate"/>
        </w:r>
        <w:r>
          <w:rPr>
            <w:noProof/>
            <w:webHidden/>
          </w:rPr>
          <w:t>90</w:t>
        </w:r>
        <w:r>
          <w:rPr>
            <w:noProof/>
            <w:webHidden/>
          </w:rPr>
          <w:fldChar w:fldCharType="end"/>
        </w:r>
      </w:hyperlink>
    </w:p>
    <w:p w14:paraId="5508FA8C" w14:textId="321E6870" w:rsidR="0072146F" w:rsidRDefault="0072146F">
      <w:pPr>
        <w:pStyle w:val="TableofFigures"/>
        <w:tabs>
          <w:tab w:val="right" w:leader="dot" w:pos="9350"/>
        </w:tabs>
        <w:rPr>
          <w:rFonts w:asciiTheme="minorHAnsi" w:eastAsiaTheme="minorEastAsia" w:hAnsiTheme="minorHAnsi" w:cstheme="minorBidi"/>
          <w:noProof/>
          <w:sz w:val="22"/>
          <w:szCs w:val="22"/>
        </w:rPr>
      </w:pPr>
      <w:hyperlink w:anchor="_Toc506540084" w:history="1">
        <w:r w:rsidRPr="00BF6686">
          <w:rPr>
            <w:rStyle w:val="Hyperlink"/>
            <w:noProof/>
          </w:rPr>
          <w:t xml:space="preserve">Figure 13. Ubiquity-Ubiquity Plot of Abundance of </w:t>
        </w:r>
        <w:r w:rsidRPr="00BF6686">
          <w:rPr>
            <w:rStyle w:val="Hyperlink"/>
            <w:i/>
            <w:noProof/>
          </w:rPr>
          <w:t xml:space="preserve">Saccharomycetales </w:t>
        </w:r>
        <w:r w:rsidRPr="00BF6686">
          <w:rPr>
            <w:rStyle w:val="Hyperlink"/>
            <w:noProof/>
          </w:rPr>
          <w:t>in Participants with untreated stage I disease and Participants with untreated stage II-III disease</w:t>
        </w:r>
        <w:r>
          <w:rPr>
            <w:noProof/>
            <w:webHidden/>
          </w:rPr>
          <w:tab/>
        </w:r>
        <w:r>
          <w:rPr>
            <w:noProof/>
            <w:webHidden/>
          </w:rPr>
          <w:fldChar w:fldCharType="begin"/>
        </w:r>
        <w:r>
          <w:rPr>
            <w:noProof/>
            <w:webHidden/>
          </w:rPr>
          <w:instrText xml:space="preserve"> PAGEREF _Toc506540084 \h </w:instrText>
        </w:r>
        <w:r>
          <w:rPr>
            <w:noProof/>
            <w:webHidden/>
          </w:rPr>
        </w:r>
        <w:r>
          <w:rPr>
            <w:noProof/>
            <w:webHidden/>
          </w:rPr>
          <w:fldChar w:fldCharType="separate"/>
        </w:r>
        <w:r>
          <w:rPr>
            <w:noProof/>
            <w:webHidden/>
          </w:rPr>
          <w:t>91</w:t>
        </w:r>
        <w:r>
          <w:rPr>
            <w:noProof/>
            <w:webHidden/>
          </w:rPr>
          <w:fldChar w:fldCharType="end"/>
        </w:r>
      </w:hyperlink>
    </w:p>
    <w:p w14:paraId="54809F34" w14:textId="332B93AE" w:rsidR="0072146F" w:rsidRDefault="0072146F">
      <w:pPr>
        <w:pStyle w:val="TableofFigures"/>
        <w:tabs>
          <w:tab w:val="right" w:leader="dot" w:pos="9350"/>
        </w:tabs>
        <w:rPr>
          <w:rFonts w:asciiTheme="minorHAnsi" w:eastAsiaTheme="minorEastAsia" w:hAnsiTheme="minorHAnsi" w:cstheme="minorBidi"/>
          <w:noProof/>
          <w:sz w:val="22"/>
          <w:szCs w:val="22"/>
        </w:rPr>
      </w:pPr>
      <w:hyperlink w:anchor="_Toc506540085" w:history="1">
        <w:r w:rsidRPr="00BF6686">
          <w:rPr>
            <w:rStyle w:val="Hyperlink"/>
            <w:noProof/>
          </w:rPr>
          <w:t xml:space="preserve">Figure 14. Ubiquity-Ubiquity Plot of Abundance of </w:t>
        </w:r>
        <w:r w:rsidRPr="00BF6686">
          <w:rPr>
            <w:rStyle w:val="Hyperlink"/>
            <w:i/>
            <w:noProof/>
          </w:rPr>
          <w:t xml:space="preserve">Saccharomycetes </w:t>
        </w:r>
        <w:r w:rsidRPr="00BF6686">
          <w:rPr>
            <w:rStyle w:val="Hyperlink"/>
            <w:noProof/>
          </w:rPr>
          <w:t>in Participants with untreated stage I disease and Participants with treated stage IV disease</w:t>
        </w:r>
        <w:r>
          <w:rPr>
            <w:noProof/>
            <w:webHidden/>
          </w:rPr>
          <w:tab/>
        </w:r>
        <w:r>
          <w:rPr>
            <w:noProof/>
            <w:webHidden/>
          </w:rPr>
          <w:fldChar w:fldCharType="begin"/>
        </w:r>
        <w:r>
          <w:rPr>
            <w:noProof/>
            <w:webHidden/>
          </w:rPr>
          <w:instrText xml:space="preserve"> PAGEREF _Toc506540085 \h </w:instrText>
        </w:r>
        <w:r>
          <w:rPr>
            <w:noProof/>
            <w:webHidden/>
          </w:rPr>
        </w:r>
        <w:r>
          <w:rPr>
            <w:noProof/>
            <w:webHidden/>
          </w:rPr>
          <w:fldChar w:fldCharType="separate"/>
        </w:r>
        <w:r>
          <w:rPr>
            <w:noProof/>
            <w:webHidden/>
          </w:rPr>
          <w:t>92</w:t>
        </w:r>
        <w:r>
          <w:rPr>
            <w:noProof/>
            <w:webHidden/>
          </w:rPr>
          <w:fldChar w:fldCharType="end"/>
        </w:r>
      </w:hyperlink>
    </w:p>
    <w:p w14:paraId="61B5652E" w14:textId="0FA175F8" w:rsidR="00B424B6" w:rsidRPr="005A7F38" w:rsidRDefault="00B424B6" w:rsidP="002446BB">
      <w:pPr>
        <w:pStyle w:val="Heading"/>
        <w:rPr>
          <w:rFonts w:cs="Times New Roman"/>
        </w:rPr>
      </w:pPr>
      <w:r w:rsidRPr="005A7F38">
        <w:rPr>
          <w:rFonts w:cs="Times New Roman"/>
        </w:rPr>
        <w:lastRenderedPageBreak/>
        <w:fldChar w:fldCharType="end"/>
      </w:r>
      <w:bookmarkStart w:id="2" w:name="_Toc506539993"/>
      <w:r w:rsidR="00AA2C6A" w:rsidRPr="005A7F38">
        <w:rPr>
          <w:rFonts w:cs="Times New Roman"/>
        </w:rPr>
        <w:t>preface</w:t>
      </w:r>
      <w:bookmarkEnd w:id="2"/>
    </w:p>
    <w:p w14:paraId="06F78F40" w14:textId="77777777" w:rsidR="00AA2C6A" w:rsidRPr="005A7F38" w:rsidRDefault="00AA2C6A" w:rsidP="002446BB">
      <w:pPr>
        <w:pStyle w:val="Noindent"/>
      </w:pPr>
    </w:p>
    <w:p w14:paraId="2D023355" w14:textId="2D544D6C" w:rsidR="00AA2C6A" w:rsidRPr="005A7F38" w:rsidRDefault="00AF0313" w:rsidP="00947294">
      <w:pPr>
        <w:ind w:firstLine="0"/>
      </w:pPr>
      <w:r>
        <w:t xml:space="preserve">All images used were obtained from open-use sources and have been cited below. </w:t>
      </w:r>
      <w:r w:rsidR="000228A3">
        <w:t>A debt of gratitude is owed to Dr. Alison Morris, Dr. Barbara Methé, Adam Fitch</w:t>
      </w:r>
      <w:r w:rsidR="00A40CFE">
        <w:t>, Kelvin Li</w:t>
      </w:r>
      <w:r w:rsidR="001A55BB">
        <w:t>, Dr. Jennifer Adibi</w:t>
      </w:r>
      <w:r w:rsidR="000228A3">
        <w:t xml:space="preserve"> and Dr. Evelyn Talbott for their mentorship, guidance and support in the writing of this essay. </w:t>
      </w:r>
    </w:p>
    <w:p w14:paraId="48781720" w14:textId="77777777" w:rsidR="00AA2C6A" w:rsidRPr="005A7F38" w:rsidRDefault="00AA2C6A" w:rsidP="002446BB"/>
    <w:p w14:paraId="421BF8E5" w14:textId="77777777" w:rsidR="00AA2C6A" w:rsidRPr="005A7F38" w:rsidRDefault="00AA2C6A" w:rsidP="002446BB"/>
    <w:p w14:paraId="462853F7" w14:textId="77777777" w:rsidR="00AA2C6A" w:rsidRPr="005A7F38" w:rsidRDefault="00AA2C6A" w:rsidP="002446BB"/>
    <w:p w14:paraId="1429FE5A" w14:textId="77777777" w:rsidR="00AA2C6A" w:rsidRPr="005A7F38" w:rsidRDefault="00AA2C6A" w:rsidP="002446BB">
      <w:pPr>
        <w:sectPr w:rsidR="00AA2C6A" w:rsidRPr="005A7F38" w:rsidSect="00367476">
          <w:footerReference w:type="default" r:id="rId8"/>
          <w:pgSz w:w="12240" w:h="15840"/>
          <w:pgMar w:top="1440" w:right="1440" w:bottom="1440" w:left="1440" w:header="720" w:footer="720" w:gutter="0"/>
          <w:pgNumType w:fmt="lowerRoman" w:start="1"/>
          <w:cols w:space="720"/>
          <w:titlePg/>
          <w:docGrid w:linePitch="360"/>
        </w:sectPr>
      </w:pPr>
    </w:p>
    <w:p w14:paraId="2A0F9172" w14:textId="77777777" w:rsidR="006B1124" w:rsidRDefault="006B1124" w:rsidP="002446BB">
      <w:pPr>
        <w:pStyle w:val="Heading1"/>
        <w:rPr>
          <w:rFonts w:cs="Times New Roman"/>
        </w:rPr>
      </w:pPr>
      <w:bookmarkStart w:id="3" w:name="_Toc106513527"/>
      <w:bookmarkStart w:id="4" w:name="_Toc106717785"/>
      <w:bookmarkStart w:id="5" w:name="_Toc506539994"/>
      <w:r w:rsidRPr="005A7F38">
        <w:rPr>
          <w:rFonts w:cs="Times New Roman"/>
        </w:rPr>
        <w:lastRenderedPageBreak/>
        <w:t>Introduction</w:t>
      </w:r>
      <w:bookmarkEnd w:id="3"/>
      <w:bookmarkEnd w:id="4"/>
      <w:bookmarkEnd w:id="5"/>
    </w:p>
    <w:p w14:paraId="7737224A" w14:textId="7B9C5552" w:rsidR="00AE0E52" w:rsidRDefault="007E728D" w:rsidP="0043435C">
      <w:pPr>
        <w:pStyle w:val="Noindent"/>
      </w:pPr>
      <w:r>
        <w:t>Sarcoidosis is an inflammatory granulomatous disease characterized by multi-organ system involvement, diverse clinical manifestation and disease course and a predilection for affecting middle aged people worldwide.</w:t>
      </w:r>
      <w:r w:rsidR="00B55AB0">
        <w:fldChar w:fldCharType="begin"/>
      </w:r>
      <w:r w:rsidR="00B775CB">
        <w:instrText>ADDIN F1000_CSL_CITATION&lt;~#@#~&gt;[{"DOI":"10.1164/ajrccm.160.2.ats4-99","First":false,"Last":false,"PMID":"10430755","authorYearDisplayFormat":false,"citation-label":"3415896","container-title":"American Journal of Respiratory and Critical Care Medicine","container-title-short":"Am J Respir Crit Care Med","id":"3415896","invisible":false,"issue":"2","issued":{"date-parts":[["1999","8"]]},"journalAbbreviation":"Am J Respir Crit Care Med","page":"736-755","suppress-author":false,"title":"Statement on sarcoidosis. Joint Statement of the American Thoracic Society (ATS), the European Respiratory Society (ERS) and the World Association of Sarcoidosis and Other Granulomatous Disorders (WASOG) adopted by the ATS Board of Directors and by the ERS Executive Committee, February 1999.","type":"article-journal","volume":"160"}]</w:instrText>
      </w:r>
      <w:r w:rsidR="00B55AB0">
        <w:fldChar w:fldCharType="separate"/>
      </w:r>
      <w:r w:rsidR="00B775CB" w:rsidRPr="00B775CB">
        <w:rPr>
          <w:noProof/>
          <w:vertAlign w:val="superscript"/>
        </w:rPr>
        <w:t>1</w:t>
      </w:r>
      <w:r w:rsidR="00B55AB0">
        <w:fldChar w:fldCharType="end"/>
      </w:r>
      <w:r w:rsidR="00947C5D">
        <w:t xml:space="preserve"> </w:t>
      </w:r>
      <w:r w:rsidR="00AE0E52">
        <w:t xml:space="preserve">The chronic disease burden in the population due to sarcoidosis is very low (&lt;1%); however it is important to study in the public health framework as it can provide insights into the microbiome as an important mediator of disease risk.  This is highly relevant to public health in terms of how we monitor and prevent the distribution of inflammatory disease. Public health science is only beginning to incorporate knowledge of the microbiome and specific methods to assess and model it.  The aim of this Master’s Essay was to create a framework for studying the microbiome and mycobiome as a critical and emerging source of measurement and knowledge related to inflammatory disease overall, and the somewhat extreme pathophysiology associated with sarcoidosis.  </w:t>
      </w:r>
    </w:p>
    <w:p w14:paraId="1AF118F2" w14:textId="52B3E5B6" w:rsidR="004C0A91" w:rsidRDefault="00947C5D" w:rsidP="00AE0E52">
      <w:pPr>
        <w:pStyle w:val="Noindent"/>
        <w:ind w:firstLine="720"/>
      </w:pPr>
      <w:r>
        <w:t xml:space="preserve">Individuals of all races, ages and of either sex are diagnosed with sarcoidosis, however there is significant heterogeneity in clinical presentation and disparity of incidence between people of different ethnic/racial groups and sex. </w:t>
      </w:r>
      <w:r w:rsidR="00CF5CAA">
        <w:t>In the U.S., incidence of sarcoidosis is reported at 8.8 cases per 100,000 people. Incidence rates vary widely among racial groups in the U.S. with black individuals experiencing the highest rates (17.8 per 100,000) compared to whit</w:t>
      </w:r>
      <w:r w:rsidR="004307C8">
        <w:t>e individuals (8.1 per 100,000).</w:t>
      </w:r>
      <w:r w:rsidR="004307C8">
        <w:fldChar w:fldCharType="begin"/>
      </w:r>
      <w:r w:rsidR="00B775CB">
        <w:instrText>ADDIN F1000_CSL_CITATION&lt;~#@#~&gt;[{"DOI":"10.1513/AnnalsATS.201511-760OC","First":false,"Last":false,"PMID":"27509154","abstract":"&lt;strong&gt;RATIONALE:&lt;/strong&gt; There have been no recent comprehensive studies of the epidemiology of sarcoidosis in the United States. Changes in health care use have made available access to data on large numbers of patients with sarcoidosis.&lt;br&gt;&lt;br&gt;&lt;strong&gt;OBJECTIVES:&lt;/strong&gt; To use a U.S. national health care database to gather data on patients with sarcoidosis identified over a 3-year period who were 18 years of age and older, and to determine health care costs for these patients.&lt;br&gt;&lt;br&gt;&lt;strong&gt;METHODS:&lt;/strong&gt; The Optum health care database was queried for a 3-year period (2010-2013). This database includes approximately 15% of U.S. residents. The incidence rate of sarcoidosis was calculated for new cases identified in each year. Calculation of prevalence was based on any patient with sarcoidosis seen during the year. Incidence and prevalence rates are reported per 100,000 patients.&lt;br&gt;&lt;br&gt;&lt;strong&gt;MEASUREMENTS AND MAIN RESULTS:&lt;/strong&gt; A total of 29,372 adult patients with sarcoidosis were identified. Of these, 14,700 (55%) were over 55 years of age at the time of diagnosis. The incidence and prevalence rates were higher for African Americans (17.8 and 141.4 per 100,000, respectively) than for white individuals (8.1 and 49.8), Hispanics (4.3 and 21.7), or Asians (3.2 and 18.9). Women were two times more likely to have sarcoidosis, with the highest prevalence for sarcoidosis noted in African American women (178.5). Overall, the yearly health care cost reported for patients with sarcoidosis was low, with a median of $18,663 per year. However, the yearly cost for the top 5% was $93,201.&lt;br&gt;&lt;br&gt;&lt;strong&gt;CONCLUSIONS:&lt;/strong&gt; For patients 18 years of age and older enrolled in a U.S. national administrative database, sarcoidosis was more common among African Americans, but it was reported for all four of the major ethnic groups studied. While health care costs were relatively small for most patients, the cost of care for some patients was considerable.","author":[{"family":"Baughman","given":"Robert P"},{"family":"Field","given":"Shelli"},{"family":"Costabel","given":"Ulrich"},{"family":"Crystal","given":"Ronald G"},{"family":"Culver","given":"Daniel A"},{"family":"Drent","given":"Marjolein"},{"family":"Judson","given":"Marc A"},{"family":"Wolff","given":"Gerhard"}],"authorYearDisplayFormat":false,"citation-label":"4267493","container-title":"Annals of the American Thoracic Society","container-title-short":"Ann Am Thorac Soc","id":"4267493","invisible":false,"issue":"8","issued":{"date-parts":[["2016","8"]]},"journalAbbreviation":"Ann Am Thorac Soc","page":"1244-1252","suppress-author":false,"title":"Sarcoidosis in america. analysis based on health care use.","type":"article-journal","volume":"13"}]</w:instrText>
      </w:r>
      <w:r w:rsidR="004307C8">
        <w:fldChar w:fldCharType="separate"/>
      </w:r>
      <w:r w:rsidR="00B775CB" w:rsidRPr="00B775CB">
        <w:rPr>
          <w:noProof/>
          <w:vertAlign w:val="superscript"/>
        </w:rPr>
        <w:t>2</w:t>
      </w:r>
      <w:r w:rsidR="004307C8">
        <w:fldChar w:fldCharType="end"/>
      </w:r>
      <w:r w:rsidR="004307C8">
        <w:t xml:space="preserve"> While a majority of patients with sarcoidosis experience a spontaneous remission of disease at some point, nearly 30% of patients experience a chronic an</w:t>
      </w:r>
      <w:r w:rsidR="009D4DD0">
        <w:t xml:space="preserve">d progressive disease </w:t>
      </w:r>
      <w:r w:rsidR="009D4DD0">
        <w:lastRenderedPageBreak/>
        <w:t>course. Sarcoidosis nearly</w:t>
      </w:r>
      <w:r w:rsidR="0020230A">
        <w:t xml:space="preserve"> always affects the lungs and can cause cough, dyspnea and pulmonary fibrosis. Involvement of other organ systems can result in swollen, painful joints, hair loss, uveitis, blindness, headaches, small fiber neuropathy, liver disease, kidney failure and cardiac problems.</w:t>
      </w:r>
      <w:r w:rsidR="00E22D77">
        <w:t xml:space="preserve"> Sarcoidosis-related health care costs have been estimated to be as high as $8.7 billion.</w:t>
      </w:r>
      <w:r w:rsidR="004738F7">
        <w:fldChar w:fldCharType="begin"/>
      </w:r>
      <w:r w:rsidR="00B775CB">
        <w:instrText>ADDIN F1000_CSL_CITATION&lt;~#@#~&gt;[{"DOI":"10.1513/AnnalsATS.201511-760OC","First":false,"Last":false,"PMID":"27509154","abstract":"&lt;strong&gt;RATIONALE:&lt;/strong&gt; There have been no recent comprehensive studies of the epidemiology of sarcoidosis in the United States. Changes in health care use have made available access to data on large numbers of patients with sarcoidosis.&lt;br&gt;&lt;br&gt;&lt;strong&gt;OBJECTIVES:&lt;/strong&gt; To use a U.S. national health care database to gather data on patients with sarcoidosis identified over a 3-year period who were 18 years of age and older, and to determine health care costs for these patients.&lt;br&gt;&lt;br&gt;&lt;strong&gt;METHODS:&lt;/strong&gt; The Optum health care database was queried for a 3-year period (2010-2013). This database includes approximately 15% of U.S. residents. The incidence rate of sarcoidosis was calculated for new cases identified in each year. Calculation of prevalence was based on any patient with sarcoidosis seen during the year. Incidence and prevalence rates are reported per 100,000 patients.&lt;br&gt;&lt;br&gt;&lt;strong&gt;MEASUREMENTS AND MAIN RESULTS:&lt;/strong&gt; A total of 29,372 adult patients with sarcoidosis were identified. Of these, 14,700 (55%) were over 55 years of age at the time of diagnosis. The incidence and prevalence rates were higher for African Americans (17.8 and 141.4 per 100,000, respectively) than for white individuals (8.1 and 49.8), Hispanics (4.3 and 21.7), or Asians (3.2 and 18.9). Women were two times more likely to have sarcoidosis, with the highest prevalence for sarcoidosis noted in African American women (178.5). Overall, the yearly health care cost reported for patients with sarcoidosis was low, with a median of $18,663 per year. However, the yearly cost for the top 5% was $93,201.&lt;br&gt;&lt;br&gt;&lt;strong&gt;CONCLUSIONS:&lt;/strong&gt; For patients 18 years of age and older enrolled in a U.S. national administrative database, sarcoidosis was more common among African Americans, but it was reported for all four of the major ethnic groups studied. While health care costs were relatively small for most patients, the cost of care for some patients was considerable.","author":[{"family":"Baughman","given":"Robert P"},{"family":"Field","given":"Shelli"},{"family":"Costabel","given":"Ulrich"},{"family":"Crystal","given":"Ronald G"},{"family":"Culver","given":"Daniel A"},{"family":"Drent","given":"Marjolein"},{"family":"Judson","given":"Marc A"},{"family":"Wolff","given":"Gerhard"}],"authorYearDisplayFormat":false,"citation-label":"4267493","container-title":"Annals of the American Thoracic Society","container-title-short":"Ann Am Thorac Soc","id":"4267493","invisible":false,"issue":"8","issued":{"date-parts":[["2016","8"]]},"journalAbbreviation":"Ann Am Thorac Soc","page":"1244-1252","suppress-author":false,"title":"Sarcoidosis in america. analysis based on health care use.","type":"article-journal","volume":"13"},{"DOI":"10.1080/13696998.2017.1351371","First":false,"Last":false,"PMID":"28678623","abstract":"&lt;strong&gt;BACKGROUND:&lt;/strong&gt; Sarcoidosis is a multi-system inflammatory disorder characterized by the presence of non-caseating granulomas in involved organs. Patients with sarcoidosis have a reduced quality-of-life and are at an increased risk for several comorbidities. Little is known about the direct and indirect cost of sarcoidosis following the initial diagnosis.&lt;br&gt;&lt;br&gt;&lt;strong&gt;AIMS:&lt;/strong&gt; To provide an estimate of the healthcare resource utilization (HCRU) and costs borne by commercial payers for sarcoidosis patients in the US.&lt;br&gt;&lt;br&gt;&lt;strong&gt;METHODS:&lt;/strong&gt; Patients with a first diagnosis of sarcoidosis between January 1, 1998 and March 31, 2015 (\"index date\") were selected from a de-identified privately-insured administrative claims database. Sarcoidosis patients were required to have continuous health plan enrollment 12 months prior to and following their index dates. Propensity-score (1:1) matching of sarcoidosis patients with non-sarcoidosis controls was carried out based on a logistic regression of baseline characteristics. Burden of HCRU and work loss (disability days and medically-related absenteeism) were compared between the matched groups over the 12-month period following the index date (\"outcome period\").&lt;br&gt;&lt;br&gt;&lt;strong&gt;RESULTS:&lt;/strong&gt; A total of 7,119 sarcoidosis patients who met the selection criteria were matched with a control. Overall, commercial payers incurred $19,714 in mean total annual healthcare costs per sarcoidosis patient. The principle cost drivers were outpatient visits ($9,050 2015 USD, 46%) and inpatient admissions ($6,398, 32%). Relative to controls, sarcoidosis patients had $5,190 (36%) higher total healthcare costs ($19,714 vs $14,524; p &lt;  0.001). Sarcoidosis patients also had significantly more work loss days (15.9 vs 11.3; p &lt;  0.001) and work loss costs ($3,288 vs $2,527; p &lt;  0.001) than matched controls. Sarcoidosis imposes an estimated total direct medical cost of $1.3-$8.7 billion to commercial payers, and an indirect cost of $0.2-$1.5 billion to commercial payers in work loss.&lt;br&gt;&lt;br&gt;&lt;strong&gt;CONCLUSIONS:&lt;/strong&gt; Sarcoidosis imposes a significant economic burden to payers in the first year following diagnosis.","author":[{"family":"Rice","given":"J Bradford"},{"family":"White","given":"Alan"},{"family":"Lopez","given":"Andrea"},{"family":"Conway","given":"Alexandra"},{"family":"Wagh","given":"Aneesha"},{"family":"Nelson","given":"Winnie W"},{"family":"Philbin","given":"Michael"},{"family":"Wan","given":"George J"}],"authorYearDisplayFormat":false,"citation-label":"4507677","container-title":"Journal of medical economics","container-title-short":"J Med Econ","id":"4507677","invisible":false,"issue":"10","issued":{"date-parts":[["2017","10"]]},"journalAbbreviation":"J Med Econ","page":"1048-1055","suppress-author":false,"title":"Economic burden of sarcoidosis in a commercially-insured population in the United States.","type":"article-journal","volume":"20"}]</w:instrText>
      </w:r>
      <w:r w:rsidR="004738F7">
        <w:fldChar w:fldCharType="separate"/>
      </w:r>
      <w:r w:rsidR="00B775CB" w:rsidRPr="00B775CB">
        <w:rPr>
          <w:noProof/>
          <w:vertAlign w:val="superscript"/>
        </w:rPr>
        <w:t>2,3</w:t>
      </w:r>
      <w:r w:rsidR="004738F7">
        <w:fldChar w:fldCharType="end"/>
      </w:r>
      <w:r w:rsidR="004738F7">
        <w:t xml:space="preserve"> </w:t>
      </w:r>
      <w:r w:rsidR="00B34178">
        <w:t xml:space="preserve">Without a known cause or pharmacotherapy that is universally successful in treating sarcoidosis, public health </w:t>
      </w:r>
      <w:r w:rsidR="00171C01">
        <w:t>efforts to curb this life-</w:t>
      </w:r>
      <w:r w:rsidR="00B34178">
        <w:t xml:space="preserve">threatening disease should focus on the design and implementation of clinical research as well as the identification of high risk groups to be targeted with </w:t>
      </w:r>
      <w:r w:rsidR="009D7A7C">
        <w:t xml:space="preserve">potential prevention efforts based on identified risk factors and awareness to facilitate access to medical care early in the disease course. </w:t>
      </w:r>
      <w:r w:rsidR="00B34178">
        <w:t xml:space="preserve"> </w:t>
      </w:r>
    </w:p>
    <w:p w14:paraId="30D4A308" w14:textId="1FD32ACA" w:rsidR="0043435C" w:rsidRPr="0043435C" w:rsidRDefault="004738F7" w:rsidP="004C0A91">
      <w:pPr>
        <w:pStyle w:val="Noindent"/>
        <w:ind w:firstLine="720"/>
      </w:pPr>
      <w:r>
        <w:t>While previous research has found weak associations with different environmental and occupational exposures, an etiological trigger has not been identified in sarcoidosis.</w:t>
      </w:r>
      <w:r>
        <w:fldChar w:fldCharType="begin"/>
      </w:r>
      <w:r w:rsidR="00B775CB">
        <w:instrText>ADDIN F1000_CSL_CITATION&lt;~#@#~&gt;[{"DOI":"10.1164/rccm.200402-249OC","First":false,"Last":false,"PMID":"15347561","abstract":"Past research suggests that environmental factors may be associated with sarcoidosis risk. We conducted a case control study to test a priori hypotheses that environmental and occupational exposures are associated with sarcoidosis. Ten centers recruited 706 newly diagnosed patients with sarcoidosis and an equal number of age-, race-, and sex-matched control subjects. Interviewers administered questionnaires containing questions regarding occupational and nonoccupational exposures that we assessed in univariable and multivariable analyses. We observed positive associations between sarcoidosis and specific occupations (e.g., agricultural employment, odds ratio [OR] 1.46, confidence interval [CI] 1.13-1.89), exposures (e.g., insecticides at work, OR 1.52, CI 1.14-2.04, and work environments with mold/mildew exposures [environments with possible exposures to microbial bioaerosols], OR 1.61, CI 1.13-2.31). A history of ever smoking cigarettes was less frequent among cases than control subjects (OR 0.62, CI 0.50-0.77). In multivariable modeling, we observed elevated ORs for work in areas with musty odors (OR 1.62, CI 1.24-2.11) and with occupational exposure to insecticides (OR 1.61, CI 1.13-2.28), and a decreased OR related to ever smoking cigarettes (OR 0.65, CI 0.51-0.82). The study did not identify a single, predominant cause of sarcoidosis. We identified several exposures associated with sarcoidosis risk, including insecticides, agricultural employment, and microbial bioaerosols.","author":[{"family":"Newman","given":"Lee S"},{"family":"Rose","given":"Cecile S"},{"family":"Bresnitz","given":"Eddy A"},{"family":"Rossman","given":"Milton D"},{"family":"Barnard","given":"Juliana"},{"family":"Frederick","given":"Margaret"},{"family":"Terrin","given":"Michael L"},{"family":"Weinberger","given":"Steven E"},{"family":"Moller","given":"David R"},{"family":"McLennan","given":"Geoffrey"},{"family":"Hunninghake","given":"Gary"},{"family":"DePalo","given":"Louis"},{"family":"Baughman","given":"Robert P"},{"family":"Iannuzzi","given":"Michael C"},{"family":"Judson","given":"Marc A"},{"family":"Knatterud","given":"Genell L"},{"family":"Thompson","given":"Bruce W"},{"family":"Teirstein","given":"Alvin S"},{"family":"Yeager","given":"Henry"},{"family":"Johns","given":"Carol J"},{"family":"Rabin","given":"David L"},{"family":"Rybicki","given":"Benjamin A"},{"family":"Cherniack","given":"Reuben"},{"family":"ACCESS Research Group"}],"authorYearDisplayFormat":false,"citation-label":"1328213","container-title":"American Journal of Respiratory and Critical Care Medicine","container-title-short":"Am J Respir Crit Care Med","id":"1328213","invisible":false,"issue":"12","issued":{"date-parts":[["2004","12","15"]]},"journalAbbreviation":"Am J Respir Crit Care Med","page":"1324-1330","suppress-author":false,"title":"A case control etiologic study of sarcoidosis: environmental and occupational risk factors.","type":"article-journal","volume":"170"},{"DOI":"10.1007/s12016-015-8481-z","First":false,"Last":false,"PMID":"25771769","abstract":"Since sarcoidosis was first described more than a century ago, the etiologic determinants causing this disease remain uncertain. Studies suggest that genetic, host immunologic, and environmental factors interact together to cause sarcoidosis. Immunologic characteristics of sarcoidosis include non-caseating granulomas, enhanced local expression of T helper-1 (and often Th17) cytokines and chemokines, dysfunctional regulatory T-cell responses, dysregulated Toll-like receptor signaling, and oligoclonal expansion of CD4+ T cells consistent with chronic antigenic stimulation. Multiple environmental agents have been suggested to cause sarcoidosis. Studies from several groups implicate mycobacterial or propionibacterial organisms in the etiology of sarcoidosis based on tissue analyses and immunologic responses in sarcoidosis patients. Despite these studies, there is no consensus on the nature of a microbial pathogenesis of sarcoidosis. Some groups postulate sarcoidosis is caused by an active viable replicating infection while other groups contend there is no clinical, pathologic, or microbiologic evidence for such a pathogenic mechanism. The authors posit a novel hypothesis that proposes that sarcoidosis is triggered by a hyperimmune Th1 response to pathogenic microbial and tissue antigens associated with the aberrant aggregation of serum amyloid A within granulomas, which promotes progressive chronic granulomatous inflammation in the absence of ongoing infection.","author":[{"family":"Chen","given":"Edward S"},{"family":"Moller","given":"David R"}],"authorYearDisplayFormat":false,"citation-label":"4219823","container-title":"Clinical Reviews in Allergy &amp; Immunology","container-title-short":"Clin Rev Allergy Immunol","id":"4219823","invisible":false,"issue":"1","issued":{"date-parts":[["2015","8"]]},"journalAbbreviation":"Clin Rev Allergy Immunol","page":"6-18","suppress-author":false,"title":"Etiologies of Sarcoidosis.","type":"article-journal","volume":"49"}]</w:instrText>
      </w:r>
      <w:r>
        <w:fldChar w:fldCharType="separate"/>
      </w:r>
      <w:r w:rsidR="00B775CB" w:rsidRPr="00B775CB">
        <w:rPr>
          <w:noProof/>
          <w:vertAlign w:val="superscript"/>
        </w:rPr>
        <w:t>4,5</w:t>
      </w:r>
      <w:r>
        <w:fldChar w:fldCharType="end"/>
      </w:r>
      <w:r>
        <w:t xml:space="preserve"> In this analysis, we </w:t>
      </w:r>
      <w:r w:rsidR="004C0A91">
        <w:t>hypothesize that the inflammatory cascade associated with formation of granulomatous tissue pathognomonic of sarcoidosis is elicited by environmental exposure(s) in concert with a perturbation of the microbiome.</w:t>
      </w:r>
      <w:r w:rsidR="00E01228">
        <w:t xml:space="preserve"> With both environmental and microbial agents known to have an immune modulating effect, the potential for immune disruption and inflammatory pathway activation in the presence of multiple synergistic pro-inflammatory agents is plausible. </w:t>
      </w:r>
      <w:r w:rsidR="004C0A91">
        <w:t xml:space="preserve">Identifying the molecular and biologic signatures unique to different clinical manifestations and phenotypes seen in sarcoidosis </w:t>
      </w:r>
      <w:r w:rsidR="009D7A7C">
        <w:t xml:space="preserve">would allow for </w:t>
      </w:r>
      <w:r w:rsidR="00E01228">
        <w:t xml:space="preserve">a better understanding of the relationship between environmental exposures and microbial communities as it is associated with sarcoidosis. Such an understanding would not only provide insights into the etiology of sarcoidosis, but could point toward prevention strategies, pharmacotherapies and pave the way for future research into potentially pathologic synergy of environmental exposures and the microbiome in other known immune mediated and inflammatory disorders. </w:t>
      </w:r>
    </w:p>
    <w:p w14:paraId="324B9895" w14:textId="620A6368" w:rsidR="00B917F0" w:rsidRPr="005A7F38" w:rsidRDefault="00CB62A8" w:rsidP="002446BB">
      <w:pPr>
        <w:pStyle w:val="Heading2"/>
        <w:rPr>
          <w:rFonts w:cs="Times New Roman"/>
        </w:rPr>
      </w:pPr>
      <w:bookmarkStart w:id="6" w:name="_Toc506539995"/>
      <w:r w:rsidRPr="005A7F38">
        <w:rPr>
          <w:rFonts w:cs="Times New Roman"/>
        </w:rPr>
        <w:lastRenderedPageBreak/>
        <w:t>Sarcoidosis</w:t>
      </w:r>
      <w:bookmarkEnd w:id="6"/>
    </w:p>
    <w:p w14:paraId="192961A0" w14:textId="7569FD0C" w:rsidR="00CD72AC" w:rsidRDefault="00CB62A8" w:rsidP="00004E1A">
      <w:pPr>
        <w:ind w:firstLine="0"/>
      </w:pPr>
      <w:r w:rsidRPr="005A7F38">
        <w:t>Sarcoidosis is a chronic systemic inflammatory disease that causes the development of non-caseating epithelioid granulomatous inflammation</w:t>
      </w:r>
      <w:r w:rsidR="007B7BA9">
        <w:t xml:space="preserve"> (Figure 1)</w:t>
      </w:r>
      <w:r w:rsidRPr="005A7F38">
        <w:t>.</w:t>
      </w:r>
      <w:r w:rsidRPr="005A7F38">
        <w:fldChar w:fldCharType="begin"/>
      </w:r>
      <w:r w:rsidR="00B775CB">
        <w:instrText>ADDIN F1000_CSL_CITATION&lt;~#@#~&gt;[{"DOI":"10.1007/s12016-015-8481-z","First":false,"Last":false,"PMID":"25771769","abstract":"Since sarcoidosis was first described more than a century ago, the etiologic determinants causing this disease remain uncertain. Studies suggest that genetic, host immunologic, and environmental factors interact together to cause sarcoidosis. Immunologic characteristics of sarcoidosis include non-caseating granulomas, enhanced local expression of T helper-1 (and often Th17) cytokines and chemokines, dysfunctional regulatory T-cell responses, dysregulated Toll-like receptor signaling, and oligoclonal expansion of CD4+ T cells consistent with chronic antigenic stimulation. Multiple environmental agents have been suggested to cause sarcoidosis. Studies from several groups implicate mycobacterial or propionibacterial organisms in the etiology of sarcoidosis based on tissue analyses and immunologic responses in sarcoidosis patients. Despite these studies, there is no consensus on the nature of a microbial pathogenesis of sarcoidosis. Some groups postulate sarcoidosis is caused by an active viable replicating infection while other groups contend there is no clinical, pathologic, or microbiologic evidence for such a pathogenic mechanism. The authors posit a novel hypothesis that proposes that sarcoidosis is triggered by a hyperimmune Th1 response to pathogenic microbial and tissue antigens associated with the aberrant aggregation of serum amyloid A within granulomas, which promotes progressive chronic granulomatous inflammation in the absence of ongoing infection.","author":[{"family":"Chen","given":"Edward S"},{"family":"Moller","given":"David R"}],"authorYearDisplayFormat":false,"citation-label":"4219823","container-title":"Clinical Reviews in Allergy &amp; Immunology","container-title-short":"Clin Rev Allergy Immunol","id":"4219823","invisible":false,"issue":"1","issued":{"date-parts":[["2015","8"]]},"journalAbbreviation":"Clin Rev Allergy Immunol","page":"6-18","suppress-author":false,"title":"Etiologies of Sarcoidosis.","type":"article-journal","volume":"49"},{"DOI":"10.1001/jama.289.24.3300","First":false,"Last":false,"PMID":"12824213","author":[{"family":"Thomas","given":"Karl W"},{"family":"Hunninghake","given":"Gary W"}],"authorYearDisplayFormat":false,"citation-label":"2959428","container-title":"The Journal of the American Medical Association","container-title-short":"JAMA","id":"2959428","invisible":false,"issue":"24","issued":{"date-parts":[["2003","6","25"]]},"journalAbbreviation":"JAMA","page":"3300-3303","suppress-author":false,"title":"Sarcoidosis.","type":"article-journal","volume":"289"},{"DOI":"10.1016/j.mayocp.2015.10.024","First":false,"Last":false,"PMCID":"PMC4744129","PMID":"26727158","abstract":"&lt;strong&gt;OBJECTIVE:&lt;/strong&gt; To characterize the epidemiology of sarcoidosis from 1946 through 2013.&lt;br&gt;&lt;br&gt;&lt;strong&gt;PATIENTS AND METHODS:&lt;/strong&gt; An inception cohort of patients with incident sarcoidosis from January 1, 1976, through December 31, 2013, in Olmsted County, Minnesota, was identified based on comprehensive individual medical record review. Inclusion required physician diagnosis supported by histopathologic confirmation, radiologic features of intrathoracic sarcoidosis, and a compatible clinical presentation. Data were collected on demographic characteristics, clinical presentation, laboratory investigations, and mortality. The data were augmented with a previously identified cohort of Olmsted County residents diagnosed as having sarcoidosis in 1946-1975. Incidence rates were age and sex adjusted to the 2010 US white population.&lt;br&gt;&lt;br&gt;&lt;strong&gt;RESULTS:&lt;/strong&gt; A total of 448 incident cases of sarcoidosis were identified (mean age, 44.2 years; 52% women). The annual incidence of sarcoidosis was 10.0 per 100,000 population. The incidence of sarcoidosis increased in women from 1950 to 1960, but otherwise there were no significant calendar year trends. However, the peak age at incidence for women shifted from 40 to 59 years in 1950 to 50 to 69 years in 2010. Similarly, the peak age at incidence for men shifted from 30 to 49 years in 1950 to 40 to 59 years in 2010. Ninety-seven percent of patients had intrathoracic involvement, but only 43% had respiratory symptoms. The overall mortality of patients with sarcoidosis was not different from that of the general population (standardized mortality ratio=0.90; 95% CI, 0.74-1.08).&lt;br&gt;&lt;br&gt;&lt;strong&gt;CONCLUSION:&lt;/strong&gt; Sarcoidosis occurred in approximately 10 persons per 100,000 per year. Most of the patients had intrathoracic involvement, although less than half had respiratory symptoms. Overall mortality was not different from that of the general population.&lt;br&gt;&lt;br&gt;Copyright © 2016 Mayo Foundation for Medical Education and Research. Published by Elsevier Inc. All rights reserved.","author":[{"family":"Ungprasert","given":"Patompong"},{"family":"Carmona","given":"Eva M"},{"family":"Utz","given":"James P"},{"family":"Ryu","given":"Jay H"},{"family":"Crowson","given":"Cynthia S"},{"family":"Matteson","given":"Eric L"}],"authorYearDisplayFormat":false,"citation-label":"4219934","container-title":"Mayo Clinic Proceedings","container-title-short":"Mayo Clin Proc","id":"4219934","invisible":false,"issue":"2","issued":{"date-parts":[["2016","2"]]},"journalAbbreviation":"Mayo Clin Proc","page":"183-188","suppress-author":false,"title":"Epidemiology of Sarcoidosis 1946-2013: A Population-Based Study.","type":"article-journal","volume":"91"},{"First":false,"Last":false,"URL":"https://commons.wikimedia.org/wiki/File:Sarcoidosis-_Emphysema_%26_fibrosis_(6076578226).jpg","accessed":{"date-parts":[["2017","11","30"]]},"author":[{"family":"Rosen","given":"Yale"}],"authorYearDisplayFormat":false,"citation-label":"4551259","container-title":"Wikipedia Commons","id":"4551259","invisible":false,"issued":{"date-parts":[["2011","8","9"]]},"suppress-author":false,"title":"Sarcoidosis- Emphysema &amp; fibrosis (6076578226)","type":"webpage"}]</w:instrText>
      </w:r>
      <w:r w:rsidRPr="005A7F38">
        <w:fldChar w:fldCharType="separate"/>
      </w:r>
      <w:r w:rsidR="00B775CB" w:rsidRPr="00B775CB">
        <w:rPr>
          <w:vertAlign w:val="superscript"/>
        </w:rPr>
        <w:t>5–8</w:t>
      </w:r>
      <w:r w:rsidRPr="005A7F38">
        <w:fldChar w:fldCharType="end"/>
      </w:r>
      <w:r w:rsidRPr="005A7F38">
        <w:t xml:space="preserve"> </w:t>
      </w:r>
      <w:r w:rsidR="001803C0" w:rsidRPr="005A7F38">
        <w:t xml:space="preserve"> </w:t>
      </w:r>
      <w:r w:rsidR="003A69AE" w:rsidRPr="005A7F38">
        <w:t xml:space="preserve">Granulomas are formed as way of protecting the body from further insult from a foreign agent by walling off the foreign body. Granulomas are a marker of inflammation rather than infection. </w:t>
      </w:r>
      <w:r w:rsidRPr="005A7F38">
        <w:t>This inflammation can be restricted to one organ system or can be caused by widespread inflammation throughout the body with many concurrent areas of inflammation.</w:t>
      </w:r>
    </w:p>
    <w:p w14:paraId="6392F444" w14:textId="77777777" w:rsidR="00CD72AC" w:rsidRDefault="00240D2A" w:rsidP="00CD72AC">
      <w:pPr>
        <w:pStyle w:val="Caption"/>
      </w:pPr>
      <w:r>
        <w:rPr>
          <w:rFonts w:ascii="Helvetica" w:hAnsi="Helvetica" w:cs="Helvetica"/>
          <w:noProof/>
        </w:rPr>
        <w:drawing>
          <wp:inline distT="0" distB="0" distL="0" distR="0" wp14:anchorId="49129A63" wp14:editId="69B993F1">
            <wp:extent cx="2014162" cy="2908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7390" cy="2927400"/>
                    </a:xfrm>
                    <a:prstGeom prst="rect">
                      <a:avLst/>
                    </a:prstGeom>
                    <a:noFill/>
                    <a:ln>
                      <a:noFill/>
                    </a:ln>
                  </pic:spPr>
                </pic:pic>
              </a:graphicData>
            </a:graphic>
          </wp:inline>
        </w:drawing>
      </w:r>
      <w:r w:rsidR="00CD72AC" w:rsidRPr="00CD72AC">
        <w:t xml:space="preserve"> </w:t>
      </w:r>
    </w:p>
    <w:p w14:paraId="17B1B6F0" w14:textId="051029F2" w:rsidR="00CD72AC" w:rsidRPr="00240D2A" w:rsidRDefault="00CD72AC" w:rsidP="00240D2A">
      <w:pPr>
        <w:pStyle w:val="Caption"/>
        <w:rPr>
          <w:b w:val="0"/>
          <w:i/>
        </w:rPr>
      </w:pPr>
      <w:bookmarkStart w:id="7" w:name="_Toc506540072"/>
      <w:r>
        <w:t xml:space="preserve">Figure </w:t>
      </w:r>
      <w:fldSimple w:instr=" SEQ Figure \* ARABIC ">
        <w:r w:rsidR="001F73C6">
          <w:rPr>
            <w:noProof/>
          </w:rPr>
          <w:t>1</w:t>
        </w:r>
      </w:fldSimple>
      <w:r>
        <w:t xml:space="preserve">. </w:t>
      </w:r>
      <w:r w:rsidR="00240D2A">
        <w:rPr>
          <w:b w:val="0"/>
        </w:rPr>
        <w:t>Gro</w:t>
      </w:r>
      <w:r w:rsidR="007B7BA9">
        <w:rPr>
          <w:b w:val="0"/>
        </w:rPr>
        <w:t>ss pathology of pulmonary s</w:t>
      </w:r>
      <w:r w:rsidR="00240D2A">
        <w:rPr>
          <w:b w:val="0"/>
        </w:rPr>
        <w:t>arcoidosis</w:t>
      </w:r>
      <w:r w:rsidR="007B7BA9">
        <w:rPr>
          <w:b w:val="0"/>
        </w:rPr>
        <w:t xml:space="preserve"> with obvious granulomatous inflammation.</w:t>
      </w:r>
      <w:bookmarkEnd w:id="7"/>
      <w:r w:rsidR="00223CA0">
        <w:rPr>
          <w:b w:val="0"/>
        </w:rPr>
        <w:t xml:space="preserve"> </w:t>
      </w:r>
    </w:p>
    <w:p w14:paraId="17C3CDB0" w14:textId="77777777" w:rsidR="00CD72AC" w:rsidRDefault="00CD72AC" w:rsidP="00CD72AC">
      <w:pPr>
        <w:jc w:val="center"/>
      </w:pPr>
    </w:p>
    <w:p w14:paraId="633FE548" w14:textId="0461DCCE" w:rsidR="008F0FE9" w:rsidRPr="008F0FE9" w:rsidRDefault="00775522" w:rsidP="00870253">
      <w:r w:rsidRPr="005A7F38">
        <w:t>In over 90% of cases, the</w:t>
      </w:r>
      <w:r w:rsidR="00601106" w:rsidRPr="005A7F38">
        <w:t xml:space="preserve"> lungs or intrathoracic lymph nodes are involved with other organs and tissues variably involved.</w:t>
      </w:r>
      <w:r w:rsidR="00601106" w:rsidRPr="005A7F38">
        <w:fldChar w:fldCharType="begin"/>
      </w:r>
      <w:r w:rsidR="00B775CB">
        <w:instrText>ADDIN F1000_CSL_CITATION&lt;~#@#~&gt;[{"DOI":"10.1513/AnnalsATS.201503-172OT","First":false,"Last":false,"PMCID":"PMC4627423","PMID":"26193069","abstract":"Sarcoidosis is a systemic disease characterized by noncaseating granulomatous inflammation with tremendous clinical heterogeneity and uncertain pathobiology and lacking in clinically useful biomarkers. The Genomic Research in Alpha-1 Antitrypsin Deficiency and Sarcoidosis (GRADS) study is an observational cohort study designed to explore the role of the lung microbiome and genome in these two diseases. This article describes the design and rationale for the GRADS study sarcoidosis protocol. The study addresses the hypothesis that distinct patterns in the lung microbiome are characteristic of sarcoidosis phenotypes and are reflected in changes in systemic inflammatory responses as measured by peripheral blood changes in gene transcription. The goal is to enroll 400 participants, with a minimum of 35 in each of 9 clinical phenotype subgroups prioritized by their clinical relevance to understanding of the pathobiology and clinical heterogeneity of sarcoidosis. Participants with a confirmed diagnosis of sarcoidosis undergo a baseline visit with self-administered questionnaires, chest computed tomography, pulmonary function tests, and blood and urine testing. A research or clinical bronchoscopy with a research bronchoalveolar lavage will be performed to obtain samples for genomic and microbiome analyses. Comparisons will be made by blood genomic analysis and with clinical phenotypic variables. A 6-month follow-up visit is planned to assess each participant's clinical course. By the use of an integrative approach to the analysis of the microbiome and genome in selected clinical phenotypes, the GRADS study is powerfully positioned to inform and direct studies on the pathobiology of sarcoidosis, identify diagnostic or prognostic biomarkers, and provide novel molecular phenotypes that could lead to improved personalized approaches to therapy for sarcoidosis.","author":[{"family":"Moller","given":"David R"},{"family":"Koth","given":"Laura L"},{"family":"Maier","given":"Lisa A"},{"family":"Morris","given":"Alison"},{"family":"Drake","given":"Wonder"},{"family":"Rossman","given":"Milton"},{"family":"Leader","given":"Joseph K"},{"family":"Collman","given":"Ronald G"},{"family":"Hamzeh","given":"Nabeel"},{"family":"Sweiss","given":"Nadera J"},{"family":"Zhang","given":"Yingze"},{"family":"O'Neal","given":"Scott"},{"family":"Senior","given":"Robert M"},{"family":"Becich","given":"Michael"},{"family":"Hochheiser","given":"Harry S"},{"family":"Kaminski","given":"Naftali"},{"family":"Wisniewski","given":"Stephen R"},{"family":"Gibson","given":"Kevin F"},{"family":"GRADS Sarcoidosis Study Group"}],"authorYearDisplayFormat":false,"citation-label":"1400043","container-title":"Annals of the American Thoracic Society","container-title-short":"Ann Am Thorac Soc","id":"1400043","invisible":false,"issue":"10","issued":{"date-parts":[["2015","10"]]},"journalAbbreviation":"Ann Am Thorac Soc","page":"1561-1571","suppress-author":false,"title":"Rationale and Design of the Genomic Research in Alpha-1 Antitrypsin Deficiency and Sarcoidosis (GRADS) Study. Sarcoidosis Protocol.","type":"article-journal","volume":"12"}]</w:instrText>
      </w:r>
      <w:r w:rsidR="00601106" w:rsidRPr="005A7F38">
        <w:fldChar w:fldCharType="separate"/>
      </w:r>
      <w:r w:rsidR="00B775CB" w:rsidRPr="00B775CB">
        <w:rPr>
          <w:noProof/>
          <w:vertAlign w:val="superscript"/>
        </w:rPr>
        <w:t>9</w:t>
      </w:r>
      <w:r w:rsidR="00601106" w:rsidRPr="005A7F38">
        <w:fldChar w:fldCharType="end"/>
      </w:r>
      <w:r w:rsidR="00601106" w:rsidRPr="005A7F38">
        <w:t xml:space="preserve"> </w:t>
      </w:r>
      <w:r w:rsidR="00CB62A8" w:rsidRPr="005A7F38">
        <w:t xml:space="preserve"> </w:t>
      </w:r>
      <w:r w:rsidR="00601106" w:rsidRPr="005A7F38">
        <w:t>It is common for the liver, spleen, salivary glands, nervous system, musculoskeletal system and heart to be affected by sarcoidosis.</w:t>
      </w:r>
      <w:r w:rsidR="00601106" w:rsidRPr="005A7F38">
        <w:fldChar w:fldCharType="begin"/>
      </w:r>
      <w:r w:rsidR="00B775CB">
        <w:instrText>ADDIN F1000_CSL_CITATION&lt;~#@#~&gt;[{"DOI":"10.1164/ajrccm.160.2.ats4-99","First":false,"Last":false,"PMID":"10430755","authorYearDisplayFormat":false,"citation-label":"3415896","container-title":"American Journal of Respiratory and Critical Care Medicine","container-title-short":"Am J Respir Crit Care Med","id":"3415896","invisible":false,"issue":"2","issued":{"date-parts":[["1999","8"]]},"journalAbbreviation":"Am J Respir Crit Care Med","page":"736-755","suppress-author":false,"title":"Statement on sarcoidosis. Joint Statement of the American Thoracic Society (ATS), the European Respiratory Society (ERS) and the World Association of Sarcoidosis and Other Granulomatous Disorders (WASOG) adopted by the ATS Board of Directors and by the ERS Executive Committee, February 1999.","type":"article-journal","volume":"160"}]</w:instrText>
      </w:r>
      <w:r w:rsidR="00601106" w:rsidRPr="005A7F38">
        <w:fldChar w:fldCharType="separate"/>
      </w:r>
      <w:r w:rsidR="00B775CB" w:rsidRPr="00B775CB">
        <w:rPr>
          <w:vertAlign w:val="superscript"/>
        </w:rPr>
        <w:t>1</w:t>
      </w:r>
      <w:r w:rsidR="00601106" w:rsidRPr="005A7F38">
        <w:fldChar w:fldCharType="end"/>
      </w:r>
      <w:r w:rsidR="00601106" w:rsidRPr="005A7F38">
        <w:t xml:space="preserve"> Patients with sarcoidosis may be asymptomatic or may experience a wide range of symptoms including respiratory problems, skin rashes</w:t>
      </w:r>
      <w:r w:rsidR="006E457E">
        <w:t xml:space="preserve"> </w:t>
      </w:r>
      <w:r w:rsidR="00601106" w:rsidRPr="005A7F38">
        <w:t>musculoskeletal pain and ocular pain or vision change.</w:t>
      </w:r>
      <w:r w:rsidR="007B7BA9">
        <w:fldChar w:fldCharType="begin"/>
      </w:r>
      <w:r w:rsidR="00B775CB">
        <w:instrText>ADDIN F1000_CSL_CITATION&lt;~#@#~&gt;[{"DOI":"10.1186/1746-160X-6-7","First":false,"Last":false,"PMCID":"PMC2903548","PMID":"20525327","abstract":"Skin diseases on the nose are seen in a variety of medical disciplines. Dermatologists, otorhinolaryngologists, general practitioners and general plastic and dermatologic surgeons are regularly consulted regarding cutaneous lesions on the nose. This article is the second part of a review series dealing with cutaneous lesions on the head and face, which are frequently seen in daily practice by a dermatologic surgeon. In this review, we focus on those skin diseases on the nose where surgery or laser therapy is considered a possible treatment option or that can be surgically evaluated.","author":[{"family":"Sand","given":"Michael"},{"family":"Sand","given":"Daniel"},{"family":"Thrandorf","given":"Christina"},{"family":"Paech","given":"Volker"},{"family":"Altmeyer","given":"Peter"},{"family":"Bechara","given":"Falk G"}],"authorYearDisplayFormat":false,"citation-label":"521","container-title":"Head &amp; face medicine","container-title-short":"Head Face Med","id":"521","invisible":false,"issued":{"date-parts":[["2010","6","4"]]},"journalAbbreviation":"Head Face Med","page":"7","suppress-author":false,"title":"Cutaneous lesions of the nose.","type":"article-journal","volume":"6"}]</w:instrText>
      </w:r>
      <w:r w:rsidR="007B7BA9">
        <w:fldChar w:fldCharType="separate"/>
      </w:r>
      <w:r w:rsidR="00B775CB" w:rsidRPr="00B775CB">
        <w:rPr>
          <w:noProof/>
          <w:vertAlign w:val="superscript"/>
        </w:rPr>
        <w:t>10</w:t>
      </w:r>
      <w:r w:rsidR="007B7BA9">
        <w:fldChar w:fldCharType="end"/>
      </w:r>
      <w:r w:rsidR="00601106" w:rsidRPr="005A7F38">
        <w:t xml:space="preserve"> There is significant heterogeneity </w:t>
      </w:r>
      <w:r w:rsidR="00601106" w:rsidRPr="005A7F38">
        <w:lastRenderedPageBreak/>
        <w:t>in the clinical manifestations, severity and clinical course of sarcoidosis across different ethnic and racial groups.</w:t>
      </w:r>
      <w:r w:rsidR="00601106" w:rsidRPr="005A7F38">
        <w:fldChar w:fldCharType="begin"/>
      </w:r>
      <w:r w:rsidR="00B775CB">
        <w:instrText>ADDIN F1000_CSL_CITATION&lt;~#@#~&gt;[{"DOI":"10.1513/AnnalsATS.201503-172OT","First":false,"Last":false,"PMCID":"PMC4627423","PMID":"26193069","abstract":"Sarcoidosis is a systemic disease characterized by noncaseating granulomatous inflammation with tremendous clinical heterogeneity and uncertain pathobiology and lacking in clinically useful biomarkers. The Genomic Research in Alpha-1 Antitrypsin Deficiency and Sarcoidosis (GRADS) study is an observational cohort study designed to explore the role of the lung microbiome and genome in these two diseases. This article describes the design and rationale for the GRADS study sarcoidosis protocol. The study addresses the hypothesis that distinct patterns in the lung microbiome are characteristic of sarcoidosis phenotypes and are reflected in changes in systemic inflammatory responses as measured by peripheral blood changes in gene transcription. The goal is to enroll 400 participants, with a minimum of 35 in each of 9 clinical phenotype subgroups prioritized by their clinical relevance to understanding of the pathobiology and clinical heterogeneity of sarcoidosis. Participants with a confirmed diagnosis of sarcoidosis undergo a baseline visit with self-administered questionnaires, chest computed tomography, pulmonary function tests, and blood and urine testing. A research or clinical bronchoscopy with a research bronchoalveolar lavage will be performed to obtain samples for genomic and microbiome analyses. Comparisons will be made by blood genomic analysis and with clinical phenotypic variables. A 6-month follow-up visit is planned to assess each participant's clinical course. By the use of an integrative approach to the analysis of the microbiome and genome in selected clinical phenotypes, the GRADS study is powerfully positioned to inform and direct studies on the pathobiology of sarcoidosis, identify diagnostic or prognostic biomarkers, and provide novel molecular phenotypes that could lead to improved personalized approaches to therapy for sarcoidosis.","author":[{"family":"Moller","given":"David R"},{"family":"Koth","given":"Laura L"},{"family":"Maier","given":"Lisa A"},{"family":"Morris","given":"Alison"},{"family":"Drake","given":"Wonder"},{"family":"Rossman","given":"Milton"},{"family":"Leader","given":"Joseph K"},{"family":"Collman","given":"Ronald G"},{"family":"Hamzeh","given":"Nabeel"},{"family":"Sweiss","given":"Nadera J"},{"family":"Zhang","given":"Yingze"},{"family":"O'Neal","given":"Scott"},{"family":"Senior","given":"Robert M"},{"family":"Becich","given":"Michael"},{"family":"Hochheiser","given":"Harry S"},{"family":"Kaminski","given":"Naftali"},{"family":"Wisniewski","given":"Stephen R"},{"family":"Gibson","given":"Kevin F"},{"family":"GRADS Sarcoidosis Study Group"}],"authorYearDisplayFormat":false,"citation-label":"1400043","container-title":"Annals of the American Thoracic Society","container-title-short":"Ann Am Thorac Soc","id":"1400043","invisible":false,"issue":"10","issued":{"date-parts":[["2015","10"]]},"journalAbbreviation":"Ann Am Thorac Soc","page":"1561-1571","suppress-author":false,"title":"Rationale and Design of the Genomic Research in Alpha-1 Antitrypsin Deficiency and Sarcoidosis (GRADS) Study. Sarcoidosis Protocol.","type":"article-journal","volume":"12"}]</w:instrText>
      </w:r>
      <w:r w:rsidR="00601106" w:rsidRPr="005A7F38">
        <w:fldChar w:fldCharType="separate"/>
      </w:r>
      <w:r w:rsidR="00B775CB" w:rsidRPr="00B775CB">
        <w:rPr>
          <w:noProof/>
          <w:vertAlign w:val="superscript"/>
        </w:rPr>
        <w:t>9</w:t>
      </w:r>
      <w:r w:rsidR="00601106" w:rsidRPr="005A7F38">
        <w:fldChar w:fldCharType="end"/>
      </w:r>
    </w:p>
    <w:p w14:paraId="254BF511" w14:textId="2E42D6E9" w:rsidR="00CB62A8" w:rsidRDefault="00CB62A8" w:rsidP="006D2F70">
      <w:r w:rsidRPr="005A7F38">
        <w:t xml:space="preserve">Formed through the recruitment of T and B lymphocytes, fibroblasts, tissue macrophages and activated monocytes and orchestrated by cytokines and chemokines, the epithelioid granuloma is the hallmark of sarcoidosis. </w:t>
      </w:r>
      <w:r w:rsidRPr="005A7F38">
        <w:fldChar w:fldCharType="begin"/>
      </w:r>
      <w:r w:rsidR="00B775CB">
        <w:instrText>ADDIN F1000_CSL_CITATION&lt;~#@#~&gt;[{"DOI":"10.3389/fimmu.2013.00437","First":false,"Last":false,"PMCID":"PMC3857538","PMID":"24339826","abstract":"Sarcoidosis is a granulomatous disorder of unknown cause, affecting multiple organs, but mainly the lungs. The exact order of immunological events remains obscure. Reviewing current literature, combined with careful clinical observations, we propose a model for granuloma formation in pulmonary sarcoidosis. A tight collaboration between macrophages, dendritic cells, and lymphocyte subsets, initiates the first steps toward granuloma formation, orchestrated by cytokines and chemokines. In a substantial part of pulmonary sarcoidosis patients, granuloma formation becomes an on-going process, leading to debilitating disease, and sometimes death. The immunological response, determining granuloma sustainment is not well understood. An impaired immunosuppressive function of regulatory T cells has been suggested to contribute to the exaggerated response. Interestingly, therapeutical agents commonly used in sarcoidosis, such as glucocorticosteroids and anti-TNF agents, interfere with granuloma integrity and restore the immune homeostasis in autoimmune disorders. Increasing insight into their mechanisms of action may contribute to the search for new therapeutical targets in pulmonary sarcoidosis.","author":[{"family":"Broos","given":"Caroline E"},{"family":"van Nimwegen","given":"Menno"},{"family":"Hoogsteden","given":"Henk C"},{"family":"Hendriks","given":"Rudi W"},{"family":"Kool","given":"Mirjam"},{"family":"van den Blink","given":"Bernt"}],"authorYearDisplayFormat":false,"citation-label":"4238293","container-title":"Frontiers in immunology","container-title-short":"Front Immunol","id":"4238293","invisible":false,"issued":{"date-parts":[["2013","12","10"]]},"journalAbbreviation":"Front Immunol","page":"437","suppress-author":false,"title":"Granuloma formation in pulmonary sarcoidosis.","type":"article-journal","volume":"4"}]</w:instrText>
      </w:r>
      <w:r w:rsidRPr="005A7F38">
        <w:fldChar w:fldCharType="separate"/>
      </w:r>
      <w:r w:rsidR="00B775CB" w:rsidRPr="00B775CB">
        <w:rPr>
          <w:vertAlign w:val="superscript"/>
        </w:rPr>
        <w:t>11</w:t>
      </w:r>
      <w:r w:rsidRPr="005A7F38">
        <w:fldChar w:fldCharType="end"/>
      </w:r>
      <w:r w:rsidR="00601106" w:rsidRPr="005A7F38">
        <w:t xml:space="preserve"> The granulomas can occur in any organ system, but have a predilection for the lung and lymphatic system</w:t>
      </w:r>
      <w:r w:rsidR="006E457E">
        <w:t xml:space="preserve"> (Figure 2</w:t>
      </w:r>
      <w:r w:rsidR="007B7BA9">
        <w:t>)</w:t>
      </w:r>
      <w:r w:rsidR="00601106" w:rsidRPr="005A7F38">
        <w:t>.</w:t>
      </w:r>
      <w:r w:rsidR="007B7BA9">
        <w:fldChar w:fldCharType="begin"/>
      </w:r>
      <w:r w:rsidR="00B775CB">
        <w:instrText>ADDIN F1000_CSL_CITATION&lt;~#@#~&gt;[{"First":false,"Last":false,"URL":"https://commons.wikimedia.org/wiki/File:PulSarcoid.png","accessed":{"date-parts":[["2017","11","30"]]},"author":[{"family":"Heilman","given":"James"}],"authorYearDisplayFormat":false,"citation-label":"4550687","container-title":"Wikipedia Commons","id":"4550687","invisible":false,"issued":{"date-parts":[["2016","5","29"]]},"suppress-author":false,"title":"PulSarcoid","type":"webpage"}]</w:instrText>
      </w:r>
      <w:r w:rsidR="007B7BA9">
        <w:fldChar w:fldCharType="separate"/>
      </w:r>
      <w:r w:rsidR="00B775CB" w:rsidRPr="00B775CB">
        <w:rPr>
          <w:noProof/>
          <w:vertAlign w:val="superscript"/>
        </w:rPr>
        <w:t>12</w:t>
      </w:r>
      <w:r w:rsidR="007B7BA9">
        <w:fldChar w:fldCharType="end"/>
      </w:r>
      <w:r w:rsidR="00601106" w:rsidRPr="005A7F38">
        <w:t xml:space="preserve"> There are no validated biomarkers that allow clinicians to overall organ involvement or to predict the disease course or response to pharmaceutical agents.</w:t>
      </w:r>
      <w:r w:rsidR="00601106" w:rsidRPr="005A7F38">
        <w:fldChar w:fldCharType="begin"/>
      </w:r>
      <w:r w:rsidR="00B775CB">
        <w:instrText>ADDIN F1000_CSL_CITATION&lt;~#@#~&gt;[{"DOI":"10.1513/AnnalsATS.201503-172OT","First":false,"Last":false,"PMCID":"PMC4627423","PMID":"26193069","abstract":"Sarcoidosis is a systemic disease characterized by noncaseating granulomatous inflammation with tremendous clinical heterogeneity and uncertain pathobiology and lacking in clinically useful biomarkers. The Genomic Research in Alpha-1 Antitrypsin Deficiency and Sarcoidosis (GRADS) study is an observational cohort study designed to explore the role of the lung microbiome and genome in these two diseases. This article describes the design and rationale for the GRADS study sarcoidosis protocol. The study addresses the hypothesis that distinct patterns in the lung microbiome are characteristic of sarcoidosis phenotypes and are reflected in changes in systemic inflammatory responses as measured by peripheral blood changes in gene transcription. The goal is to enroll 400 participants, with a minimum of 35 in each of 9 clinical phenotype subgroups prioritized by their clinical relevance to understanding of the pathobiology and clinical heterogeneity of sarcoidosis. Participants with a confirmed diagnosis of sarcoidosis undergo a baseline visit with self-administered questionnaires, chest computed tomography, pulmonary function tests, and blood and urine testing. A research or clinical bronchoscopy with a research bronchoalveolar lavage will be performed to obtain samples for genomic and microbiome analyses. Comparisons will be made by blood genomic analysis and with clinical phenotypic variables. A 6-month follow-up visit is planned to assess each participant's clinical course. By the use of an integrative approach to the analysis of the microbiome and genome in selected clinical phenotypes, the GRADS study is powerfully positioned to inform and direct studies on the pathobiology of sarcoidosis, identify diagnostic or prognostic biomarkers, and provide novel molecular phenotypes that could lead to improved personalized approaches to therapy for sarcoidosis.","author":[{"family":"Moller","given":"David R"},{"family":"Koth","given":"Laura L"},{"family":"Maier","given":"Lisa A"},{"family":"Morris","given":"Alison"},{"family":"Drake","given":"Wonder"},{"family":"Rossman","given":"Milton"},{"family":"Leader","given":"Joseph K"},{"family":"Collman","given":"Ronald G"},{"family":"Hamzeh","given":"Nabeel"},{"family":"Sweiss","given":"Nadera J"},{"family":"Zhang","given":"Yingze"},{"family":"O'Neal","given":"Scott"},{"family":"Senior","given":"Robert M"},{"family":"Becich","given":"Michael"},{"family":"Hochheiser","given":"Harry S"},{"family":"Kaminski","given":"Naftali"},{"family":"Wisniewski","given":"Stephen R"},{"family":"Gibson","given":"Kevin F"},{"family":"GRADS Sarcoidosis Study Group"}],"authorYearDisplayFormat":false,"citation-label":"1400043","container-title":"Annals of the American Thoracic Society","container-title-short":"Ann Am Thorac Soc","id":"1400043","invisible":false,"issue":"10","issued":{"date-parts":[["2015","10"]]},"journalAbbreviation":"Ann Am Thorac Soc","page":"1561-1571","suppress-author":false,"title":"Rationale and Design of the Genomic Research in Alpha-1 Antitrypsin Deficiency and Sarcoidosis (GRADS) Study. Sarcoidosis Protocol.","type":"article-journal","volume":"12"},{"First":false,"Last":false,"PMID":"10207945","abstract":"&lt;strong&gt;BACKGROUND:&lt;/strong&gt; Sarcoidosis is a multiorgan granulomatous disease of unknown cause. Lack of an objective system for assessment of sarcoidosis to evaluate disease course and effectiveness of therapy is a major problem.&lt;br&gt;&lt;br&gt;&lt;strong&gt;METHODS:&lt;/strong&gt; The sarcoidosis assessment instrument was developed by the Steering Committee of A Case Control Etiologic Study of Sarcoidosis (ACCESS) which included investigators at the ten ACCESS Clinical Centers, the Clinical Coordinating Center, and representatives of the National Heart, Blood, and Lung Institute. This system was developed to assess sarcoidosis organ involvement in ACCESS patients who would be followed over a two-year period. The system represents a consensus of opinions of members of the Steering Committee based on review of their experience and the medical literature.&lt;br&gt;&lt;br&gt;&lt;strong&gt;RESULTS:&lt;/strong&gt; Criteria for involvement in patients with biopsy-confirmed sarcoidosis are presented for organs and systems that are commonly involved (lung, skin, eyes, liver, calcium metabolism), unusual but clinically important (nervous system, kidney, heart) and other sites (non-thoracic lymph nodes, bone marrow, spleen, bone/joint, ear/nose/throat, parotid/salivary glands, muscles).&lt;br&gt;&lt;br&gt;&lt;strong&gt;CONCLUSION:&lt;/strong&gt; The proposed instrument is partially subjective in that it depends upon the clinician's diligence in pursuing evidence for sarcoidosis involvement of various organs. It is hoped that this instrument will lead to increased standardization in the definition of sarcoidosis organ involvement to help clinicians and researchers better characterize patients with sarcoidosis.","author":[{"family":"Judson","given":"M A"},{"family":"Baughman","given":"R P"},{"family":"Teirstein","given":"A S"},{"family":"Terrin","given":"M L"},{"family":"Yeager","given":"H"}],"authorYearDisplayFormat":false,"citation-label":"4532798","container-title":"Sarcoidosis, vasculitis, and diffuse lung diseases : official journal of WASOG / World Association of Sarcoidosis and Other Granulomatous Disorders","container-title-short":"Sarcoidosis Vasc Diffuse Lung Dis","id":"4532798","invisible":false,"issue":"1","issued":{"date-parts":[["1999","3"]]},"journalAbbreviation":"Sarcoidosis Vasc Diffuse Lung Dis","page":"75-86","suppress-author":false,"title":"Defining organ involvement in sarcoidosis: the ACCESS proposed instrument. ACCESS Research Group. A Case Control Etiologic Study of Sarcoidosis.","type":"article-journal","volume":"16"}]</w:instrText>
      </w:r>
      <w:r w:rsidR="00601106" w:rsidRPr="005A7F38">
        <w:fldChar w:fldCharType="separate"/>
      </w:r>
      <w:r w:rsidR="00B775CB" w:rsidRPr="00B775CB">
        <w:rPr>
          <w:noProof/>
          <w:vertAlign w:val="superscript"/>
        </w:rPr>
        <w:t>9,13</w:t>
      </w:r>
      <w:r w:rsidR="00601106" w:rsidRPr="005A7F38">
        <w:fldChar w:fldCharType="end"/>
      </w:r>
      <w:r w:rsidR="00601106" w:rsidRPr="005A7F38">
        <w:t xml:space="preserve"> Although recent research has contributed to the understanding of the immunologic basis of sarcoidosis, the determinants of the manifestation and course of the disease are still unclear and the etiology of sarcoidosis has yet to be elucidated.</w:t>
      </w:r>
      <w:r w:rsidR="002C0E50" w:rsidRPr="005A7F38">
        <w:fldChar w:fldCharType="begin"/>
      </w:r>
      <w:r w:rsidR="00B775CB">
        <w:instrText>ADDIN F1000_CSL_CITATION&lt;~#@#~&gt;[{"DOI":"10.1016/j.lpm.2012.03.018","First":false,"Last":false,"PMID":"22595775","abstract":"Sarcoidosis is a systemic granulomatous disorder of unknown origin. Recent research uncovered underlying immunological and genetic mechanisms, which will pave the way for more effective pharmaceutical studies. At present some of this knowledge is clinically exploited to monitor therapy and expected genetic progress will allow the development of prognostic genetic patterns or molecular signatures. Moreover, it has become obvious that several etiologic agents and cofactors will exist. These will be of animate and inanimate nature and their interplay with host mechanisms discussed in this review determines disease phenotypes.&lt;br&gt;&lt;br&gt;Copyright © 2012. Published by Elsevier Masson SAS.","author":[{"family":"Müller-Quernheim","given":"Joachim"},{"family":"Prasse","given":"Antje"},{"family":"Zissel","given":"Gernot"}],"authorYearDisplayFormat":false,"citation-label":"4532877","container-title":"Presse Medicale","container-title-short":"Presse Med","id":"4532877","invisible":false,"issue":"6 Pt 2","issued":{"date-parts":[["2012","6"]]},"journalAbbreviation":"Presse Med","page":"e275-87","suppress-author":false,"title":"Pathogenesis of sarcoidosis.","type":"article-journal","volume":"41"}]</w:instrText>
      </w:r>
      <w:r w:rsidR="002C0E50" w:rsidRPr="005A7F38">
        <w:fldChar w:fldCharType="separate"/>
      </w:r>
      <w:r w:rsidR="00B775CB" w:rsidRPr="00B775CB">
        <w:rPr>
          <w:noProof/>
          <w:vertAlign w:val="superscript"/>
        </w:rPr>
        <w:t>14</w:t>
      </w:r>
      <w:r w:rsidR="002C0E50" w:rsidRPr="005A7F38">
        <w:fldChar w:fldCharType="end"/>
      </w:r>
      <w:r w:rsidR="00601106" w:rsidRPr="005A7F38">
        <w:t xml:space="preserve"> </w:t>
      </w:r>
      <w:r w:rsidR="001803C0" w:rsidRPr="005A7F38">
        <w:t xml:space="preserve"> The likelihood that sarcoidosis is caused by a single common environmental exposure (e.g. infection, antigen, chemical agent) is low.  Assuming a polygenic pathogenesis for sarcoidosis, the understanding of direct genetic mechanisms, related biolog</w:t>
      </w:r>
      <w:r w:rsidR="00AE0E52">
        <w:t>ical biomarkers and metagenomic</w:t>
      </w:r>
      <w:r w:rsidR="001803C0" w:rsidRPr="005A7F38">
        <w:t xml:space="preserve"> signatures</w:t>
      </w:r>
      <w:r w:rsidR="00362897">
        <w:t xml:space="preserve">, the unique genetic content of a host and microbial communities, </w:t>
      </w:r>
      <w:r w:rsidR="001803C0" w:rsidRPr="005A7F38">
        <w:t xml:space="preserve"> will provide further definition to sarcoidosis sub-phenotypes, mechanisms responsible for differences in clinical outcomes and possibly etiology.</w:t>
      </w:r>
      <w:r w:rsidR="001803C0" w:rsidRPr="005A7F38">
        <w:fldChar w:fldCharType="begin"/>
      </w:r>
      <w:r w:rsidR="00B775CB">
        <w:instrText>ADDIN F1000_CSL_CITATION&lt;~#@#~&gt;[{"DOI":"10.1513/AnnalsATS.201707-567OT","First":false,"Last":false,"PMID":"29053026","abstract":"Sarcoidosis is a complex, polygenic disease of unknown cause with diverse clinical phenotypes, ranging from self-limited, asymptomatic disease to life altering symptoms and early disease-related mortality. It is unlikely that a single common environmental exposure (e.g., infection, antigen) entirely explains the disease, and numerous genetic mutations are associated with the disease. As such, it reasonable to assume, as with other phenotypically diverse diseases, that distinct genetic mechanisms and related biological biomarkers will serve to further define sarcoidosis sub-phenotypes and mechanisms and to guide personalized care. The fields of 'omics' and systems biology research are widely applied to understand polygenic and phenotypically diverse diseases, such as sarcoidosis. 'Omics' refers to technologies that allow comprehensive profiling of sets of molecules in an organism. Systems biology applies advanced computational approaches to make sense of the enormous data sets that are typically generated from 'omics platforms. The primary objectives of this manuscript are to review the available 'omics tools, assess the current status of 'omics and systems biology research in the field of sarcoidosis, and to consider how this technology could be applied to advance the mechanistic underpinning and treatment of sarcoidosis. An emphasis is be placed on leveraging these research tools to develop better treatments and biomarkers for extreme life-altering sarcoidosis phenotypes, which are overrepresented in underserved populations.","author":[{"family":"Crouser","given":"Elliott D"},{"family":"Fingerlin","given":"Tasha E"},{"family":"Yang","given":"Ivana V"},{"family":"Maier","given":"Lisa A"},{"family":"Nana-Sinkam","given":"Patrick"},{"family":"Collman","given":"Ronald G"},{"family":"Kaminski","given":"Naftali"}],"authorYearDisplayFormat":false,"citation-label":"4532573","container-title":"Annals of the American Thoracic Society","container-title-short":"Ann Am Thorac Soc","id":"4532573","invisible":false,"issued":{"date-parts":[["2017","10","20"]]},"journalAbbreviation":"Ann Am Thorac Soc","suppress-author":false,"title":"Application of 'omics' and systems biology to sarcoidosis research.","type":"article-journal"},{"DOI":"10.1186/2042-5783-2-3","First":false,"Last":false,"PMCID":"PMC3351745","PMID":"22587947","abstract":"Metagenomics applies a suite of genomic technologies and bioinformatics tools to directly access the genetic content of entire communities of organisms. The field of metagenomics has been responsible for substantial advances in microbial ecology, evolution, and diversity over the past 5 to 10 years, and many research laboratories are actively engaged in it now. With the growing numbers of activities also comes a plethora of methodological knowledge and expertise that should guide future developments in the field. This review summarizes the current opinions in metagenomics, and provides practical guidance and advice on sample processing, sequencing technology, assembly, binning, annotation, experimental design, statistical analysis, data storage, and data sharing. As more metagenomic datasets are generated, the availability of standardized procedures and shared data storage and analysis becomes increasingly important to ensure that output of individual projects can be assessed and compared.","author":[{"family":"Thomas","given":"Torsten"},{"family":"Gilbert","given":"Jack"},{"family":"Meyer","given":"Folker"}],"authorYearDisplayFormat":false,"citation-label":"224625","container-title":"Microbial informatics and experimentation","container-title-short":"Microb Inform Exp","id":"224625","invisible":false,"issue":"1","issued":{"date-parts":[["2012","2","9"]]},"journalAbbreviation":"Microb Inform Exp","page":"3","suppress-author":false,"title":"Metagenomics - a guide from sampling to data analysis.","type":"article-journal","volume":"2"}]</w:instrText>
      </w:r>
      <w:r w:rsidR="001803C0" w:rsidRPr="005A7F38">
        <w:fldChar w:fldCharType="separate"/>
      </w:r>
      <w:r w:rsidR="00B775CB" w:rsidRPr="00B775CB">
        <w:rPr>
          <w:noProof/>
          <w:vertAlign w:val="superscript"/>
        </w:rPr>
        <w:t>15,16</w:t>
      </w:r>
      <w:r w:rsidR="001803C0" w:rsidRPr="005A7F38">
        <w:fldChar w:fldCharType="end"/>
      </w:r>
      <w:r w:rsidR="00171C01">
        <w:t xml:space="preserve"> </w:t>
      </w:r>
    </w:p>
    <w:p w14:paraId="4E617BAE" w14:textId="77777777" w:rsidR="00004E1A" w:rsidRDefault="00004E1A" w:rsidP="006D2F70"/>
    <w:p w14:paraId="6E0554F4" w14:textId="77777777" w:rsidR="00B942F6" w:rsidRDefault="00B942F6" w:rsidP="00CD72AC">
      <w:pPr>
        <w:jc w:val="center"/>
      </w:pPr>
      <w:r>
        <w:rPr>
          <w:rFonts w:ascii="Helvetica" w:hAnsi="Helvetica" w:cs="Helvetica"/>
          <w:noProof/>
        </w:rPr>
        <w:lastRenderedPageBreak/>
        <w:drawing>
          <wp:inline distT="0" distB="0" distL="0" distR="0" wp14:anchorId="0FDA5F1D" wp14:editId="477FA6B0">
            <wp:extent cx="3642529" cy="2990106"/>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57425" cy="3084423"/>
                    </a:xfrm>
                    <a:prstGeom prst="rect">
                      <a:avLst/>
                    </a:prstGeom>
                    <a:noFill/>
                    <a:ln>
                      <a:noFill/>
                    </a:ln>
                  </pic:spPr>
                </pic:pic>
              </a:graphicData>
            </a:graphic>
          </wp:inline>
        </w:drawing>
      </w:r>
    </w:p>
    <w:p w14:paraId="5D99154B" w14:textId="73D79194" w:rsidR="00005DD5" w:rsidRDefault="00BE11F2" w:rsidP="00005DD5">
      <w:pPr>
        <w:pStyle w:val="Caption"/>
        <w:rPr>
          <w:b w:val="0"/>
          <w:i/>
        </w:rPr>
      </w:pPr>
      <w:bookmarkStart w:id="8" w:name="_Toc506540073"/>
      <w:r>
        <w:t xml:space="preserve">Figure </w:t>
      </w:r>
      <w:fldSimple w:instr=" SEQ Figure \* ARABIC ">
        <w:r w:rsidR="001F73C6">
          <w:rPr>
            <w:noProof/>
          </w:rPr>
          <w:t>2</w:t>
        </w:r>
      </w:fldSimple>
      <w:r w:rsidR="00005DD5">
        <w:t xml:space="preserve">. </w:t>
      </w:r>
      <w:r w:rsidR="00005DD5">
        <w:rPr>
          <w:b w:val="0"/>
        </w:rPr>
        <w:t>Axial CT image of Pulmonary Sarcoidosis</w:t>
      </w:r>
      <w:bookmarkEnd w:id="8"/>
    </w:p>
    <w:p w14:paraId="54D2B370" w14:textId="77777777" w:rsidR="00B942F6" w:rsidRDefault="00B942F6" w:rsidP="00B942F6">
      <w:pPr>
        <w:pStyle w:val="Caption"/>
        <w:rPr>
          <w:b w:val="0"/>
          <w:i/>
        </w:rPr>
      </w:pPr>
      <w:r>
        <w:rPr>
          <w:b w:val="0"/>
        </w:rPr>
        <w:t xml:space="preserve"> </w:t>
      </w:r>
    </w:p>
    <w:p w14:paraId="128BAEEE" w14:textId="77777777" w:rsidR="00F97447" w:rsidRPr="00CB758B" w:rsidRDefault="000176B4" w:rsidP="002446BB">
      <w:pPr>
        <w:pStyle w:val="Heading3"/>
        <w:rPr>
          <w:rFonts w:cs="Times New Roman"/>
        </w:rPr>
      </w:pPr>
      <w:bookmarkStart w:id="9" w:name="_Toc506539996"/>
      <w:r w:rsidRPr="005A7F38">
        <w:rPr>
          <w:rFonts w:cs="Times New Roman"/>
        </w:rPr>
        <w:t>Diagnosi</w:t>
      </w:r>
      <w:r w:rsidR="00CB758B">
        <w:rPr>
          <w:rFonts w:cs="Times New Roman"/>
        </w:rPr>
        <w:t>s</w:t>
      </w:r>
      <w:bookmarkEnd w:id="9"/>
    </w:p>
    <w:p w14:paraId="13C29776" w14:textId="27ED12C1" w:rsidR="00544F71" w:rsidRDefault="000E512E" w:rsidP="002446BB">
      <w:pPr>
        <w:pStyle w:val="Noindent"/>
      </w:pPr>
      <w:r w:rsidRPr="005A7F38">
        <w:t>The diagnosis of sarcoidosis requires clinical correlation of symptoms with biochemical, radiological and pathological findings supporting a diagnosis. The diagnostic work up for sarcoidosis frequently includes a thorough medical and exposure history, physical exam including an eye investigation, imaging including chest radiography and CT imaging, pulmonary function tests, blood tests including blood counts and serum chemistries, urine analysis, electrocardiography and bronchoscopy with biopsy</w:t>
      </w:r>
      <w:r w:rsidR="007B7BA9">
        <w:t xml:space="preserve"> and histopathological examination of biopsied tissue</w:t>
      </w:r>
      <w:r w:rsidR="000E376C">
        <w:t xml:space="preserve"> (Figure 3)</w:t>
      </w:r>
      <w:r w:rsidRPr="005A7F38">
        <w:t>.</w:t>
      </w:r>
      <w:r w:rsidR="00544F71" w:rsidRPr="005A7F38">
        <w:fldChar w:fldCharType="begin"/>
      </w:r>
      <w:r w:rsidR="00B775CB">
        <w:instrText>ADDIN F1000_CSL_CITATION&lt;~#@#~&gt;[{"DOI":"10.1016/j.mayocp.2016.03.004","First":false,"Last":false,"PMID":"27378039","abstract":"Sarcoidosis is a chronic granulomatous disease of unknown cause that is seen worldwide and occurs mainly in patients between the ages of 20 and 60 years. It can be difficult to diagnose because it can mimic many other diseases including lymphoproliferative disorders and granulomatous infections and because there is no specific test for diagnosis, which depends on correlation of clinicoradiologic and histopathologic features. This review will focus on recent discoveries regarding the pathogenesis of sarcoidosis, common clinical presentations, diagnostic evaluation, and indications for treatment. This review is aimed largely at general practitioners and emphasizes the importance of differentiating pulmonary sarcoidosis from its common imitators.&lt;br&gt;&lt;br&gt;Copyright © 2016 Mayo Foundation for Medical Education and Research. Published by Elsevier Inc. All rights reserved.","author":[{"family":"Carmona","given":"Eva M"},{"family":"Kalra","given":"Sanjay"},{"family":"Ryu","given":"Jay H"}],"authorYearDisplayFormat":false,"citation-label":"3390559","container-title":"Mayo Clinic Proceedings","container-title-short":"Mayo Clin Proc","id":"3390559","invisible":false,"issue":"7","issued":{"date-parts":[["2016","7"]]},"journalAbbreviation":"Mayo Clin Proc","page":"946-954","suppress-author":false,"title":"Pulmonary sarcoidosis: diagnosis and treatment.","type":"article-journal","volume":"91"},{"DOI":"10.1097/MCP.0b013e3283056a61","First":false,"Last":false,"PMID":"18664976","abstract":"&lt;strong&gt;PURPOSE OF REVIEW:&lt;/strong&gt; To describe the recent advances in the diagnostic procedures for sarcoidosis and explore future directions.&lt;br&gt;&lt;br&gt;&lt;strong&gt;RECENT FINDINGS:&lt;/strong&gt; Novel imaging techniques have been explored in sarcoidosis, such as positron emission tomography using L-[3-F]-alpha-methyltyrosine, which is more specific for malignancy than F-fluorodeoxyglucose positron emission tomography. The combined modality of L-[3-F]-alpha-methyltyrosine-positron emission tomography with fluorodeoxyglucose-positron emission tomography could successfully discriminate sarcoidosis from malignancy. The finding of delayed enhancement in cardiac magnetic resonance imaging could identify cardiac involvement of sarcoidosis with higher sensitivity than echocardiography, thallium scintigraphy, and gallium scintigraphy. Endobronchial ultrasonograpy-guided transbronchial needle aspiration is a safe and useful tool for diagnosing sarcoidosis with a diagnostic accuracy, sensitivity and specificity of 85-93, 78-89, and 92-96%, respectively. Developments in genetics have demonstrated that 99% of the human leukocyte antigen DRB1*0301/DQB1*0201-positive patients with Löfgren's syndrome show a spontaneous remission, in contrast to only 55% of the human leukocyte antigen DRB1*0301/DQB1*0201-negative patients. These alleles could be novel promising factors for discriminating a prognosis in Löfgren's syndrome.&lt;br&gt;&lt;br&gt;&lt;strong&gt;SUMMARY:&lt;/strong&gt; Recent development including novel imaging techniques, novel biopsy procedures, and genetic analyses could be of value for the diagnosis of sarcoidosis.","author":[{"family":"Costabel","given":"Ulrich"},{"family":"Ohshimo","given":"Shinichiro"},{"family":"Guzman","given":"Josune"}],"authorYearDisplayFormat":false,"citation-label":"4532589","container-title":"Current Opinion in Pulmonary Medicine","container-title-short":"Curr Opin Pulm Med","id":"4532589","invisible":false,"issue":"5","issued":{"date-parts":[["2008","9"]]},"journalAbbreviation":"Curr Opin Pulm Med","page":"455-461","suppress-author":false,"title":"Diagnosis of sarcoidosis.","type":"article-journal","volume":"14"},{"First":false,"Last":false,"URL":"https://commons.wikimedia.org/wiki/File:Sarcoidosis_-_Lymph_node_-_non-necrotizing_granulomas_(6201134703).jpg","accessed":{"date-parts":[["2017","11","30"]]},"author":[{"family":"Rosen","given":"Yale"}],"authorYearDisplayFormat":false,"citation-label":"4551278","container-title":"Wikipedia Commons","id":"4551278","invisible":false,"issued":{"date-parts":[["2005","7","28"]]},"suppress-author":false,"title":"Sarcoidosis - Lymph node - non-necrotizing granulomas (6201134703)","type":"webpage"}]</w:instrText>
      </w:r>
      <w:r w:rsidR="00544F71" w:rsidRPr="005A7F38">
        <w:fldChar w:fldCharType="separate"/>
      </w:r>
      <w:r w:rsidR="00B775CB" w:rsidRPr="00B775CB">
        <w:rPr>
          <w:noProof/>
          <w:vertAlign w:val="superscript"/>
        </w:rPr>
        <w:t>17–19</w:t>
      </w:r>
      <w:r w:rsidR="00544F71" w:rsidRPr="005A7F38">
        <w:fldChar w:fldCharType="end"/>
      </w:r>
      <w:r w:rsidRPr="005A7F38">
        <w:t xml:space="preserve"> </w:t>
      </w:r>
      <w:r w:rsidR="0026126A" w:rsidRPr="005A7F38">
        <w:t xml:space="preserve">A diagnostic yield of 53% has been demonstrated using </w:t>
      </w:r>
      <w:r w:rsidR="008F5985" w:rsidRPr="005A7F38">
        <w:t>trans bronchial</w:t>
      </w:r>
      <w:r w:rsidR="0026126A" w:rsidRPr="005A7F38">
        <w:t xml:space="preserve"> biopsy (CI:45%-61%, p&lt;0.001).</w:t>
      </w:r>
      <w:r w:rsidR="0026126A" w:rsidRPr="005A7F38">
        <w:fldChar w:fldCharType="begin"/>
      </w:r>
      <w:r w:rsidR="00B775CB">
        <w:instrText>ADDIN F1000_CSL_CITATION&lt;~#@#~&gt;[{"DOI":"10.1001/jama.2013.5823","First":false,"Last":false,"PMID":"23780458","abstract":"&lt;strong&gt;IMPORTANCE:&lt;/strong&gt; Tissue verification of noncaseating granulomas is recommended for the diagnosis of sarcoidosis. Bronchoscopy with transbronchial lung biopsies, the current diagnostic standard, has moderate sensitivity in assessing granulomas. Endosonography with intrathoracic nodal aspiration appears to be a promising diagnostic technique.&lt;br&gt;&lt;br&gt;&lt;strong&gt;OBJECTIVE:&lt;/strong&gt; To evaluate the diagnostic yield of bronchoscopy vs endosonography in the diagnosis of stage I/II sarcoidosis.&lt;br&gt;&lt;br&gt;&lt;strong&gt;DESIGN, SETTING, AND PATIENTS:&lt;/strong&gt; Randomized clinical multicenter trial (14 centers in 6 countries) between March 2009 and November 2011 of 304 consecutive patients with suspected pulmonary sarcoidosis (stage I/II) in whom tissue confirmation of noncaseating granulomas was indicated.&lt;br&gt;&lt;br&gt;&lt;strong&gt;INTERVENTIONS:&lt;/strong&gt; Either bronchoscopy with transbronchial and endobronchial lung biopsies or endosonography (esophageal or endobronchial ultrasonography) with aspiration of intrathoracic lymph nodes. All patients also underwent bronchoalveolar lavage.&lt;br&gt;&lt;br&gt;&lt;strong&gt;MAIN OUTCOMES AND MEASURES:&lt;/strong&gt; The primary outcome was the diagnostic yield for detecting noncaseating granulomas in patients with a final diagnosis of sarcoidosis. The diagnosis was based on final clinical judgment by the treating physician, according to all available information (including findings from initial bronchoscopy or endosonography). Secondary outcomes were the complication rate in both groups and sensitivity and specificity of bronchoalveolar lavage in the diagnosis of sarcoidosis.&lt;br&gt;&lt;br&gt;&lt;strong&gt;RESULTS:&lt;/strong&gt; A total of 149 patients were randomized to bronchoscopy and 155 to endosonography. Significantly more granulomas were detected at endosonography vs bronchoscopy (114 vs 72 patients; 74% vs 48%; P &lt;  .001). Diagnostic yield to detect granulomas for endosonography was 80% (95% CI, 73%-86%); for bronchoscopy, 53% (95% CI, 45%-61%) (P &lt;  .001). Two serious adverse events occurred in the bronchoscopy group and 1 in the endosonography group; all patients recovered completely. Sensitivity of the bronchoalveolar lavage for sarcoidosis based on CD4/CD8 ratio was 54% (95% CI, 46%-62%) for flow cytometry and 24% (95% CI, 16%-34%) for cytospin analysis.&lt;br&gt;&lt;br&gt;&lt;strong&gt;CONCLUSION AND RELEVANCE:&lt;/strong&gt; Among patients with suspected stage I/II pulmonary sarcoidosis undergoing tissue confirmation, the use of endosonographic nodal aspiration compared with bronchoscopic biopsy resulted in greater diagnostic yield.&lt;br&gt;&lt;br&gt;&lt;strong&gt;TRIAL REGISTRATION:&lt;/strong&gt; clinicaltrials.gov Identifier: NCT00872612.","author":[{"family":"von Bartheld","given":"Martin B"},{"family":"Dekkers","given":"Olaf M"},{"family":"Szlubowski","given":"Artur"},{"family":"Eberhardt","given":"Ralf"},{"family":"Herth","given":"Felix J"},{"family":"in 't Veen","given":"Johannes C C M"},{"family":"de Jong","given":"Ynze P"},{"family":"van der Heijden","given":"Erik H F M"},{"family":"Tournoy","given":"Kurt G"},{"family":"Claussen","given":"Martin"},{"family":"van den Blink","given":"Bernt"},{"family":"Shah","given":"Pallav L"},{"family":"Zoumot","given":"Zaid"},{"family":"Clementsen","given":"Paul"},{"family":"Porsbjerg","given":"Celeste"},{"family":"Mauad","given":"Thais"},{"family":"Bernardi","given":"Fabiola D"},{"family":"van Zwet","given":"Erik W"},{"family":"Rabe","given":"Klaus F"},{"family":"Annema","given":"Jouke T"}],"authorYearDisplayFormat":false,"citation-label":"4532591","container-title":"The Journal of the American Medical Association","container-title-short":"JAMA","id":"4532591","invisible":false,"issue":"23","issued":{"date-parts":[["2013","6","19"]]},"journalAbbreviation":"JAMA","page":"2457-2464","suppress-author":false,"title":"Endosonography vs conventional bronchoscopy for the diagnosis of sarcoidosis: the GRANULOMA randomized clinical trial.","type":"article-journal","volume":"309"}]</w:instrText>
      </w:r>
      <w:r w:rsidR="0026126A" w:rsidRPr="005A7F38">
        <w:fldChar w:fldCharType="separate"/>
      </w:r>
      <w:r w:rsidR="00B775CB" w:rsidRPr="00B775CB">
        <w:rPr>
          <w:noProof/>
          <w:vertAlign w:val="superscript"/>
        </w:rPr>
        <w:t>20</w:t>
      </w:r>
      <w:r w:rsidR="0026126A" w:rsidRPr="005A7F38">
        <w:fldChar w:fldCharType="end"/>
      </w:r>
      <w:r w:rsidR="0026126A" w:rsidRPr="005A7F38">
        <w:t xml:space="preserve"> </w:t>
      </w:r>
      <w:r w:rsidRPr="005A7F38">
        <w:t>Recent studies by von Bartheld et al</w:t>
      </w:r>
      <w:r w:rsidR="0026126A" w:rsidRPr="005A7F38">
        <w:t xml:space="preserve"> in 2013</w:t>
      </w:r>
      <w:r w:rsidRPr="005A7F38">
        <w:t xml:space="preserve"> have shown that ultrasonography-guided </w:t>
      </w:r>
      <w:r w:rsidR="008F5985" w:rsidRPr="005A7F38">
        <w:t>trans bronchial</w:t>
      </w:r>
      <w:r w:rsidRPr="005A7F38">
        <w:t xml:space="preserve"> needle aspiration may be an alternative to the invasive biopsy performed during bronchoscopy</w:t>
      </w:r>
      <w:r w:rsidR="0026126A" w:rsidRPr="005A7F38">
        <w:t xml:space="preserve"> and has been shown to have significantly better detection </w:t>
      </w:r>
      <w:r w:rsidR="0026126A" w:rsidRPr="005A7F38">
        <w:lastRenderedPageBreak/>
        <w:t>of granulomas (74% vs 48%, p&lt;0.001) and diagnostic yield (yield= 80%, CI=73%-86%, p&lt;0.001)</w:t>
      </w:r>
      <w:r w:rsidRPr="005A7F38">
        <w:t>.</w:t>
      </w:r>
      <w:r w:rsidR="00544F71" w:rsidRPr="005A7F38">
        <w:fldChar w:fldCharType="begin"/>
      </w:r>
      <w:r w:rsidR="00B775CB">
        <w:instrText>ADDIN F1000_CSL_CITATION&lt;~#@#~&gt;[{"DOI":"10.1001/jama.2013.5823","First":false,"Last":false,"PMID":"23780458","abstract":"&lt;strong&gt;IMPORTANCE:&lt;/strong&gt; Tissue verification of noncaseating granulomas is recommended for the diagnosis of sarcoidosis. Bronchoscopy with transbronchial lung biopsies, the current diagnostic standard, has moderate sensitivity in assessing granulomas. Endosonography with intrathoracic nodal aspiration appears to be a promising diagnostic technique.&lt;br&gt;&lt;br&gt;&lt;strong&gt;OBJECTIVE:&lt;/strong&gt; To evaluate the diagnostic yield of bronchoscopy vs endosonography in the diagnosis of stage I/II sarcoidosis.&lt;br&gt;&lt;br&gt;&lt;strong&gt;DESIGN, SETTING, AND PATIENTS:&lt;/strong&gt; Randomized clinical multicenter trial (14 centers in 6 countries) between March 2009 and November 2011 of 304 consecutive patients with suspected pulmonary sarcoidosis (stage I/II) in whom tissue confirmation of noncaseating granulomas was indicated.&lt;br&gt;&lt;br&gt;&lt;strong&gt;INTERVENTIONS:&lt;/strong&gt; Either bronchoscopy with transbronchial and endobronchial lung biopsies or endosonography (esophageal or endobronchial ultrasonography) with aspiration of intrathoracic lymph nodes. All patients also underwent bronchoalveolar lavage.&lt;br&gt;&lt;br&gt;&lt;strong&gt;MAIN OUTCOMES AND MEASURES:&lt;/strong&gt; The primary outcome was the diagnostic yield for detecting noncaseating granulomas in patients with a final diagnosis of sarcoidosis. The diagnosis was based on final clinical judgment by the treating physician, according to all available information (including findings from initial bronchoscopy or endosonography). Secondary outcomes were the complication rate in both groups and sensitivity and specificity of bronchoalveolar lavage in the diagnosis of sarcoidosis.&lt;br&gt;&lt;br&gt;&lt;strong&gt;RESULTS:&lt;/strong&gt; A total of 149 patients were randomized to bronchoscopy and 155 to endosonography. Significantly more granulomas were detected at endosonography vs bronchoscopy (114 vs 72 patients; 74% vs 48%; P &lt;  .001). Diagnostic yield to detect granulomas for endosonography was 80% (95% CI, 73%-86%); for bronchoscopy, 53% (95% CI, 45%-61%) (P &lt;  .001). Two serious adverse events occurred in the bronchoscopy group and 1 in the endosonography group; all patients recovered completely. Sensitivity of the bronchoalveolar lavage for sarcoidosis based on CD4/CD8 ratio was 54% (95% CI, 46%-62%) for flow cytometry and 24% (95% CI, 16%-34%) for cytospin analysis.&lt;br&gt;&lt;br&gt;&lt;strong&gt;CONCLUSION AND RELEVANCE:&lt;/strong&gt; Among patients with suspected stage I/II pulmonary sarcoidosis undergoing tissue confirmation, the use of endosonographic nodal aspiration compared with bronchoscopic biopsy resulted in greater diagnostic yield.&lt;br&gt;&lt;br&gt;&lt;strong&gt;TRIAL REGISTRATION:&lt;/strong&gt; clinicaltrials.gov Identifier: NCT00872612.","author":[{"family":"von Bartheld","given":"Martin B"},{"family":"Dekkers","given":"Olaf M"},{"family":"Szlubowski","given":"Artur"},{"family":"Eberhardt","given":"Ralf"},{"family":"Herth","given":"Felix J"},{"family":"in 't Veen","given":"Johannes C C M"},{"family":"de Jong","given":"Ynze P"},{"family":"van der Heijden","given":"Erik H F M"},{"family":"Tournoy","given":"Kurt G"},{"family":"Claussen","given":"Martin"},{"family":"van den Blink","given":"Bernt"},{"family":"Shah","given":"Pallav L"},{"family":"Zoumot","given":"Zaid"},{"family":"Clementsen","given":"Paul"},{"family":"Porsbjerg","given":"Celeste"},{"family":"Mauad","given":"Thais"},{"family":"Bernardi","given":"Fabiola D"},{"family":"van Zwet","given":"Erik W"},{"family":"Rabe","given":"Klaus F"},{"family":"Annema","given":"Jouke T"}],"authorYearDisplayFormat":false,"citation-label":"4532591","container-title":"The Journal of the American Medical Association","container-title-short":"JAMA","id":"4532591","invisible":false,"issue":"23","issued":{"date-parts":[["2013","6","19"]]},"journalAbbreviation":"JAMA","page":"2457-2464","suppress-author":false,"title":"Endosonography vs conventional bronchoscopy for the diagnosis of sarcoidosis: the GRANULOMA randomized clinical trial.","type":"article-journal","volume":"309"}]</w:instrText>
      </w:r>
      <w:r w:rsidR="00544F71" w:rsidRPr="005A7F38">
        <w:fldChar w:fldCharType="separate"/>
      </w:r>
      <w:r w:rsidR="00B775CB" w:rsidRPr="00B775CB">
        <w:rPr>
          <w:noProof/>
          <w:vertAlign w:val="superscript"/>
        </w:rPr>
        <w:t>20</w:t>
      </w:r>
      <w:r w:rsidR="00544F71" w:rsidRPr="005A7F38">
        <w:fldChar w:fldCharType="end"/>
      </w:r>
      <w:r w:rsidRPr="005A7F38">
        <w:t xml:space="preserve"> </w:t>
      </w:r>
      <w:r w:rsidR="0026126A" w:rsidRPr="005A7F38">
        <w:t xml:space="preserve">Ratio of CD4/CD8 cells in bronchoalveolar lavage has also been proposed as a less invasive diagnostic biomarker of sarcoidosis and has a sensitivity similar to that of </w:t>
      </w:r>
      <w:r w:rsidR="008F5985" w:rsidRPr="005A7F38">
        <w:t>trans bronchial</w:t>
      </w:r>
      <w:r w:rsidR="0026126A" w:rsidRPr="005A7F38">
        <w:t xml:space="preserve"> biopsy (sensitivity=54%, CI=46%-62%, p&lt;0.001).</w:t>
      </w:r>
      <w:r w:rsidR="0026126A" w:rsidRPr="005A7F38">
        <w:fldChar w:fldCharType="begin"/>
      </w:r>
      <w:r w:rsidR="00B775CB">
        <w:instrText>ADDIN F1000_CSL_CITATION&lt;~#@#~&gt;[{"DOI":"10.1001/jama.2013.5823","First":false,"Last":false,"PMID":"23780458","abstract":"&lt;strong&gt;IMPORTANCE:&lt;/strong&gt; Tissue verification of noncaseating granulomas is recommended for the diagnosis of sarcoidosis. Bronchoscopy with transbronchial lung biopsies, the current diagnostic standard, has moderate sensitivity in assessing granulomas. Endosonography with intrathoracic nodal aspiration appears to be a promising diagnostic technique.&lt;br&gt;&lt;br&gt;&lt;strong&gt;OBJECTIVE:&lt;/strong&gt; To evaluate the diagnostic yield of bronchoscopy vs endosonography in the diagnosis of stage I/II sarcoidosis.&lt;br&gt;&lt;br&gt;&lt;strong&gt;DESIGN, SETTING, AND PATIENTS:&lt;/strong&gt; Randomized clinical multicenter trial (14 centers in 6 countries) between March 2009 and November 2011 of 304 consecutive patients with suspected pulmonary sarcoidosis (stage I/II) in whom tissue confirmation of noncaseating granulomas was indicated.&lt;br&gt;&lt;br&gt;&lt;strong&gt;INTERVENTIONS:&lt;/strong&gt; Either bronchoscopy with transbronchial and endobronchial lung biopsies or endosonography (esophageal or endobronchial ultrasonography) with aspiration of intrathoracic lymph nodes. All patients also underwent bronchoalveolar lavage.&lt;br&gt;&lt;br&gt;&lt;strong&gt;MAIN OUTCOMES AND MEASURES:&lt;/strong&gt; The primary outcome was the diagnostic yield for detecting noncaseating granulomas in patients with a final diagnosis of sarcoidosis. The diagnosis was based on final clinical judgment by the treating physician, according to all available information (including findings from initial bronchoscopy or endosonography). Secondary outcomes were the complication rate in both groups and sensitivity and specificity of bronchoalveolar lavage in the diagnosis of sarcoidosis.&lt;br&gt;&lt;br&gt;&lt;strong&gt;RESULTS:&lt;/strong&gt; A total of 149 patients were randomized to bronchoscopy and 155 to endosonography. Significantly more granulomas were detected at endosonography vs bronchoscopy (114 vs 72 patients; 74% vs 48%; P &lt;  .001). Diagnostic yield to detect granulomas for endosonography was 80% (95% CI, 73%-86%); for bronchoscopy, 53% (95% CI, 45%-61%) (P &lt;  .001). Two serious adverse events occurred in the bronchoscopy group and 1 in the endosonography group; all patients recovered completely. Sensitivity of the bronchoalveolar lavage for sarcoidosis based on CD4/CD8 ratio was 54% (95% CI, 46%-62%) for flow cytometry and 24% (95% CI, 16%-34%) for cytospin analysis.&lt;br&gt;&lt;br&gt;&lt;strong&gt;CONCLUSION AND RELEVANCE:&lt;/strong&gt; Among patients with suspected stage I/II pulmonary sarcoidosis undergoing tissue confirmation, the use of endosonographic nodal aspiration compared with bronchoscopic biopsy resulted in greater diagnostic yield.&lt;br&gt;&lt;br&gt;&lt;strong&gt;TRIAL REGISTRATION:&lt;/strong&gt; clinicaltrials.gov Identifier: NCT00872612.","author":[{"family":"von Bartheld","given":"Martin B"},{"family":"Dekkers","given":"Olaf M"},{"family":"Szlubowski","given":"Artur"},{"family":"Eberhardt","given":"Ralf"},{"family":"Herth","given":"Felix J"},{"family":"in 't Veen","given":"Johannes C C M"},{"family":"de Jong","given":"Ynze P"},{"family":"van der Heijden","given":"Erik H F M"},{"family":"Tournoy","given":"Kurt G"},{"family":"Claussen","given":"Martin"},{"family":"van den Blink","given":"Bernt"},{"family":"Shah","given":"Pallav L"},{"family":"Zoumot","given":"Zaid"},{"family":"Clementsen","given":"Paul"},{"family":"Porsbjerg","given":"Celeste"},{"family":"Mauad","given":"Thais"},{"family":"Bernardi","given":"Fabiola D"},{"family":"van Zwet","given":"Erik W"},{"family":"Rabe","given":"Klaus F"},{"family":"Annema","given":"Jouke T"}],"authorYearDisplayFormat":false,"citation-label":"4532591","container-title":"The Journal of the American Medical Association","container-title-short":"JAMA","id":"4532591","invisible":false,"issue":"23","issued":{"date-parts":[["2013","6","19"]]},"journalAbbreviation":"JAMA","page":"2457-2464","suppress-author":false,"title":"Endosonography vs conventional bronchoscopy for the diagnosis of sarcoidosis: the GRANULOMA randomized clinical trial.","type":"article-journal","volume":"309"},{"DOI":"10.1164/arrd.1985.132.2.400","First":false,"Last":false,"PMID":"3896081","abstract":"To determine whether bronchoalveolar lavage reflects the histologic aspects of the lung histology in patients with sarcoidosis and hypersensitivity pneumonitis, cells recovered from lavage fluid were compared with tissue sections from transbronchial lung biopsies in 33 patients. The evaluation of cellular types and their topographic distribution in situ was determined by using monoclonal antibodies in combination with immunohistochemical techniques. Cell counts in bronchoalveolar lavage and lung biopsies were significantly correlated both in sarcoidosis and hypersensitivity pneumonitis. In fact, the relative proportions of inflammatory and immunocompetent cells recovered from lavage fluid accurately overlapped those observed in lung tissue sections. However, in patients with more pronounced alveolitis, the frequency of macrophages in tissue sections was higher than that observed in the bronchoalveolar lavage, and the degree of lymphocytes in the lavage was higher than that observed in the corresponding biopsy. Specifically, in these patients the lavage underestimated the amount of macrophages in the lung biopsies and overestimated the number of lymphocytes that were present in the lung parenchyma. This was more evident in patients with hypersensitivity pneumonitis, where the intensity of alveolitis was higher than in sarcoidosis. Our data support the idea that, at least in patients with sarcoidosis and hypersensitivity pneumonitis, bronchoalveolar lavage correctly samples the alveolitis. Discrepancies in patients with very high intensity alveolitis could be due to a more pronounced recirculation of lymphocytes from the parenchyma to the alveolar spaces.","author":[{"family":"Semenzato","given":"G"},{"family":"Chilosi","given":"M"},{"family":"Ossi","given":"E"},{"family":"Trentin","given":"L"},{"family":"Pizzolo","given":"G"},{"family":"Cipriani","given":"A"},{"family":"Agostini","given":"C"},{"family":"Zambello","given":"R"},{"family":"Marcer","given":"G"},{"family":"Gasparotto","given":"G"}],"authorYearDisplayFormat":false,"citation-label":"4507146","container-title":"The American Review of Respiratory Disease","container-title-short":"Am Rev Respir Dis","id":"4507146","invisible":false,"issue":"2","issued":{"date-parts":[["1985","8"]]},"journalAbbreviation":"Am Rev Respir Dis","page":"400-404","suppress-author":false,"title":"Bronchoalveolar lavage and lung histology. Comparative analysis of inflammatory and immunocompetent cells in patients with sarcoidosis and hypersensitivity pneumonitis.","type":"article-journal","volume":"132"}]</w:instrText>
      </w:r>
      <w:r w:rsidR="0026126A" w:rsidRPr="005A7F38">
        <w:fldChar w:fldCharType="separate"/>
      </w:r>
      <w:r w:rsidR="00B775CB" w:rsidRPr="00B775CB">
        <w:rPr>
          <w:noProof/>
          <w:vertAlign w:val="superscript"/>
        </w:rPr>
        <w:t>20,21</w:t>
      </w:r>
      <w:r w:rsidR="0026126A" w:rsidRPr="005A7F38">
        <w:fldChar w:fldCharType="end"/>
      </w:r>
    </w:p>
    <w:p w14:paraId="55E404DD" w14:textId="77777777" w:rsidR="00004E1A" w:rsidRPr="00004E1A" w:rsidRDefault="00004E1A" w:rsidP="00004E1A"/>
    <w:p w14:paraId="2B3949C8" w14:textId="77777777" w:rsidR="00314645" w:rsidRDefault="00314645" w:rsidP="00004E1A">
      <w:pPr>
        <w:ind w:hanging="90"/>
        <w:jc w:val="center"/>
      </w:pPr>
      <w:r>
        <w:rPr>
          <w:rFonts w:ascii="Helvetica" w:hAnsi="Helvetica" w:cs="Helvetica"/>
          <w:noProof/>
        </w:rPr>
        <w:drawing>
          <wp:inline distT="0" distB="0" distL="0" distR="0" wp14:anchorId="072A8EE6" wp14:editId="06B8C2AF">
            <wp:extent cx="2642130" cy="1981112"/>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0040" cy="2054526"/>
                    </a:xfrm>
                    <a:prstGeom prst="rect">
                      <a:avLst/>
                    </a:prstGeom>
                    <a:noFill/>
                    <a:ln>
                      <a:noFill/>
                    </a:ln>
                  </pic:spPr>
                </pic:pic>
              </a:graphicData>
            </a:graphic>
          </wp:inline>
        </w:drawing>
      </w:r>
    </w:p>
    <w:p w14:paraId="4FD0552C" w14:textId="563A6249" w:rsidR="00314645" w:rsidRDefault="00BE11F2" w:rsidP="00314645">
      <w:pPr>
        <w:pStyle w:val="Caption"/>
        <w:rPr>
          <w:b w:val="0"/>
          <w:i/>
        </w:rPr>
      </w:pPr>
      <w:bookmarkStart w:id="10" w:name="_Toc506540074"/>
      <w:r>
        <w:t xml:space="preserve">Figure </w:t>
      </w:r>
      <w:fldSimple w:instr=" SEQ Figure \* ARABIC ">
        <w:r w:rsidR="001F73C6">
          <w:rPr>
            <w:noProof/>
          </w:rPr>
          <w:t>3</w:t>
        </w:r>
      </w:fldSimple>
      <w:r w:rsidR="00314645">
        <w:t xml:space="preserve">. </w:t>
      </w:r>
      <w:r w:rsidR="00314645">
        <w:rPr>
          <w:b w:val="0"/>
        </w:rPr>
        <w:t>Histopathology</w:t>
      </w:r>
      <w:r w:rsidR="00E34FDE">
        <w:rPr>
          <w:b w:val="0"/>
        </w:rPr>
        <w:t xml:space="preserve"> of Lymph Node with Multiple Sarcoid Granulomas</w:t>
      </w:r>
      <w:bookmarkEnd w:id="10"/>
    </w:p>
    <w:p w14:paraId="066058D2" w14:textId="77777777" w:rsidR="00314645" w:rsidRPr="00314645" w:rsidRDefault="00314645" w:rsidP="00314645"/>
    <w:p w14:paraId="5BF4831D" w14:textId="4FA5CFC0" w:rsidR="007A349C" w:rsidRDefault="00281326" w:rsidP="00004E1A">
      <w:pPr>
        <w:pStyle w:val="Noindent"/>
        <w:ind w:firstLine="720"/>
      </w:pPr>
      <w:r w:rsidRPr="005A7F38">
        <w:t xml:space="preserve">Sarcoidosis is often referred to as the great masquerader and symptoms of sarcoidosis can mimic other illnesses and is often included in the differential diagnosis of many pulmonary and systemic processes. </w:t>
      </w:r>
      <w:r w:rsidRPr="005A7F38">
        <w:fldChar w:fldCharType="begin"/>
      </w:r>
      <w:r w:rsidR="00B775CB">
        <w:instrText>ADDIN F1000_CSL_CITATION&lt;~#@#~&gt;[{"DOI":"10.1016/j.mayocp.2016.03.004","First":false,"Last":false,"PMID":"27378039","abstract":"Sarcoidosis is a chronic granulomatous disease of unknown cause that is seen worldwide and occurs mainly in patients between the ages of 20 and 60 years. It can be difficult to diagnose because it can mimic many other diseases including lymphoproliferative disorders and granulomatous infections and because there is no specific test for diagnosis, which depends on correlation of clinicoradiologic and histopathologic features. This review will focus on recent discoveries regarding the pathogenesis of sarcoidosis, common clinical presentations, diagnostic evaluation, and indications for treatment. This review is aimed largely at general practitioners and emphasizes the importance of differentiating pulmonary sarcoidosis from its common imitators.&lt;br&gt;&lt;br&gt;Copyright © 2016 Mayo Foundation for Medical Education and Research. Published by Elsevier Inc. All rights reserved.","author":[{"family":"Carmona","given":"Eva M"},{"family":"Kalra","given":"Sanjay"},{"family":"Ryu","given":"Jay H"}],"authorYearDisplayFormat":false,"citation-label":"3390559","container-title":"Mayo Clinic Proceedings","container-title-short":"Mayo Clin Proc","id":"3390559","invisible":false,"issue":"7","issued":{"date-parts":[["2016","7"]]},"journalAbbreviation":"Mayo Clin Proc","page":"946-954","suppress-author":false,"title":"Pulmonary sarcoidosis: diagnosis and treatment.","type":"article-journal","volume":"91"}]</w:instrText>
      </w:r>
      <w:r w:rsidRPr="005A7F38">
        <w:fldChar w:fldCharType="separate"/>
      </w:r>
      <w:r w:rsidR="00B775CB" w:rsidRPr="00B775CB">
        <w:rPr>
          <w:noProof/>
          <w:vertAlign w:val="superscript"/>
        </w:rPr>
        <w:t>17</w:t>
      </w:r>
      <w:r w:rsidRPr="005A7F38">
        <w:fldChar w:fldCharType="end"/>
      </w:r>
      <w:r w:rsidRPr="005A7F38">
        <w:t xml:space="preserve"> For example, chronic </w:t>
      </w:r>
      <w:r w:rsidR="00F97447" w:rsidRPr="005A7F38">
        <w:t>beryllium</w:t>
      </w:r>
      <w:r w:rsidRPr="005A7F38">
        <w:t xml:space="preserve"> disease may have pulmonary and extra</w:t>
      </w:r>
      <w:r w:rsidR="00F97447" w:rsidRPr="005A7F38">
        <w:t>-</w:t>
      </w:r>
      <w:r w:rsidRPr="005A7F38">
        <w:t xml:space="preserve">pulmonary manifestations that are indistinguishable from sarcoidosis with pathology that also demonstrates non-caseating granulomas. </w:t>
      </w:r>
      <w:r w:rsidR="002B105B" w:rsidRPr="005A7F38">
        <w:t>However, the presence of noncaseating granulomas in a single organ does not establish a diagnosis of sarcoidosis.</w:t>
      </w:r>
      <w:r w:rsidR="002B105B" w:rsidRPr="005A7F38">
        <w:fldChar w:fldCharType="begin"/>
      </w:r>
      <w:r w:rsidR="00B775CB">
        <w:instrText>ADDIN F1000_CSL_CITATION&lt;~#@#~&gt;[{"DOI":"10.1164/ajrccm.160.2.ats4-99","First":false,"Last":false,"PMID":"10430755","authorYearDisplayFormat":false,"citation-label":"3415896","container-title":"American Journal of Respiratory and Critical Care Medicine","container-title-short":"Am J Respir Crit Care Med","id":"3415896","invisible":false,"issue":"2","issued":{"date-parts":[["1999","8"]]},"journalAbbreviation":"Am J Respir Crit Care Med","page":"736-755","suppress-author":false,"title":"Statement on sarcoidosis. Joint Statement of the American Thoracic Society (ATS), the European Respiratory Society (ERS) and the World Association of Sarcoidosis and Other Granulomatous Disorders (WASOG) adopted by the ATS Board of Directors and by the ERS Executive Committee, February 1999.","type":"article-journal","volume":"160"}]</w:instrText>
      </w:r>
      <w:r w:rsidR="002B105B" w:rsidRPr="005A7F38">
        <w:fldChar w:fldCharType="separate"/>
      </w:r>
      <w:r w:rsidR="00B775CB" w:rsidRPr="00B775CB">
        <w:rPr>
          <w:noProof/>
          <w:vertAlign w:val="superscript"/>
        </w:rPr>
        <w:t>1</w:t>
      </w:r>
      <w:r w:rsidR="002B105B" w:rsidRPr="005A7F38">
        <w:fldChar w:fldCharType="end"/>
      </w:r>
      <w:r w:rsidR="002B105B" w:rsidRPr="005A7F38">
        <w:t xml:space="preserve"> </w:t>
      </w:r>
      <w:r w:rsidRPr="005A7F38">
        <w:t xml:space="preserve">Mycobacterial infections, too, are common etiologies for granulomatous disease. As such, a diagnosis of sarcoidosis is reliant on clinical picture combined with radiographic and pathologic findings in the absence of an alternative diagnosis. Given the potential for multi-organ system involvement, patients with sarcoidosis may present with organ specific symptoms or be asymptomatic at the time of diagnosis. </w:t>
      </w:r>
      <w:r w:rsidRPr="005A7F38">
        <w:lastRenderedPageBreak/>
        <w:t>Many patients with pulmonary sarcoidosis, for example, are diagnosed incidentally by screening chest radiograph.</w:t>
      </w:r>
      <w:r w:rsidR="007A349C">
        <w:t xml:space="preserve"> </w:t>
      </w:r>
    </w:p>
    <w:p w14:paraId="393C2FFB" w14:textId="750E3EC4" w:rsidR="00281326" w:rsidRPr="005A7F38" w:rsidRDefault="007A349C" w:rsidP="00004E1A">
      <w:pPr>
        <w:pStyle w:val="Noindent"/>
        <w:ind w:firstLine="720"/>
      </w:pPr>
      <w:r>
        <w:t>Development of prognostic biomarkers may offer clinicians</w:t>
      </w:r>
      <w:r w:rsidR="00362897">
        <w:t xml:space="preserve"> and public health researchers </w:t>
      </w:r>
      <w:r>
        <w:t xml:space="preserve">tools to guide </w:t>
      </w:r>
      <w:r w:rsidR="00362897">
        <w:t xml:space="preserve">research and diagnostic efforts. </w:t>
      </w:r>
      <w:r>
        <w:t>Refinement of predictive biological signatures, such as microbiome composition, may allow for screening programs to be implemented in high risk groups in the future.</w:t>
      </w:r>
    </w:p>
    <w:p w14:paraId="550972CB" w14:textId="77777777" w:rsidR="00281326" w:rsidRPr="005A7F38" w:rsidRDefault="00281326" w:rsidP="002446BB">
      <w:pPr>
        <w:pStyle w:val="Heading3"/>
        <w:rPr>
          <w:rFonts w:cs="Times New Roman"/>
        </w:rPr>
      </w:pPr>
      <w:bookmarkStart w:id="11" w:name="_Toc506539997"/>
      <w:r w:rsidRPr="005A7F38">
        <w:rPr>
          <w:rFonts w:cs="Times New Roman"/>
        </w:rPr>
        <w:t>Staging of Disease Progression in Sarcoidosis</w:t>
      </w:r>
      <w:bookmarkEnd w:id="11"/>
    </w:p>
    <w:p w14:paraId="6685C1F1" w14:textId="5A6F032C" w:rsidR="00026153" w:rsidRDefault="00DF5BBE" w:rsidP="002446BB">
      <w:pPr>
        <w:pStyle w:val="Noindent"/>
      </w:pPr>
      <w:r w:rsidRPr="005A7F38">
        <w:t xml:space="preserve">The traditional method of characterizing pulmonary </w:t>
      </w:r>
      <w:r w:rsidR="00DA5A8D" w:rsidRPr="005A7F38">
        <w:t>sarcoidosis</w:t>
      </w:r>
      <w:r w:rsidRPr="005A7F38">
        <w:t xml:space="preserve"> had been </w:t>
      </w:r>
      <w:r w:rsidR="00C9380A" w:rsidRPr="005A7F38">
        <w:t xml:space="preserve">via the </w:t>
      </w:r>
      <w:r w:rsidRPr="005A7F38">
        <w:t>chest radiograph</w:t>
      </w:r>
      <w:r w:rsidR="008F466E">
        <w:t xml:space="preserve"> (Figure 4)</w:t>
      </w:r>
      <w:r w:rsidR="00C9380A" w:rsidRPr="005A7F38">
        <w:t xml:space="preserve"> using the</w:t>
      </w:r>
      <w:r w:rsidRPr="005A7F38">
        <w:t xml:space="preserve"> </w:t>
      </w:r>
      <w:r w:rsidR="0031110F">
        <w:t>Scadding s</w:t>
      </w:r>
      <w:r w:rsidR="00DA5A8D" w:rsidRPr="005A7F38">
        <w:t>tage staging</w:t>
      </w:r>
      <w:r w:rsidR="00E5770D" w:rsidRPr="005A7F38">
        <w:t xml:space="preserve"> system</w:t>
      </w:r>
      <w:r w:rsidR="00C9380A" w:rsidRPr="005A7F38">
        <w:t>.</w:t>
      </w:r>
      <w:r w:rsidR="008F466E">
        <w:fldChar w:fldCharType="begin"/>
      </w:r>
      <w:r w:rsidR="00B775CB">
        <w:instrText>ADDIN F1000_CSL_CITATION&lt;~#@#~&gt;[{"DOI":"10.1513/AnnalsATS.201503-172OT","First":false,"Last":false,"PMCID":"PMC4627423","PMID":"26193069","abstract":"Sarcoidosis is a systemic disease characterized by noncaseating granulomatous inflammation with tremendous clinical heterogeneity and uncertain pathobiology and lacking in clinically useful biomarkers. The Genomic Research in Alpha-1 Antitrypsin Deficiency and Sarcoidosis (GRADS) study is an observational cohort study designed to explore the role of the lung microbiome and genome in these two diseases. This article describes the design and rationale for the GRADS study sarcoidosis protocol. The study addresses the hypothesis that distinct patterns in the lung microbiome are characteristic of sarcoidosis phenotypes and are reflected in changes in systemic inflammatory responses as measured by peripheral blood changes in gene transcription. The goal is to enroll 400 participants, with a minimum of 35 in each of 9 clinical phenotype subgroups prioritized by their clinical relevance to understanding of the pathobiology and clinical heterogeneity of sarcoidosis. Participants with a confirmed diagnosis of sarcoidosis undergo a baseline visit with self-administered questionnaires, chest computed tomography, pulmonary function tests, and blood and urine testing. A research or clinical bronchoscopy with a research bronchoalveolar lavage will be performed to obtain samples for genomic and microbiome analyses. Comparisons will be made by blood genomic analysis and with clinical phenotypic variables. A 6-month follow-up visit is planned to assess each participant's clinical course. By the use of an integrative approach to the analysis of the microbiome and genome in selected clinical phenotypes, the GRADS study is powerfully positioned to inform and direct studies on the pathobiology of sarcoidosis, identify diagnostic or prognostic biomarkers, and provide novel molecular phenotypes that could lead to improved personalized approaches to therapy for sarcoidosis.","author":[{"family":"Moller","given":"David R"},{"family":"Koth","given":"Laura L"},{"family":"Maier","given":"Lisa A"},{"family":"Morris","given":"Alison"},{"family":"Drake","given":"Wonder"},{"family":"Rossman","given":"Milton"},{"family":"Leader","given":"Joseph K"},{"family":"Collman","given":"Ronald G"},{"family":"Hamzeh","given":"Nabeel"},{"family":"Sweiss","given":"Nadera J"},{"family":"Zhang","given":"Yingze"},{"family":"O'Neal","given":"Scott"},{"family":"Senior","given":"Robert M"},{"family":"Becich","given":"Michael"},{"family":"Hochheiser","given":"Harry S"},{"family":"Kaminski","given":"Naftali"},{"family":"Wisniewski","given":"Stephen R"},{"family":"Gibson","given":"Kevin F"},{"family":"GRADS Sarcoidosis Study Group"}],"authorYearDisplayFormat":false,"citation-label":"1400043","container-title":"Annals of the American Thoracic Society","container-title-short":"Ann Am Thorac Soc","id":"1400043","invisible":false,"issue":"10","issued":{"date-parts":[["2015","10"]]},"journalAbbreviation":"Ann Am Thorac Soc","page":"1561-1571","suppress-author":false,"title":"Rationale and Design of the Genomic Research in Alpha-1 Antitrypsin Deficiency and Sarcoidosis (GRADS) Study. Sarcoidosis Protocol.","type":"article-journal","volume":"12"},{"First":false,"Last":false,"URL":"https://commons.wikimedia.org/wiki/File:Sarkoidose_der_Lunge_Stadium_4_nach_Scadding.jpg","accessed":{"date-parts":[["2017","11","30"]]},"author":[{"family":"Hellerhoff"}],"authorYearDisplayFormat":false,"citation-label":"4550617","container-title":"Wikipedia Commons","id":"4550617","invisible":false,"issued":{"date-parts":[["2014","11","10"]]},"suppress-author":false,"title":"Sarkoidose der Lunge Stadium 4 nach Scadding","type":"webpage"}]</w:instrText>
      </w:r>
      <w:r w:rsidR="008F466E">
        <w:fldChar w:fldCharType="separate"/>
      </w:r>
      <w:r w:rsidR="00B775CB" w:rsidRPr="00B775CB">
        <w:rPr>
          <w:noProof/>
          <w:vertAlign w:val="superscript"/>
        </w:rPr>
        <w:t>9,22</w:t>
      </w:r>
      <w:r w:rsidR="008F466E">
        <w:fldChar w:fldCharType="end"/>
      </w:r>
      <w:r w:rsidR="00C9380A" w:rsidRPr="005A7F38">
        <w:t xml:space="preserve"> </w:t>
      </w:r>
      <w:r w:rsidR="0031110F">
        <w:t xml:space="preserve">The Scadding stage system </w:t>
      </w:r>
      <w:r w:rsidR="00B677B3">
        <w:t xml:space="preserve">assigns scores from 0 to IV, with </w:t>
      </w:r>
      <w:r w:rsidR="000B3B5E">
        <w:t xml:space="preserve">higher scores representing more severe disease. </w:t>
      </w:r>
      <w:r w:rsidR="00026153" w:rsidRPr="005A7F38">
        <w:t xml:space="preserve">There is some evidence that </w:t>
      </w:r>
      <w:r w:rsidR="0031110F">
        <w:t>the Scadding s</w:t>
      </w:r>
      <w:r w:rsidR="00C9380A" w:rsidRPr="005A7F38">
        <w:t>tage has</w:t>
      </w:r>
      <w:r w:rsidR="00026153" w:rsidRPr="005A7F38">
        <w:t xml:space="preserve"> predictive value in estimating the likelihood of achieving a remission from disease. </w:t>
      </w:r>
      <w:r w:rsidR="000B3B5E">
        <w:t>For example, t</w:t>
      </w:r>
      <w:r w:rsidR="000B3B5E" w:rsidRPr="005A7F38">
        <w:t>ho</w:t>
      </w:r>
      <w:r w:rsidR="000B3B5E">
        <w:t>se with a Scadding stage below II</w:t>
      </w:r>
      <w:r w:rsidR="000B3B5E" w:rsidRPr="005A7F38">
        <w:t xml:space="preserve"> are likely to experience a remission from sarcoidosis where </w:t>
      </w:r>
      <w:r w:rsidR="000B3B5E">
        <w:t>those with a Scadding stage of III</w:t>
      </w:r>
      <w:r w:rsidR="000B3B5E" w:rsidRPr="005A7F38">
        <w:t xml:space="preserve"> or greater are much less likely to experience a complete spontaneous disease remission. </w:t>
      </w:r>
      <w:r w:rsidR="000B3B5E" w:rsidRPr="005A7F38">
        <w:fldChar w:fldCharType="begin"/>
      </w:r>
      <w:r w:rsidR="00B775CB">
        <w:instrText>ADDIN F1000_CSL_CITATION&lt;~#@#~&gt;[{"First":false,"Last":false,"PMCID":"PMC1970202","PMID":"14497750","author":[{"family":"Scadding","given":"J G"}],"authorYearDisplayFormat":false,"citation-label":"4509389","container-title":"British Medical Journal","container-title-short":"Br Med J","id":"4509389","invisible":false,"issue":"5261","issued":{"date-parts":[["1961","11","4"]]},"journalAbbreviation":"Br Med J","page":"1165-1172","suppress-author":false,"title":"Prognosis of intrathoracic sarcoidosis in England. A review of 136 cases after five years' observation.","type":"article-journal","volume":"2"}]</w:instrText>
      </w:r>
      <w:r w:rsidR="000B3B5E" w:rsidRPr="005A7F38">
        <w:fldChar w:fldCharType="separate"/>
      </w:r>
      <w:r w:rsidR="00B775CB" w:rsidRPr="00B775CB">
        <w:rPr>
          <w:noProof/>
          <w:vertAlign w:val="superscript"/>
        </w:rPr>
        <w:t>23</w:t>
      </w:r>
      <w:r w:rsidR="000B3B5E" w:rsidRPr="005A7F38">
        <w:fldChar w:fldCharType="end"/>
      </w:r>
      <w:r w:rsidR="00B434C5">
        <w:t xml:space="preserve"> The predictive value of the Scadding stage model has not been well validated in large clinical trials, however, it has been used clinically for decades. The development of additional predictive biomarkers and increased understanding of the interaction of environmental exposures in concert with specific predictive biomarkers may add significantly to the usefulness of the chest radiograph and Scadding stage system for prognostication. Future research to validate the use of Scadding stages across time and with potential biological signatures of disease course are needed to optimize </w:t>
      </w:r>
      <w:r w:rsidR="00DF1B28">
        <w:t>the identification of high risk patient groups.</w:t>
      </w:r>
    </w:p>
    <w:p w14:paraId="0924268A" w14:textId="77777777" w:rsidR="008F466E" w:rsidRDefault="008F466E" w:rsidP="008F466E"/>
    <w:p w14:paraId="4AE72019" w14:textId="77777777" w:rsidR="008F466E" w:rsidRPr="008F466E" w:rsidRDefault="008F466E" w:rsidP="008F466E"/>
    <w:p w14:paraId="7FBA7EDB" w14:textId="77777777" w:rsidR="008F0FE9" w:rsidRDefault="008F0FE9" w:rsidP="008F0FE9">
      <w:pPr>
        <w:jc w:val="center"/>
      </w:pPr>
      <w:r>
        <w:rPr>
          <w:rFonts w:ascii="Helvetica" w:hAnsi="Helvetica" w:cs="Helvetica"/>
          <w:noProof/>
        </w:rPr>
        <w:drawing>
          <wp:inline distT="0" distB="0" distL="0" distR="0" wp14:anchorId="79115EBB" wp14:editId="5D89E178">
            <wp:extent cx="3388552" cy="34315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8552" cy="3431540"/>
                    </a:xfrm>
                    <a:prstGeom prst="rect">
                      <a:avLst/>
                    </a:prstGeom>
                    <a:noFill/>
                    <a:ln>
                      <a:noFill/>
                    </a:ln>
                  </pic:spPr>
                </pic:pic>
              </a:graphicData>
            </a:graphic>
          </wp:inline>
        </w:drawing>
      </w:r>
    </w:p>
    <w:p w14:paraId="30A19B35" w14:textId="663351B9" w:rsidR="008F0FE9" w:rsidRPr="004E66A3" w:rsidRDefault="008F0FE9" w:rsidP="00004E1A">
      <w:pPr>
        <w:pStyle w:val="Caption"/>
        <w:ind w:firstLine="630"/>
        <w:rPr>
          <w:b w:val="0"/>
          <w:i/>
        </w:rPr>
      </w:pPr>
      <w:bookmarkStart w:id="12" w:name="_Toc506540075"/>
      <w:r>
        <w:t xml:space="preserve">Figure </w:t>
      </w:r>
      <w:fldSimple w:instr=" SEQ Figure \* ARABIC ">
        <w:r w:rsidR="001F73C6">
          <w:rPr>
            <w:noProof/>
          </w:rPr>
          <w:t>4</w:t>
        </w:r>
      </w:fldSimple>
      <w:r>
        <w:t xml:space="preserve">. </w:t>
      </w:r>
      <w:r w:rsidR="008F466E">
        <w:rPr>
          <w:b w:val="0"/>
        </w:rPr>
        <w:t xml:space="preserve">Chest radiograph of </w:t>
      </w:r>
      <w:r>
        <w:rPr>
          <w:b w:val="0"/>
        </w:rPr>
        <w:t>Scadding stage IV Pulmonary Sarcoidosis</w:t>
      </w:r>
      <w:bookmarkEnd w:id="12"/>
    </w:p>
    <w:p w14:paraId="42CC1FA3" w14:textId="77777777" w:rsidR="00CB62A8" w:rsidRPr="005A7F38" w:rsidRDefault="00CB62A8" w:rsidP="002446BB">
      <w:pPr>
        <w:pStyle w:val="Heading3"/>
        <w:rPr>
          <w:rFonts w:cs="Times New Roman"/>
        </w:rPr>
      </w:pPr>
      <w:bookmarkStart w:id="13" w:name="_Toc506539998"/>
      <w:r w:rsidRPr="005A7F38">
        <w:rPr>
          <w:rFonts w:cs="Times New Roman"/>
        </w:rPr>
        <w:t>Clinical Heterogeneity</w:t>
      </w:r>
      <w:bookmarkEnd w:id="13"/>
    </w:p>
    <w:p w14:paraId="2BE692D2" w14:textId="6B048545" w:rsidR="00DF5BBE" w:rsidRPr="005A7F38" w:rsidRDefault="00CB62A8" w:rsidP="002446BB">
      <w:pPr>
        <w:pStyle w:val="Noindent"/>
      </w:pPr>
      <w:r w:rsidRPr="005A7F38">
        <w:t>In patients with sarcoidosis there is significant clinical heterogeneity.</w:t>
      </w:r>
      <w:r w:rsidRPr="005A7F38">
        <w:fldChar w:fldCharType="begin"/>
      </w:r>
      <w:r w:rsidR="00B775CB">
        <w:instrText>ADDIN F1000_CSL_CITATION&lt;~#@#~&gt;[{"DOI":"10.1513/AnnalsATS.201503-172OT","First":false,"Last":false,"PMCID":"PMC4627423","PMID":"26193069","abstract":"Sarcoidosis is a systemic disease characterized by noncaseating granulomatous inflammation with tremendous clinical heterogeneity and uncertain pathobiology and lacking in clinically useful biomarkers. The Genomic Research in Alpha-1 Antitrypsin Deficiency and Sarcoidosis (GRADS) study is an observational cohort study designed to explore the role of the lung microbiome and genome in these two diseases. This article describes the design and rationale for the GRADS study sarcoidosis protocol. The study addresses the hypothesis that distinct patterns in the lung microbiome are characteristic of sarcoidosis phenotypes and are reflected in changes in systemic inflammatory responses as measured by peripheral blood changes in gene transcription. The goal is to enroll 400 participants, with a minimum of 35 in each of 9 clinical phenotype subgroups prioritized by their clinical relevance to understanding of the pathobiology and clinical heterogeneity of sarcoidosis. Participants with a confirmed diagnosis of sarcoidosis undergo a baseline visit with self-administered questionnaires, chest computed tomography, pulmonary function tests, and blood and urine testing. A research or clinical bronchoscopy with a research bronchoalveolar lavage will be performed to obtain samples for genomic and microbiome analyses. Comparisons will be made by blood genomic analysis and with clinical phenotypic variables. A 6-month follow-up visit is planned to assess each participant's clinical course. By the use of an integrative approach to the analysis of the microbiome and genome in selected clinical phenotypes, the GRADS study is powerfully positioned to inform and direct studies on the pathobiology of sarcoidosis, identify diagnostic or prognostic biomarkers, and provide novel molecular phenotypes that could lead to improved personalized approaches to therapy for sarcoidosis.","author":[{"family":"Moller","given":"David R"},{"family":"Koth","given":"Laura L"},{"family":"Maier","given":"Lisa A"},{"family":"Morris","given":"Alison"},{"family":"Drake","given":"Wonder"},{"family":"Rossman","given":"Milton"},{"family":"Leader","given":"Joseph K"},{"family":"Collman","given":"Ronald G"},{"family":"Hamzeh","given":"Nabeel"},{"family":"Sweiss","given":"Nadera J"},{"family":"Zhang","given":"Yingze"},{"family":"O'Neal","given":"Scott"},{"family":"Senior","given":"Robert M"},{"family":"Becich","given":"Michael"},{"family":"Hochheiser","given":"Harry S"},{"family":"Kaminski","given":"Naftali"},{"family":"Wisniewski","given":"Stephen R"},{"family":"Gibson","given":"Kevin F"},{"family":"GRADS Sarcoidosis Study Group"}],"authorYearDisplayFormat":false,"citation-label":"1400043","container-title":"Annals of the American Thoracic Society","container-title-short":"Ann Am Thorac Soc","id":"1400043","invisible":false,"issue":"10","issued":{"date-parts":[["2015","10"]]},"journalAbbreviation":"Ann Am Thorac Soc","page":"1561-1571","suppress-author":false,"title":"Rationale and Design of the Genomic Research in Alpha-1 Antitrypsin Deficiency and Sarcoidosis (GRADS) Study. Sarcoidosis Protocol.","type":"article-journal","volume":"12"}]</w:instrText>
      </w:r>
      <w:r w:rsidRPr="005A7F38">
        <w:fldChar w:fldCharType="separate"/>
      </w:r>
      <w:r w:rsidR="00B775CB" w:rsidRPr="00B775CB">
        <w:rPr>
          <w:noProof/>
          <w:vertAlign w:val="superscript"/>
        </w:rPr>
        <w:t>9</w:t>
      </w:r>
      <w:r w:rsidRPr="005A7F38">
        <w:fldChar w:fldCharType="end"/>
      </w:r>
      <w:r w:rsidR="00DF5BBE" w:rsidRPr="005A7F38">
        <w:t xml:space="preserve"> Both the clinical manifestations and course of disease are variable and highly unpredictable.</w:t>
      </w:r>
      <w:r w:rsidR="00DF5BBE" w:rsidRPr="005A7F38">
        <w:fldChar w:fldCharType="begin"/>
      </w:r>
      <w:r w:rsidR="00B775CB">
        <w:instrText>ADDIN F1000_CSL_CITATION&lt;~#@#~&gt;[{"DOI":"10.1513/AnnalsATS.201503-172OT","First":false,"Last":false,"PMCID":"PMC4627423","PMID":"26193069","abstract":"Sarcoidosis is a systemic disease characterized by noncaseating granulomatous inflammation with tremendous clinical heterogeneity and uncertain pathobiology and lacking in clinically useful biomarkers. The Genomic Research in Alpha-1 Antitrypsin Deficiency and Sarcoidosis (GRADS) study is an observational cohort study designed to explore the role of the lung microbiome and genome in these two diseases. This article describes the design and rationale for the GRADS study sarcoidosis protocol. The study addresses the hypothesis that distinct patterns in the lung microbiome are characteristic of sarcoidosis phenotypes and are reflected in changes in systemic inflammatory responses as measured by peripheral blood changes in gene transcription. The goal is to enroll 400 participants, with a minimum of 35 in each of 9 clinical phenotype subgroups prioritized by their clinical relevance to understanding of the pathobiology and clinical heterogeneity of sarcoidosis. Participants with a confirmed diagnosis of sarcoidosis undergo a baseline visit with self-administered questionnaires, chest computed tomography, pulmonary function tests, and blood and urine testing. A research or clinical bronchoscopy with a research bronchoalveolar lavage will be performed to obtain samples for genomic and microbiome analyses. Comparisons will be made by blood genomic analysis and with clinical phenotypic variables. A 6-month follow-up visit is planned to assess each participant's clinical course. By the use of an integrative approach to the analysis of the microbiome and genome in selected clinical phenotypes, the GRADS study is powerfully positioned to inform and direct studies on the pathobiology of sarcoidosis, identify diagnostic or prognostic biomarkers, and provide novel molecular phenotypes that could lead to improved personalized approaches to therapy for sarcoidosis.","author":[{"family":"Moller","given":"David R"},{"family":"Koth","given":"Laura L"},{"family":"Maier","given":"Lisa A"},{"family":"Morris","given":"Alison"},{"family":"Drake","given":"Wonder"},{"family":"Rossman","given":"Milton"},{"family":"Leader","given":"Joseph K"},{"family":"Collman","given":"Ronald G"},{"family":"Hamzeh","given":"Nabeel"},{"family":"Sweiss","given":"Nadera J"},{"family":"Zhang","given":"Yingze"},{"family":"O'Neal","given":"Scott"},{"family":"Senior","given":"Robert M"},{"family":"Becich","given":"Michael"},{"family":"Hochheiser","given":"Harry S"},{"family":"Kaminski","given":"Naftali"},{"family":"Wisniewski","given":"Stephen R"},{"family":"Gibson","given":"Kevin F"},{"family":"GRADS Sarcoidosis Study Group"}],"authorYearDisplayFormat":false,"citation-label":"1400043","container-title":"Annals of the American Thoracic Society","container-title-short":"Ann Am Thorac Soc","id":"1400043","invisible":false,"issue":"10","issued":{"date-parts":[["2015","10"]]},"journalAbbreviation":"Ann Am Thorac Soc","page":"1561-1571","suppress-author":false,"title":"Rationale and Design of the Genomic Research in Alpha-1 Antitrypsin Deficiency and Sarcoidosis (GRADS) Study. Sarcoidosis Protocol.","type":"article-journal","volume":"12"}]</w:instrText>
      </w:r>
      <w:r w:rsidR="00DF5BBE" w:rsidRPr="005A7F38">
        <w:fldChar w:fldCharType="separate"/>
      </w:r>
      <w:r w:rsidR="00B775CB" w:rsidRPr="00B775CB">
        <w:rPr>
          <w:noProof/>
          <w:vertAlign w:val="superscript"/>
        </w:rPr>
        <w:t>9</w:t>
      </w:r>
      <w:r w:rsidR="00DF5BBE" w:rsidRPr="005A7F38">
        <w:fldChar w:fldCharType="end"/>
      </w:r>
      <w:r w:rsidRPr="005A7F38">
        <w:t xml:space="preserve"> </w:t>
      </w:r>
      <w:r w:rsidR="00E445C8" w:rsidRPr="005A7F38">
        <w:t xml:space="preserve"> Clinical presentation can range from acute sarcoidosis, known as Löfgren </w:t>
      </w:r>
      <w:r w:rsidR="008F5985" w:rsidRPr="005A7F38">
        <w:t>Syndrome</w:t>
      </w:r>
      <w:r w:rsidR="00E445C8" w:rsidRPr="005A7F38">
        <w:t>, to chronic and sever</w:t>
      </w:r>
      <w:r w:rsidR="0020230A">
        <w:t>e</w:t>
      </w:r>
      <w:r w:rsidR="00E445C8" w:rsidRPr="005A7F38">
        <w:t xml:space="preserve"> disease including cardiomyopathy, pulmonary hypertension and advanced lung disease.</w:t>
      </w:r>
      <w:r w:rsidR="00E445C8" w:rsidRPr="005A7F38">
        <w:fldChar w:fldCharType="begin"/>
      </w:r>
      <w:r w:rsidR="00B775CB">
        <w:instrText>ADDIN F1000_CSL_CITATION&lt;~#@#~&gt;[{"DOI":"10.1056/NEJMra071714","First":false,"Last":false,"PMID":"18032765","author":[{"family":"Iannuzzi","given":"Michael C"},{"family":"Rybicki","given":"Benjamin A"},{"family":"Teirstein","given":"Alvin S"}],"authorYearDisplayFormat":false,"citation-label":"2893194","container-title":"The New England Journal of Medicine","container-title-short":"N Engl J Med","id":"2893194","invisible":false,"issue":"21","issued":{"date-parts":[["2007","11","22"]]},"journalAbbreviation":"N Engl J Med","page":"2153-2165","suppress-author":false,"title":"Sarcoidosis.","type":"article-journal","volume":"357"}]</w:instrText>
      </w:r>
      <w:r w:rsidR="00E445C8" w:rsidRPr="005A7F38">
        <w:fldChar w:fldCharType="separate"/>
      </w:r>
      <w:r w:rsidR="00B775CB" w:rsidRPr="00B775CB">
        <w:rPr>
          <w:noProof/>
          <w:vertAlign w:val="superscript"/>
        </w:rPr>
        <w:t>24</w:t>
      </w:r>
      <w:r w:rsidR="00E445C8" w:rsidRPr="005A7F38">
        <w:fldChar w:fldCharType="end"/>
      </w:r>
      <w:r w:rsidR="00E445C8" w:rsidRPr="005A7F38">
        <w:t xml:space="preserve"> </w:t>
      </w:r>
      <w:r w:rsidR="00DF5BBE" w:rsidRPr="005A7F38">
        <w:t xml:space="preserve">Some individuals with sarcoidosis may achieve a disease remission within the first 2-3 years </w:t>
      </w:r>
      <w:r w:rsidR="00C3202E" w:rsidRPr="005A7F38">
        <w:t>following</w:t>
      </w:r>
      <w:r w:rsidR="00DF5BBE" w:rsidRPr="005A7F38">
        <w:t xml:space="preserve"> diagnosis, 30-50% of patients with sarcoidosis experience chronic active disease that necessitates treatment to prevent progression of disease causing organ dysfunction and fibrosis.</w:t>
      </w:r>
      <w:r w:rsidR="00DF5BBE" w:rsidRPr="005A7F38">
        <w:fldChar w:fldCharType="begin"/>
      </w:r>
      <w:r w:rsidR="00B775CB">
        <w:instrText>ADDIN F1000_CSL_CITATION&lt;~#@#~&gt;[{"DOI":"10.1007/s12016-015-8481-z","First":false,"Last":false,"PMID":"25771769","abstract":"Since sarcoidosis was first described more than a century ago, the etiologic determinants causing this disease remain uncertain. Studies suggest that genetic, host immunologic, and environmental factors interact together to cause sarcoidosis. Immunologic characteristics of sarcoidosis include non-caseating granulomas, enhanced local expression of T helper-1 (and often Th17) cytokines and chemokines, dysfunctional regulatory T-cell responses, dysregulated Toll-like receptor signaling, and oligoclonal expansion of CD4+ T cells consistent with chronic antigenic stimulation. Multiple environmental agents have been suggested to cause sarcoidosis. Studies from several groups implicate mycobacterial or propionibacterial organisms in the etiology of sarcoidosis based on tissue analyses and immunologic responses in sarcoidosis patients. Despite these studies, there is no consensus on the nature of a microbial pathogenesis of sarcoidosis. Some groups postulate sarcoidosis is caused by an active viable replicating infection while other groups contend there is no clinical, pathologic, or microbiologic evidence for such a pathogenic mechanism. The authors posit a novel hypothesis that proposes that sarcoidosis is triggered by a hyperimmune Th1 response to pathogenic microbial and tissue antigens associated with the aberrant aggregation of serum amyloid A within granulomas, which promotes progressive chronic granulomatous inflammation in the absence of ongoing infection.","author":[{"family":"Chen","given":"Edward S"},{"family":"Moller","given":"David R"}],"authorYearDisplayFormat":false,"citation-label":"4219823","container-title":"Clinical Reviews in Allergy &amp; Immunology","container-title-short":"Clin Rev Allergy Immunol","id":"4219823","invisible":false,"issue":"1","issued":{"date-parts":[["2015","8"]]},"journalAbbreviation":"Clin Rev Allergy Immunol","page":"6-18","suppress-author":false,"title":"Etiologies of Sarcoidosis.","type":"article-journal","volume":"49"}]</w:instrText>
      </w:r>
      <w:r w:rsidR="00DF5BBE" w:rsidRPr="005A7F38">
        <w:fldChar w:fldCharType="separate"/>
      </w:r>
      <w:r w:rsidR="00B775CB" w:rsidRPr="00B775CB">
        <w:rPr>
          <w:noProof/>
          <w:vertAlign w:val="superscript"/>
        </w:rPr>
        <w:t>5</w:t>
      </w:r>
      <w:r w:rsidR="00DF5BBE" w:rsidRPr="005A7F38">
        <w:fldChar w:fldCharType="end"/>
      </w:r>
      <w:r w:rsidR="00DF5BBE" w:rsidRPr="005A7F38">
        <w:t xml:space="preserve"> The clinical course of the disease can vary significantly, from an acute but limited occurrence of granulomatous </w:t>
      </w:r>
      <w:r w:rsidR="00DF5BBE" w:rsidRPr="005A7F38">
        <w:lastRenderedPageBreak/>
        <w:t>inflammation to progressive organ dysfunction leading to morbidity and mortality.</w:t>
      </w:r>
      <w:r w:rsidR="00AF566A" w:rsidRPr="005A7F38">
        <w:t xml:space="preserve"> Mortality has been reported as high as 12% in patients with advanced or severe disease.</w:t>
      </w:r>
      <w:r w:rsidR="00AF566A" w:rsidRPr="005A7F38">
        <w:fldChar w:fldCharType="begin"/>
      </w:r>
      <w:r w:rsidR="00B775CB">
        <w:instrText>ADDIN F1000_CSL_CITATION&lt;~#@#~&gt;[{"DOI":"10.1164/rccm.201010-1679OC","First":false,"Last":false,"PMCID":"PMC3137141","PMID":"21330454","abstract":"&lt;strong&gt;RATIONALE:&lt;/strong&gt; It has been nearly 20 years since sarcoidosis mortality was examined at the population level in the United States.&lt;br&gt;&lt;br&gt;&lt;strong&gt;OBJECTIVES:&lt;/strong&gt; To examine mortality rates and underlying causes of death among United States decedents with sarcoidosis from 1988-2007.&lt;br&gt;&lt;br&gt;&lt;strong&gt;METHODS:&lt;/strong&gt; We used data from the National Center for Health Statistics to (1) calculate age-adjusted sarcoidosis-associated mortality rates; (2) examine how those rates differ by age, sex, and race and ethnicity; and (3) determine underlying causes of death among sarcoidosis decedents.&lt;br&gt;&lt;br&gt;&lt;strong&gt;MEASUREMENTS AND MAIN RESULTS:&lt;/strong&gt; From 1988-2007, there were 46,450,489 deaths in the United States and 23,679 decedents with sarcoidosis mentioned on their death certificates. Over this time, the age-adjusted, sarcoidosis-related mortality rate increased 50.5% in women and 30.1% in men. The greatest absolute increase in death rates was among non-Hispanic black females. Regardless of sex or race, mortality rates climbed most in decedents 55 years or older. The most common cause of death was sarcoidosis itself. Younger sarcoidosis decedents with pulmonary fibrosis were more likely to be black than white, and younger sarcoidosis decedents were more likely than similarly aged decedents in the general population to have a cardiac cause contribute to death.&lt;br&gt;&lt;br&gt;&lt;strong&gt;CONCLUSIONS:&lt;/strong&gt; From 1988-2007, sarcoidosis-related mortality rates increased significantly, particularly in non-Hispanic black females aged 55 years or older. The underlying cause of death in most patients with sarcoidosis was the disease itself. Among young sarcoidosis decedents, those with pulmonary fibrosis or a cardiac cause contributing to death were more likely to be black than white.","author":[{"family":"Swigris","given":"Jeffrey J"},{"family":"Olson","given":"Amy L"},{"family":"Huie","given":"Tristan J"},{"family":"Fernandez-Perez","given":"Evans R"},{"family":"Solomon","given":"Joshua"},{"family":"Sprunger","given":"David"},{"family":"Brown","given":"Kevin K"}],"authorYearDisplayFormat":false,"citation-label":"1801926","container-title":"American Journal of Respiratory and Critical Care Medicine","container-title-short":"Am J Respir Crit Care Med","id":"1801926","invisible":false,"issue":"11","issued":{"date-parts":[["2011","6","1"]]},"journalAbbreviation":"Am J Respir Crit Care Med","page":"1524-1530","suppress-author":false,"title":"Sarcoidosis-related mortality in the United States from 1988 to 2007.","type":"article-journal","volume":"183"}]</w:instrText>
      </w:r>
      <w:r w:rsidR="00AF566A" w:rsidRPr="005A7F38">
        <w:fldChar w:fldCharType="separate"/>
      </w:r>
      <w:r w:rsidR="00B775CB" w:rsidRPr="00B775CB">
        <w:rPr>
          <w:noProof/>
          <w:vertAlign w:val="superscript"/>
        </w:rPr>
        <w:t>25</w:t>
      </w:r>
      <w:r w:rsidR="00AF566A" w:rsidRPr="005A7F38">
        <w:fldChar w:fldCharType="end"/>
      </w:r>
    </w:p>
    <w:p w14:paraId="479B5DA0" w14:textId="0A995E0F" w:rsidR="00CB62A8" w:rsidRPr="005A7F38" w:rsidRDefault="00CB62A8" w:rsidP="00004E1A">
      <w:pPr>
        <w:pStyle w:val="Noindent"/>
        <w:ind w:firstLine="720"/>
      </w:pPr>
      <w:r w:rsidRPr="005A7F38">
        <w:t>The mechanisms underlying the maintenance, progression or resolution of the inflammatory processes driving sarcoidosis are still unknown.</w:t>
      </w:r>
      <w:r w:rsidRPr="005A7F38">
        <w:fldChar w:fldCharType="begin"/>
      </w:r>
      <w:r w:rsidR="00B775CB">
        <w:instrText>ADDIN F1000_CSL_CITATION&lt;~#@#~&gt;[{"DOI":"10.1007/s12016-015-8481-z","First":false,"Last":false,"PMID":"25771769","abstract":"Since sarcoidosis was first described more than a century ago, the etiologic determinants causing this disease remain uncertain. Studies suggest that genetic, host immunologic, and environmental factors interact together to cause sarcoidosis. Immunologic characteristics of sarcoidosis include non-caseating granulomas, enhanced local expression of T helper-1 (and often Th17) cytokines and chemokines, dysfunctional regulatory T-cell responses, dysregulated Toll-like receptor signaling, and oligoclonal expansion of CD4+ T cells consistent with chronic antigenic stimulation. Multiple environmental agents have been suggested to cause sarcoidosis. Studies from several groups implicate mycobacterial or propionibacterial organisms in the etiology of sarcoidosis based on tissue analyses and immunologic responses in sarcoidosis patients. Despite these studies, there is no consensus on the nature of a microbial pathogenesis of sarcoidosis. Some groups postulate sarcoidosis is caused by an active viable replicating infection while other groups contend there is no clinical, pathologic, or microbiologic evidence for such a pathogenic mechanism. The authors posit a novel hypothesis that proposes that sarcoidosis is triggered by a hyperimmune Th1 response to pathogenic microbial and tissue antigens associated with the aberrant aggregation of serum amyloid A within granulomas, which promotes progressive chronic granulomatous inflammation in the absence of ongoing infection.","author":[{"family":"Chen","given":"Edward S"},{"family":"Moller","given":"David R"}],"authorYearDisplayFormat":false,"citation-label":"4219823","container-title":"Clinical Reviews in Allergy &amp; Immunology","container-title-short":"Clin Rev Allergy Immunol","id":"4219823","invisible":false,"issue":"1","issued":{"date-parts":[["2015","8"]]},"journalAbbreviation":"Clin Rev Allergy Immunol","page":"6-18","suppress-author":false,"title":"Etiologies of Sarcoidosis.","type":"article-journal","volume":"49"}]</w:instrText>
      </w:r>
      <w:r w:rsidRPr="005A7F38">
        <w:fldChar w:fldCharType="separate"/>
      </w:r>
      <w:r w:rsidR="00B775CB" w:rsidRPr="00B775CB">
        <w:rPr>
          <w:noProof/>
          <w:vertAlign w:val="superscript"/>
        </w:rPr>
        <w:t>5</w:t>
      </w:r>
      <w:r w:rsidRPr="005A7F38">
        <w:fldChar w:fldCharType="end"/>
      </w:r>
      <w:r w:rsidRPr="005A7F38">
        <w:t xml:space="preserve"> Some patients experience chronic disease while others experience a relapse and remittance of their disease. The reported rate of sarcoidosis patients in the U.S. who have required pharmacological therapy in the treatment of their sarcoidosis has ranged widely across studies from 10 to 80%. Sarcoidosis is categorized into two diagnostic subgroups, intra-thoracic and extra-thoracic, determined by the organ systems involved. There is some correlation between the clinical presentation of the disease and the prognosis.</w:t>
      </w:r>
      <w:r w:rsidRPr="005A7F38">
        <w:fldChar w:fldCharType="begin"/>
      </w:r>
      <w:r w:rsidR="00B775CB">
        <w:instrText>ADDIN F1000_CSL_CITATION&lt;~#@#~&gt;[{"DOI":"10.1164/ajrccm.160.2.ats4-99","First":false,"Last":false,"PMID":"10430755","authorYearDisplayFormat":false,"citation-label":"3415896","container-title":"American Journal of Respiratory and Critical Care Medicine","container-title-short":"Am J Respir Crit Care Med","id":"3415896","invisible":false,"issue":"2","issued":{"date-parts":[["1999","8"]]},"journalAbbreviation":"Am J Respir Crit Care Med","page":"736-755","suppress-author":false,"title":"Statement on sarcoidosis. Joint Statement of the American Thoracic Society (ATS), the European Respiratory Society (ERS) and the World Association of Sarcoidosis and Other Granulomatous Disorders (WASOG) adopted by the ATS Board of Directors and by the ERS Executive Committee, February 1999.","type":"article-journal","volume":"160"}]</w:instrText>
      </w:r>
      <w:r w:rsidRPr="005A7F38">
        <w:fldChar w:fldCharType="separate"/>
      </w:r>
      <w:r w:rsidR="00B775CB" w:rsidRPr="00B775CB">
        <w:rPr>
          <w:noProof/>
          <w:vertAlign w:val="superscript"/>
        </w:rPr>
        <w:t>1</w:t>
      </w:r>
      <w:r w:rsidRPr="005A7F38">
        <w:fldChar w:fldCharType="end"/>
      </w:r>
      <w:r w:rsidRPr="005A7F38">
        <w:t xml:space="preserve"> For example, </w:t>
      </w:r>
      <w:r w:rsidR="00CA5F0E" w:rsidRPr="005A7F38">
        <w:t>disease which presents as</w:t>
      </w:r>
      <w:r w:rsidRPr="005A7F38">
        <w:t xml:space="preserve"> asymptomatic bilateral hilar lymphadenopathy usually indicates a self-limiting course where </w:t>
      </w:r>
      <w:r w:rsidR="00CA5F0E" w:rsidRPr="005A7F38">
        <w:t xml:space="preserve">disease </w:t>
      </w:r>
      <w:r w:rsidRPr="005A7F38">
        <w:t>with symptomatic lung involvement or many extra</w:t>
      </w:r>
      <w:r w:rsidR="009F0882" w:rsidRPr="005A7F38">
        <w:t>-</w:t>
      </w:r>
      <w:r w:rsidRPr="005A7F38">
        <w:t>thoracic lesions</w:t>
      </w:r>
      <w:r w:rsidR="00CA5F0E" w:rsidRPr="005A7F38">
        <w:t xml:space="preserve"> is more apt to progress to chronic fibrotic disease</w:t>
      </w:r>
      <w:r w:rsidRPr="005A7F38">
        <w:t>. The significant clinical</w:t>
      </w:r>
      <w:r w:rsidR="00F97447" w:rsidRPr="005A7F38">
        <w:t xml:space="preserve"> heterogeneity of the disease may be</w:t>
      </w:r>
      <w:r w:rsidRPr="005A7F38">
        <w:t xml:space="preserve"> attributed to environmental exposures and host factors.</w:t>
      </w:r>
      <w:r w:rsidRPr="005A7F38">
        <w:fldChar w:fldCharType="begin"/>
      </w:r>
      <w:r w:rsidR="00B775CB">
        <w:instrText>ADDIN F1000_CSL_CITATION&lt;~#@#~&gt;[{"DOI":"10.1016/j.mayocp.2016.03.004","First":false,"Last":false,"PMID":"27378039","abstract":"Sarcoidosis is a chronic granulomatous disease of unknown cause that is seen worldwide and occurs mainly in patients between the ages of 20 and 60 years. It can be difficult to diagnose because it can mimic many other diseases including lymphoproliferative disorders and granulomatous infections and because there is no specific test for diagnosis, which depends on correlation of clinicoradiologic and histopathologic features. This review will focus on recent discoveries regarding the pathogenesis of sarcoidosis, common clinical presentations, diagnostic evaluation, and indications for treatment. This review is aimed largely at general practitioners and emphasizes the importance of differentiating pulmonary sarcoidosis from its common imitators.&lt;br&gt;&lt;br&gt;Copyright © 2016 Mayo Foundation for Medical Education and Research. Published by Elsevier Inc. All rights reserved.","author":[{"family":"Carmona","given":"Eva M"},{"family":"Kalra","given":"Sanjay"},{"family":"Ryu","given":"Jay H"}],"authorYearDisplayFormat":false,"citation-label":"3390559","container-title":"Mayo Clinic Proceedings","container-title-short":"Mayo Clin Proc","id":"3390559","invisible":false,"issue":"7","issued":{"date-parts":[["2016","7"]]},"journalAbbreviation":"Mayo Clin Proc","page":"946-954","suppress-author":false,"title":"Pulmonary sarcoidosis: diagnosis and treatment.","type":"article-journal","volume":"91"},{"DOI":"10.1007/s12016-015-8481-z","First":false,"Last":false,"PMID":"25771769","abstract":"Since sarcoidosis was first described more than a century ago, the etiologic determinants causing this disease remain uncertain. Studies suggest that genetic, host immunologic, and environmental factors interact together to cause sarcoidosis. Immunologic characteristics of sarcoidosis include non-caseating granulomas, enhanced local expression of T helper-1 (and often Th17) cytokines and chemokines, dysfunctional regulatory T-cell responses, dysregulated Toll-like receptor signaling, and oligoclonal expansion of CD4+ T cells consistent with chronic antigenic stimulation. Multiple environmental agents have been suggested to cause sarcoidosis. Studies from several groups implicate mycobacterial or propionibacterial organisms in the etiology of sarcoidosis based on tissue analyses and immunologic responses in sarcoidosis patients. Despite these studies, there is no consensus on the nature of a microbial pathogenesis of sarcoidosis. Some groups postulate sarcoidosis is caused by an active viable replicating infection while other groups contend there is no clinical, pathologic, or microbiologic evidence for such a pathogenic mechanism. The authors posit a novel hypothesis that proposes that sarcoidosis is triggered by a hyperimmune Th1 response to pathogenic microbial and tissue antigens associated with the aberrant aggregation of serum amyloid A within granulomas, which promotes progressive chronic granulomatous inflammation in the absence of ongoing infection.","author":[{"family":"Chen","given":"Edward S"},{"family":"Moller","given":"David R"}],"authorYearDisplayFormat":false,"citation-label":"4219823","container-title":"Clinical Reviews in Allergy &amp; Immunology","container-title-short":"Clin Rev Allergy Immunol","id":"4219823","invisible":false,"issue":"1","issued":{"date-parts":[["2015","8"]]},"journalAbbreviation":"Clin Rev Allergy Immunol","page":"6-18","suppress-author":false,"title":"Etiologies of Sarcoidosis.","type":"article-journal","volume":"49"}]</w:instrText>
      </w:r>
      <w:r w:rsidRPr="005A7F38">
        <w:fldChar w:fldCharType="separate"/>
      </w:r>
      <w:r w:rsidR="00B775CB" w:rsidRPr="00B775CB">
        <w:rPr>
          <w:noProof/>
          <w:vertAlign w:val="superscript"/>
        </w:rPr>
        <w:t>5,17</w:t>
      </w:r>
      <w:r w:rsidRPr="005A7F38">
        <w:fldChar w:fldCharType="end"/>
      </w:r>
    </w:p>
    <w:p w14:paraId="2E63AD13" w14:textId="77777777" w:rsidR="00DC114A" w:rsidRPr="005A7F38" w:rsidRDefault="00C3202E" w:rsidP="002446BB">
      <w:pPr>
        <w:pStyle w:val="Heading3"/>
        <w:rPr>
          <w:rFonts w:cs="Times New Roman"/>
        </w:rPr>
      </w:pPr>
      <w:bookmarkStart w:id="14" w:name="_Toc506539999"/>
      <w:r w:rsidRPr="005A7F38">
        <w:rPr>
          <w:rFonts w:cs="Times New Roman"/>
        </w:rPr>
        <w:t>Treatment of Sarcoidosis</w:t>
      </w:r>
      <w:bookmarkEnd w:id="14"/>
    </w:p>
    <w:p w14:paraId="40F38599" w14:textId="2415C35B" w:rsidR="00922E50" w:rsidRPr="005A7F38" w:rsidRDefault="00455E71" w:rsidP="002446BB">
      <w:pPr>
        <w:pStyle w:val="Noindent"/>
      </w:pPr>
      <w:r w:rsidRPr="005A7F38">
        <w:t>While lung involvement occurs in over 90% of patients with sarcoidosis, only about half will require systemic therapy.</w:t>
      </w:r>
      <w:r w:rsidR="008379CF" w:rsidRPr="005A7F38">
        <w:fldChar w:fldCharType="begin"/>
      </w:r>
      <w:r w:rsidR="00B775CB">
        <w:instrText>ADDIN F1000_CSL_CITATION&lt;~#@#~&gt;[{"First":false,"Last":false,"PMID":"23461074","abstract":"&lt;strong&gt;BACKGROUND:&lt;/strong&gt; Although numerous reports have described the clinical features of sarcoidosis in various ethnic and racial groups, many have been limited by small size, homogenous populations, and relatively short follow-up periods. We report the clinical characteristics of a large, race-sex-age diverse cohort of sarcoidosis clinic patients followed in a large university medical center for an extended period of time.&lt;br&gt;&lt;br&gt;&lt;strong&gt;METHODS:&lt;/strong&gt; This study included clinical data for sarcoidosis patients followed over a 12-year period at a sarcoidosis clinic at the Medical University of South Carolina.&lt;br&gt;&lt;br&gt;&lt;strong&gt;RESULTS:&lt;/strong&gt; 1774 sarcoidosis patients were identified. Black females were more common (44%) than other race/gender combinations (p = 0.01). The diagnosis of sarcoidosis occurred &gt; 3 months after the onset of symptoms in 48% of the cohort and &gt; 1 year after the onset of symptoms in 25%. Anti-sarcoidosis treatment was required in 61% of the patients. Pulmonary function improved over time and the median corticosteroid requirement lessened. Compared to whites, blacks had more advanced radiographic stages of sarcoidosis (p &lt;  0.0001), more organ involvement (p &lt;  0.0001), and more frequently required anti-sarcoidosis medication (p &lt;  0.0001). Compared to women, men had more advanced radiographic stages of sarcoidosis (p &lt;  0.0001).&lt;br&gt;&lt;br&gt;&lt;strong&gt;CONCLUSIONS:&lt;/strong&gt; The analysis indicates that sarcoidosis tends to improve over time in terms of pulmonary function and medication requirements. The disease was found to be more severe in blacks than whites. Treatment was not necessarily required. These results provide a comprehensive model of the course and treatment of sarcoidosis in the clinical setting.","author":[{"family":"Judson","given":"M A"},{"family":"Boan","given":"A D"},{"family":"Lackland","given":"D T"}],"authorYearDisplayFormat":false,"citation-label":"4339058","container-title":"Sarcoidosis, vasculitis, and diffuse lung diseases : official journal of WASOG / World Association of Sarcoidosis and Other Granulomatous Disorders","container-title-short":"Sarcoidosis Vasc Diffuse Lung Dis","id":"4339058","invisible":false,"issue":"2","issued":{"date-parts":[["2012","10"]]},"journalAbbreviation":"Sarcoidosis Vasc Diffuse Lung Dis","page":"119-127","suppress-author":false,"title":"The clinical course of sarcoidosis: presentation, diagnosis, and treatment in a large white and black cohort in the United States.","type":"article-journal","volume":"29"}]</w:instrText>
      </w:r>
      <w:r w:rsidR="008379CF" w:rsidRPr="005A7F38">
        <w:fldChar w:fldCharType="separate"/>
      </w:r>
      <w:r w:rsidR="00B775CB" w:rsidRPr="00B775CB">
        <w:rPr>
          <w:noProof/>
          <w:vertAlign w:val="superscript"/>
        </w:rPr>
        <w:t>26</w:t>
      </w:r>
      <w:r w:rsidR="008379CF" w:rsidRPr="005A7F38">
        <w:fldChar w:fldCharType="end"/>
      </w:r>
      <w:r w:rsidRPr="005A7F38">
        <w:t xml:space="preserve"> </w:t>
      </w:r>
      <w:r w:rsidR="00DC114A" w:rsidRPr="005A7F38">
        <w:t>Treatment of sarcoidosis is offered with the goals of improving quality of life, palliating symptoms and to prevent end-organ disease.</w:t>
      </w:r>
      <w:r w:rsidR="00DC114A" w:rsidRPr="005A7F38">
        <w:fldChar w:fldCharType="begin"/>
      </w:r>
      <w:r w:rsidR="00B775CB">
        <w:instrText>ADDIN F1000_CSL_CITATION&lt;~#@#~&gt;[{"DOI":"10.1007/s12016-015-8492-9","First":false,"Last":false,"PMID":"25989728","abstract":"In general, sarcoidosis treatment should be offered to palliate symptoms and improve quality of life or to prevent end-organ disease. Symptoms include pulmonary as well as extra-pulmonary manifestations of the disease. The assessment of response to disease includes functional studies such as the forced vital capacity. Radiologic imaging such as chest x-ray has also been used to assess response, although standardized measures have rarely been tested. There are sufficient clinical trials to make specific recommendations regarding treatment of symptomatic pulmonary disease. Initial therapy is usually prednisone or a similar glucocorticoid. However, there are several features of this treatment which are unknown. This includes the initial dose, timing of reduction of dose, and when to discontinue treatment. Since many patients are intolerant of prednisone, steroid-sparing alternatives have been studied. Methotrexate is the most widely used anti-metabolite, but azathioprine, leflunomide, and mycophenolate have also been reported as helpful. The biologic agents, especially monoclonal anti-tumor necrosis factor (anti-TNF) antibodies, have proved effective in patients who have failed other treatments. Infliximab, the most widely studied anti-TNF antibody, has proved effective for a range of refractory sarcoidosis. However, there remain questions regarding dose and duration of therapy. For the clinician, the many treatment options allow for a specific treatment regimen for each patient which minimizes risk while enhancing benefit.","author":[{"family":"Baughman","given":"Robert P"},{"family":"Lower","given":"Elyse E"}],"authorYearDisplayFormat":false,"citation-label":"4532570","container-title":"Clinical Reviews in Allergy &amp; Immunology","container-title-short":"Clin Rev Allergy Immunol","id":"4532570","invisible":false,"issue":"1","issued":{"date-parts":[["2015","8"]]},"journalAbbreviation":"Clin Rev Allergy Immunol","page":"79-92","suppress-author":false,"title":"Treatment of Sarcoidosis.","type":"article-journal","volume":"49"}]</w:instrText>
      </w:r>
      <w:r w:rsidR="00DC114A" w:rsidRPr="005A7F38">
        <w:fldChar w:fldCharType="separate"/>
      </w:r>
      <w:r w:rsidR="00B775CB" w:rsidRPr="00B775CB">
        <w:rPr>
          <w:noProof/>
          <w:vertAlign w:val="superscript"/>
        </w:rPr>
        <w:t>27</w:t>
      </w:r>
      <w:r w:rsidR="00DC114A" w:rsidRPr="005A7F38">
        <w:fldChar w:fldCharType="end"/>
      </w:r>
      <w:r w:rsidR="00DC114A" w:rsidRPr="005A7F38">
        <w:t xml:space="preserve"> Symptoms targeted for improvement frequently include pulmonary manifestations as well as extra-pulmonary involvement such as cardiac and skin manifestations. Clinical trials have supported the use of glucocorticoids, such as prednisone, as first line therapy. However, dosing, length of treatment and tapering schedule have not been well established.</w:t>
      </w:r>
      <w:r w:rsidR="00DC114A" w:rsidRPr="005A7F38">
        <w:fldChar w:fldCharType="begin"/>
      </w:r>
      <w:r w:rsidR="00B775CB">
        <w:instrText>ADDIN F1000_CSL_CITATION&lt;~#@#~&gt;[{"DOI":"10.1016/j.rmed.2017.10.022","First":false,"Last":false,"PMID":"29137908","abstract":"&lt;strong&gt;BACKGROUND:&lt;/strong&gt; Prednisone is used as first-line therapy for pulmonary sarcoidosis. What dosing strategy has the best balance between effect and side-effects is largely unknown. We analyzed change in forced vital capacity (FVC) and weight during different prednisone doses used in daily practice for treatment naïve pulmonary sarcoidosis patients.&lt;br&gt;&lt;br&gt;&lt;strong&gt;METHODS:&lt;/strong&gt; Multilevel models were used to describe FVC and weight change over time. Correlations were calculated using linear regression models.&lt;br&gt;&lt;br&gt;&lt;strong&gt;RESULTS:&lt;/strong&gt; Fifty-four patients were included. FVC changed over time (p &lt;  0.001), with an average increase of 9.6% predicted (95% CI: 7.2 to 12.1) at 12 months. Weight changed significantly over time (p &lt;  0.001), with an average increase of 4.3 kg (95% CI: 3.0 to 5.6) at 12 months. Although FVC and weight changed significantly over time, there was little correlation between prednisone dose and FVC change, while weight increase correlated significantly with cumulative prednisone dose at 24 months. In patients treated with a high cumulative prednisone dose, baseline FVC was on average lower (p = 0.001) compared to low dose treated patients, while no significant differences were observed in need for second/third-line therapy or number of exacerbations. A strategy leading to a low cumulative dose at 12 months was defined by rapid dose tapering to 10 mg/day within 3.5 months.&lt;br&gt;&lt;br&gt;&lt;strong&gt;CONCLUSIONS:&lt;/strong&gt; These results suggest that prednisone therapy aimed at improving or preserving FVC in newly- treated pulmonary sarcoidosis can often be reduced in dose, using a treatment regimen that is characterized by early dose tapering.&lt;br&gt;&lt;br&gt;Copyright © 2017 Elsevier Ltd. All rights reserved.","author":[{"family":"Broos","given":"Caroline E"},{"family":"Poell","given":"Linda H C"},{"family":"Looman","given":"Caspar W N"},{"family":"In 't Veen","given":"Johannes C C M"},{"family":"Grootenboers","given":"Marco J J H"},{"family":"Heller","given":"Roxane"},{"family":"van den Toorn","given":"Leon M"},{"family":"Wapenaar","given":"Monique"},{"family":"Hoogsteden","given":"Henk C"},{"family":"Kool","given":"Mirjam"},{"family":"Wijsenbeek","given":"Marlies S"},{"family":"van den Blink","given":"Bernt"}],"authorYearDisplayFormat":false,"citation-label":"4532571","container-title":"Respiratory Medicine","container-title-short":"Respir Med","id":"4532571","invisible":false,"issued":{"date-parts":[["2017","10","31"]]},"journalAbbreviation":"Respir Med","suppress-author":false,"title":"No evidence found for an association between prednisone dose and FVC change in newly-treated pulmonary sarcoidosis.","type":"article-journal"}]</w:instrText>
      </w:r>
      <w:r w:rsidR="00DC114A" w:rsidRPr="005A7F38">
        <w:fldChar w:fldCharType="separate"/>
      </w:r>
      <w:r w:rsidR="00B775CB" w:rsidRPr="00B775CB">
        <w:rPr>
          <w:noProof/>
          <w:vertAlign w:val="superscript"/>
        </w:rPr>
        <w:t>28</w:t>
      </w:r>
      <w:r w:rsidR="00DC114A" w:rsidRPr="005A7F38">
        <w:fldChar w:fldCharType="end"/>
      </w:r>
      <w:r w:rsidR="00DC114A" w:rsidRPr="005A7F38">
        <w:t xml:space="preserve"> Glucocorticoid steroids are often not well tole</w:t>
      </w:r>
      <w:r w:rsidR="009B5316" w:rsidRPr="005A7F38">
        <w:t xml:space="preserve">rated and second line therapy </w:t>
      </w:r>
      <w:r w:rsidR="00DC114A" w:rsidRPr="005A7F38">
        <w:t xml:space="preserve">including immunosuppressants such as methotrexate, </w:t>
      </w:r>
      <w:r w:rsidR="00DC114A" w:rsidRPr="005A7F38">
        <w:lastRenderedPageBreak/>
        <w:t>azathioprine, leflunomide and mycop</w:t>
      </w:r>
      <w:r w:rsidR="001415ED" w:rsidRPr="005A7F38">
        <w:t xml:space="preserve">henolate have been considered. Biological agents, </w:t>
      </w:r>
      <w:r w:rsidR="00C748F5" w:rsidRPr="005A7F38">
        <w:t>specifically</w:t>
      </w:r>
      <w:r w:rsidR="001415ED" w:rsidRPr="005A7F38">
        <w:t xml:space="preserve"> </w:t>
      </w:r>
      <w:r w:rsidR="008F5985" w:rsidRPr="005A7F38">
        <w:t>monoclonal</w:t>
      </w:r>
      <w:r w:rsidR="001415ED" w:rsidRPr="005A7F38">
        <w:t xml:space="preserve"> anti-tumor necrosis factor (anti-TNF) antibodies have been used when other pharmaceutical treatments have proved ineffective. More research into dose and duration of therapy are needed to minimize risks to the patient while maximizing therapeutic benefit.</w:t>
      </w:r>
      <w:r w:rsidR="001415ED" w:rsidRPr="005A7F38">
        <w:fldChar w:fldCharType="begin"/>
      </w:r>
      <w:r w:rsidR="00B775CB">
        <w:instrText>ADDIN F1000_CSL_CITATION&lt;~#@#~&gt;[{"DOI":"10.1007/s12016-015-8492-9","First":false,"Last":false,"PMID":"25989728","abstract":"In general, sarcoidosis treatment should be offered to palliate symptoms and improve quality of life or to prevent end-organ disease. Symptoms include pulmonary as well as extra-pulmonary manifestations of the disease. The assessment of response to disease includes functional studies such as the forced vital capacity. Radiologic imaging such as chest x-ray has also been used to assess response, although standardized measures have rarely been tested. There are sufficient clinical trials to make specific recommendations regarding treatment of symptomatic pulmonary disease. Initial therapy is usually prednisone or a similar glucocorticoid. However, there are several features of this treatment which are unknown. This includes the initial dose, timing of reduction of dose, and when to discontinue treatment. Since many patients are intolerant of prednisone, steroid-sparing alternatives have been studied. Methotrexate is the most widely used anti-metabolite, but azathioprine, leflunomide, and mycophenolate have also been reported as helpful. The biologic agents, especially monoclonal anti-tumor necrosis factor (anti-TNF) antibodies, have proved effective in patients who have failed other treatments. Infliximab, the most widely studied anti-TNF antibody, has proved effective for a range of refractory sarcoidosis. However, there remain questions regarding dose and duration of therapy. For the clinician, the many treatment options allow for a specific treatment regimen for each patient which minimizes risk while enhancing benefit.","author":[{"family":"Baughman","given":"Robert P"},{"family":"Lower","given":"Elyse E"}],"authorYearDisplayFormat":false,"citation-label":"4532570","container-title":"Clinical Reviews in Allergy &amp; Immunology","container-title-short":"Clin Rev Allergy Immunol","id":"4532570","invisible":false,"issue":"1","issued":{"date-parts":[["2015","8"]]},"journalAbbreviation":"Clin Rev Allergy Immunol","page":"79-92","suppress-author":false,"title":"Treatment of Sarcoidosis.","type":"article-journal","volume":"49"}]</w:instrText>
      </w:r>
      <w:r w:rsidR="001415ED" w:rsidRPr="005A7F38">
        <w:fldChar w:fldCharType="separate"/>
      </w:r>
      <w:r w:rsidR="00B775CB" w:rsidRPr="00B775CB">
        <w:rPr>
          <w:noProof/>
          <w:vertAlign w:val="superscript"/>
        </w:rPr>
        <w:t>27</w:t>
      </w:r>
      <w:r w:rsidR="001415ED" w:rsidRPr="005A7F38">
        <w:fldChar w:fldCharType="end"/>
      </w:r>
      <w:r w:rsidR="00DF1B28">
        <w:t xml:space="preserve"> </w:t>
      </w:r>
    </w:p>
    <w:p w14:paraId="5959144C" w14:textId="77777777" w:rsidR="00B917F0" w:rsidRPr="005A7F38" w:rsidRDefault="00CB62A8" w:rsidP="002446BB">
      <w:pPr>
        <w:pStyle w:val="Heading2"/>
        <w:rPr>
          <w:rFonts w:cs="Times New Roman"/>
        </w:rPr>
      </w:pPr>
      <w:bookmarkStart w:id="15" w:name="_Toc506540000"/>
      <w:r w:rsidRPr="005A7F38">
        <w:rPr>
          <w:rFonts w:cs="Times New Roman"/>
        </w:rPr>
        <w:t>EPIDEMIOLOGY OF SARCOIDOSIS</w:t>
      </w:r>
      <w:bookmarkEnd w:id="15"/>
    </w:p>
    <w:p w14:paraId="28DDE1BD" w14:textId="0EDE4B71" w:rsidR="001A10FA" w:rsidRPr="005A7F38" w:rsidRDefault="00CB62A8" w:rsidP="006F3D04">
      <w:pPr>
        <w:pStyle w:val="Noindent"/>
      </w:pPr>
      <w:bookmarkStart w:id="16" w:name="_Toc106513530"/>
      <w:bookmarkStart w:id="17" w:name="_Toc106717788"/>
      <w:r w:rsidRPr="005A7F38">
        <w:t>Sarcoidosis is a disorder that occurs worldwide and impacts both males and females of all races and ages.</w:t>
      </w:r>
      <w:r w:rsidRPr="005A7F38">
        <w:fldChar w:fldCharType="begin"/>
      </w:r>
      <w:r w:rsidR="00B775CB">
        <w:instrText>ADDIN F1000_CSL_CITATION&lt;~#@#~&gt;[{"DOI":"10.1378/chest.10-0413","First":false,"Last":false,"PMCID":"PMC3014690","PMID":"20595459","abstract":"&lt;strong&gt;BACKGROUND:&lt;/strong&gt; Sarcoidosis is a systemic granulomatous disorder of unknown cause that occurs among men and women of all races. In the United States, black women are most frequently and most severely affected. There have been few epidemiologic studies of sarcoidosis focusing on black women.&lt;br&gt;&lt;br&gt;&lt;strong&gt;METHODS:&lt;/strong&gt; In this article, we present data on incidence, prevalence, and clinical characteristics of sarcoidosis among participants in the Black Women's Health Study, a cohort study of 59,000 black women from across the United States. Data on incident disease and potential risk factors are obtained through biennial questionnaires. Follow-up has been &gt; 80% through six completed cycles.&lt;br&gt;&lt;br&gt;&lt;strong&gt;RESULTS:&lt;/strong&gt; There were 685 prevalent cases of sarcoidosis at baseline in 1995 and 435 incident cases reported during 611,585 person-years of follow-up through 2007, for an average annual incidence rate of 71/100,000 and a current prevalence of 2.0%. The sarcoid diagnosis was confirmed in 96% of self-reported cases for whom medical records or physician checklists were obtained. The most frequently affected site was the lung. Most patients also had extrapulmonary involvement, with the most common sites being lymph nodes, skin, and eyes. Prednisone had the highest prevalence of use, followed by inhaled corticosteroids.&lt;br&gt;&lt;br&gt;&lt;strong&gt;CONCLUSIONS:&lt;/strong&gt; This study confirms previous reports of high incidence and prevalence of sarcoidosis among black women, as well as the extent of extrapulmonary disease, frequent need for steroid therapy, and comorbid conditions in this population. The prospective identification of sarcoidosis cases from a defined population will enable a valid assessment of risk factors for incident disease as follow-up continues.","author":[{"family":"Cozier","given":"Yvette C"},{"family":"Berman","given":"Jeffrey S"},{"family":"Palmer","given":"Julie R"},{"family":"Boggs","given":"Deborah A"},{"family":"Serlin","given":"David M"},{"family":"Rosenberg","given":"Lynn"}],"authorYearDisplayFormat":false,"citation-label":"4339051","container-title":"Chest","container-title-short":"Chest","id":"4339051","invisible":false,"issue":"1","issued":{"date-parts":[["2011","1"]]},"journalAbbreviation":"Chest","page":"144-150","suppress-author":false,"title":"Sarcoidosis in black women in the United States: data from the Black Women's Health Study.","type":"article-journal","volume":"139"}]</w:instrText>
      </w:r>
      <w:r w:rsidRPr="005A7F38">
        <w:fldChar w:fldCharType="separate"/>
      </w:r>
      <w:r w:rsidR="00B775CB" w:rsidRPr="00B775CB">
        <w:rPr>
          <w:noProof/>
          <w:vertAlign w:val="superscript"/>
        </w:rPr>
        <w:t>29</w:t>
      </w:r>
      <w:r w:rsidRPr="005A7F38">
        <w:fldChar w:fldCharType="end"/>
      </w:r>
      <w:r w:rsidRPr="005A7F38">
        <w:t xml:space="preserve"> However, there is significant disparity in the prevalence, incidence and course of the disease between people of different racial/ethnic groups and sex.</w:t>
      </w:r>
      <w:r w:rsidRPr="005A7F38">
        <w:fldChar w:fldCharType="begin"/>
      </w:r>
      <w:r w:rsidR="00B775CB">
        <w:instrText>ADDIN F1000_CSL_CITATION&lt;~#@#~&gt;[{"DOI":"10.1183/13993003.01819-2016","First":false,"Last":false,"PMID":"27903684","author":[{"family":"Cozier","given":"Yvette C"}],"authorYearDisplayFormat":false,"citation-label":"4267494","container-title":"The European Respiratory Journal","container-title-short":"Eur Respir J","id":"4267494","invisible":false,"issue":"6","issued":{"date-parts":[["2016","12"]]},"journalAbbreviation":"Eur Respir J","page":"1545-1548","suppress-author":false,"title":"Assessing the worldwide epidemiology of sarcoidosis: challenges and future directions.","type":"article-journal","volume":"48"}]</w:instrText>
      </w:r>
      <w:r w:rsidRPr="005A7F38">
        <w:fldChar w:fldCharType="separate"/>
      </w:r>
      <w:r w:rsidR="00B775CB" w:rsidRPr="00B775CB">
        <w:rPr>
          <w:noProof/>
          <w:vertAlign w:val="superscript"/>
        </w:rPr>
        <w:t>30</w:t>
      </w:r>
      <w:r w:rsidRPr="005A7F38">
        <w:fldChar w:fldCharType="end"/>
      </w:r>
      <w:r w:rsidR="001A10FA">
        <w:t xml:space="preserve"> </w:t>
      </w:r>
      <w:r w:rsidR="001A10FA" w:rsidRPr="005A7F38">
        <w:t>Prevalence rates of sarcoidosis have remained consistently higher in both women and African American individuals.</w:t>
      </w:r>
      <w:r w:rsidR="001A10FA" w:rsidRPr="005A7F38">
        <w:fldChar w:fldCharType="begin"/>
      </w:r>
      <w:r w:rsidR="00B775CB">
        <w:instrText>ADDIN F1000_CSL_CITATION&lt;~#@#~&gt;[{"DOI":"10.1513/AnnalsATS.201511-760OC","First":false,"Last":false,"PMID":"27509154","abstract":"&lt;strong&gt;RATIONALE:&lt;/strong&gt; There have been no recent comprehensive studies of the epidemiology of sarcoidosis in the United States. Changes in health care use have made available access to data on large numbers of patients with sarcoidosis.&lt;br&gt;&lt;br&gt;&lt;strong&gt;OBJECTIVES:&lt;/strong&gt; To use a U.S. national health care database to gather data on patients with sarcoidosis identified over a 3-year period who were 18 years of age and older, and to determine health care costs for these patients.&lt;br&gt;&lt;br&gt;&lt;strong&gt;METHODS:&lt;/strong&gt; The Optum health care database was queried for a 3-year period (2010-2013). This database includes approximately 15% of U.S. residents. The incidence rate of sarcoidosis was calculated for new cases identified in each year. Calculation of prevalence was based on any patient with sarcoidosis seen during the year. Incidence and prevalence rates are reported per 100,000 patients.&lt;br&gt;&lt;br&gt;&lt;strong&gt;MEASUREMENTS AND MAIN RESULTS:&lt;/strong&gt; A total of 29,372 adult patients with sarcoidosis were identified. Of these, 14,700 (55%) were over 55 years of age at the time of diagnosis. The incidence and prevalence rates were higher for African Americans (17.8 and 141.4 per 100,000, respectively) than for white individuals (8.1 and 49.8), Hispanics (4.3 and 21.7), or Asians (3.2 and 18.9). Women were two times more likely to have sarcoidosis, with the highest prevalence for sarcoidosis noted in African American women (178.5). Overall, the yearly health care cost reported for patients with sarcoidosis was low, with a median of $18,663 per year. However, the yearly cost for the top 5% was $93,201.&lt;br&gt;&lt;br&gt;&lt;strong&gt;CONCLUSIONS:&lt;/strong&gt; For patients 18 years of age and older enrolled in a U.S. national administrative database, sarcoidosis was more common among African Americans, but it was reported for all four of the major ethnic groups studied. While health care costs were relatively small for most patients, the cost of care for some patients was considerable.","author":[{"family":"Baughman","given":"Robert P"},{"family":"Field","given":"Shelli"},{"family":"Costabel","given":"Ulrich"},{"family":"Crystal","given":"Ronald G"},{"family":"Culver","given":"Daniel A"},{"family":"Drent","given":"Marjolein"},{"family":"Judson","given":"Marc A"},{"family":"Wolff","given":"Gerhard"}],"authorYearDisplayFormat":false,"citation-label":"4267493","container-title":"Annals of the American Thoracic Society","container-title-short":"Ann Am Thorac Soc","id":"4267493","invisible":false,"issue":"8","issued":{"date-parts":[["2016","8"]]},"journalAbbreviation":"Ann Am Thorac Soc","page":"1244-1252","suppress-author":false,"title":"Sarcoidosis in america. analysis based on health care use.","type":"article-journal","volume":"13"}]</w:instrText>
      </w:r>
      <w:r w:rsidR="001A10FA" w:rsidRPr="005A7F38">
        <w:fldChar w:fldCharType="separate"/>
      </w:r>
      <w:r w:rsidR="00B775CB" w:rsidRPr="00B775CB">
        <w:rPr>
          <w:noProof/>
          <w:vertAlign w:val="superscript"/>
        </w:rPr>
        <w:t>2</w:t>
      </w:r>
      <w:r w:rsidR="001A10FA" w:rsidRPr="005A7F38">
        <w:fldChar w:fldCharType="end"/>
      </w:r>
    </w:p>
    <w:p w14:paraId="496CA005" w14:textId="7962D153" w:rsidR="00CB62A8" w:rsidRPr="005A7F38" w:rsidRDefault="006F3D04" w:rsidP="002446BB">
      <w:pPr>
        <w:pStyle w:val="Noindent"/>
      </w:pPr>
      <w:r>
        <w:tab/>
      </w:r>
      <w:r w:rsidR="00CB62A8" w:rsidRPr="005A7F38">
        <w:t xml:space="preserve">Understanding the epidemiology of sarcoidosis has presented several challenges: diagnosis remains challenging due to the lack of </w:t>
      </w:r>
      <w:r w:rsidR="00DF1B28">
        <w:t>noninvasive</w:t>
      </w:r>
      <w:r w:rsidR="00CB62A8" w:rsidRPr="005A7F38">
        <w:t xml:space="preserve"> diagnostic tests, resulting in misdiagnosis and under diagnosis, the lack of a precise consistent case definition and variability in case reporting and ascertainment.</w:t>
      </w:r>
      <w:r w:rsidR="00CB62A8" w:rsidRPr="005A7F38">
        <w:fldChar w:fldCharType="begin"/>
      </w:r>
      <w:r w:rsidR="00B775CB">
        <w:instrText>ADDIN F1000_CSL_CITATION&lt;~#@#~&gt;[{"DOI":"10.1164/ajrccm.160.2.ats4-99","First":false,"Last":false,"PMID":"10430755","authorYearDisplayFormat":false,"citation-label":"3415896","container-title":"American Journal of Respiratory and Critical Care Medicine","container-title-short":"Am J Respir Crit Care Med","id":"3415896","invisible":false,"issue":"2","issued":{"date-parts":[["1999","8"]]},"journalAbbreviation":"Am J Respir Crit Care Med","page":"736-755","suppress-author":false,"title":"Statement on sarcoidosis. Joint Statement of the American Thoracic Society (ATS), the European Respiratory Society (ERS) and the World Association of Sarcoidosis and Other Granulomatous Disorders (WASOG) adopted by the ATS Board of Directors and by the ERS Executive Committee, February 1999.","type":"article-journal","volume":"160"}]</w:instrText>
      </w:r>
      <w:r w:rsidR="00CB62A8" w:rsidRPr="005A7F38">
        <w:fldChar w:fldCharType="separate"/>
      </w:r>
      <w:r w:rsidR="00B775CB" w:rsidRPr="00B775CB">
        <w:rPr>
          <w:noProof/>
          <w:vertAlign w:val="superscript"/>
        </w:rPr>
        <w:t>1</w:t>
      </w:r>
      <w:r w:rsidR="00CB62A8" w:rsidRPr="005A7F38">
        <w:fldChar w:fldCharType="end"/>
      </w:r>
      <w:r w:rsidR="00CB62A8" w:rsidRPr="005A7F38">
        <w:t xml:space="preserve"> A large and systematic epidemiological study of sarcoidos</w:t>
      </w:r>
      <w:r w:rsidR="0020230A">
        <w:t>is in the United States has not</w:t>
      </w:r>
      <w:r w:rsidR="00CB62A8" w:rsidRPr="005A7F38">
        <w:t xml:space="preserve"> been undertaken since the mid-1990s.</w:t>
      </w:r>
      <w:r w:rsidR="00CB62A8" w:rsidRPr="005A7F38">
        <w:fldChar w:fldCharType="begin"/>
      </w:r>
      <w:r w:rsidR="00B775CB">
        <w:instrText>ADDIN F1000_CSL_CITATION&lt;~#@#~&gt;[{"DOI":"10.1093/oxfordjournals.aje.a009096","First":false,"Last":false,"PMID":"9012596","abstract":"Reports of racial differences in the incidence of sarcoidosis, a granulomatous disorder of unknown etiology, are primarily based on studies of military and veteran populations. To determine racial differences in sarcoidosis incidence in a metropolitan population the authors conducted a study of newly diagnosed cases that occurred between 1990 and 1994 among members of the Health Alliance Plan health maintenance organization in Detroit, Michigan. The study population was racially heterogeneous, was limited to individuals aged 20-69 years, and comprised about 5% of the Detroit metropolitan area population in that age group. Annual age-adjusted incidence, in number of new cases per 100,000, was highest in African-American females (39.1 cases). The next highest incidence was found in African-American males (29.8 cases), followed by Caucasian females (12.1) and Caucasian males (9.6). African-American females aged 30-39 years were at the greatest risk, with an annual incidence of 107/100,000. Overall, African Americans had about a threefold higher age-adjusted annual incidence (35.5/100,000) compared with Caucasians (10.9/100,000). Additional adjustment for sex, area of residence, and year of study resulted in 3.8-fold greater risk for African Americans compared with Caucasians. This study further confirmed the higher incidence of sarcoidosis in African Americans compared with Caucasians, but the racial difference was lower than previously reported. The results should be more generalizable than previous studies done with select populations and should serve as a useful frame of reference for future epidemiologic research of sarcoidosis.","author":[{"family":"Rybicki","given":"B A"},{"family":"Major","given":"M"},{"family":"Popovich","given":"J"},{"family":"Maliarik","given":"M J"},{"family":"Iannuzzi","given":"M C"}],"authorYearDisplayFormat":false,"citation-label":"3415906","container-title":"American Journal of Epidemiology","container-title-short":"Am J Epidemiol","id":"3415906","invisible":false,"issue":"3","issued":{"date-parts":[["1997","2","1"]]},"journalAbbreviation":"Am J Epidemiol","page":"234-241","suppress-author":false,"title":"Racial differences in sarcoidosis incidence: a 5-year study in a health maintenance organization.","type":"article-journal","volume":"145"}]</w:instrText>
      </w:r>
      <w:r w:rsidR="00CB62A8" w:rsidRPr="005A7F38">
        <w:fldChar w:fldCharType="separate"/>
      </w:r>
      <w:r w:rsidR="00B775CB" w:rsidRPr="00B775CB">
        <w:rPr>
          <w:noProof/>
          <w:vertAlign w:val="superscript"/>
        </w:rPr>
        <w:t>31</w:t>
      </w:r>
      <w:r w:rsidR="00CB62A8" w:rsidRPr="005A7F38">
        <w:fldChar w:fldCharType="end"/>
      </w:r>
      <w:r w:rsidR="00CB62A8" w:rsidRPr="005A7F38">
        <w:t xml:space="preserve"> </w:t>
      </w:r>
    </w:p>
    <w:p w14:paraId="2B9DDA8F" w14:textId="77777777" w:rsidR="00B917F0" w:rsidRPr="005A7F38" w:rsidRDefault="00CB62A8" w:rsidP="002446BB">
      <w:pPr>
        <w:pStyle w:val="Heading3"/>
        <w:rPr>
          <w:rFonts w:cs="Times New Roman"/>
        </w:rPr>
      </w:pPr>
      <w:bookmarkStart w:id="18" w:name="_Toc506540001"/>
      <w:bookmarkEnd w:id="16"/>
      <w:bookmarkEnd w:id="17"/>
      <w:r w:rsidRPr="005A7F38">
        <w:rPr>
          <w:rFonts w:cs="Times New Roman"/>
        </w:rPr>
        <w:t>Incidence and Prevalence</w:t>
      </w:r>
      <w:bookmarkEnd w:id="18"/>
    </w:p>
    <w:p w14:paraId="61D66D93" w14:textId="7668C40C" w:rsidR="00CB62A8" w:rsidRPr="005A7F38" w:rsidRDefault="00F37942" w:rsidP="002446BB">
      <w:pPr>
        <w:pStyle w:val="Noindent"/>
      </w:pPr>
      <w:bookmarkStart w:id="19" w:name="_Toc106513531"/>
      <w:bookmarkStart w:id="20" w:name="_Toc106717789"/>
      <w:r>
        <w:t xml:space="preserve">Once considered to be a rare disease, sarcoidosis is now recognized as a fairly common disease that is seen worldwide. </w:t>
      </w:r>
      <w:r w:rsidR="00C3267E" w:rsidRPr="005A7F38">
        <w:t xml:space="preserve">Recent epidemiological studies of sarcoidosis have utilized health care and health insurance databases to identify and characterize patients with sarcoidosis. </w:t>
      </w:r>
      <w:r w:rsidR="00C3267E" w:rsidRPr="005A7F38">
        <w:fldChar w:fldCharType="begin"/>
      </w:r>
      <w:r w:rsidR="00B775CB">
        <w:instrText>ADDIN F1000_CSL_CITATION&lt;~#@#~&gt;[{"DOI":"10.1513/AnnalsATS.201511-760OC","First":false,"Last":false,"PMID":"27509154","abstract":"&lt;strong&gt;RATIONALE:&lt;/strong&gt; There have been no recent comprehensive studies of the epidemiology of sarcoidosis in the United States. Changes in health care use have made available access to data on large numbers of patients with sarcoidosis.&lt;br&gt;&lt;br&gt;&lt;strong&gt;OBJECTIVES:&lt;/strong&gt; To use a U.S. national health care database to gather data on patients with sarcoidosis identified over a 3-year period who were 18 years of age and older, and to determine health care costs for these patients.&lt;br&gt;&lt;br&gt;&lt;strong&gt;METHODS:&lt;/strong&gt; The Optum health care database was queried for a 3-year period (2010-2013). This database includes approximately 15% of U.S. residents. The incidence rate of sarcoidosis was calculated for new cases identified in each year. Calculation of prevalence was based on any patient with sarcoidosis seen during the year. Incidence and prevalence rates are reported per 100,000 patients.&lt;br&gt;&lt;br&gt;&lt;strong&gt;MEASUREMENTS AND MAIN RESULTS:&lt;/strong&gt; A total of 29,372 adult patients with sarcoidosis were identified. Of these, 14,700 (55%) were over 55 years of age at the time of diagnosis. The incidence and prevalence rates were higher for African Americans (17.8 and 141.4 per 100,000, respectively) than for white individuals (8.1 and 49.8), Hispanics (4.3 and 21.7), or Asians (3.2 and 18.9). Women were two times more likely to have sarcoidosis, with the highest prevalence for sarcoidosis noted in African American women (178.5). Overall, the yearly health care cost reported for patients with sarcoidosis was low, with a median of $18,663 per year. However, the yearly cost for the top 5% was $93,201.&lt;br&gt;&lt;br&gt;&lt;strong&gt;CONCLUSIONS:&lt;/strong&gt; For patients 18 years of age and older enrolled in a U.S. national administrative database, sarcoidosis was more common among African Americans, but it was reported for all four of the major ethnic groups studied. While health care costs were relatively small for most patients, the cost of care for some patients was considerable.","author":[{"family":"Baughman","given":"Robert P"},{"family":"Field","given":"Shelli"},{"family":"Costabel","given":"Ulrich"},{"family":"Crystal","given":"Ronald G"},{"family":"Culver","given":"Daniel A"},{"family":"Drent","given":"Marjolein"},{"family":"Judson","given":"Marc A"},{"family":"Wolff","given":"Gerhard"}],"authorYearDisplayFormat":false,"citation-label":"4267493","container-title":"Annals of the American Thoracic Society","container-title-short":"Ann Am Thorac Soc","id":"4267493","invisible":false,"issue":"8","issued":{"date-parts":[["2016","8"]]},"journalAbbreviation":"Ann Am Thorac Soc","page":"1244-1252","suppress-author":false,"title":"Sarcoidosis in america. analysis based on health care use.","type":"article-journal","volume":"13"}]</w:instrText>
      </w:r>
      <w:r w:rsidR="00C3267E" w:rsidRPr="005A7F38">
        <w:fldChar w:fldCharType="separate"/>
      </w:r>
      <w:r w:rsidR="00B775CB" w:rsidRPr="00B775CB">
        <w:rPr>
          <w:noProof/>
          <w:vertAlign w:val="superscript"/>
        </w:rPr>
        <w:t>2</w:t>
      </w:r>
      <w:r w:rsidR="00C3267E" w:rsidRPr="005A7F38">
        <w:fldChar w:fldCharType="end"/>
      </w:r>
      <w:r w:rsidR="00C3267E" w:rsidRPr="005A7F38">
        <w:t xml:space="preserve"> </w:t>
      </w:r>
      <w:r w:rsidR="00C3267E">
        <w:t xml:space="preserve"> </w:t>
      </w:r>
      <w:r w:rsidR="00C3267E" w:rsidRPr="005A7F38">
        <w:t xml:space="preserve">Such databases often do not provide a wholly accurate depiction of the epidemiology of a disease owing to the </w:t>
      </w:r>
      <w:r w:rsidR="00C3267E" w:rsidRPr="005A7F38">
        <w:lastRenderedPageBreak/>
        <w:t>differences in private and public insurance providers, inaccuracy of medical coding systems and incomplete data.</w:t>
      </w:r>
      <w:r w:rsidR="00C3267E">
        <w:t xml:space="preserve"> </w:t>
      </w:r>
      <w:r w:rsidR="00C3267E" w:rsidRPr="005A7F38">
        <w:t xml:space="preserve">Incidence has remained relatively stable over the last decade (8.4 </w:t>
      </w:r>
      <w:r w:rsidR="00C3267E">
        <w:t>per 100,000 in 2010, 8.3 in 2011</w:t>
      </w:r>
      <w:r w:rsidR="00C3267E" w:rsidRPr="005A7F38">
        <w:t>, 8.8 in 2012).</w:t>
      </w:r>
      <w:r w:rsidR="00C3267E" w:rsidRPr="005A7F38">
        <w:fldChar w:fldCharType="begin"/>
      </w:r>
      <w:r w:rsidR="00B775CB">
        <w:instrText>ADDIN F1000_CSL_CITATION&lt;~#@#~&gt;[{"DOI":"10.1513/AnnalsATS.201511-760OC","First":false,"Last":false,"PMID":"27509154","abstract":"&lt;strong&gt;RATIONALE:&lt;/strong&gt; There have been no recent comprehensive studies of the epidemiology of sarcoidosis in the United States. Changes in health care use have made available access to data on large numbers of patients with sarcoidosis.&lt;br&gt;&lt;br&gt;&lt;strong&gt;OBJECTIVES:&lt;/strong&gt; To use a U.S. national health care database to gather data on patients with sarcoidosis identified over a 3-year period who were 18 years of age and older, and to determine health care costs for these patients.&lt;br&gt;&lt;br&gt;&lt;strong&gt;METHODS:&lt;/strong&gt; The Optum health care database was queried for a 3-year period (2010-2013). This database includes approximately 15% of U.S. residents. The incidence rate of sarcoidosis was calculated for new cases identified in each year. Calculation of prevalence was based on any patient with sarcoidosis seen during the year. Incidence and prevalence rates are reported per 100,000 patients.&lt;br&gt;&lt;br&gt;&lt;strong&gt;MEASUREMENTS AND MAIN RESULTS:&lt;/strong&gt; A total of 29,372 adult patients with sarcoidosis were identified. Of these, 14,700 (55%) were over 55 years of age at the time of diagnosis. The incidence and prevalence rates were higher for African Americans (17.8 and 141.4 per 100,000, respectively) than for white individuals (8.1 and 49.8), Hispanics (4.3 and 21.7), or Asians (3.2 and 18.9). Women were two times more likely to have sarcoidosis, with the highest prevalence for sarcoidosis noted in African American women (178.5). Overall, the yearly health care cost reported for patients with sarcoidosis was low, with a median of $18,663 per year. However, the yearly cost for the top 5% was $93,201.&lt;br&gt;&lt;br&gt;&lt;strong&gt;CONCLUSIONS:&lt;/strong&gt; For patients 18 years of age and older enrolled in a U.S. national administrative database, sarcoidosis was more common among African Americans, but it was reported for all four of the major ethnic groups studied. While health care costs were relatively small for most patients, the cost of care for some patients was considerable.","author":[{"family":"Baughman","given":"Robert P"},{"family":"Field","given":"Shelli"},{"family":"Costabel","given":"Ulrich"},{"family":"Crystal","given":"Ronald G"},{"family":"Culver","given":"Daniel A"},{"family":"Drent","given":"Marjolein"},{"family":"Judson","given":"Marc A"},{"family":"Wolff","given":"Gerhard"}],"authorYearDisplayFormat":false,"citation-label":"4267493","container-title":"Annals of the American Thoracic Society","container-title-short":"Ann Am Thorac Soc","id":"4267493","invisible":false,"issue":"8","issued":{"date-parts":[["2016","8"]]},"journalAbbreviation":"Ann Am Thorac Soc","page":"1244-1252","suppress-author":false,"title":"Sarcoidosis in america. analysis based on health care use.","type":"article-journal","volume":"13"}]</w:instrText>
      </w:r>
      <w:r w:rsidR="00C3267E" w:rsidRPr="005A7F38">
        <w:fldChar w:fldCharType="separate"/>
      </w:r>
      <w:r w:rsidR="00B775CB" w:rsidRPr="00B775CB">
        <w:rPr>
          <w:noProof/>
          <w:vertAlign w:val="superscript"/>
        </w:rPr>
        <w:t>2</w:t>
      </w:r>
      <w:r w:rsidR="00C3267E" w:rsidRPr="005A7F38">
        <w:fldChar w:fldCharType="end"/>
      </w:r>
      <w:r w:rsidR="00C3267E">
        <w:t xml:space="preserve"> </w:t>
      </w:r>
      <w:r w:rsidR="00CB62A8" w:rsidRPr="005A7F38">
        <w:t>In a study using health insurance data, incidence of sarcoidosis</w:t>
      </w:r>
      <w:r w:rsidR="00662F55">
        <w:t xml:space="preserve"> in the U.S. was found to be 8.8</w:t>
      </w:r>
      <w:r w:rsidR="00CB62A8" w:rsidRPr="005A7F38">
        <w:t xml:space="preserve"> per 100,000 </w:t>
      </w:r>
      <w:r w:rsidR="00662F55">
        <w:t>individuals with insurance (2012</w:t>
      </w:r>
      <w:r w:rsidR="00CB62A8" w:rsidRPr="005A7F38">
        <w:t>).</w:t>
      </w:r>
      <w:r w:rsidR="00CB62A8" w:rsidRPr="005A7F38">
        <w:fldChar w:fldCharType="begin"/>
      </w:r>
      <w:r w:rsidR="00B775CB">
        <w:instrText>ADDIN F1000_CSL_CITATION&lt;~#@#~&gt;[{"DOI":"10.1513/AnnalsATS.201511-760OC","First":false,"Last":false,"PMID":"27509154","abstract":"&lt;strong&gt;RATIONALE:&lt;/strong&gt; There have been no recent comprehensive studies of the epidemiology of sarcoidosis in the United States. Changes in health care use have made available access to data on large numbers of patients with sarcoidosis.&lt;br&gt;&lt;br&gt;&lt;strong&gt;OBJECTIVES:&lt;/strong&gt; To use a U.S. national health care database to gather data on patients with sarcoidosis identified over a 3-year period who were 18 years of age and older, and to determine health care costs for these patients.&lt;br&gt;&lt;br&gt;&lt;strong&gt;METHODS:&lt;/strong&gt; The Optum health care database was queried for a 3-year period (2010-2013). This database includes approximately 15% of U.S. residents. The incidence rate of sarcoidosis was calculated for new cases identified in each year. Calculation of prevalence was based on any patient with sarcoidosis seen during the year. Incidence and prevalence rates are reported per 100,000 patients.&lt;br&gt;&lt;br&gt;&lt;strong&gt;MEASUREMENTS AND MAIN RESULTS:&lt;/strong&gt; A total of 29,372 adult patients with sarcoidosis were identified. Of these, 14,700 (55%) were over 55 years of age at the time of diagnosis. The incidence and prevalence rates were higher for African Americans (17.8 and 141.4 per 100,000, respectively) than for white individuals (8.1 and 49.8), Hispanics (4.3 and 21.7), or Asians (3.2 and 18.9). Women were two times more likely to have sarcoidosis, with the highest prevalence for sarcoidosis noted in African American women (178.5). Overall, the yearly health care cost reported for patients with sarcoidosis was low, with a median of $18,663 per year. However, the yearly cost for the top 5% was $93,201.&lt;br&gt;&lt;br&gt;&lt;strong&gt;CONCLUSIONS:&lt;/strong&gt; For patients 18 years of age and older enrolled in a U.S. national administrative database, sarcoidosis was more common among African Americans, but it was reported for all four of the major ethnic groups studied. While health care costs were relatively small for most patients, the cost of care for some patients was considerable.","author":[{"family":"Baughman","given":"Robert P"},{"family":"Field","given":"Shelli"},{"family":"Costabel","given":"Ulrich"},{"family":"Crystal","given":"Ronald G"},{"family":"Culver","given":"Daniel A"},{"family":"Drent","given":"Marjolein"},{"family":"Judson","given":"Marc A"},{"family":"Wolff","given":"Gerhard"}],"authorYearDisplayFormat":false,"citation-label":"4267493","container-title":"Annals of the American Thoracic Society","container-title-short":"Ann Am Thorac Soc","id":"4267493","invisible":false,"issue":"8","issued":{"date-parts":[["2016","8"]]},"journalAbbreviation":"Ann Am Thorac Soc","page":"1244-1252","suppress-author":false,"title":"Sarcoidosis in america. analysis based on health care use.","type":"article-journal","volume":"13"}]</w:instrText>
      </w:r>
      <w:r w:rsidR="00CB62A8" w:rsidRPr="005A7F38">
        <w:fldChar w:fldCharType="separate"/>
      </w:r>
      <w:r w:rsidR="00B775CB" w:rsidRPr="00B775CB">
        <w:rPr>
          <w:noProof/>
          <w:vertAlign w:val="superscript"/>
        </w:rPr>
        <w:t>2</w:t>
      </w:r>
      <w:r w:rsidR="00CB62A8" w:rsidRPr="005A7F38">
        <w:fldChar w:fldCharType="end"/>
      </w:r>
      <w:r w:rsidR="00CB62A8" w:rsidRPr="005A7F38">
        <w:t xml:space="preserve"> Recent epidemiological studies using national health care databases in the United States found that in adults incidence in African American individuals (incidence rate (IR): 17.8 per 100,000) is higher than in white individuals (IR: 8.1 per 100,000), Hispanic individuals (IR: 4.3 per 100,000) and Asian individuals (IR: 3.2 per 100,000).</w:t>
      </w:r>
      <w:r w:rsidR="00CB62A8" w:rsidRPr="005A7F38">
        <w:fldChar w:fldCharType="begin"/>
      </w:r>
      <w:r w:rsidR="00B775CB">
        <w:instrText>ADDIN F1000_CSL_CITATION&lt;~#@#~&gt;[{"DOI":"10.1513/AnnalsATS.201511-760OC","First":false,"Last":false,"PMID":"27509154","abstract":"&lt;strong&gt;RATIONALE:&lt;/strong&gt; There have been no recent comprehensive studies of the epidemiology of sarcoidosis in the United States. Changes in health care use have made available access to data on large numbers of patients with sarcoidosis.&lt;br&gt;&lt;br&gt;&lt;strong&gt;OBJECTIVES:&lt;/strong&gt; To use a U.S. national health care database to gather data on patients with sarcoidosis identified over a 3-year period who were 18 years of age and older, and to determine health care costs for these patients.&lt;br&gt;&lt;br&gt;&lt;strong&gt;METHODS:&lt;/strong&gt; The Optum health care database was queried for a 3-year period (2010-2013). This database includes approximately 15% of U.S. residents. The incidence rate of sarcoidosis was calculated for new cases identified in each year. Calculation of prevalence was based on any patient with sarcoidosis seen during the year. Incidence and prevalence rates are reported per 100,000 patients.&lt;br&gt;&lt;br&gt;&lt;strong&gt;MEASUREMENTS AND MAIN RESULTS:&lt;/strong&gt; A total of 29,372 adult patients with sarcoidosis were identified. Of these, 14,700 (55%) were over 55 years of age at the time of diagnosis. The incidence and prevalence rates were higher for African Americans (17.8 and 141.4 per 100,000, respectively) than for white individuals (8.1 and 49.8), Hispanics (4.3 and 21.7), or Asians (3.2 and 18.9). Women were two times more likely to have sarcoidosis, with the highest prevalence for sarcoidosis noted in African American women (178.5). Overall, the yearly health care cost reported for patients with sarcoidosis was low, with a median of $18,663 per year. However, the yearly cost for the top 5% was $93,201.&lt;br&gt;&lt;br&gt;&lt;strong&gt;CONCLUSIONS:&lt;/strong&gt; For patients 18 years of age and older enrolled in a U.S. national administrative database, sarcoidosis was more common among African Americans, but it was reported for all four of the major ethnic groups studied. While health care costs were relatively small for most patients, the cost of care for some patients was considerable.","author":[{"family":"Baughman","given":"Robert P"},{"family":"Field","given":"Shelli"},{"family":"Costabel","given":"Ulrich"},{"family":"Crystal","given":"Ronald G"},{"family":"Culver","given":"Daniel A"},{"family":"Drent","given":"Marjolein"},{"family":"Judson","given":"Marc A"},{"family":"Wolff","given":"Gerhard"}],"authorYearDisplayFormat":false,"citation-label":"4267493","container-title":"Annals of the American Thoracic Society","container-title-short":"Ann Am Thorac Soc","id":"4267493","invisible":false,"issue":"8","issued":{"date-parts":[["2016","8"]]},"journalAbbreviation":"Ann Am Thorac Soc","page":"1244-1252","suppress-author":false,"title":"Sarcoidosis in america. analysis based on health care use.","type":"article-journal","volume":"13"}]</w:instrText>
      </w:r>
      <w:r w:rsidR="00CB62A8" w:rsidRPr="005A7F38">
        <w:fldChar w:fldCharType="separate"/>
      </w:r>
      <w:r w:rsidR="00B775CB" w:rsidRPr="00B775CB">
        <w:rPr>
          <w:noProof/>
          <w:vertAlign w:val="superscript"/>
        </w:rPr>
        <w:t>2</w:t>
      </w:r>
      <w:r w:rsidR="00CB62A8" w:rsidRPr="005A7F38">
        <w:fldChar w:fldCharType="end"/>
      </w:r>
    </w:p>
    <w:p w14:paraId="7A368122" w14:textId="2FDF2DBB" w:rsidR="00CB62A8" w:rsidRPr="005A7F38" w:rsidRDefault="00CB62A8" w:rsidP="002446BB">
      <w:r w:rsidRPr="005A7F38">
        <w:t>Prevalence rates of sarcoidosis have remained consistently higher in both women and African American individuals.</w:t>
      </w:r>
      <w:r w:rsidRPr="005A7F38">
        <w:fldChar w:fldCharType="begin"/>
      </w:r>
      <w:r w:rsidR="00B775CB">
        <w:instrText>ADDIN F1000_CSL_CITATION&lt;~#@#~&gt;[{"DOI":"10.1513/AnnalsATS.201511-760OC","First":false,"Last":false,"PMID":"27509154","abstract":"&lt;strong&gt;RATIONALE:&lt;/strong&gt; There have been no recent comprehensive studies of the epidemiology of sarcoidosis in the United States. Changes in health care use have made available access to data on large numbers of patients with sarcoidosis.&lt;br&gt;&lt;br&gt;&lt;strong&gt;OBJECTIVES:&lt;/strong&gt; To use a U.S. national health care database to gather data on patients with sarcoidosis identified over a 3-year period who were 18 years of age and older, and to determine health care costs for these patients.&lt;br&gt;&lt;br&gt;&lt;strong&gt;METHODS:&lt;/strong&gt; The Optum health care database was queried for a 3-year period (2010-2013). This database includes approximately 15% of U.S. residents. The incidence rate of sarcoidosis was calculated for new cases identified in each year. Calculation of prevalence was based on any patient with sarcoidosis seen during the year. Incidence and prevalence rates are reported per 100,000 patients.&lt;br&gt;&lt;br&gt;&lt;strong&gt;MEASUREMENTS AND MAIN RESULTS:&lt;/strong&gt; A total of 29,372 adult patients with sarcoidosis were identified. Of these, 14,700 (55%) were over 55 years of age at the time of diagnosis. The incidence and prevalence rates were higher for African Americans (17.8 and 141.4 per 100,000, respectively) than for white individuals (8.1 and 49.8), Hispanics (4.3 and 21.7), or Asians (3.2 and 18.9). Women were two times more likely to have sarcoidosis, with the highest prevalence for sarcoidosis noted in African American women (178.5). Overall, the yearly health care cost reported for patients with sarcoidosis was low, with a median of $18,663 per year. However, the yearly cost for the top 5% was $93,201.&lt;br&gt;&lt;br&gt;&lt;strong&gt;CONCLUSIONS:&lt;/strong&gt; For patients 18 years of age and older enrolled in a U.S. national administrative database, sarcoidosis was more common among African Americans, but it was reported for all four of the major ethnic groups studied. While health care costs were relatively small for most patients, the cost of care for some patients was considerable.","author":[{"family":"Baughman","given":"Robert P"},{"family":"Field","given":"Shelli"},{"family":"Costabel","given":"Ulrich"},{"family":"Crystal","given":"Ronald G"},{"family":"Culver","given":"Daniel A"},{"family":"Drent","given":"Marjolein"},{"family":"Judson","given":"Marc A"},{"family":"Wolff","given":"Gerhard"}],"authorYearDisplayFormat":false,"citation-label":"4267493","container-title":"Annals of the American Thoracic Society","container-title-short":"Ann Am Thorac Soc","id":"4267493","invisible":false,"issue":"8","issued":{"date-parts":[["2016","8"]]},"journalAbbreviation":"Ann Am Thorac Soc","page":"1244-1252","suppress-author":false,"title":"Sarcoidosis in america. analysis based on health care use.","type":"article-journal","volume":"13"}]</w:instrText>
      </w:r>
      <w:r w:rsidRPr="005A7F38">
        <w:fldChar w:fldCharType="separate"/>
      </w:r>
      <w:r w:rsidR="00B775CB" w:rsidRPr="00B775CB">
        <w:rPr>
          <w:noProof/>
          <w:vertAlign w:val="superscript"/>
        </w:rPr>
        <w:t>2</w:t>
      </w:r>
      <w:r w:rsidRPr="005A7F38">
        <w:fldChar w:fldCharType="end"/>
      </w:r>
      <w:r w:rsidRPr="005A7F38">
        <w:t xml:space="preserve"> Recent epidemiological studies using national health care databases in the United States found that in adults prevalence in African American individuals (prevalence rate (PR): 141.4 per 100,000) is higher than in white individuals (PR:49.8 per 100,000), Hispanic individuals (PR: 21.7 per 100,000) and Asian individuals (PR: 18.9 per 100,000).</w:t>
      </w:r>
      <w:r w:rsidRPr="005A7F38">
        <w:fldChar w:fldCharType="begin"/>
      </w:r>
      <w:r w:rsidR="00B775CB">
        <w:instrText>ADDIN F1000_CSL_CITATION&lt;~#@#~&gt;[{"DOI":"10.1513/AnnalsATS.201511-760OC","First":false,"Last":false,"PMID":"27509154","abstract":"&lt;strong&gt;RATIONALE:&lt;/strong&gt; There have been no recent comprehensive studies of the epidemiology of sarcoidosis in the United States. Changes in health care use have made available access to data on large numbers of patients with sarcoidosis.&lt;br&gt;&lt;br&gt;&lt;strong&gt;OBJECTIVES:&lt;/strong&gt; To use a U.S. national health care database to gather data on patients with sarcoidosis identified over a 3-year period who were 18 years of age and older, and to determine health care costs for these patients.&lt;br&gt;&lt;br&gt;&lt;strong&gt;METHODS:&lt;/strong&gt; The Optum health care database was queried for a 3-year period (2010-2013). This database includes approximately 15% of U.S. residents. The incidence rate of sarcoidosis was calculated for new cases identified in each year. Calculation of prevalence was based on any patient with sarcoidosis seen during the year. Incidence and prevalence rates are reported per 100,000 patients.&lt;br&gt;&lt;br&gt;&lt;strong&gt;MEASUREMENTS AND MAIN RESULTS:&lt;/strong&gt; A total of 29,372 adult patients with sarcoidosis were identified. Of these, 14,700 (55%) were over 55 years of age at the time of diagnosis. The incidence and prevalence rates were higher for African Americans (17.8 and 141.4 per 100,000, respectively) than for white individuals (8.1 and 49.8), Hispanics (4.3 and 21.7), or Asians (3.2 and 18.9). Women were two times more likely to have sarcoidosis, with the highest prevalence for sarcoidosis noted in African American women (178.5). Overall, the yearly health care cost reported for patients with sarcoidosis was low, with a median of $18,663 per year. However, the yearly cost for the top 5% was $93,201.&lt;br&gt;&lt;br&gt;&lt;strong&gt;CONCLUSIONS:&lt;/strong&gt; For patients 18 years of age and older enrolled in a U.S. national administrative database, sarcoidosis was more common among African Americans, but it was reported for all four of the major ethnic groups studied. While health care costs were relatively small for most patients, the cost of care for some patients was considerable.","author":[{"family":"Baughman","given":"Robert P"},{"family":"Field","given":"Shelli"},{"family":"Costabel","given":"Ulrich"},{"family":"Crystal","given":"Ronald G"},{"family":"Culver","given":"Daniel A"},{"family":"Drent","given":"Marjolein"},{"family":"Judson","given":"Marc A"},{"family":"Wolff","given":"Gerhard"}],"authorYearDisplayFormat":false,"citation-label":"4267493","container-title":"Annals of the American Thoracic Society","container-title-short":"Ann Am Thorac Soc","id":"4267493","invisible":false,"issue":"8","issued":{"date-parts":[["2016","8"]]},"journalAbbreviation":"Ann Am Thorac Soc","page":"1244-1252","suppress-author":false,"title":"Sarcoidosis in america. analysis based on health care use.","type":"article-journal","volume":"13"}]</w:instrText>
      </w:r>
      <w:r w:rsidRPr="005A7F38">
        <w:fldChar w:fldCharType="separate"/>
      </w:r>
      <w:r w:rsidR="00B775CB" w:rsidRPr="00B775CB">
        <w:rPr>
          <w:noProof/>
          <w:vertAlign w:val="superscript"/>
        </w:rPr>
        <w:t>2</w:t>
      </w:r>
      <w:r w:rsidRPr="005A7F38">
        <w:fldChar w:fldCharType="end"/>
      </w:r>
    </w:p>
    <w:p w14:paraId="1804E24D" w14:textId="77777777" w:rsidR="00CF4AC7" w:rsidRPr="005A7F38" w:rsidRDefault="00CF4AC7" w:rsidP="002446BB">
      <w:pPr>
        <w:pStyle w:val="Heading3"/>
        <w:rPr>
          <w:rFonts w:cs="Times New Roman"/>
        </w:rPr>
      </w:pPr>
      <w:bookmarkStart w:id="21" w:name="_Toc506540002"/>
      <w:r w:rsidRPr="005A7F38">
        <w:rPr>
          <w:rFonts w:cs="Times New Roman"/>
        </w:rPr>
        <w:t>Morbidity and Mortality</w:t>
      </w:r>
      <w:bookmarkEnd w:id="21"/>
    </w:p>
    <w:p w14:paraId="0E6A5BA6" w14:textId="7B5E2E92" w:rsidR="00CF4AC7" w:rsidRPr="005A7F38" w:rsidRDefault="00C3267E" w:rsidP="002446BB">
      <w:pPr>
        <w:pStyle w:val="Noindent"/>
      </w:pPr>
      <w:r>
        <w:t>The burden of disease as</w:t>
      </w:r>
      <w:r w:rsidR="00677630" w:rsidRPr="005A7F38">
        <w:t xml:space="preserve"> experienced by a patient with sarcoidosis is highly dependent on the pattern of disease progression</w:t>
      </w:r>
      <w:r w:rsidR="00CF4AC7" w:rsidRPr="005A7F38">
        <w:t>. In some patients, a remitting-relapsing pattern of disease activity characterizes their experience with sarcoidosis and a small subset of patients experience a spontaneous remission.</w:t>
      </w:r>
      <w:r w:rsidR="00CF4AC7" w:rsidRPr="005A7F38">
        <w:fldChar w:fldCharType="begin"/>
      </w:r>
      <w:r w:rsidR="00B775CB">
        <w:instrText>ADDIN F1000_CSL_CITATION&lt;~#@#~&gt;[{"DOI":"10.1056/NEJMra071714","First":false,"Last":false,"PMID":"18032765","author":[{"family":"Iannuzzi","given":"Michael C"},{"family":"Rybicki","given":"Benjamin A"},{"family":"Teirstein","given":"Alvin S"}],"authorYearDisplayFormat":false,"citation-label":"2893194","container-title":"The New England Journal of Medicine","container-title-short":"N Engl J Med","id":"2893194","invisible":false,"issue":"21","issued":{"date-parts":[["2007","11","22"]]},"journalAbbreviation":"N Engl J Med","page":"2153-2165","suppress-author":false,"title":"Sarcoidosis.","type":"article-journal","volume":"357"},{"DOI":"10.1056/NEJM199704243361706","First":false,"Last":false,"PMID":"9110911","author":[{"family":"Newman","given":"L S"},{"family":"Rose","given":"C S"},{"family":"Maier","given":"L A"}],"authorYearDisplayFormat":false,"citation-label":"594898","container-title":"The New England Journal of Medicine","container-title-short":"N Engl J Med","id":"594898","invisible":false,"issue":"17","issued":{"date-parts":[["1997","4","24"]]},"journalAbbreviation":"N Engl J Med","page":"1224-1234","suppress-author":false,"title":"Sarcoidosis.","type":"article-journal","volume":"336"},{"DOI":"10.1164/rccm.201010-1679OC","First":false,"Last":false,"PMCID":"PMC3137141","PMID":"21330454","abstract":"&lt;strong&gt;RATIONALE:&lt;/strong&gt; It has been nearly 20 years since sarcoidosis mortality was examined at the population level in the United States.&lt;br&gt;&lt;br&gt;&lt;strong&gt;OBJECTIVES:&lt;/strong&gt; To examine mortality rates and underlying causes of death among United States decedents with sarcoidosis from 1988-2007.&lt;br&gt;&lt;br&gt;&lt;strong&gt;METHODS:&lt;/strong&gt; We used data from the National Center for Health Statistics to (1) calculate age-adjusted sarcoidosis-associated mortality rates; (2) examine how those rates differ by age, sex, and race and ethnicity; and (3) determine underlying causes of death among sarcoidosis decedents.&lt;br&gt;&lt;br&gt;&lt;strong&gt;MEASUREMENTS AND MAIN RESULTS:&lt;/strong&gt; From 1988-2007, there were 46,450,489 deaths in the United States and 23,679 decedents with sarcoidosis mentioned on their death certificates. Over this time, the age-adjusted, sarcoidosis-related mortality rate increased 50.5% in women and 30.1% in men. The greatest absolute increase in death rates was among non-Hispanic black females. Regardless of sex or race, mortality rates climbed most in decedents 55 years or older. The most common cause of death was sarcoidosis itself. Younger sarcoidosis decedents with pulmonary fibrosis were more likely to be black than white, and younger sarcoidosis decedents were more likely than similarly aged decedents in the general population to have a cardiac cause contribute to death.&lt;br&gt;&lt;br&gt;&lt;strong&gt;CONCLUSIONS:&lt;/strong&gt; From 1988-2007, sarcoidosis-related mortality rates increased significantly, particularly in non-Hispanic black females aged 55 years or older. The underlying cause of death in most patients with sarcoidosis was the disease itself. Among young sarcoidosis decedents, those with pulmonary fibrosis or a cardiac cause contributing to death were more likely to be black than white.","author":[{"family":"Swigris","given":"Jeffrey J"},{"family":"Olson","given":"Amy L"},{"family":"Huie","given":"Tristan J"},{"family":"Fernandez-Perez","given":"Evans R"},{"family":"Solomon","given":"Joshua"},{"family":"Sprunger","given":"David"},{"family":"Brown","given":"Kevin K"}],"authorYearDisplayFormat":false,"citation-label":"1801926","container-title":"American Journal of Respiratory and Critical Care Medicine","container-title-short":"Am J Respir Crit Care Med","id":"1801926","invisible":false,"issue":"11","issued":{"date-parts":[["2011","6","1"]]},"journalAbbreviation":"Am J Respir Crit Care Med","page":"1524-1530","suppress-author":false,"title":"Sarcoidosis-related mortality in the United States from 1988 to 2007.","type":"article-journal","volume":"183"}]</w:instrText>
      </w:r>
      <w:r w:rsidR="00CF4AC7" w:rsidRPr="005A7F38">
        <w:fldChar w:fldCharType="separate"/>
      </w:r>
      <w:r w:rsidR="00B775CB" w:rsidRPr="00B775CB">
        <w:rPr>
          <w:noProof/>
          <w:vertAlign w:val="superscript"/>
        </w:rPr>
        <w:t>24,25,32</w:t>
      </w:r>
      <w:r w:rsidR="00CF4AC7" w:rsidRPr="005A7F38">
        <w:fldChar w:fldCharType="end"/>
      </w:r>
      <w:r w:rsidR="00CF4AC7" w:rsidRPr="005A7F38">
        <w:t xml:space="preserve"> For those patients with chronic sarcoidosis, the disease is debilitating and life threatening.</w:t>
      </w:r>
      <w:r w:rsidR="00CF4AC7" w:rsidRPr="005A7F38">
        <w:fldChar w:fldCharType="begin"/>
      </w:r>
      <w:r w:rsidR="00B775CB">
        <w:instrText>ADDIN F1000_CSL_CITATION&lt;~#@#~&gt;[{"DOI":"10.1007/s004080000104","First":false,"Last":false,"PMID":"12489022","author":[{"family":"Reynolds","given":"H Y"}],"authorYearDisplayFormat":false,"citation-label":"4451205","container-title":"Lung","container-title-short":"Lung","id":"4451205","invisible":false,"issue":"5","issued":{"date-parts":[["2002"]]},"journalAbbreviation":"Lung","page":"281-299","suppress-author":false,"title":"Sarcoidosis: impact of other illnesses on the presentation and management of multi-organ disease.","type":"article-journal","volume":"180"},{"DOI":"10.1007/s12016-015-8481-z","First":false,"Last":false,"PMID":"25771769","abstract":"Since sarcoidosis was first described more than a century ago, the etiologic determinants causing this disease remain uncertain. Studies suggest that genetic, host immunologic, and environmental factors interact together to cause sarcoidosis. Immunologic characteristics of sarcoidosis include non-caseating granulomas, enhanced local expression of T helper-1 (and often Th17) cytokines and chemokines, dysfunctional regulatory T-cell responses, dysregulated Toll-like receptor signaling, and oligoclonal expansion of CD4+ T cells consistent with chronic antigenic stimulation. Multiple environmental agents have been suggested to cause sarcoidosis. Studies from several groups implicate mycobacterial or propionibacterial organisms in the etiology of sarcoidosis based on tissue analyses and immunologic responses in sarcoidosis patients. Despite these studies, there is no consensus on the nature of a microbial pathogenesis of sarcoidosis. Some groups postulate sarcoidosis is caused by an active viable replicating infection while other groups contend there is no clinical, pathologic, or microbiologic evidence for such a pathogenic mechanism. The authors posit a novel hypothesis that proposes that sarcoidosis is triggered by a hyperimmune Th1 response to pathogenic microbial and tissue antigens associated with the aberrant aggregation of serum amyloid A within granulomas, which promotes progressive chronic granulomatous inflammation in the absence of ongoing infection.","author":[{"family":"Chen","given":"Edward S"},{"family":"Moller","given":"David R"}],"authorYearDisplayFormat":false,"citation-label":"4219823","container-title":"Clinical Reviews in Allergy &amp; Immunology","container-title-short":"Clin Rev Allergy Immunol","id":"4219823","invisible":false,"issue":"1","issued":{"date-parts":[["2015","8"]]},"journalAbbreviation":"Clin Rev Allergy Immunol","page":"6-18","suppress-author":false,"title":"Etiologies of Sarcoidosis.","type":"article-journal","volume":"49"},{"DOI":"10.1097/MCP.0000000000000080","First":false,"Last":false,"PMCID":"PMC4326053","PMID":"25029298","abstract":"&lt;strong&gt;PURPOSE OF REVIEW:&lt;/strong&gt; Chronic sarcoidosis is a complex disease with numerous comorbid conditions and can be fatal in some cases. Recognizing causes of morbidity and mortality is important to effectively select treatments, manage symptoms and improve outcomes. The purpose of this review is to examine emerging knowledge on morbidity and mortality in sarcoidosis.\n&lt;br&gt;\n&lt;br&gt;\n&lt;strong&gt;RECENT FINDINGS:&lt;/strong&gt; Approximately 1-5% of patients with sarcoidosis die from complications of sarcoidosis. Recent population studies indicate that mortality may be increasing over the past decade. The reasons behind these trends are unclear, but could include increasing incidence, detection rates, severity of disease or age of the population. Morbidity of sarcoidosis is reflected by a trend of increased hospitalizations over recent years and increased use of healthcare resources. Morbidity can be caused by organ damage from granulomatous inflammation, treatment complications and psychosocial effects of the disease. Recent studies are focused on morbidity related to cardiopulmonary complications, bone health and ageing within the sarcoidosis population. Last, sarcoidosis is associated with autoimmune diseases, pulmonary embolism and malignancy; however, the underlying mechanisms linking diseases continue to be debated.\n&lt;br&gt;\n&lt;br&gt;\n&lt;strong&gt;SUMMARY:&lt;/strong&gt; Morbidity in sarcoidosis is significant and multifactorial. Mortality is infrequent, but may be increasing over the years.","author":[{"family":"Gerke","given":"Alicia K"}],"authorYearDisplayFormat":false,"citation-label":"906602","container-title":"Current Opinion in Pulmonary Medicine","container-title-short":"Curr Opin Pulm Med","id":"906602","invisible":false,"issue":"5","issued":{"date-parts":[["2014","9"]]},"journalAbbreviation":"Curr Opin Pulm Med","page":"472-478","suppress-author":false,"title":"Morbidity and mortality in sarcoidosis.","type":"article-journal","volume":"20"}]</w:instrText>
      </w:r>
      <w:r w:rsidR="00CF4AC7" w:rsidRPr="005A7F38">
        <w:fldChar w:fldCharType="separate"/>
      </w:r>
      <w:r w:rsidR="00B775CB" w:rsidRPr="00B775CB">
        <w:rPr>
          <w:noProof/>
          <w:vertAlign w:val="superscript"/>
        </w:rPr>
        <w:t>5,33,34</w:t>
      </w:r>
      <w:r w:rsidR="00CF4AC7" w:rsidRPr="005A7F38">
        <w:fldChar w:fldCharType="end"/>
      </w:r>
      <w:r w:rsidR="00CF4AC7" w:rsidRPr="005A7F38">
        <w:t xml:space="preserve"> </w:t>
      </w:r>
      <w:r w:rsidR="00A47C88">
        <w:t>The case fatality rate of sarcoidosis is estimated to be as high as 5%.</w:t>
      </w:r>
      <w:r w:rsidR="00A47C88">
        <w:fldChar w:fldCharType="begin"/>
      </w:r>
      <w:r w:rsidR="00B775CB">
        <w:instrText>ADDIN F1000_CSL_CITATION&lt;~#@#~&gt;[{"DOI":"10.1097/MCP.0000000000000080","First":false,"Last":false,"PMCID":"PMC4326053","PMID":"25029298","abstract":"&lt;strong&gt;PURPOSE OF REVIEW:&lt;/strong&gt; Chronic sarcoidosis is a complex disease with numerous comorbid conditions and can be fatal in some cases. Recognizing causes of morbidity and mortality is important to effectively select treatments, manage symptoms and improve outcomes. The purpose of this review is to examine emerging knowledge on morbidity and mortality in sarcoidosis.\n&lt;br&gt;\n&lt;br&gt;\n&lt;strong&gt;RECENT FINDINGS:&lt;/strong&gt; Approximately 1-5% of patients with sarcoidosis die from complications of sarcoidosis. Recent population studies indicate that mortality may be increasing over the past decade. The reasons behind these trends are unclear, but could include increasing incidence, detection rates, severity of disease or age of the population. Morbidity of sarcoidosis is reflected by a trend of increased hospitalizations over recent years and increased use of healthcare resources. Morbidity can be caused by organ damage from granulomatous inflammation, treatment complications and psychosocial effects of the disease. Recent studies are focused on morbidity related to cardiopulmonary complications, bone health and ageing within the sarcoidosis population. Last, sarcoidosis is associated with autoimmune diseases, pulmonary embolism and malignancy; however, the underlying mechanisms linking diseases continue to be debated.\n&lt;br&gt;\n&lt;br&gt;\n&lt;strong&gt;SUMMARY:&lt;/strong&gt; Morbidity in sarcoidosis is significant and multifactorial. Mortality is infrequent, but may be increasing over the years.","author":[{"family":"Gerke","given":"Alicia K"}],"authorYearDisplayFormat":false,"citation-label":"906602","container-title":"Current Opinion in Pulmonary Medicine","container-title-short":"Curr Opin Pulm Med","id":"906602","invisible":false,"issue":"5","issued":{"date-parts":[["2014","9"]]},"journalAbbreviation":"Curr Opin Pulm Med","page":"472-478","suppress-author":false,"title":"Morbidity and mortality in sarcoidosis.","type":"article-journal","volume":"20"}]</w:instrText>
      </w:r>
      <w:r w:rsidR="00A47C88">
        <w:fldChar w:fldCharType="separate"/>
      </w:r>
      <w:r w:rsidR="00B775CB" w:rsidRPr="00B775CB">
        <w:rPr>
          <w:noProof/>
          <w:vertAlign w:val="superscript"/>
        </w:rPr>
        <w:t>34</w:t>
      </w:r>
      <w:r w:rsidR="00A47C88">
        <w:fldChar w:fldCharType="end"/>
      </w:r>
    </w:p>
    <w:p w14:paraId="214AA136" w14:textId="7021451F" w:rsidR="00CF4AC7" w:rsidRPr="005A7F38" w:rsidRDefault="00CF4AC7" w:rsidP="002446BB">
      <w:r w:rsidRPr="005A7F38">
        <w:t>Estimates of mortality vary from 0.5% in population bas</w:t>
      </w:r>
      <w:r w:rsidR="00F97447" w:rsidRPr="005A7F38">
        <w:t>ed data sources to as high as 12</w:t>
      </w:r>
      <w:r w:rsidRPr="005A7F38">
        <w:t>% from referral source based data.</w:t>
      </w:r>
      <w:r w:rsidRPr="005A7F38">
        <w:fldChar w:fldCharType="begin"/>
      </w:r>
      <w:r w:rsidR="00B775CB">
        <w:instrText>ADDIN F1000_CSL_CITATION&lt;~#@#~&gt;[{"DOI":"10.1378/chest.121.1.32","First":false,"Last":false,"author":[{"family":"Reich","given":"Jerome M."}],"authorYearDisplayFormat":false,"citation-label":"4451159","container-title":"Chest","container-title-short":"Chest","id":"4451159","invisible":false,"issue":"1","issued":{"date-parts":[["2002","1"]]},"journalAbbreviation":"Chest","page":"32-39","suppress-author":false,"title":"Mortality of Intrathoracic Sarcoidosis in Referral vs Population-Based Settings","type":"article-journal","volume":"121"},{"First":false,"Last":false,"PMID":"7067499","author":[{"family":"Rømer","given":"F K"}],"authorYearDisplayFormat":false,"citation-label":"4453074","container-title":"Danish Medical Bulletin","container-title-short":"Dan Med Bull","id":"4453074","invisible":false,"issue":"1","issued":{"date-parts":[["1982","1"]]},"journalAbbreviation":"Dan Med Bull","page":"27-32","suppress-author":false,"title":"Presentation of sarcoidosis and outcome of pulmonary changes.","type":"article-journal","volume":"29"}]</w:instrText>
      </w:r>
      <w:r w:rsidRPr="005A7F38">
        <w:fldChar w:fldCharType="separate"/>
      </w:r>
      <w:r w:rsidR="00B775CB" w:rsidRPr="00B775CB">
        <w:rPr>
          <w:noProof/>
          <w:vertAlign w:val="superscript"/>
        </w:rPr>
        <w:t>35,36</w:t>
      </w:r>
      <w:r w:rsidRPr="005A7F38">
        <w:fldChar w:fldCharType="end"/>
      </w:r>
      <w:r w:rsidRPr="005A7F38">
        <w:t xml:space="preserve"> Recent research utilizing both referral and population based </w:t>
      </w:r>
      <w:r w:rsidRPr="005A7F38">
        <w:lastRenderedPageBreak/>
        <w:t>data sources as well as meta-analyses of existing studies of mortality have narrowed the range of mortality estimates to 1-</w:t>
      </w:r>
      <w:r w:rsidR="00F97447" w:rsidRPr="005A7F38">
        <w:t>8%</w:t>
      </w:r>
      <w:r w:rsidRPr="005A7F38">
        <w:t xml:space="preserve">. </w:t>
      </w:r>
    </w:p>
    <w:p w14:paraId="4717470B" w14:textId="4CBB08EB" w:rsidR="00CF4AC7" w:rsidRPr="005A7F38" w:rsidRDefault="00CF4AC7" w:rsidP="002446BB">
      <w:r w:rsidRPr="005A7F38">
        <w:t>Using death certificates from the National Center for Health Statistics from 1988-2007 encompassing 46,450,489 deaths in the United States, sarcoidosis was mentioned  on 23,679 death certificates.</w:t>
      </w:r>
      <w:r w:rsidRPr="005A7F38">
        <w:fldChar w:fldCharType="begin"/>
      </w:r>
      <w:r w:rsidR="00B775CB">
        <w:instrText>ADDIN F1000_CSL_CITATION&lt;~#@#~&gt;[{"DOI":"10.1164/rccm.201010-1679OC","First":false,"Last":false,"PMCID":"PMC3137141","PMID":"21330454","abstract":"&lt;strong&gt;RATIONALE:&lt;/strong&gt; It has been nearly 20 years since sarcoidosis mortality was examined at the population level in the United States.&lt;br&gt;&lt;br&gt;&lt;strong&gt;OBJECTIVES:&lt;/strong&gt; To examine mortality rates and underlying causes of death among United States decedents with sarcoidosis from 1988-2007.&lt;br&gt;&lt;br&gt;&lt;strong&gt;METHODS:&lt;/strong&gt; We used data from the National Center for Health Statistics to (1) calculate age-adjusted sarcoidosis-associated mortality rates; (2) examine how those rates differ by age, sex, and race and ethnicity; and (3) determine underlying causes of death among sarcoidosis decedents.&lt;br&gt;&lt;br&gt;&lt;strong&gt;MEASUREMENTS AND MAIN RESULTS:&lt;/strong&gt; From 1988-2007, there were 46,450,489 deaths in the United States and 23,679 decedents with sarcoidosis mentioned on their death certificates. Over this time, the age-adjusted, sarcoidosis-related mortality rate increased 50.5% in women and 30.1% in men. The greatest absolute increase in death rates was among non-Hispanic black females. Regardless of sex or race, mortality rates climbed most in decedents 55 years or older. The most common cause of death was sarcoidosis itself. Younger sarcoidosis decedents with pulmonary fibrosis were more likely to be black than white, and younger sarcoidosis decedents were more likely than similarly aged decedents in the general population to have a cardiac cause contribute to death.&lt;br&gt;&lt;br&gt;&lt;strong&gt;CONCLUSIONS:&lt;/strong&gt; From 1988-2007, sarcoidosis-related mortality rates increased significantly, particularly in non-Hispanic black females aged 55 years or older. The underlying cause of death in most patients with sarcoidosis was the disease itself. Among young sarcoidosis decedents, those with pulmonary fibrosis or a cardiac cause contributing to death were more likely to be black than white.","author":[{"family":"Swigris","given":"Jeffrey J"},{"family":"Olson","given":"Amy L"},{"family":"Huie","given":"Tristan J"},{"family":"Fernandez-Perez","given":"Evans R"},{"family":"Solomon","given":"Joshua"},{"family":"Sprunger","given":"David"},{"family":"Brown","given":"Kevin K"}],"authorYearDisplayFormat":false,"citation-label":"1801926","container-title":"American Journal of Respiratory and Critical Care Medicine","container-title-short":"Am J Respir Crit Care Med","id":"1801926","invisible":false,"issue":"11","issued":{"date-parts":[["2011","6","1"]]},"journalAbbreviation":"Am J Respir Crit Care Med","page":"1524-1530","suppress-author":false,"title":"Sarcoidosis-related mortality in the United States from 1988 to 2007.","type":"article-journal","volume":"183"}]</w:instrText>
      </w:r>
      <w:r w:rsidRPr="005A7F38">
        <w:fldChar w:fldCharType="separate"/>
      </w:r>
      <w:r w:rsidR="00B775CB" w:rsidRPr="00B775CB">
        <w:rPr>
          <w:noProof/>
          <w:vertAlign w:val="superscript"/>
        </w:rPr>
        <w:t>25</w:t>
      </w:r>
      <w:r w:rsidRPr="005A7F38">
        <w:fldChar w:fldCharType="end"/>
      </w:r>
      <w:r w:rsidRPr="005A7F38">
        <w:t xml:space="preserve"> Adjusting for age and sex, the sarcoidosis-related mortality rate was 4.32 per 1,000,000 population. Over the course of the two-decade period, mortality rates increased by 3% yearly. Adjusting for age, the mortality rate rose over 30% in males from 1988 to 2007 (2.89 per 1,000,000 in 1988 to 3.76 per 1,000,000 in 2007) and over 50% in females (4.06 per 1,000,00 in 1988 to 6.11 per 1,000,000 in 2007).</w:t>
      </w:r>
      <w:r w:rsidRPr="005A7F38">
        <w:fldChar w:fldCharType="begin"/>
      </w:r>
      <w:r w:rsidR="00B775CB">
        <w:instrText>ADDIN F1000_CSL_CITATION&lt;~#@#~&gt;[{"DOI":"10.1164/rccm.201010-1679OC","First":false,"Last":false,"PMCID":"PMC3137141","PMID":"21330454","abstract":"&lt;strong&gt;RATIONALE:&lt;/strong&gt; It has been nearly 20 years since sarcoidosis mortality was examined at the population level in the United States.&lt;br&gt;&lt;br&gt;&lt;strong&gt;OBJECTIVES:&lt;/strong&gt; To examine mortality rates and underlying causes of death among United States decedents with sarcoidosis from 1988-2007.&lt;br&gt;&lt;br&gt;&lt;strong&gt;METHODS:&lt;/strong&gt; We used data from the National Center for Health Statistics to (1) calculate age-adjusted sarcoidosis-associated mortality rates; (2) examine how those rates differ by age, sex, and race and ethnicity; and (3) determine underlying causes of death among sarcoidosis decedents.&lt;br&gt;&lt;br&gt;&lt;strong&gt;MEASUREMENTS AND MAIN RESULTS:&lt;/strong&gt; From 1988-2007, there were 46,450,489 deaths in the United States and 23,679 decedents with sarcoidosis mentioned on their death certificates. Over this time, the age-adjusted, sarcoidosis-related mortality rate increased 50.5% in women and 30.1% in men. The greatest absolute increase in death rates was among non-Hispanic black females. Regardless of sex or race, mortality rates climbed most in decedents 55 years or older. The most common cause of death was sarcoidosis itself. Younger sarcoidosis decedents with pulmonary fibrosis were more likely to be black than white, and younger sarcoidosis decedents were more likely than similarly aged decedents in the general population to have a cardiac cause contribute to death.&lt;br&gt;&lt;br&gt;&lt;strong&gt;CONCLUSIONS:&lt;/strong&gt; From 1988-2007, sarcoidosis-related mortality rates increased significantly, particularly in non-Hispanic black females aged 55 years or older. The underlying cause of death in most patients with sarcoidosis was the disease itself. Among young sarcoidosis decedents, those with pulmonary fibrosis or a cardiac cause contributing to death were more likely to be black than white.","author":[{"family":"Swigris","given":"Jeffrey J"},{"family":"Olson","given":"Amy L"},{"family":"Huie","given":"Tristan J"},{"family":"Fernandez-Perez","given":"Evans R"},{"family":"Solomon","given":"Joshua"},{"family":"Sprunger","given":"David"},{"family":"Brown","given":"Kevin K"}],"authorYearDisplayFormat":false,"citation-label":"1801926","container-title":"American Journal of Respiratory and Critical Care Medicine","container-title-short":"Am J Respir Crit Care Med","id":"1801926","invisible":false,"issue":"11","issued":{"date-parts":[["2011","6","1"]]},"journalAbbreviation":"Am J Respir Crit Care Med","page":"1524-1530","suppress-author":false,"title":"Sarcoidosis-related mortality in the United States from 1988 to 2007.","type":"article-journal","volume":"183"}]</w:instrText>
      </w:r>
      <w:r w:rsidRPr="005A7F38">
        <w:fldChar w:fldCharType="separate"/>
      </w:r>
      <w:r w:rsidR="00B775CB" w:rsidRPr="00B775CB">
        <w:rPr>
          <w:noProof/>
          <w:vertAlign w:val="superscript"/>
        </w:rPr>
        <w:t>25</w:t>
      </w:r>
      <w:r w:rsidRPr="005A7F38">
        <w:fldChar w:fldCharType="end"/>
      </w:r>
      <w:r w:rsidR="00A80000">
        <w:t xml:space="preserve"> Age-</w:t>
      </w:r>
      <w:r w:rsidRPr="005A7F38">
        <w:t>adjusted mortality rates increased more for white individuals than black individuals. Conside</w:t>
      </w:r>
      <w:r w:rsidR="00A80000">
        <w:t xml:space="preserve">ring sex and race, black males </w:t>
      </w:r>
      <w:r w:rsidRPr="005A7F38">
        <w:t>had the lowest relative increase (21%) while white males had a relative increase of 65% in mortality.</w:t>
      </w:r>
      <w:r w:rsidRPr="005A7F38">
        <w:fldChar w:fldCharType="begin"/>
      </w:r>
      <w:r w:rsidR="00B775CB">
        <w:instrText>ADDIN F1000_CSL_CITATION&lt;~#@#~&gt;[{"DOI":"10.1164/rccm.201010-1679OC","First":false,"Last":false,"PMCID":"PMC3137141","PMID":"21330454","abstract":"&lt;strong&gt;RATIONALE:&lt;/strong&gt; It has been nearly 20 years since sarcoidosis mortality was examined at the population level in the United States.&lt;br&gt;&lt;br&gt;&lt;strong&gt;OBJECTIVES:&lt;/strong&gt; To examine mortality rates and underlying causes of death among United States decedents with sarcoidosis from 1988-2007.&lt;br&gt;&lt;br&gt;&lt;strong&gt;METHODS:&lt;/strong&gt; We used data from the National Center for Health Statistics to (1) calculate age-adjusted sarcoidosis-associated mortality rates; (2) examine how those rates differ by age, sex, and race and ethnicity; and (3) determine underlying causes of death among sarcoidosis decedents.&lt;br&gt;&lt;br&gt;&lt;strong&gt;MEASUREMENTS AND MAIN RESULTS:&lt;/strong&gt; From 1988-2007, there were 46,450,489 deaths in the United States and 23,679 decedents with sarcoidosis mentioned on their death certificates. Over this time, the age-adjusted, sarcoidosis-related mortality rate increased 50.5% in women and 30.1% in men. The greatest absolute increase in death rates was among non-Hispanic black females. Regardless of sex or race, mortality rates climbed most in decedents 55 years or older. The most common cause of death was sarcoidosis itself. Younger sarcoidosis decedents with pulmonary fibrosis were more likely to be black than white, and younger sarcoidosis decedents were more likely than similarly aged decedents in the general population to have a cardiac cause contribute to death.&lt;br&gt;&lt;br&gt;&lt;strong&gt;CONCLUSIONS:&lt;/strong&gt; From 1988-2007, sarcoidosis-related mortality rates increased significantly, particularly in non-Hispanic black females aged 55 years or older. The underlying cause of death in most patients with sarcoidosis was the disease itself. Among young sarcoidosis decedents, those with pulmonary fibrosis or a cardiac cause contributing to death were more likely to be black than white.","author":[{"family":"Swigris","given":"Jeffrey J"},{"family":"Olson","given":"Amy L"},{"family":"Huie","given":"Tristan J"},{"family":"Fernandez-Perez","given":"Evans R"},{"family":"Solomon","given":"Joshua"},{"family":"Sprunger","given":"David"},{"family":"Brown","given":"Kevin K"}],"authorYearDisplayFormat":false,"citation-label":"1801926","container-title":"American Journal of Respiratory and Critical Care Medicine","container-title-short":"Am J Respir Crit Care Med","id":"1801926","invisible":false,"issue":"11","issued":{"date-parts":[["2011","6","1"]]},"journalAbbreviation":"Am J Respir Crit Care Med","page":"1524-1530","suppress-author":false,"title":"Sarcoidosis-related mortality in the United States from 1988 to 2007.","type":"article-journal","volume":"183"}]</w:instrText>
      </w:r>
      <w:r w:rsidRPr="005A7F38">
        <w:fldChar w:fldCharType="separate"/>
      </w:r>
      <w:r w:rsidR="00B775CB" w:rsidRPr="00B775CB">
        <w:rPr>
          <w:noProof/>
          <w:vertAlign w:val="superscript"/>
        </w:rPr>
        <w:t>25</w:t>
      </w:r>
      <w:r w:rsidRPr="005A7F38">
        <w:fldChar w:fldCharType="end"/>
      </w:r>
      <w:r w:rsidRPr="005A7F38">
        <w:t xml:space="preserve"> White females experienced the largest relative increase in mortality</w:t>
      </w:r>
      <w:r w:rsidR="00A61AAA">
        <w:t xml:space="preserve"> over time</w:t>
      </w:r>
      <w:r w:rsidRPr="005A7F38">
        <w:t xml:space="preserve"> (74%) compared to a 46% increase</w:t>
      </w:r>
      <w:r w:rsidR="00A80000">
        <w:t xml:space="preserve"> in mortality for black females;</w:t>
      </w:r>
      <w:r w:rsidRPr="005A7F38">
        <w:t xml:space="preserve"> however black females experienced the largest absolute difference with a rate increase of 10 deaths per 1,000,000 (18.85 per 1,000,000 in 1988 to 27.58 per 1,000,000 in 2007)</w:t>
      </w:r>
      <w:r w:rsidR="00A61AAA">
        <w:t>. In the same 2 decade period between 1988 and 2007, b</w:t>
      </w:r>
      <w:r w:rsidRPr="005A7F38">
        <w:t>lack males experienced a rate of increase of 3 deaths per 1,000,000 while both white males and white females experienced a rate increase of 1 per 1,000,000.</w:t>
      </w:r>
      <w:r w:rsidRPr="005A7F38">
        <w:fldChar w:fldCharType="begin"/>
      </w:r>
      <w:r w:rsidR="00B775CB">
        <w:instrText>ADDIN F1000_CSL_CITATION&lt;~#@#~&gt;[{"DOI":"10.1164/rccm.201010-1679OC","First":false,"Last":false,"PMCID":"PMC3137141","PMID":"21330454","abstract":"&lt;strong&gt;RATIONALE:&lt;/strong&gt; It has been nearly 20 years since sarcoidosis mortality was examined at the population level in the United States.&lt;br&gt;&lt;br&gt;&lt;strong&gt;OBJECTIVES:&lt;/strong&gt; To examine mortality rates and underlying causes of death among United States decedents with sarcoidosis from 1988-2007.&lt;br&gt;&lt;br&gt;&lt;strong&gt;METHODS:&lt;/strong&gt; We used data from the National Center for Health Statistics to (1) calculate age-adjusted sarcoidosis-associated mortality rates; (2) examine how those rates differ by age, sex, and race and ethnicity; and (3) determine underlying causes of death among sarcoidosis decedents.&lt;br&gt;&lt;br&gt;&lt;strong&gt;MEASUREMENTS AND MAIN RESULTS:&lt;/strong&gt; From 1988-2007, there were 46,450,489 deaths in the United States and 23,679 decedents with sarcoidosis mentioned on their death certificates. Over this time, the age-adjusted, sarcoidosis-related mortality rate increased 50.5% in women and 30.1% in men. The greatest absolute increase in death rates was among non-Hispanic black females. Regardless of sex or race, mortality rates climbed most in decedents 55 years or older. The most common cause of death was sarcoidosis itself. Younger sarcoidosis decedents with pulmonary fibrosis were more likely to be black than white, and younger sarcoidosis decedents were more likely than similarly aged decedents in the general population to have a cardiac cause contribute to death.&lt;br&gt;&lt;br&gt;&lt;strong&gt;CONCLUSIONS:&lt;/strong&gt; From 1988-2007, sarcoidosis-related mortality rates increased significantly, particularly in non-Hispanic black females aged 55 years or older. The underlying cause of death in most patients with sarcoidosis was the disease itself. Among young sarcoidosis decedents, those with pulmonary fibrosis or a cardiac cause contributing to death were more likely to be black than white.","author":[{"family":"Swigris","given":"Jeffrey J"},{"family":"Olson","given":"Amy L"},{"family":"Huie","given":"Tristan J"},{"family":"Fernandez-Perez","given":"Evans R"},{"family":"Solomon","given":"Joshua"},{"family":"Sprunger","given":"David"},{"family":"Brown","given":"Kevin K"}],"authorYearDisplayFormat":false,"citation-label":"1801926","container-title":"American Journal of Respiratory and Critical Care Medicine","container-title-short":"Am J Respir Crit Care Med","id":"1801926","invisible":false,"issue":"11","issued":{"date-parts":[["2011","6","1"]]},"journalAbbreviation":"Am J Respir Crit Care Med","page":"1524-1530","suppress-author":false,"title":"Sarcoidosis-related mortality in the United States from 1988 to 2007.","type":"article-journal","volume":"183"}]</w:instrText>
      </w:r>
      <w:r w:rsidRPr="005A7F38">
        <w:fldChar w:fldCharType="separate"/>
      </w:r>
      <w:r w:rsidR="00B775CB" w:rsidRPr="00B775CB">
        <w:rPr>
          <w:noProof/>
          <w:vertAlign w:val="superscript"/>
        </w:rPr>
        <w:t>25</w:t>
      </w:r>
      <w:r w:rsidRPr="005A7F38">
        <w:fldChar w:fldCharType="end"/>
      </w:r>
      <w:r w:rsidR="00A61AAA">
        <w:t xml:space="preserve"> </w:t>
      </w:r>
      <w:r w:rsidRPr="005A7F38">
        <w:t>Sarcoidosis was listed as the underlying cause of death on 59% of death certificates of patients with a sarcoidosis diagnosis. Among patients with a sarcoidosis diagnosis, 25% of death certificates listed “Other causes” as the underlying cause. Additional causes mentioned included pulmonary hypertension (7.5%), ischemic heart disease (7.2%), COPD (2.3%), cardiomyopathy (1.7%), lung cancer (1.4%), stroke (1.4%), pneumonia (1.1%) and liver disease (1.0%).</w:t>
      </w:r>
      <w:r w:rsidRPr="005A7F38">
        <w:fldChar w:fldCharType="begin"/>
      </w:r>
      <w:r w:rsidR="00B775CB">
        <w:instrText>ADDIN F1000_CSL_CITATION&lt;~#@#~&gt;[{"DOI":"10.1097/MCP.0000000000000080","First":false,"Last":false,"PMCID":"PMC4326053","PMID":"25029298","abstract":"&lt;strong&gt;PURPOSE OF REVIEW:&lt;/strong&gt; Chronic sarcoidosis is a complex disease with numerous comorbid conditions and can be fatal in some cases. Recognizing causes of morbidity and mortality is important to effectively select treatments, manage symptoms and improve outcomes. The purpose of this review is to examine emerging knowledge on morbidity and mortality in sarcoidosis.\n&lt;br&gt;\n&lt;br&gt;\n&lt;strong&gt;RECENT FINDINGS:&lt;/strong&gt; Approximately 1-5% of patients with sarcoidosis die from complications of sarcoidosis. Recent population studies indicate that mortality may be increasing over the past decade. The reasons behind these trends are unclear, but could include increasing incidence, detection rates, severity of disease or age of the population. Morbidity of sarcoidosis is reflected by a trend of increased hospitalizations over recent years and increased use of healthcare resources. Morbidity can be caused by organ damage from granulomatous inflammation, treatment complications and psychosocial effects of the disease. Recent studies are focused on morbidity related to cardiopulmonary complications, bone health and ageing within the sarcoidosis population. Last, sarcoidosis is associated with autoimmune diseases, pulmonary embolism and malignancy; however, the underlying mechanisms linking diseases continue to be debated.\n&lt;br&gt;\n&lt;br&gt;\n&lt;strong&gt;SUMMARY:&lt;/strong&gt; Morbidity in sarcoidosis is significant and multifactorial. Mortality is infrequent, but may be increasing over the years.","author":[{"family":"Gerke","given":"Alicia K"}],"authorYearDisplayFormat":false,"citation-label":"906602","container-title":"Current Opinion in Pulmonary Medicine","container-title-short":"Curr Opin Pulm Med","id":"906602","invisible":false,"issue":"5","issued":{"date-parts":[["2014","9"]]},"journalAbbreviation":"Curr Opin Pulm Med","page":"472-478","suppress-author":false,"title":"Morbidity and mortality in sarcoidosis.","type":"article-journal","volume":"20"}]</w:instrText>
      </w:r>
      <w:r w:rsidRPr="005A7F38">
        <w:fldChar w:fldCharType="separate"/>
      </w:r>
      <w:r w:rsidR="00B775CB" w:rsidRPr="00B775CB">
        <w:rPr>
          <w:noProof/>
          <w:vertAlign w:val="superscript"/>
        </w:rPr>
        <w:t>34</w:t>
      </w:r>
      <w:r w:rsidRPr="005A7F38">
        <w:fldChar w:fldCharType="end"/>
      </w:r>
      <w:r w:rsidRPr="005A7F38">
        <w:t xml:space="preserve"> </w:t>
      </w:r>
    </w:p>
    <w:p w14:paraId="630D5433" w14:textId="77777777" w:rsidR="00F1761F" w:rsidRPr="005A7F38" w:rsidRDefault="00F1761F" w:rsidP="002446BB">
      <w:pPr>
        <w:pStyle w:val="Heading4"/>
        <w:rPr>
          <w:rFonts w:cs="Times New Roman"/>
        </w:rPr>
      </w:pPr>
      <w:bookmarkStart w:id="22" w:name="_Toc506540003"/>
      <w:r w:rsidRPr="005A7F38">
        <w:rPr>
          <w:rFonts w:cs="Times New Roman"/>
        </w:rPr>
        <w:lastRenderedPageBreak/>
        <w:t>Comorbid Conditions</w:t>
      </w:r>
      <w:bookmarkEnd w:id="22"/>
    </w:p>
    <w:p w14:paraId="11641540" w14:textId="26FE3E39" w:rsidR="00F1761F" w:rsidRPr="005A7F38" w:rsidRDefault="00F1761F" w:rsidP="002446BB">
      <w:pPr>
        <w:pStyle w:val="Noindent"/>
      </w:pPr>
      <w:r w:rsidRPr="005A7F38">
        <w:t>Chronic sarcoidosis is a disease accompanied by many comorbid conditions. In a retrospective analysis of a large cohort of white patients with sarcoidosis 54% of patients had at least one comorbid condition with arterial hypertension (22.4%), thyroid disorders (7%), diabetes mellitus (5%), chronic obstructive pulmonary disease (COPD) (4.3%) and obesity (3.3%) being the most common.</w:t>
      </w:r>
      <w:r w:rsidRPr="005A7F38">
        <w:fldChar w:fldCharType="begin"/>
      </w:r>
      <w:r w:rsidR="00B775CB">
        <w:instrText>ADDIN F1000_CSL_CITATION&lt;~#@#~&gt;[{"First":false,"Last":false,"PMID":"26278690","abstract":"&lt;strong&gt;BACKGROUND:&lt;/strong&gt; Sarcoidosis is a systemic granulomatous multiorgan disease with the most common manifestation is in the chest, although the granulomas can also involve all other organs causing variety of symptoms mimicking different diseases.&lt;br&gt;&lt;br&gt;&lt;strong&gt;OBJECTIVES:&lt;/strong&gt; To evaluate the incidence of comorbidity in a large group of patients with sarcoidosis diagnosed or followed in referral center for lung diseases in Poland.&lt;br&gt;&lt;br&gt;&lt;strong&gt;PATIENTS AND METHODS:&lt;/strong&gt; We performed a retrospective analysis in a group of 1779 patients discharged with the final diagnosis \"sarcoidosis\" (ICD-10: D86) from January 2008 to October 2011.&lt;br&gt;&lt;br&gt;&lt;strong&gt;RESULTS:&lt;/strong&gt; The majority (79.2%) were diagnosed as pulmonary and/or lymph node sarcoidosis (D86.0, D86.1, D86.2). Sarcoidosis of other and combined sites (D86.8) were diagnosed in 15.8% and unspecified (D86.9) in 5.0% of patients. At least one comorbid condition was noted in 54% of the patients, most frequently arterial hypertension (22.4%), thyroid disorders (5.6%), diabetes mellitus (5.0%), COPD (4.3%) and obesity (3.3%). Using linear regression models, the associations between the number of comorbidities and age and extent of the disease were found (p&lt; 0.001). Patients with multiorgan sarcoidosis were more likely to have a comorbid condition.&lt;br&gt;&lt;br&gt;&lt;strong&gt;CONCLUSIONS:&lt;/strong&gt; More than half of patients with sarcoidosis have a comorbid condition, which is more likely in older patients and those with multiorgan involvement.","author":[{"family":"Martusewicz-Boros","given":"Magdalena M"},{"family":"Boros","given":"Piotr W"},{"family":"Wiatr","given":"Elżbieta"},{"family":"Roszkowski-Śliż","given":"Kazimierz"}],"authorYearDisplayFormat":false,"citation-label":"4451164","container-title":"Sarcoidosis, vasculitis, and diffuse lung diseases : official journal of WASOG / World Association of Sarcoidosis and Other Granulomatous Disorders","container-title-short":"Sarcoidosis Vasc Diffuse Lung Dis","id":"4451164","invisible":false,"issue":"2","issued":{"date-parts":[["2015","7","22"]]},"journalAbbreviation":"Sarcoidosis Vasc Diffuse Lung Dis","page":"115-120","suppress-author":false,"title":"What comorbidities accompany sarcoidosis? A large cohort (n=1779) patients analysis.","type":"article-journal","volume":"32"}]</w:instrText>
      </w:r>
      <w:r w:rsidRPr="005A7F38">
        <w:fldChar w:fldCharType="separate"/>
      </w:r>
      <w:r w:rsidR="00B775CB" w:rsidRPr="00B775CB">
        <w:rPr>
          <w:noProof/>
          <w:vertAlign w:val="superscript"/>
        </w:rPr>
        <w:t>37</w:t>
      </w:r>
      <w:r w:rsidRPr="005A7F38">
        <w:fldChar w:fldCharType="end"/>
      </w:r>
      <w:r w:rsidRPr="005A7F38">
        <w:t xml:space="preserve"> In patients with sarcoidosis affecting more than one organ system</w:t>
      </w:r>
      <w:r w:rsidR="00084A3B" w:rsidRPr="005A7F38">
        <w:t>,</w:t>
      </w:r>
      <w:r w:rsidRPr="005A7F38">
        <w:t xml:space="preserve"> the likelihood of having a comorbid condition (OR=1.52) was increased compared to those with pulmonary involvement only</w:t>
      </w:r>
      <w:r w:rsidR="00A71536" w:rsidRPr="005A7F38">
        <w:t xml:space="preserve"> </w:t>
      </w:r>
      <w:r w:rsidRPr="005A7F38">
        <w:t>(OR=0.90).</w:t>
      </w:r>
      <w:r w:rsidRPr="005A7F38">
        <w:fldChar w:fldCharType="begin"/>
      </w:r>
      <w:r w:rsidR="00B775CB">
        <w:instrText>ADDIN F1000_CSL_CITATION&lt;~#@#~&gt;[{"First":false,"Last":false,"PMID":"26278690","abstract":"&lt;strong&gt;BACKGROUND:&lt;/strong&gt; Sarcoidosis is a systemic granulomatous multiorgan disease with the most common manifestation is in the chest, although the granulomas can also involve all other organs causing variety of symptoms mimicking different diseases.&lt;br&gt;&lt;br&gt;&lt;strong&gt;OBJECTIVES:&lt;/strong&gt; To evaluate the incidence of comorbidity in a large group of patients with sarcoidosis diagnosed or followed in referral center for lung diseases in Poland.&lt;br&gt;&lt;br&gt;&lt;strong&gt;PATIENTS AND METHODS:&lt;/strong&gt; We performed a retrospective analysis in a group of 1779 patients discharged with the final diagnosis \"sarcoidosis\" (ICD-10: D86) from January 2008 to October 2011.&lt;br&gt;&lt;br&gt;&lt;strong&gt;RESULTS:&lt;/strong&gt; The majority (79.2%) were diagnosed as pulmonary and/or lymph node sarcoidosis (D86.0, D86.1, D86.2). Sarcoidosis of other and combined sites (D86.8) were diagnosed in 15.8% and unspecified (D86.9) in 5.0% of patients. At least one comorbid condition was noted in 54% of the patients, most frequently arterial hypertension (22.4%), thyroid disorders (5.6%), diabetes mellitus (5.0%), COPD (4.3%) and obesity (3.3%). Using linear regression models, the associations between the number of comorbidities and age and extent of the disease were found (p&lt; 0.001). Patients with multiorgan sarcoidosis were more likely to have a comorbid condition.&lt;br&gt;&lt;br&gt;&lt;strong&gt;CONCLUSIONS:&lt;/strong&gt; More than half of patients with sarcoidosis have a comorbid condition, which is more likely in older patients and those with multiorgan involvement.","author":[{"family":"Martusewicz-Boros","given":"Magdalena M"},{"family":"Boros","given":"Piotr W"},{"family":"Wiatr","given":"Elżbieta"},{"family":"Roszkowski-Śliż","given":"Kazimierz"}],"authorYearDisplayFormat":false,"citation-label":"4451164","container-title":"Sarcoidosis, vasculitis, and diffuse lung diseases : official journal of WASOG / World Association of Sarcoidosis and Other Granulomatous Disorders","container-title-short":"Sarcoidosis Vasc Diffuse Lung Dis","id":"4451164","invisible":false,"issue":"2","issued":{"date-parts":[["2015","7","22"]]},"journalAbbreviation":"Sarcoidosis Vasc Diffuse Lung Dis","page":"115-120","suppress-author":false,"title":"What comorbidities accompany sarcoidosis? A large cohort (n=1779) patients analysis.","type":"article-journal","volume":"32"}]</w:instrText>
      </w:r>
      <w:r w:rsidRPr="005A7F38">
        <w:fldChar w:fldCharType="separate"/>
      </w:r>
      <w:r w:rsidR="00B775CB" w:rsidRPr="00B775CB">
        <w:rPr>
          <w:noProof/>
          <w:vertAlign w:val="superscript"/>
        </w:rPr>
        <w:t>37</w:t>
      </w:r>
      <w:r w:rsidRPr="005A7F38">
        <w:fldChar w:fldCharType="end"/>
      </w:r>
      <w:r w:rsidRPr="005A7F38">
        <w:t xml:space="preserve"> A smaller cohort of black patients with sarcoidosis reported much higher rates of </w:t>
      </w:r>
      <w:r w:rsidR="00A71536" w:rsidRPr="005A7F38">
        <w:t xml:space="preserve">comorbid conditions </w:t>
      </w:r>
      <w:r w:rsidRPr="005A7F38">
        <w:t>(96%) with similar common causes: arterial hypertension (39%), diabetes mellitus (19%), anemia (19%), asthma(15%) and depression(13%).</w:t>
      </w:r>
      <w:r w:rsidRPr="005A7F38">
        <w:fldChar w:fldCharType="begin"/>
      </w:r>
      <w:r w:rsidR="00B775CB">
        <w:instrText>ADDIN F1000_CSL_CITATION&lt;~#@#~&gt;[{"First":false,"Last":false,"PMID":"26278690","abstract":"&lt;strong&gt;BACKGROUND:&lt;/strong&gt; Sarcoidosis is a systemic granulomatous multiorgan disease with the most common manifestation is in the chest, although the granulomas can also involve all other organs causing variety of symptoms mimicking different diseases.&lt;br&gt;&lt;br&gt;&lt;strong&gt;OBJECTIVES:&lt;/strong&gt; To evaluate the incidence of comorbidity in a large group of patients with sarcoidosis diagnosed or followed in referral center for lung diseases in Poland.&lt;br&gt;&lt;br&gt;&lt;strong&gt;PATIENTS AND METHODS:&lt;/strong&gt; We performed a retrospective analysis in a group of 1779 patients discharged with the final diagnosis \"sarcoidosis\" (ICD-10: D86) from January 2008 to October 2011.&lt;br&gt;&lt;br&gt;&lt;strong&gt;RESULTS:&lt;/strong&gt; The majority (79.2%) were diagnosed as pulmonary and/or lymph node sarcoidosis (D86.0, D86.1, D86.2). Sarcoidosis of other and combined sites (D86.8) were diagnosed in 15.8% and unspecified (D86.9) in 5.0% of patients. At least one comorbid condition was noted in 54% of the patients, most frequently arterial hypertension (22.4%), thyroid disorders (5.6%), diabetes mellitus (5.0%), COPD (4.3%) and obesity (3.3%). Using linear regression models, the associations between the number of comorbidities and age and extent of the disease were found (p&lt; 0.001). Patients with multiorgan sarcoidosis were more likely to have a comorbid condition.&lt;br&gt;&lt;br&gt;&lt;strong&gt;CONCLUSIONS:&lt;/strong&gt; More than half of patients with sarcoidosis have a comorbid condition, which is more likely in older patients and those with multiorgan involvement.","author":[{"family":"Martusewicz-Boros","given":"Magdalena M"},{"family":"Boros","given":"Piotr W"},{"family":"Wiatr","given":"Elżbieta"},{"family":"Roszkowski-Śliż","given":"Kazimierz"}],"authorYearDisplayFormat":false,"citation-label":"4451164","container-title":"Sarcoidosis, vasculitis, and diffuse lung diseases : official journal of WASOG / World Association of Sarcoidosis and Other Granulomatous Disorders","container-title-short":"Sarcoidosis Vasc Diffuse Lung Dis","id":"4451164","invisible":false,"issue":"2","issued":{"date-parts":[["2015","7","22"]]},"journalAbbreviation":"Sarcoidosis Vasc Diffuse Lung Dis","page":"115-120","suppress-author":false,"title":"What comorbidities accompany sarcoidosis? A large cohort (n=1779) patients analysis.","type":"article-journal","volume":"32"},{"DOI":"10.1007/s004080000104","First":false,"Last":false,"PMID":"12489022","author":[{"family":"Reynolds","given":"H Y"}],"authorYearDisplayFormat":false,"citation-label":"4451205","container-title":"Lung","container-title-short":"Lung","id":"4451205","invisible":false,"issue":"5","issued":{"date-parts":[["2002"]]},"journalAbbreviation":"Lung","page":"281-299","suppress-author":false,"title":"Sarcoidosis: impact of other illnesses on the presentation and management of multi-organ disease.","type":"article-journal","volume":"180"}]</w:instrText>
      </w:r>
      <w:r w:rsidRPr="005A7F38">
        <w:fldChar w:fldCharType="separate"/>
      </w:r>
      <w:r w:rsidR="00B775CB" w:rsidRPr="00B775CB">
        <w:rPr>
          <w:noProof/>
          <w:vertAlign w:val="superscript"/>
        </w:rPr>
        <w:t>33,37</w:t>
      </w:r>
      <w:r w:rsidRPr="005A7F38">
        <w:fldChar w:fldCharType="end"/>
      </w:r>
      <w:r w:rsidRPr="005A7F38">
        <w:t xml:space="preserve"> </w:t>
      </w:r>
    </w:p>
    <w:p w14:paraId="4790013B" w14:textId="487BF9C3" w:rsidR="00F1761F" w:rsidRDefault="00A80000" w:rsidP="002446BB">
      <w:r>
        <w:t>A cross-</w:t>
      </w:r>
      <w:r w:rsidR="00F1761F" w:rsidRPr="005A7F38">
        <w:t>sectional study of patients who had been diagnosed with sarcoidosis for more than a year found clinical depression in 60% of patients.</w:t>
      </w:r>
      <w:r w:rsidR="00F1761F" w:rsidRPr="005A7F38">
        <w:fldChar w:fldCharType="begin"/>
      </w:r>
      <w:r w:rsidR="00B775CB">
        <w:instrText>ADDIN F1000_CSL_CITATION&lt;~#@#~&gt;[{"DOI":"10.1164/ajrccm.163.2.2004177","First":false,"Last":false,"PMID":"11179101","abstract":"Sarcoidosis, a chronic, multisystem disease, impacts quality of life and may increase depression risk. No previous study has reported the depression prevalence among U.S. sarcoid patients. This cross-sectional study examined sociodemographic and disease morbidity factors associated with depression. Patients diagnosed for &gt; or = 1 yr and treated at one of six centers were eligible (n = 176); 154 completed a questionnaire of demographics, treatment, access to medical care, and a short-form Center for Epidemiologic Studies- Depression Scale (CES-D). The primary outcome variable was a CES-D score of &gt; or = 9, indicating clinical depression. The prevalence of depression was 60%. Gender, income, access to medical care, dyspnea on exertion, and number of systems involved were associated with depression. Female sex, decreased access to medical care, and increased dyspnea predicted depression (odds ratio [OR] = 3.33, 11.64, and 2.78, respectively) after adjusting for race, income, and steroid therapy. Despite tertiary care access, patients reported medical care limitation. Health care providers must be sensitive to multiple barriers faced by chronic sarcoid patients; acknowledging depression risk and improving access to medical care will promote better overall health among sarcoid patients. Future studies of sarcoidosis will need to address depression diagnosis and treatment.","author":[{"family":"Chang","given":"B"},{"family":"Steimel","given":"J"},{"family":"Moller","given":"D R"},{"family":"Baughman","given":"R P"},{"family":"Judson","given":"M A"},{"family":"Yeager","given":"H"},{"family":"Teirstein","given":"A S"},{"family":"Rossman","given":"M D"},{"family":"Rand","given":"C S"}],"authorYearDisplayFormat":false,"citation-label":"100052","container-title":"American Journal of Respiratory and Critical Care Medicine","container-title-short":"Am J Respir Crit Care Med","id":"100052","invisible":false,"issue":"2","issued":{"date-parts":[["2001","2"]]},"journalAbbreviation":"Am J Respir Crit Care Med","page":"329-334","suppress-author":false,"title":"Depression in sarcoidosis.","type":"article-journal","volume":"163"}]</w:instrText>
      </w:r>
      <w:r w:rsidR="00F1761F" w:rsidRPr="005A7F38">
        <w:fldChar w:fldCharType="separate"/>
      </w:r>
      <w:r w:rsidR="00B775CB" w:rsidRPr="00B775CB">
        <w:rPr>
          <w:vertAlign w:val="superscript"/>
        </w:rPr>
        <w:t>38</w:t>
      </w:r>
      <w:r w:rsidR="00F1761F" w:rsidRPr="005A7F38">
        <w:fldChar w:fldCharType="end"/>
      </w:r>
      <w:r w:rsidR="00F1761F" w:rsidRPr="005A7F38">
        <w:t xml:space="preserve"> When adjusting for race, income and use of steroid therapy, the odds ratio of depression in female patients with sarcoidosis is 3.33 when compared to males.</w:t>
      </w:r>
      <w:r w:rsidR="00F1761F" w:rsidRPr="005A7F38">
        <w:fldChar w:fldCharType="begin"/>
      </w:r>
      <w:r w:rsidR="00B775CB">
        <w:instrText>ADDIN F1000_CSL_CITATION&lt;~#@#~&gt;[{"DOI":"10.1164/ajrccm.163.2.2004177","First":false,"Last":false,"PMID":"11179101","abstract":"Sarcoidosis, a chronic, multisystem disease, impacts quality of life and may increase depression risk. No previous study has reported the depression prevalence among U.S. sarcoid patients. This cross-sectional study examined sociodemographic and disease morbidity factors associated with depression. Patients diagnosed for &gt; or = 1 yr and treated at one of six centers were eligible (n = 176); 154 completed a questionnaire of demographics, treatment, access to medical care, and a short-form Center for Epidemiologic Studies- Depression Scale (CES-D). The primary outcome variable was a CES-D score of &gt; or = 9, indicating clinical depression. The prevalence of depression was 60%. Gender, income, access to medical care, dyspnea on exertion, and number of systems involved were associated with depression. Female sex, decreased access to medical care, and increased dyspnea predicted depression (odds ratio [OR] = 3.33, 11.64, and 2.78, respectively) after adjusting for race, income, and steroid therapy. Despite tertiary care access, patients reported medical care limitation. Health care providers must be sensitive to multiple barriers faced by chronic sarcoid patients; acknowledging depression risk and improving access to medical care will promote better overall health among sarcoid patients. Future studies of sarcoidosis will need to address depression diagnosis and treatment.","author":[{"family":"Chang","given":"B"},{"family":"Steimel","given":"J"},{"family":"Moller","given":"D R"},{"family":"Baughman","given":"R P"},{"family":"Judson","given":"M A"},{"family":"Yeager","given":"H"},{"family":"Teirstein","given":"A S"},{"family":"Rossman","given":"M D"},{"family":"Rand","given":"C S"}],"authorYearDisplayFormat":false,"citation-label":"100052","container-title":"American Journal of Respiratory and Critical Care Medicine","container-title-short":"Am J Respir Crit Care Med","id":"100052","invisible":false,"issue":"2","issued":{"date-parts":[["2001","2"]]},"journalAbbreviation":"Am J Respir Crit Care Med","page":"329-334","suppress-author":false,"title":"Depression in sarcoidosis.","type":"article-journal","volume":"163"}]</w:instrText>
      </w:r>
      <w:r w:rsidR="00F1761F" w:rsidRPr="005A7F38">
        <w:fldChar w:fldCharType="separate"/>
      </w:r>
      <w:r w:rsidR="00B775CB" w:rsidRPr="00B775CB">
        <w:rPr>
          <w:vertAlign w:val="superscript"/>
        </w:rPr>
        <w:t>38</w:t>
      </w:r>
      <w:r w:rsidR="00F1761F" w:rsidRPr="005A7F38">
        <w:fldChar w:fldCharType="end"/>
      </w:r>
      <w:r w:rsidR="00F1761F" w:rsidRPr="005A7F38">
        <w:t xml:space="preserve"> A lack of access to medical care (11.64) and increased dyspnea on exertion (2.78) also increased the likelihood of depression in patients with sarcoidosis when adjusting for race, income and steroid therapy use.</w:t>
      </w:r>
      <w:r w:rsidR="00F1761F" w:rsidRPr="005A7F38">
        <w:fldChar w:fldCharType="begin"/>
      </w:r>
      <w:r w:rsidR="00B775CB">
        <w:instrText>ADDIN F1000_CSL_CITATION&lt;~#@#~&gt;[{"DOI":"10.1164/ajrccm.163.2.2004177","First":false,"Last":false,"PMID":"11179101","abstract":"Sarcoidosis, a chronic, multisystem disease, impacts quality of life and may increase depression risk. No previous study has reported the depression prevalence among U.S. sarcoid patients. This cross-sectional study examined sociodemographic and disease morbidity factors associated with depression. Patients diagnosed for &gt; or = 1 yr and treated at one of six centers were eligible (n = 176); 154 completed a questionnaire of demographics, treatment, access to medical care, and a short-form Center for Epidemiologic Studies- Depression Scale (CES-D). The primary outcome variable was a CES-D score of &gt; or = 9, indicating clinical depression. The prevalence of depression was 60%. Gender, income, access to medical care, dyspnea on exertion, and number of systems involved were associated with depression. Female sex, decreased access to medical care, and increased dyspnea predicted depression (odds ratio [OR] = 3.33, 11.64, and 2.78, respectively) after adjusting for race, income, and steroid therapy. Despite tertiary care access, patients reported medical care limitation. Health care providers must be sensitive to multiple barriers faced by chronic sarcoid patients; acknowledging depression risk and improving access to medical care will promote better overall health among sarcoid patients. Future studies of sarcoidosis will need to address depression diagnosis and treatment.","author":[{"family":"Chang","given":"B"},{"family":"Steimel","given":"J"},{"family":"Moller","given":"D R"},{"family":"Baughman","given":"R P"},{"family":"Judson","given":"M A"},{"family":"Yeager","given":"H"},{"family":"Teirstein","given":"A S"},{"family":"Rossman","given":"M D"},{"family":"Rand","given":"C S"}],"authorYearDisplayFormat":false,"citation-label":"100052","container-title":"American Journal of Respiratory and Critical Care Medicine","container-title-short":"Am J Respir Crit Care Med","id":"100052","invisible":false,"issue":"2","issued":{"date-parts":[["2001","2"]]},"journalAbbreviation":"Am J Respir Crit Care Med","page":"329-334","suppress-author":false,"title":"Depression in sarcoidosis.","type":"article-journal","volume":"163"}]</w:instrText>
      </w:r>
      <w:r w:rsidR="00F1761F" w:rsidRPr="005A7F38">
        <w:fldChar w:fldCharType="separate"/>
      </w:r>
      <w:r w:rsidR="00B775CB" w:rsidRPr="00B775CB">
        <w:rPr>
          <w:vertAlign w:val="superscript"/>
        </w:rPr>
        <w:t>38</w:t>
      </w:r>
      <w:r w:rsidR="00F1761F" w:rsidRPr="005A7F38">
        <w:fldChar w:fldCharType="end"/>
      </w:r>
      <w:r w:rsidR="00F1761F" w:rsidRPr="005A7F38">
        <w:t xml:space="preserve"> While sex alone has an on impact the odds of depression in patients with sarcoidosis, there is an interaction between sex and race. When all races are considered, females were significantly more likely to experience depression (66%) than males (38%). A larger, but not statistically significant, proportion of black and Hispanic patients </w:t>
      </w:r>
      <w:r w:rsidR="005668EB" w:rsidRPr="005A7F38">
        <w:t xml:space="preserve">with sarcoidosis </w:t>
      </w:r>
      <w:r w:rsidR="00F1761F" w:rsidRPr="005A7F38">
        <w:t xml:space="preserve">experience depression when considering both </w:t>
      </w:r>
      <w:r w:rsidR="008F5985" w:rsidRPr="005A7F38">
        <w:t>sexes</w:t>
      </w:r>
      <w:r w:rsidR="00F1761F" w:rsidRPr="005A7F38">
        <w:t xml:space="preserve">. When race and </w:t>
      </w:r>
      <w:r w:rsidR="00975023" w:rsidRPr="005A7F38">
        <w:t>sex</w:t>
      </w:r>
      <w:r w:rsidR="00F1761F" w:rsidRPr="005A7F38">
        <w:t xml:space="preserve"> were both considered in the analysis, higher rates of depression in black females compared to black males (OR:3.71, p=0.0006) were found.  In order to account for the increased socioeconom</w:t>
      </w:r>
      <w:r w:rsidR="002445F7" w:rsidRPr="005A7F38">
        <w:t xml:space="preserve">ic risk factors for depression </w:t>
      </w:r>
      <w:r w:rsidR="00F1761F" w:rsidRPr="005A7F38">
        <w:t xml:space="preserve">experienced by black patients, a multivariate model including income and education </w:t>
      </w:r>
      <w:r w:rsidR="00F1761F" w:rsidRPr="005A7F38">
        <w:lastRenderedPageBreak/>
        <w:t>was used to analyze the role of race in depression in patients with sarcoidosis</w:t>
      </w:r>
      <w:r w:rsidR="00477262" w:rsidRPr="005A7F38">
        <w:t xml:space="preserve">. This model failed to </w:t>
      </w:r>
      <w:r w:rsidR="00F1761F" w:rsidRPr="005A7F38">
        <w:t xml:space="preserve"> find a statistically significant relationship between depression in sarcoidosis patients and race alone.</w:t>
      </w:r>
      <w:r w:rsidR="00F1761F" w:rsidRPr="005A7F38">
        <w:fldChar w:fldCharType="begin"/>
      </w:r>
      <w:r w:rsidR="00B775CB">
        <w:instrText>ADDIN F1000_CSL_CITATION&lt;~#@#~&gt;[{"DOI":"10.1016/0277-9536(90)90071-Y","First":false,"Last":false,"PMID":"2287961","abstract":"Contrary to the general position in the research literature, Kessler and Neighbors have argued that race has independent effects on psychological distress among the lower class in the United States. They claim that lower-class blacks have significantly higher levels of distress than lower-class whites and this result is due to race rather than social class. A test of this proposition is presented in this paper. These data do not support the contention that race makes a difference in levels of psychological distress among the lower class. We found, that, as income increases among blacks and whites, psychological distress decreases and this is especially true for blacks. However, there was no significant difference between blacks and whites at the lowest income levels.","author":[{"family":"Cockerham","given":"W C"}],"authorYearDisplayFormat":false,"citation-label":"4452983","container-title":"Social Science &amp; Medicine","container-title-short":"Soc Sci Med","id":"4452983","invisible":false,"issue":"12","issued":{"date-parts":[["1990"]]},"journalAbbreviation":"Soc Sci Med","page":"1321-1326","suppress-author":false,"title":"A test of the relationship between race, socioeconomic status, and psychological distress.","type":"article-journal","volume":"31"},{"DOI":"10.1164/ajrccm.163.2.2004177","First":false,"Last":false,"PMID":"11179101","abstract":"Sarcoidosis, a chronic, multisystem disease, impacts quality of life and may increase depression risk. No previous study has reported the depression prevalence among U.S. sarcoid patients. This cross-sectional study examined sociodemographic and disease morbidity factors associated with depression. Patients diagnosed for &gt; or = 1 yr and treated at one of six centers were eligible (n = 176); 154 completed a questionnaire of demographics, treatment, access to medical care, and a short-form Center for Epidemiologic Studies- Depression Scale (CES-D). The primary outcome variable was a CES-D score of &gt; or = 9, indicating clinical depression. The prevalence of depression was 60%. Gender, income, access to medical care, dyspnea on exertion, and number of systems involved were associated with depression. Female sex, decreased access to medical care, and increased dyspnea predicted depression (odds ratio [OR] = 3.33, 11.64, and 2.78, respectively) after adjusting for race, income, and steroid therapy. Despite tertiary care access, patients reported medical care limitation. Health care providers must be sensitive to multiple barriers faced by chronic sarcoid patients; acknowledging depression risk and improving access to medical care will promote better overall health among sarcoid patients. Future studies of sarcoidosis will need to address depression diagnosis and treatment.","author":[{"family":"Chang","given":"B"},{"family":"Steimel","given":"J"},{"family":"Moller","given":"D R"},{"family":"Baughman","given":"R P"},{"family":"Judson","given":"M A"},{"family":"Yeager","given":"H"},{"family":"Teirstein","given":"A S"},{"family":"Rossman","given":"M D"},{"family":"Rand","given":"C S"}],"authorYearDisplayFormat":false,"citation-label":"100052","container-title":"American Journal of Respiratory and Critical Care Medicine","container-title-short":"Am J Respir Crit Care Med","id":"100052","invisible":false,"issue":"2","issued":{"date-parts":[["2001","2"]]},"journalAbbreviation":"Am J Respir Crit Care Med","page":"329-334","suppress-author":false,"title":"Depression in sarcoidosis.","type":"article-journal","volume":"163"}]</w:instrText>
      </w:r>
      <w:r w:rsidR="00F1761F" w:rsidRPr="005A7F38">
        <w:fldChar w:fldCharType="separate"/>
      </w:r>
      <w:r w:rsidR="00B775CB" w:rsidRPr="00B775CB">
        <w:rPr>
          <w:vertAlign w:val="superscript"/>
        </w:rPr>
        <w:t>38,39</w:t>
      </w:r>
      <w:r w:rsidR="00F1761F" w:rsidRPr="005A7F38">
        <w:fldChar w:fldCharType="end"/>
      </w:r>
      <w:r w:rsidR="00F1761F" w:rsidRPr="005A7F38">
        <w:t xml:space="preserve"> The highest risk factors for depression in sarcoidosis patients are access to medical care and female sex. The </w:t>
      </w:r>
      <w:r w:rsidR="002445F7" w:rsidRPr="005A7F38">
        <w:t>constellation of</w:t>
      </w:r>
      <w:r w:rsidR="00F1761F" w:rsidRPr="005A7F38">
        <w:t xml:space="preserve"> symptoms experienced by those with sarcoidosis likely impacts depression. </w:t>
      </w:r>
    </w:p>
    <w:p w14:paraId="2E1445E4" w14:textId="3D403EAA" w:rsidR="006A0ECB" w:rsidRPr="005A7F38" w:rsidRDefault="006A0ECB" w:rsidP="002446BB">
      <w:r>
        <w:t xml:space="preserve">The contribution of comorbid conditions, including mental illness, and resulting therapies to </w:t>
      </w:r>
      <w:r w:rsidR="002341BD">
        <w:t>perturbations</w:t>
      </w:r>
      <w:r>
        <w:t xml:space="preserve"> </w:t>
      </w:r>
      <w:r w:rsidR="002341BD">
        <w:t>of the immune system and immune modulating factors such as the microbiome can</w:t>
      </w:r>
      <w:r>
        <w:t xml:space="preserve">not be discounted. </w:t>
      </w:r>
      <w:r w:rsidR="002341BD">
        <w:t xml:space="preserve">To provide for a greater understanding of the potential impact of </w:t>
      </w:r>
      <w:r w:rsidR="001B14F4">
        <w:t xml:space="preserve">comorbid conditions on the pathogenesis, clinical manifestations and disease course of sarcoidosis, future clinical study design may employ the use of electronic medical records as well as pharmacy records to collect information in an accurate and detailed fashion regarding comorbid diagnoses and pharmaceutical therapy use. Additionally, routine blood chemistries and anthropomorphic characteristics could be examined over time with the intention of understanding the role of overall health and physical condition in the development of inflammatory disorders such as sarcoidosis. </w:t>
      </w:r>
    </w:p>
    <w:p w14:paraId="7A8C0B1F" w14:textId="77777777" w:rsidR="00CF4AC7" w:rsidRPr="005A7F38" w:rsidRDefault="00CF4AC7" w:rsidP="002446BB">
      <w:pPr>
        <w:pStyle w:val="Heading4"/>
        <w:rPr>
          <w:rFonts w:cs="Times New Roman"/>
        </w:rPr>
      </w:pPr>
      <w:bookmarkStart w:id="23" w:name="_Toc506540004"/>
      <w:r w:rsidRPr="005A7F38">
        <w:rPr>
          <w:rFonts w:cs="Times New Roman"/>
        </w:rPr>
        <w:t>Geographic Region</w:t>
      </w:r>
      <w:bookmarkEnd w:id="23"/>
      <w:r w:rsidRPr="005A7F38">
        <w:rPr>
          <w:rFonts w:cs="Times New Roman"/>
        </w:rPr>
        <w:t xml:space="preserve"> </w:t>
      </w:r>
    </w:p>
    <w:p w14:paraId="6993AA88" w14:textId="77777777" w:rsidR="00CF4AC7" w:rsidRPr="005A7F38" w:rsidRDefault="00CF4AC7" w:rsidP="002446BB">
      <w:pPr>
        <w:pStyle w:val="Heading4"/>
        <w:numPr>
          <w:ilvl w:val="4"/>
          <w:numId w:val="29"/>
        </w:numPr>
        <w:rPr>
          <w:rFonts w:cs="Times New Roman"/>
        </w:rPr>
      </w:pPr>
      <w:bookmarkStart w:id="24" w:name="_Toc506540005"/>
      <w:r w:rsidRPr="005A7F38">
        <w:rPr>
          <w:rFonts w:cs="Times New Roman"/>
        </w:rPr>
        <w:t>Sarcoidosis in the United States</w:t>
      </w:r>
      <w:bookmarkEnd w:id="24"/>
    </w:p>
    <w:p w14:paraId="6102106D" w14:textId="353B4A1A" w:rsidR="00CF4AC7" w:rsidRPr="005A7F38" w:rsidRDefault="00CF4AC7" w:rsidP="002446BB">
      <w:pPr>
        <w:pStyle w:val="Noindent"/>
      </w:pPr>
      <w:r w:rsidRPr="005A7F38">
        <w:t>While the BWHS analyses demonstrates no statistically significant difference in incidence or prevalence by geographic region (p=0.6589),</w:t>
      </w:r>
      <w:r w:rsidR="002E17E3" w:rsidRPr="005A7F38">
        <w:t xml:space="preserve"> analyses from the Nurse’s Health Study II (NHSII)</w:t>
      </w:r>
      <w:r w:rsidRPr="005A7F38">
        <w:t xml:space="preserve"> looking at the influence of geographic location on sarcoidosis prevalence have found a significant difference in those living in the four U.S. census defined regions.</w:t>
      </w:r>
      <w:r w:rsidRPr="005A7F38">
        <w:fldChar w:fldCharType="begin"/>
      </w:r>
      <w:r w:rsidR="00B775CB">
        <w:instrText>ADDIN F1000_CSL_CITATION&lt;~#@#~&gt;[{"DOI":"10.1513/AnnalsATS.201508-568BC","First":false,"Last":false,"PMCID":"PMC4722845","PMID":"26501211","abstract":"&lt;strong&gt;RATIONALE:&lt;/strong&gt; Sarcoidosis is a systemic granulomatous and inflammatory disorder that most often involves the lungs but also affects many other organs. Data on sarcoidosis from large epidemiological studies remain scarce.&lt;br&gt;&lt;br&gt;&lt;strong&gt;OBJECTIVES:&lt;/strong&gt; To evaluate the baseline prevalence and 22-year incidence of sarcoidosis and their associations with demographic and geographic characteristics in a large cohort of U.S. women.&lt;br&gt;&lt;br&gt;&lt;strong&gt;METHODS:&lt;/strong&gt; The Nurses' Health Study II is a prospective cohort study of U.S. female nurses enrolled in 1989 (aged 25-44 yr, n = 116,430). Data on major illnesses were collected through biennial questionnaires (1989-2011). Cases were identified by the nurses' self-report of physician-diagnosed sarcoidosis. Associations of demographic and geographic characteristics with sarcoidosis were evaluated by logistic regression and Cox models.&lt;br&gt;&lt;br&gt;&lt;strong&gt;MEASUREMENTS AND MAIN RESULTS:&lt;/strong&gt; A total of 377 sarcoidosis cases were identified. The baseline prevalence was 100/100,000 women. The average annual incidence rate was 11/100,000 during 2,275,028 person-years of follow up. Incidence rate increased with age (P = 0.003), from 9 to 15/100,000 in women aged less than 35 to 55 or more years, respectively. Black women had a higher prevalence (odds ratio, 5.24; 95% confidence interval, 2.87-9.55) and incidence (hazard ratio, 3.80; 95% confidence interval, 2.31-6.24) than white women. Across U.S. regions, more than twofold differences were observed in sarcoidosis prevalence and incidence, with consistently higher rates in the Northeast.&lt;br&gt;&lt;br&gt;&lt;strong&gt;CONCLUSIONS:&lt;/strong&gt; We provide recent national data on the epidemiology of sarcoidosis among U.S. women. Important differences in prevalence and incidence were observed across U.S. regions. Large epidemiological studies are needed to better understand the causes of the observed demographic and geographic differences in sarcoidosis.","author":[{"family":"Dumas","given":"Orianne"},{"family":"Abramovitz","given":"Lisa"},{"family":"Wiley","given":"Aleta S"},{"family":"Cozier","given":"Yvette C"},{"family":"Camargo","given":"Carlos A"}],"authorYearDisplayFormat":false,"citation-label":"4339053","container-title":"Annals of the American Thoracic Society","container-title-short":"Ann Am Thorac Soc","id":"4339053","invisible":false,"issue":"1","issued":{"date-parts":[["2016","1"]]},"journalAbbreviation":"Ann Am Thorac Soc","page":"67-71","suppress-author":false,"title":"Epidemiology of sarcoidosis in a prospective cohort study of U.S. women.","type":"article-journal","volume":"13"}]</w:instrText>
      </w:r>
      <w:r w:rsidRPr="005A7F38">
        <w:fldChar w:fldCharType="separate"/>
      </w:r>
      <w:r w:rsidR="00B775CB" w:rsidRPr="00B775CB">
        <w:rPr>
          <w:noProof/>
          <w:vertAlign w:val="superscript"/>
        </w:rPr>
        <w:t>40</w:t>
      </w:r>
      <w:r w:rsidRPr="005A7F38">
        <w:fldChar w:fldCharType="end"/>
      </w:r>
      <w:r w:rsidRPr="005A7F38">
        <w:t xml:space="preserve"> Adjusting for age, women living in the Northeast experienced both higher prevalence (134 per 100,000) and incidence (13 per 100,000) of sarcoidosis compared to other regions. However, women living in the Midwest at </w:t>
      </w:r>
      <w:r w:rsidRPr="005A7F38">
        <w:lastRenderedPageBreak/>
        <w:t xml:space="preserve">the time of diagnosis experienced the highest incidence rates (14 per 100,000) of the four regions, with an incidence rate ratio of 2 compared to </w:t>
      </w:r>
      <w:r w:rsidR="00032A52" w:rsidRPr="005A7F38">
        <w:t xml:space="preserve">women living in the </w:t>
      </w:r>
      <w:r w:rsidRPr="005A7F38">
        <w:t>West (CI:1.31-3.07).</w:t>
      </w:r>
      <w:r w:rsidRPr="005A7F38">
        <w:fldChar w:fldCharType="begin"/>
      </w:r>
      <w:r w:rsidR="00B775CB">
        <w:instrText>ADDIN F1000_CSL_CITATION&lt;~#@#~&gt;[{"DOI":"10.1513/AnnalsATS.201508-568BC","First":false,"Last":false,"PMCID":"PMC4722845","PMID":"26501211","abstract":"&lt;strong&gt;RATIONALE:&lt;/strong&gt; Sarcoidosis is a systemic granulomatous and inflammatory disorder that most often involves the lungs but also affects many other organs. Data on sarcoidosis from large epidemiological studies remain scarce.&lt;br&gt;&lt;br&gt;&lt;strong&gt;OBJECTIVES:&lt;/strong&gt; To evaluate the baseline prevalence and 22-year incidence of sarcoidosis and their associations with demographic and geographic characteristics in a large cohort of U.S. women.&lt;br&gt;&lt;br&gt;&lt;strong&gt;METHODS:&lt;/strong&gt; The Nurses' Health Study II is a prospective cohort study of U.S. female nurses enrolled in 1989 (aged 25-44 yr, n = 116,430). Data on major illnesses were collected through biennial questionnaires (1989-2011). Cases were identified by the nurses' self-report of physician-diagnosed sarcoidosis. Associations of demographic and geographic characteristics with sarcoidosis were evaluated by logistic regression and Cox models.&lt;br&gt;&lt;br&gt;&lt;strong&gt;MEASUREMENTS AND MAIN RESULTS:&lt;/strong&gt; A total of 377 sarcoidosis cases were identified. The baseline prevalence was 100/100,000 women. The average annual incidence rate was 11/100,000 during 2,275,028 person-years of follow up. Incidence rate increased with age (P = 0.003), from 9 to 15/100,000 in women aged less than 35 to 55 or more years, respectively. Black women had a higher prevalence (odds ratio, 5.24; 95% confidence interval, 2.87-9.55) and incidence (hazard ratio, 3.80; 95% confidence interval, 2.31-6.24) than white women. Across U.S. regions, more than twofold differences were observed in sarcoidosis prevalence and incidence, with consistently higher rates in the Northeast.&lt;br&gt;&lt;br&gt;&lt;strong&gt;CONCLUSIONS:&lt;/strong&gt; We provide recent national data on the epidemiology of sarcoidosis among U.S. women. Important differences in prevalence and incidence were observed across U.S. regions. Large epidemiological studies are needed to better understand the causes of the observed demographic and geographic differences in sarcoidosis.","author":[{"family":"Dumas","given":"Orianne"},{"family":"Abramovitz","given":"Lisa"},{"family":"Wiley","given":"Aleta S"},{"family":"Cozier","given":"Yvette C"},{"family":"Camargo","given":"Carlos A"}],"authorYearDisplayFormat":false,"citation-label":"4339053","container-title":"Annals of the American Thoracic Society","container-title-short":"Ann Am Thorac Soc","id":"4339053","invisible":false,"issue":"1","issued":{"date-parts":[["2016","1"]]},"journalAbbreviation":"Ann Am Thorac Soc","page":"67-71","suppress-author":false,"title":"Epidemiology of sarcoidosis in a prospective cohort study of U.S. women.","type":"article-journal","volume":"13"}]</w:instrText>
      </w:r>
      <w:r w:rsidRPr="005A7F38">
        <w:fldChar w:fldCharType="separate"/>
      </w:r>
      <w:r w:rsidR="00B775CB" w:rsidRPr="00B775CB">
        <w:rPr>
          <w:noProof/>
          <w:vertAlign w:val="superscript"/>
        </w:rPr>
        <w:t>40</w:t>
      </w:r>
      <w:r w:rsidRPr="005A7F38">
        <w:fldChar w:fldCharType="end"/>
      </w:r>
      <w:r w:rsidRPr="005A7F38">
        <w:t xml:space="preserve"> </w:t>
      </w:r>
      <w:r w:rsidR="00A034F1" w:rsidRPr="005A7F38">
        <w:t>However,</w:t>
      </w:r>
      <w:r w:rsidRPr="005A7F38">
        <w:t xml:space="preserve"> </w:t>
      </w:r>
      <w:r w:rsidR="00A034F1" w:rsidRPr="005A7F38">
        <w:t>adjusting for</w:t>
      </w:r>
      <w:r w:rsidRPr="005A7F38">
        <w:t xml:space="preserve"> racial distribution across geographic regions, incidence rate ratios remained similar. </w:t>
      </w:r>
    </w:p>
    <w:p w14:paraId="273D0A74" w14:textId="4BB6EAF8" w:rsidR="00CF4AC7" w:rsidRPr="005A7F38" w:rsidRDefault="00CF4AC7" w:rsidP="002446BB">
      <w:pPr>
        <w:pStyle w:val="Noindent"/>
      </w:pPr>
      <w:r w:rsidRPr="005A7F38">
        <w:t>Additionally, sarcoidosis incidence is impacted by seasonality with some variation in diagnosis rates between the seasons.</w:t>
      </w:r>
      <w:r w:rsidRPr="005A7F38">
        <w:fldChar w:fldCharType="begin"/>
      </w:r>
      <w:r w:rsidR="00B775CB">
        <w:instrText>ADDIN F1000_CSL_CITATION&lt;~#@#~&gt;[{"First":false,"Last":false,"PMID":"3962966","abstract":"Using the unique data resources of the Rochester Epidemiology Project, a community-based study of clinically diagnosed sarcoidosis was conducted. In this population-based study, the 75 Rochester, Minnesota, residents with sarcoidosis initially diagnosed between 1946 and 1975 (incidence cohort) were followed through their comprehensive medical records in the community to January 1, 1982. The age- and sex-adjusted incidence of sarcoidosis was 6.1 per 100,000 person-years. The age-adjusted incidence of sarcoidosis was similar in males (5.9) and females (6.3), with a peak incidence in males 30 to 39 years old (18.7) and in females 40 to 49 years old (15.6). A secular increase in sarcoidosis incidence was noted in the period 1946-1975 for females, with a marked increase in the number and percentage of biopsy-documented cases. Seasonal variation in sarcoidosis incidence was minimal, with a seasonal peak of 31% of the Rochester cases being diagnosed during the spring (March-May). Survival, compared with that of the North Central United States, was unimpaired in this sarcoidosis incidence cohort.","author":[{"family":"Henke","given":"C E"},{"family":"Henke","given":"G"},{"family":"Elveback","given":"L R"},{"family":"Beard","given":"C M"},{"family":"Ballard","given":"D J"},{"family":"Kurland","given":"L T"}],"authorYearDisplayFormat":false,"citation-label":"4444541","container-title":"American Journal of Epidemiology","container-title-short":"Am J Epidemiol","id":"4444541","invisible":false,"issue":"5","issued":{"date-parts":[["1986","5"]]},"journalAbbreviation":"Am J Epidemiol","page":"840-845","suppress-author":false,"title":"The epidemiology of sarcoidosis in Rochester, Minnesota: a population-based study of incidence and survival.","type":"article-journal","volume":"123"},{"First":false,"Last":false,"PMID":"7617979","abstract":"Finland and Hokkaido resemble each other; the four season climate with cold winters and cool summers is the same as is the frequency of tuberculosis. The size of the population is almost the same. From the 1984 Japanese nationwide sarcoidosis survey we got the data from Hokkaido (288 patients) in order to compare the information with similarly collected data in Finland from 1984 (1,378 patients). The crude prevalence of sarcoidosis was 28.2 per 100,000 in Finland and 3.7 per 100,000 in Hokkaido. The annual incidence was 11.4 per 100,000 in Finland and 1.0 per 100,000 in Hokkaido. The sex distribution was similar; 63% vs 67% women in Finland and Hokkaido, respectively. At diagnosis the Hokkaidoan patients were significantly younger. In Hokkaido more cases were detected via mass X-ray survey (43% vs 34%). Among symptomatic patients eye symptoms were more frequent in Hokkaido, whereas respiratory and joint symptoms and erythema nodosum were more frequent in Finland. Bilateral hilar lymphadenopathy (BHL) was equally distributed (82% vs 84% whereas parenchymal lesions were seen more often in Finland (49% vs 25%) as well as peripheral lymphadenopathy (16% vs 8%).","author":[{"family":"Pietinalho","given":"A"},{"family":"Hiraga","given":"Y"},{"family":"Hosoda","given":"Y"},{"family":"Löfroos","given":"A B"},{"family":"Yamaguchi","given":"M"},{"family":"Selroos","given":"O"}],"authorYearDisplayFormat":false,"citation-label":"4507198","container-title":"Sarcoidosis","container-title-short":"Sarcoidosis","id":"4507198","invisible":false,"issue":"1","issued":{"date-parts":[["1995","3"]]},"journalAbbreviation":"Sarcoidosis","page":"61-67","suppress-author":false,"title":"The frequency of sarcoidosis in Finland and Hokkaido, Japan. A comparative epidemiological study.","type":"article-journal","volume":"12"},{"DOI":"10.1111/j.0954-6820.1969.tb12760.x","First":false,"Last":false,"authorYearDisplayFormat":false,"citation-label":"4507194","container-title":"Acta medica Scandinavica","container-title-short":"Acta Med Scand","id":"4507194","invisible":false,"issue":"S503","issued":{"date-parts":[["2009","4","24"]]},"journalAbbreviation":"Acta Med Scand","page":"13-21","suppress-author":false,"title":"Iii. the frequency of pulmonary sarcoidosis in finland","type":"article-journal","volume":"186"},{"First":false,"Last":false,"PMID":"2345819","abstract":"The review is based on studies from Denmark, Finland, Norway and Sweden during 1950-1982. In general sarcoidosis was slightly more frequent in females than in males, especially after 40 years of age. The majority of cases were diagnosed before 35 years; 59% had symptoms, 41% were found by chance. Radiological stage I was present in 50%, stage II in 35%, and stage III-IV in 14%. The prevalence was age dependent with maximum between 18-35 years, varying from 8-102/10(5) examined persons in Finland to 27 in Norway and 64 in Sweden. The incidence was likewise age related, being highest in 18- to 20-years-old males (57/10(5) examined persons/year); overall incidence varied from 14-15/10(5) examined persons/year in Denmark, Finland and Norway to 24 in Sweden. No definite change in incidence figures has occurred. The accumulated lifetime risk of acquiring sarcoidosis was identical in the two sexes up to 45 years of age, and then increased in females; at 65 years the risk was 1.6% in females and 1.2% in males based on the population examined.","author":[{"family":"Milman","given":"N"},{"family":"Selroos","given":"O"}],"authorYearDisplayFormat":false,"citation-label":"4506164","container-title":"Sarcoidosis","container-title-short":"Sarcoidosis","id":"4506164","invisible":false,"issue":"1","issued":{"date-parts":[["1990","3"]]},"journalAbbreviation":"Sarcoidosis","page":"50-57","suppress-author":false,"title":"Pulmonary sarcoidosis in the Nordic countries 1950-1982. Epidemiology and clinical picture.","type":"article-journal","volume":"7"}]</w:instrText>
      </w:r>
      <w:r w:rsidRPr="005A7F38">
        <w:fldChar w:fldCharType="separate"/>
      </w:r>
      <w:r w:rsidR="00B775CB" w:rsidRPr="00B775CB">
        <w:rPr>
          <w:noProof/>
          <w:vertAlign w:val="superscript"/>
        </w:rPr>
        <w:t>41–44</w:t>
      </w:r>
      <w:r w:rsidRPr="005A7F38">
        <w:fldChar w:fldCharType="end"/>
      </w:r>
      <w:r w:rsidRPr="005A7F38">
        <w:t xml:space="preserve"> In the Rochester Epidemiology Project, a community based study of clinically diagnosed sarcoidosis, a small seasonal peak of 31% </w:t>
      </w:r>
      <w:r w:rsidR="00A34064" w:rsidRPr="005A7F38">
        <w:t xml:space="preserve">in diagnosis was found </w:t>
      </w:r>
      <w:r w:rsidRPr="005A7F38">
        <w:t>during the spring (March-May).</w:t>
      </w:r>
      <w:r w:rsidRPr="005A7F38">
        <w:fldChar w:fldCharType="begin"/>
      </w:r>
      <w:r w:rsidR="00B775CB">
        <w:instrText>ADDIN F1000_CSL_CITATION&lt;~#@#~&gt;[{"First":false,"Last":false,"PMID":"3962966","abstract":"Using the unique data resources of the Rochester Epidemiology Project, a community-based study of clinically diagnosed sarcoidosis was conducted. In this population-based study, the 75 Rochester, Minnesota, residents with sarcoidosis initially diagnosed between 1946 and 1975 (incidence cohort) were followed through their comprehensive medical records in the community to January 1, 1982. The age- and sex-adjusted incidence of sarcoidosis was 6.1 per 100,000 person-years. The age-adjusted incidence of sarcoidosis was similar in males (5.9) and females (6.3), with a peak incidence in males 30 to 39 years old (18.7) and in females 40 to 49 years old (15.6). A secular increase in sarcoidosis incidence was noted in the period 1946-1975 for females, with a marked increase in the number and percentage of biopsy-documented cases. Seasonal variation in sarcoidosis incidence was minimal, with a seasonal peak of 31% of the Rochester cases being diagnosed during the spring (March-May). Survival, compared with that of the North Central United States, was unimpaired in this sarcoidosis incidence cohort.","author":[{"family":"Henke","given":"C E"},{"family":"Henke","given":"G"},{"family":"Elveback","given":"L R"},{"family":"Beard","given":"C M"},{"family":"Ballard","given":"D J"},{"family":"Kurland","given":"L T"}],"authorYearDisplayFormat":false,"citation-label":"4444541","container-title":"American Journal of Epidemiology","container-title-short":"Am J Epidemiol","id":"4444541","invisible":false,"issue":"5","issued":{"date-parts":[["1986","5"]]},"journalAbbreviation":"Am J Epidemiol","page":"840-845","suppress-author":false,"title":"The epidemiology of sarcoidosis in Rochester, Minnesota: a population-based study of incidence and survival.","type":"article-journal","volume":"123"}]</w:instrText>
      </w:r>
      <w:r w:rsidRPr="005A7F38">
        <w:fldChar w:fldCharType="separate"/>
      </w:r>
      <w:r w:rsidR="00B775CB" w:rsidRPr="00B775CB">
        <w:rPr>
          <w:noProof/>
          <w:vertAlign w:val="superscript"/>
        </w:rPr>
        <w:t>41</w:t>
      </w:r>
      <w:r w:rsidRPr="005A7F38">
        <w:fldChar w:fldCharType="end"/>
      </w:r>
      <w:r w:rsidRPr="005A7F38">
        <w:t xml:space="preserve"> In a study of patients with sarcoidosis with skin involvement, incidence was clustered in the winter and spring (p&lt;0.001).</w:t>
      </w:r>
      <w:r w:rsidRPr="005A7F38">
        <w:fldChar w:fldCharType="begin"/>
      </w:r>
      <w:r w:rsidR="00B775CB">
        <w:instrText>ADDIN F1000_CSL_CITATION&lt;~#@#~&gt;[{"First":false,"Last":false,"PMID":"9864021","abstract":"Seasonal clustering of sarcoidosis presenting with erythema nodosum (EN) has previously been reported only in the northern hemisphere. Of 59 patients presenting to a single centre in New Zealand with a new diagnosis of sarcoidosis, 21 had EN and three more had acute arthralgia without EN. These patients were compared with the rest of the cohort. The patients with EN or arthralgia alone presented exclusively between April and December, with peak clustering in the spring months of August, September and October (p&lt; 0.001, Fisher's exact test). This cohort was more likely to have a stage I chest radiograph and to be female (p&lt; 0.05), but there were no other differences between the groups. This is the first report of seasonal clustering in the southern hemisphere suggesting a common environmental trigger in the aetiology of sarcoidosis.","author":[{"family":"Wilsher","given":"M L"}],"authorYearDisplayFormat":false,"citation-label":"4507200","container-title":"The European Respiratory Journal","container-title-short":"Eur Respir J","id":"4507200","invisible":false,"issue":"5","issued":{"date-parts":[["1998","11"]]},"journalAbbreviation":"Eur Respir J","page":"1197-1199","suppress-author":false,"title":"Seasonal clustering of sarcoidosis presenting with erythema nodosum.","type":"article-journal","volume":"12"}]</w:instrText>
      </w:r>
      <w:r w:rsidRPr="005A7F38">
        <w:fldChar w:fldCharType="separate"/>
      </w:r>
      <w:r w:rsidR="00B775CB" w:rsidRPr="00B775CB">
        <w:rPr>
          <w:noProof/>
          <w:vertAlign w:val="superscript"/>
        </w:rPr>
        <w:t>45</w:t>
      </w:r>
      <w:r w:rsidRPr="005A7F38">
        <w:fldChar w:fldCharType="end"/>
      </w:r>
    </w:p>
    <w:p w14:paraId="6BC6CA59" w14:textId="6E227411" w:rsidR="00CF4AC7" w:rsidRPr="005A7F38" w:rsidRDefault="00CF4AC7" w:rsidP="002446BB">
      <w:r w:rsidRPr="005A7F38">
        <w:t>Prevalence of sarcoidosis is higher in rural areas than suburban or urban areas.</w:t>
      </w:r>
      <w:r w:rsidRPr="005A7F38">
        <w:fldChar w:fldCharType="begin"/>
      </w:r>
      <w:r w:rsidR="00B775CB">
        <w:instrText>ADDIN F1000_CSL_CITATION&lt;~#@#~&gt;[{"First":false,"Last":false,"PMCID":"PMC460773","PMID":"3660300","abstract":"A case controlled study of 96 cases of sarcoidosis has been carried out in the Isle of Man. Age and sex matched controls were selected at random from the pathology and radiology records, which cover 85% of the resident population, and a second control group was drawn from a tuberculosis register. Special efforts were made to achieve a high level of ascertainment. In this study most cases occurred in young adults. It affected the sexes equally and occurred more frequently in the indigenous Manx population. Thirty eight cases (39.6%) had been in contact with the disease before diagnosis, compared with two (1.2%) of the combined controls. These contacts included members of the same household, colleagues at work, and close friends. A bias may have been introduced as patients would inevitably be more aware of the disease and be more likely to mention previous contact than the controls. Nevertheless, the evidence is considered to support the view that sarcoidosis is a communicable disease.","author":[{"family":"Parkes","given":"S A"},{"family":"Baker","given":"S B"},{"family":"Bourdillon","given":"R E"},{"family":"Murray","given":"C R"},{"family":"Rakshit","given":"M"}],"authorYearDisplayFormat":false,"citation-label":"4507207","container-title":"Thorax","container-title-short":"Thorax","id":"4507207","invisible":false,"issue":"6","issued":{"date-parts":[["1987","6"]]},"journalAbbreviation":"Thorax","page":"420-426","suppress-author":false,"title":"Epidemiology of sarcoidosis in the Isle of Man--1: A case controlled study.","type":"article-journal","volume":"42"},{"First":false,"Last":false,"PMID":"11164127","abstract":"&lt;strong&gt;PURPOSE:&lt;/strong&gt; To identify and quantify the risk of developing sarcoidosis associated with specific rural exposures previously recognized as potential risk factors for this disease.\n&lt;br&gt;\n&lt;br&gt;\n&lt;strong&gt;METHODS:&lt;/strong&gt; A matched case-control design was carried out with a 2-to-1 ratio of controls to cases. Case exposure histories were determine from a detailed questionnaire collecting self-reported information covering the period from birth through disease development and comparing that to exposure histories for the corresponding period in age-, race-, and gender-matched controls identified using Random Digit Dial survey methodology. Conditional logistic regression was used to analyze the matched data while controlling for several baseline variables.\n&lt;br&gt;\n&lt;br&gt;\n&lt;strong&gt;RESULTS:&lt;/strong&gt; A number of exposures were found to be univariately associated with the development of sarcoidosis including: the use of wood stoves, the use of fireplaces, the use of nonpublic water supplies, and living or working on a farm. A dose-response gradient was detected from exposure to wood stoves and fireplaces continued to be significantly associated with sarcoidosis in multivariable models.\n&lt;br&gt;\n&lt;br&gt;\n&lt;strong&gt;CONCLUSIONS:&lt;/strong&gt; The results of this study provide further support for the hypothesis that behaviors associated with rural living play some role in the development of sarcoidosis. This study further suggests that exposures involving the handling or burning of wood such as using wood stoves or fireplaces for home heating may, in part, explain this rural association.","author":[{"family":"Kajdasz","given":"D K"},{"family":"Lackland","given":"D T"},{"family":"Mohr","given":"L C"},{"family":"Judson","given":"M A"}],"authorYearDisplayFormat":false,"citation-label":"1249546","container-title":"Annals of Epidemiology","container-title-short":"Ann Epidemiol","id":"1249546","invisible":false,"issue":"2","issued":{"date-parts":[["2001","2"]]},"journalAbbreviation":"Ann Epidemiol","page":"111-117","suppress-author":false,"title":"A current assessment of rurally linked exposures as potential risk factors for sarcoidosis.","type":"article-journal","volume":"11"},{"DOI":"10.1172/JCI103240","First":false,"Last":false,"PMCID":"PMC438768","PMID":"13271570","author":[{"family":"Gentry","given":"J T"},{"family":"Nitowsky","given":"H M"},{"family":"Michael","given":"M"}],"authorYearDisplayFormat":false,"citation-label":"4507209","container-title":"The Journal of Clinical Investigation","container-title-short":"J Clin Invest","id":"4507209","invisible":false,"issue":"12","issued":{"date-parts":[["1955","12"]]},"journalAbbreviation":"J Clin Invest","page":"1839-1856","suppress-author":false,"title":"Studies on the epidemiology of sarcoidosis in the United States: the relationship to soil areas and to urban-rural residence.","type":"article-journal","volume":"34"}]</w:instrText>
      </w:r>
      <w:r w:rsidRPr="005A7F38">
        <w:fldChar w:fldCharType="separate"/>
      </w:r>
      <w:r w:rsidR="00B775CB" w:rsidRPr="00B775CB">
        <w:rPr>
          <w:noProof/>
          <w:vertAlign w:val="superscript"/>
        </w:rPr>
        <w:t>46–48</w:t>
      </w:r>
      <w:r w:rsidRPr="005A7F38">
        <w:fldChar w:fldCharType="end"/>
      </w:r>
      <w:r w:rsidRPr="005A7F38">
        <w:t xml:space="preserve"> In previous research seeking to better understand the risk factors responsible for the rural clusters, exposures such as use of coal stoves, use of wood stoves, exposure to firewood, exposure to livestock and farm animals and use of nonpublic water supplies such as cisterns and private wells have been found to be inconclusive or conflicting.</w:t>
      </w:r>
      <w:r w:rsidRPr="005A7F38">
        <w:fldChar w:fldCharType="begin"/>
      </w:r>
      <w:r w:rsidR="00B775CB">
        <w:instrText>ADDIN F1000_CSL_CITATION&lt;~#@#~&gt;[{"First":false,"Last":false,"PMID":"11164127","abstract":"&lt;strong&gt;PURPOSE:&lt;/strong&gt; To identify and quantify the risk of developing sarcoidosis associated with specific rural exposures previously recognized as potential risk factors for this disease.\n&lt;br&gt;\n&lt;br&gt;\n&lt;strong&gt;METHODS:&lt;/strong&gt; A matched case-control design was carried out with a 2-to-1 ratio of controls to cases. Case exposure histories were determine from a detailed questionnaire collecting self-reported information covering the period from birth through disease development and comparing that to exposure histories for the corresponding period in age-, race-, and gender-matched controls identified using Random Digit Dial survey methodology. Conditional logistic regression was used to analyze the matched data while controlling for several baseline variables.\n&lt;br&gt;\n&lt;br&gt;\n&lt;strong&gt;RESULTS:&lt;/strong&gt; A number of exposures were found to be univariately associated with the development of sarcoidosis including: the use of wood stoves, the use of fireplaces, the use of nonpublic water supplies, and living or working on a farm. A dose-response gradient was detected from exposure to wood stoves and fireplaces continued to be significantly associated with sarcoidosis in multivariable models.\n&lt;br&gt;\n&lt;br&gt;\n&lt;strong&gt;CONCLUSIONS:&lt;/strong&gt; The results of this study provide further support for the hypothesis that behaviors associated with rural living play some role in the development of sarcoidosis. This study further suggests that exposures involving the handling or burning of wood such as using wood stoves or fireplaces for home heating may, in part, explain this rural association.","author":[{"family":"Kajdasz","given":"D K"},{"family":"Lackland","given":"D T"},{"family":"Mohr","given":"L C"},{"family":"Judson","given":"M A"}],"authorYearDisplayFormat":false,"citation-label":"1249546","container-title":"Annals of Epidemiology","container-title-short":"Ann Epidemiol","id":"1249546","invisible":false,"issue":"2","issued":{"date-parts":[["2001","2"]]},"journalAbbreviation":"Ann Epidemiol","page":"111-117","suppress-author":false,"title":"A current assessment of rurally linked exposures as potential risk factors for sarcoidosis.","type":"article-journal","volume":"11"},{"DOI":"10.1172/JCI103240","First":false,"Last":false,"PMCID":"PMC438768","PMID":"13271570","author":[{"family":"Gentry","given":"J T"},{"family":"Nitowsky","given":"H M"},{"family":"Michael","given":"M"}],"authorYearDisplayFormat":false,"citation-label":"4507209","container-title":"The Journal of Clinical Investigation","container-title-short":"J Clin Invest","id":"4507209","invisible":false,"issue":"12","issued":{"date-parts":[["1955","12"]]},"journalAbbreviation":"J Clin Invest","page":"1839-1856","suppress-author":false,"title":"Studies on the epidemiology of sarcoidosis in the United States: the relationship to soil areas and to urban-rural residence.","type":"article-journal","volume":"34"}]</w:instrText>
      </w:r>
      <w:r w:rsidRPr="005A7F38">
        <w:fldChar w:fldCharType="separate"/>
      </w:r>
      <w:r w:rsidR="00B775CB" w:rsidRPr="00B775CB">
        <w:rPr>
          <w:noProof/>
          <w:vertAlign w:val="superscript"/>
        </w:rPr>
        <w:t>47,48</w:t>
      </w:r>
      <w:r w:rsidRPr="005A7F38">
        <w:fldChar w:fldCharType="end"/>
      </w:r>
      <w:r w:rsidRPr="005A7F38">
        <w:t xml:space="preserve"> These exposures were often measured in a binary fashion (ever versus never) and exposure level was not considered. In a matched case-control study of rural patients with sarcoidosis in South Carolina, researchers sought to assess both exposure and level of exposure to common rurally associated exposures. All </w:t>
      </w:r>
      <w:r w:rsidR="002F03D4" w:rsidRPr="005A7F38">
        <w:t>patients</w:t>
      </w:r>
      <w:r w:rsidRPr="005A7F38">
        <w:t xml:space="preserve"> lived in South Carolina and had a biopsy confirmed diagnosis of sarcoidosis. Controls were identified using random digit dialing and were matched on a two to one ratio with cases on the area code and three-digit prefix in the phone number to ensure geographic similarity as well as age (</w:t>
      </w:r>
      <w:r w:rsidRPr="005A7F38">
        <w:sym w:font="Symbol" w:char="F0B1"/>
      </w:r>
      <w:r w:rsidRPr="005A7F38">
        <w:t xml:space="preserve">10 years), race and </w:t>
      </w:r>
      <w:r w:rsidR="00975023" w:rsidRPr="005A7F38">
        <w:t>sex</w:t>
      </w:r>
      <w:r w:rsidRPr="005A7F38">
        <w:t xml:space="preserve">. Interviews were conducted by telephone using a computer assisted interview system and utilized a 15-minute questionnaire designed to collect data about demographics, health care access and use, treatment history related to sarcoidosis, smoking history, environmental exposure history as well as residential and employment histories. Additional information was collected about </w:t>
      </w:r>
      <w:r w:rsidRPr="005A7F38">
        <w:lastRenderedPageBreak/>
        <w:t xml:space="preserve">education, health care facility use, ability to access care or obtain prescribed medications, health insurance and employment status. Self-reported exposures to coal stoves, wood stoves, fireplaces, insecticides, herbicides, nonpublic water sources and farming were included as suspected exposures and exposure was assessed as ever, never or differing levels of frequency. </w:t>
      </w:r>
    </w:p>
    <w:p w14:paraId="69564825" w14:textId="51D9923F" w:rsidR="008A2E63" w:rsidRDefault="00CF4AC7" w:rsidP="002446BB">
      <w:r w:rsidRPr="005A7F38">
        <w:t xml:space="preserve">Using a binary </w:t>
      </w:r>
      <w:r w:rsidR="0029179B" w:rsidRPr="005A7F38">
        <w:t>(</w:t>
      </w:r>
      <w:r w:rsidRPr="005A7F38">
        <w:t>ever versus never</w:t>
      </w:r>
      <w:r w:rsidR="0029179B" w:rsidRPr="005A7F38">
        <w:t>)</w:t>
      </w:r>
      <w:r w:rsidRPr="005A7F38">
        <w:t xml:space="preserve"> exposure level assessment and conditional logistic regression adjusting for primary care location and prescription drug utilization, statistically significant associations </w:t>
      </w:r>
      <w:r w:rsidR="0029179B" w:rsidRPr="005A7F38">
        <w:t xml:space="preserve">were found </w:t>
      </w:r>
      <w:r w:rsidRPr="005A7F38">
        <w:t>between sarcoidosis cases and use of a coal stove (OR=6.2, CI=1.7-22.7, p&lt;0.05), use of a wood stove (OR=3.7, CI=1.5-8.8, p&lt;0.05), use of a fire place (OR=6.8, CI=2.1-21.8, p&lt;0.05), use of well or spring water (OR=2.2, CI=1.1-4.7, p&lt;0.05) and living or working on a farm (OR=3.4, CI=1.2-9.1, p&lt;0.05). When analyzing differing levels of exposure, a logistic regression model adjusting for primary care location and prescription drug utilization found statistically significant associations between sarcoidosis cases and more frequent use of a coal stove (OR=1.7, CI=1.1-2.4, p&lt;0.05) compared to less frequent coal stove use, more frequent use of a wood stove (OR=1.5, CI=1.2=1.8, p&lt;0.05) compared to less frequent wood stove use, more frequent use of a fireplace (OR=1.8, CI=1.3-2.6, p&lt;0.05) compared to less frequent fireplace use. Associations were also found between sarcoidosis cases and consistent herbicide or insecticide exposure of more than one year (OR=1.9, CI=1.1-3.3, p&lt;0.5) compared to inconsistent exposure for less than one year and between sarcoidosis cases and longer time spent living or working on a farm (OR=1.9, CI=1.1-3.1, p&lt;0.05) compared to those who spent less time living or working on a farm.</w:t>
      </w:r>
      <w:r w:rsidRPr="005A7F38">
        <w:fldChar w:fldCharType="begin"/>
      </w:r>
      <w:r w:rsidR="00B775CB">
        <w:instrText>ADDIN F1000_CSL_CITATION&lt;~#@#~&gt;[{"First":false,"Last":false,"PMID":"11164127","abstract":"&lt;strong&gt;PURPOSE:&lt;/strong&gt; To identify and quantify the risk of developing sarcoidosis associated with specific rural exposures previously recognized as potential risk factors for this disease.\n&lt;br&gt;\n&lt;br&gt;\n&lt;strong&gt;METHODS:&lt;/strong&gt; A matched case-control design was carried out with a 2-to-1 ratio of controls to cases. Case exposure histories were determine from a detailed questionnaire collecting self-reported information covering the period from birth through disease development and comparing that to exposure histories for the corresponding period in age-, race-, and gender-matched controls identified using Random Digit Dial survey methodology. Conditional logistic regression was used to analyze the matched data while controlling for several baseline variables.\n&lt;br&gt;\n&lt;br&gt;\n&lt;strong&gt;RESULTS:&lt;/strong&gt; A number of exposures were found to be univariately associated with the development of sarcoidosis including: the use of wood stoves, the use of fireplaces, the use of nonpublic water supplies, and living or working on a farm. A dose-response gradient was detected from exposure to wood stoves and fireplaces continued to be significantly associated with sarcoidosis in multivariable models.\n&lt;br&gt;\n&lt;br&gt;\n&lt;strong&gt;CONCLUSIONS:&lt;/strong&gt; The results of this study provide further support for the hypothesis that behaviors associated with rural living play some role in the development of sarcoidosis. This study further suggests that exposures involving the handling or burning of wood such as using wood stoves or fireplaces for home heating may, in part, explain this rural association.","author":[{"family":"Kajdasz","given":"D K"},{"family":"Lackland","given":"D T"},{"family":"Mohr","given":"L C"},{"family":"Judson","given":"M A"}],"authorYearDisplayFormat":false,"citation-label":"1249546","container-title":"Annals of Epidemiology","container-title-short":"Ann Epidemiol","id":"1249546","invisible":false,"issue":"2","issued":{"date-parts":[["2001","2"]]},"journalAbbreviation":"Ann Epidemiol","page":"111-117","suppress-author":false,"title":"A current assessment of rurally linked exposures as potential risk factors for sarcoidosis.","type":"article-journal","volume":"11"}]</w:instrText>
      </w:r>
      <w:r w:rsidRPr="005A7F38">
        <w:fldChar w:fldCharType="separate"/>
      </w:r>
      <w:r w:rsidR="00B775CB" w:rsidRPr="00B775CB">
        <w:rPr>
          <w:noProof/>
          <w:vertAlign w:val="superscript"/>
        </w:rPr>
        <w:t>47</w:t>
      </w:r>
      <w:r w:rsidRPr="005A7F38">
        <w:fldChar w:fldCharType="end"/>
      </w:r>
      <w:r w:rsidRPr="005A7F38">
        <w:t xml:space="preserve"> </w:t>
      </w:r>
      <w:r w:rsidR="00987F93" w:rsidRPr="005A7F38">
        <w:t>A Case Controlled Etiologic Study of Sarcoidosis (ACCESS)</w:t>
      </w:r>
      <w:r w:rsidRPr="005A7F38">
        <w:t xml:space="preserve"> study</w:t>
      </w:r>
      <w:r w:rsidR="00987F93" w:rsidRPr="005A7F38">
        <w:t xml:space="preserve"> conducted by Baughman, et al in 2000 </w:t>
      </w:r>
      <w:r w:rsidRPr="005A7F38">
        <w:t xml:space="preserve">found that living in a suburban area is negatively associated with </w:t>
      </w:r>
      <w:r w:rsidR="00987F93" w:rsidRPr="005A7F38">
        <w:t>sarcoidosis</w:t>
      </w:r>
      <w:r w:rsidRPr="005A7F38">
        <w:t xml:space="preserve"> incidence (OR=0.75, CI=0.57-0.99, p=0.040).</w:t>
      </w:r>
      <w:r w:rsidRPr="005A7F38">
        <w:fldChar w:fldCharType="begin"/>
      </w:r>
      <w:r w:rsidR="00B775CB">
        <w:instrText>ADDIN F1000_CSL_CITATION&lt;~#@#~&gt;[{"First":false,"Last":false,"PMID":"16053022","abstract":"Sarcoidosis is a multisystem disorder of unknown cause(s). Despite the knowledge gained during the last decade regarding the pathogenetic mechanisms accounting for the onset, maintenance or evolution of the disease, its etiology is still elusive. To solve this problem, the National Heart, Lung, and Blood Institute (NHLBI) set up a multicenter study, i.e. the ACCESS study (A Case Control Etiologic Study of Sarcoidosis). The study has been designed to validate four major categories of etiological hypotheses (genetic, environmental, infectious and immune dysregulation hypotheses) and its primary endpoint is the discovery of the cause(s) of sarcoidosis. A definite etiology of sarcoidosis was not found, however, the results of ACCESS offer hypotheses for future targeted studies in the search for the cause(s) of the disease and a rich base of case and control data was established for future studies. Lessons learned from ACCESS suggest that hope for finding the etiology of sarcoidosis comes from large, collaborative studies.","author":[{"family":"Semenzato","given":"Gianpietro"}],"authorYearDisplayFormat":false,"citation-label":"4226461","container-title":"Sarcoidosis, vasculitis, and diffuse lung diseases : official journal of WASOG / World Association of Sarcoidosis and Other Granulomatous Disorders","container-title-short":"Sarcoidosis Vasc Diffuse Lung Dis","id":"4226461","invisible":false,"issue":"2","issued":{"date-parts":[["2005","6"]]},"journalAbbreviation":"Sarcoidosis Vasc Diffuse Lung Dis","page":"83-86","suppress-author":false,"title":"ACCESS: A case control etiologic study of sarcoidosis.","type":"article-journal","volume":"22"}]</w:instrText>
      </w:r>
      <w:r w:rsidRPr="005A7F38">
        <w:fldChar w:fldCharType="separate"/>
      </w:r>
      <w:r w:rsidR="00B775CB" w:rsidRPr="00B775CB">
        <w:rPr>
          <w:noProof/>
          <w:vertAlign w:val="superscript"/>
        </w:rPr>
        <w:t>49</w:t>
      </w:r>
      <w:r w:rsidRPr="005A7F38">
        <w:fldChar w:fldCharType="end"/>
      </w:r>
      <w:r w:rsidRPr="005A7F38">
        <w:t xml:space="preserve"> This analysis of rurally based exposures supports the previous research associating living in a rural area with sarcoidosis risk.</w:t>
      </w:r>
      <w:r w:rsidRPr="005A7F38">
        <w:fldChar w:fldCharType="begin"/>
      </w:r>
      <w:r w:rsidR="00B775CB">
        <w:instrText>ADDIN F1000_CSL_CITATION&lt;~#@#~&gt;[{"DOI":"10.1172/JCI103240","First":false,"Last":false,"PMCID":"PMC438768","PMID":"13271570","author":[{"family":"Gentry","given":"J T"},{"family":"Nitowsky","given":"H M"},{"family":"Michael","given":"M"}],"authorYearDisplayFormat":false,"citation-label":"4507209","container-title":"The Journal of Clinical Investigation","container-title-short":"J Clin Invest","id":"4507209","invisible":false,"issue":"12","issued":{"date-parts":[["1955","12"]]},"journalAbbreviation":"J Clin Invest","page":"1839-1856","suppress-author":false,"title":"Studies on the epidemiology of sarcoidosis in the United States: the relationship to soil areas and to urban-rural residence.","type":"article-journal","volume":"34"},{"First":false,"Last":false,"PMID":"11164127","abstract":"&lt;strong&gt;PURPOSE:&lt;/strong&gt; To identify and quantify the risk of developing sarcoidosis associated with specific rural exposures previously recognized as potential risk factors for this disease.\n&lt;br&gt;\n&lt;br&gt;\n&lt;strong&gt;METHODS:&lt;/strong&gt; A matched case-control design was carried out with a 2-to-1 ratio of controls to cases. Case exposure histories were determine from a detailed questionnaire collecting self-reported information covering the period from birth through disease development and comparing that to exposure histories for the corresponding period in age-, race-, and gender-matched controls identified using Random Digit Dial survey methodology. Conditional logistic regression was used to analyze the matched data while controlling for several baseline variables.\n&lt;br&gt;\n&lt;br&gt;\n&lt;strong&gt;RESULTS:&lt;/strong&gt; A number of exposures were found to be univariately associated with the development of sarcoidosis including: the use of wood stoves, the use of fireplaces, the use of nonpublic water supplies, and living or working on a farm. A dose-response gradient was detected from exposure to wood stoves and fireplaces continued to be significantly associated with sarcoidosis in multivariable models.\n&lt;br&gt;\n&lt;br&gt;\n&lt;strong&gt;CONCLUSIONS:&lt;/strong&gt; The results of this study provide further support for the hypothesis that behaviors associated with rural living play some role in the development of sarcoidosis. This study further suggests that exposures involving the handling or burning of wood such as using wood stoves or fireplaces for home heating may, in part, explain this rural association.","author":[{"family":"Kajdasz","given":"D K"},{"family":"Lackland","given":"D T"},{"family":"Mohr","given":"L C"},{"family":"Judson","given":"M A"}],"authorYearDisplayFormat":false,"citation-label":"1249546","container-title":"Annals of Epidemiology","container-title-short":"Ann Epidemiol","id":"1249546","invisible":false,"issue":"2","issued":{"date-parts":[["2001","2"]]},"journalAbbreviation":"Ann Epidemiol","page":"111-117","suppress-author":false,"title":"A current assessment of rurally linked exposures as potential risk factors for sarcoidosis.","type":"article-journal","volume":"11"}]</w:instrText>
      </w:r>
      <w:r w:rsidRPr="005A7F38">
        <w:fldChar w:fldCharType="separate"/>
      </w:r>
      <w:r w:rsidR="00B775CB" w:rsidRPr="00B775CB">
        <w:rPr>
          <w:noProof/>
          <w:vertAlign w:val="superscript"/>
        </w:rPr>
        <w:t>47,48</w:t>
      </w:r>
      <w:r w:rsidRPr="005A7F38">
        <w:fldChar w:fldCharType="end"/>
      </w:r>
      <w:r w:rsidR="008A2E63">
        <w:t xml:space="preserve"> </w:t>
      </w:r>
    </w:p>
    <w:p w14:paraId="7A0B3C7E" w14:textId="77777777" w:rsidR="008A2E63" w:rsidRDefault="00865153" w:rsidP="002446BB">
      <w:r>
        <w:lastRenderedPageBreak/>
        <w:t>G</w:t>
      </w:r>
      <w:r w:rsidR="001B14F4">
        <w:t xml:space="preserve">eographic differences may account for some of the differences we see in </w:t>
      </w:r>
      <w:r>
        <w:t>both environmental and microbial profile composition. Future research utilizing zip code date for several years before and after sarcoidosis diagnosis could prove a valuable research. In many states, data has been collected detailing the use of pesticides and herbicides by zip code, and analyzing the chemical exposure in such detail may provide ins</w:t>
      </w:r>
      <w:r w:rsidR="008A2E63">
        <w:t>ights previously unavailable. Additionally, the availability of different types of foods should be considered as a potential confounder when assessing the relationship between the microbiome, sarcoidosis and geographic exposures as diet plays a significant role in the gut microbiome.</w:t>
      </w:r>
    </w:p>
    <w:p w14:paraId="444D99BD" w14:textId="57513F1E" w:rsidR="00CF4AC7" w:rsidRPr="005A7F38" w:rsidRDefault="008A2E63" w:rsidP="002446BB">
      <w:r>
        <w:t xml:space="preserve">The effect of a disparity in access to medical care between urban and rural communities may play a role in the heterogeneity of disease course seen in sarcoidosis. Urban versus rural community as well as access to health insurance, the existence of public transportation, public and university hospitals, and socioeconomic status should be considered as confounders to an association with geography. </w:t>
      </w:r>
    </w:p>
    <w:p w14:paraId="700FC697" w14:textId="77777777" w:rsidR="00CF4AC7" w:rsidRPr="005A7F38" w:rsidRDefault="00CF4AC7" w:rsidP="002446BB">
      <w:pPr>
        <w:pStyle w:val="Heading4"/>
        <w:numPr>
          <w:ilvl w:val="4"/>
          <w:numId w:val="29"/>
        </w:numPr>
        <w:rPr>
          <w:rFonts w:cs="Times New Roman"/>
        </w:rPr>
      </w:pPr>
      <w:bookmarkStart w:id="25" w:name="_Toc506540006"/>
      <w:r w:rsidRPr="005A7F38">
        <w:rPr>
          <w:rFonts w:cs="Times New Roman"/>
        </w:rPr>
        <w:t>Sarcoidosis Worldwide</w:t>
      </w:r>
      <w:bookmarkEnd w:id="25"/>
    </w:p>
    <w:p w14:paraId="28429461" w14:textId="10E21E36" w:rsidR="00CF4AC7" w:rsidRPr="005A7F38" w:rsidRDefault="00CF4AC7" w:rsidP="002446BB">
      <w:pPr>
        <w:pStyle w:val="Noindent"/>
      </w:pPr>
      <w:r w:rsidRPr="005A7F38">
        <w:t>Sarcoidosis is a disease that is found worldwide</w:t>
      </w:r>
      <w:r w:rsidR="00230D33" w:rsidRPr="005A7F38">
        <w:t>,</w:t>
      </w:r>
      <w:r w:rsidRPr="005A7F38">
        <w:t xml:space="preserve"> </w:t>
      </w:r>
      <w:r w:rsidR="00A80000">
        <w:t xml:space="preserve">but </w:t>
      </w:r>
      <w:r w:rsidRPr="005A7F38">
        <w:t xml:space="preserve">incidence varies widely. The global prevalence and incidence of sarcoidosis are challenging to determine due to the disparity in health care services available in parts of the world. Sarcoidosis can be incredibly challenging to diagnosis without extensive medical imaging and testing which is not available in underdeveloped countries. The incidence and prevalence rates are likely artificially low in areas where patients with symptoms are not able to be diagnosed. Additionally, in areas of the world where </w:t>
      </w:r>
      <w:r w:rsidRPr="005A7F38">
        <w:rPr>
          <w:i/>
        </w:rPr>
        <w:t>Mycobacterium tuberculosis</w:t>
      </w:r>
      <w:r w:rsidRPr="005A7F38">
        <w:t xml:space="preserve"> has a significant prevalence, patients with sarcoidosis may be misdiagnosed as have tuberculosis</w:t>
      </w:r>
      <w:r w:rsidR="00230D33" w:rsidRPr="005A7F38">
        <w:t xml:space="preserve">—a disease which causes </w:t>
      </w:r>
      <w:r w:rsidR="008F5985" w:rsidRPr="005A7F38">
        <w:t>caveating</w:t>
      </w:r>
      <w:r w:rsidR="00230D33" w:rsidRPr="005A7F38">
        <w:t xml:space="preserve"> granulomas that can be indistinguishable from sarcoidosis except by pathological analysis</w:t>
      </w:r>
      <w:r w:rsidRPr="005A7F38">
        <w:t xml:space="preserve">. Accordingly, in northern European countries, where </w:t>
      </w:r>
      <w:r w:rsidRPr="005A7F38">
        <w:lastRenderedPageBreak/>
        <w:t xml:space="preserve">health care is more readily available and rates of tuberculosis are lower, the highest incidence of sarcoidosis are reported, with estimates of incidence as high as 40 cases per 100,000 people. </w:t>
      </w:r>
    </w:p>
    <w:p w14:paraId="1D431B17" w14:textId="256A768B" w:rsidR="00CB62A8" w:rsidRPr="005A7F38" w:rsidRDefault="00CF4AC7" w:rsidP="002446BB">
      <w:r w:rsidRPr="005A7F38">
        <w:t>In addition to varying rates of sarcoidosis in across the world, clinical presentation of disease also varies widely by region. While certain clinical phenotypes seem to arise more often in different areas of the world, pulmonary involvement is present in over 90% of cases worldwide. In Japan, ocular and cardiac sarcoid involvement is seen in 50% of cases compared to a worldwide rate of 10%</w:t>
      </w:r>
      <w:r w:rsidR="00D25FBC" w:rsidRPr="005A7F38">
        <w:t xml:space="preserve"> ocular and cardiac disease</w:t>
      </w:r>
      <w:r w:rsidRPr="005A7F38">
        <w:t xml:space="preserve">. In an analysis of national autopsy records from Japan and autopsy records from two large medical institutions in the U.S. (109 white patients, 74 black patients and 320 Japanese), </w:t>
      </w:r>
      <w:r w:rsidR="006E6930" w:rsidRPr="005A7F38">
        <w:t>Japanese</w:t>
      </w:r>
      <w:r w:rsidRPr="005A7F38">
        <w:t xml:space="preserve"> patients with sarcoidosis were found to have granulomas in the myocardium in 69.1% of cases compared to 18% in white patients and 14.3% of black patients. Compared to white patients, Japanese patients had higher rates of death from cardiac sarcoidosis and lower rates of death from  pulmonary sarcoidosis.</w:t>
      </w:r>
      <w:r w:rsidRPr="005A7F38">
        <w:fldChar w:fldCharType="begin"/>
      </w:r>
      <w:r w:rsidR="00B775CB">
        <w:instrText>ADDIN F1000_CSL_CITATION&lt;~#@#~&gt;[{"First":false,"Last":false,"PMID":"8036339","abstract":"The most commonly involved organ in sarcoid related death has been reported to be the lung in western countries, while it was the heart in the Japanese autopsy series. In order to verify this different pattern of death, autopsy records were reviewed in two United States institutions and in Japanese nation-wide data. In Japanese, male to female ratio was 1:2 and a high frequency of sarcoidosis in females over 50 years of age was observed. Male to female ratio in Caucasian sarcoidosis autopsy was nearly 1:1. In Afroamericans, it was nearly 1:2, and the age distribution showed that this female predominance was due to a high number of sarcoidosis in females over 40 years of age. The frequency of sarcoidosis in Caucasian autopsies was higher than in Japanese autopsies. The number of involved organs was smaller in Caucasians than in Afroamericans or in Japanese. The incidence of cardiac sarcoid granuloma in Japanese was significantly higher than that seen in Caucasians and Afroamericans. The commonest cause of death in sarcoidosis of Caucasians and Afroamericans was from non-sarcoid diseases, while the major cause of sarcoid-attributed death was pulmonary sarcoidosis in Afroamericans. Japanese showed the highest rate of cardiac sarcoid-attributed death. Possible factors relating to this high incidence of sarcoidosis in elderly females and the racial difference in cardiac sarcoidosis were discussed.","author":[{"family":"Iwai","given":"K"},{"family":"Sekiguti","given":"M"},{"family":"Hosoda","given":"Y"},{"family":"DeRemee","given":"R A"},{"family":"Tazelaar","given":"H D"},{"family":"Sharma","given":"O P"},{"family":"Maheshwari","given":"A"},{"family":"Noguchi","given":"T I"}],"authorYearDisplayFormat":false,"citation-label":"4473901","container-title":"Sarcoidosis","container-title-short":"Sarcoidosis","id":"4473901","invisible":false,"issue":"1","issued":{"date-parts":[["1994","3"]]},"journalAbbreviation":"Sarcoidosis","page":"26-31","suppress-author":false,"title":"Racial difference in cardiac sarcoidosis incidence observed at autopsy.","type":"article-journal","volume":"11"},{"DOI":"10.1016/j.ccm.2008.03.013","First":false,"Last":false,"PMID":"18539231","abstract":"Sarcoidosis is an illness that generates tremendous anxiety among persons who suffer from it and interest among the individuals who provide care to them. The disease occurs throughout the world and has been around for more than 150 years. Its colorful history, which has been documented before, is provided in this article.","author":[{"family":"Sharma","given":"Om P"}],"authorYearDisplayFormat":false,"citation-label":"4268748","container-title":"Clinics in Chest Medicine","container-title-short":"Clin Chest Med","id":"4268748","invisible":false,"issue":"3","issued":{"date-parts":[["2008","9"]]},"journalAbbreviation":"Clin Chest Med","page":"357-63, vii","suppress-author":false,"title":"Sarcoidosis around the world.","type":"article-journal","volume":"29"}]</w:instrText>
      </w:r>
      <w:r w:rsidRPr="005A7F38">
        <w:fldChar w:fldCharType="separate"/>
      </w:r>
      <w:r w:rsidR="00B775CB" w:rsidRPr="00B775CB">
        <w:rPr>
          <w:noProof/>
          <w:vertAlign w:val="superscript"/>
        </w:rPr>
        <w:t>50,51</w:t>
      </w:r>
      <w:r w:rsidRPr="005A7F38">
        <w:fldChar w:fldCharType="end"/>
      </w:r>
      <w:r w:rsidRPr="005A7F38">
        <w:t xml:space="preserve"> Although higher rates of sarcoidosis are seen in U.S. black patients, black patients in Africa and South America have lower rates of sarcoidosis compared to black in the U.S. </w:t>
      </w:r>
      <w:r w:rsidR="00994AB1" w:rsidRPr="005A7F38">
        <w:t>Incidence of sarcoidosis is extremely low in Spain, Portugal, India, Saudi Arabia or South America likely due to the absence of screening programs and because of the higher prevalence of other granulomatous diseases such as tuberculosis and leprosy obscuring sarcoidosis diagnosis.</w:t>
      </w:r>
      <w:r w:rsidR="00436BF3" w:rsidRPr="005A7F38">
        <w:fldChar w:fldCharType="begin"/>
      </w:r>
      <w:r w:rsidR="00B775CB">
        <w:instrText>ADDIN F1000_CSL_CITATION&lt;~#@#~&gt;[{"First":false,"Last":false,"PMID":"1344052","abstract":"We review the Spanish literature on sarcoidosis, and describe the most important epidemiological and clinical findings. Recent epidemiological data show a cumulative annual incidence rate of 1.36 per 100,000 inhabitants. The most relevant clinical aspects are the high incidence of Löfgren syndrome (48% of the cases), and the low percentage of cases diagnosed by routine chest X-ray (9%). Findings of intrathoracic and extrathoracic sarcoidosis, biopsy procedures, Kveim test, lung function tests, as well as the activity markers are, in general, similar to those previously described in the literature. The overall prognosis of sarcoidosis in Spain is good.","author":[{"family":"Mañá","given":"J"},{"family":"Badrinas","given":"F"},{"family":"Morera","given":"J"},{"family":"Fité","given":"E"},{"family":"Manresa","given":"F"},{"family":"Fernández-Nogués","given":"F"}],"authorYearDisplayFormat":false,"citation-label":"4538326","container-title":"Sarcoidosis","container-title-short":"Sarcoidosis","id":"4538326","invisible":false,"issue":"2","issued":{"date-parts":[["1992","9"]]},"journalAbbreviation":"Sarcoidosis","page":"118-122","suppress-author":false,"title":"Sarcoidosis in Spain.","type":"article-journal","volume":"9"},{"DOI":"10.1164/ajrccm.160.2.ats4-99","First":false,"Last":false,"PMID":"10430755","authorYearDisplayFormat":false,"citation-label":"3415896","container-title":"American Journal of Respiratory and Critical Care Medicine","container-title-short":"Am J Respir Crit Care Med","id":"3415896","invisible":false,"issue":"2","issued":{"date-parts":[["1999","8"]]},"journalAbbreviation":"Am J Respir Crit Care Med","page":"736-755","suppress-author":false,"title":"Statement on sarcoidosis. Joint Statement of the American Thoracic Society (ATS), the European Respiratory Society (ERS) and the World Association of Sarcoidosis and Other Granulomatous Disorders (WASOG) adopted by the ATS Board of Directors and by the ERS Executive Committee, February 1999.","type":"article-journal","volume":"160"}]</w:instrText>
      </w:r>
      <w:r w:rsidR="00436BF3" w:rsidRPr="005A7F38">
        <w:fldChar w:fldCharType="separate"/>
      </w:r>
      <w:r w:rsidR="00B775CB" w:rsidRPr="00B775CB">
        <w:rPr>
          <w:noProof/>
          <w:vertAlign w:val="superscript"/>
        </w:rPr>
        <w:t>1,52</w:t>
      </w:r>
      <w:r w:rsidR="00436BF3" w:rsidRPr="005A7F38">
        <w:fldChar w:fldCharType="end"/>
      </w:r>
      <w:r w:rsidR="00994AB1" w:rsidRPr="005A7F38">
        <w:t xml:space="preserve"> </w:t>
      </w:r>
    </w:p>
    <w:p w14:paraId="327310A1" w14:textId="77777777" w:rsidR="00B917F0" w:rsidRPr="005A7F38" w:rsidRDefault="00CB62A8" w:rsidP="002446BB">
      <w:pPr>
        <w:pStyle w:val="Heading3"/>
        <w:rPr>
          <w:rFonts w:cs="Times New Roman"/>
        </w:rPr>
      </w:pPr>
      <w:bookmarkStart w:id="26" w:name="_Toc506540007"/>
      <w:bookmarkEnd w:id="19"/>
      <w:bookmarkEnd w:id="20"/>
      <w:r w:rsidRPr="005A7F38">
        <w:rPr>
          <w:rFonts w:cs="Times New Roman"/>
        </w:rPr>
        <w:t>Risk Factors</w:t>
      </w:r>
      <w:bookmarkEnd w:id="26"/>
      <w:r w:rsidR="00E35361" w:rsidRPr="005A7F38">
        <w:rPr>
          <w:rFonts w:cs="Times New Roman"/>
        </w:rPr>
        <w:t xml:space="preserve"> </w:t>
      </w:r>
    </w:p>
    <w:p w14:paraId="74CE7E8C" w14:textId="77777777" w:rsidR="00CB62A8" w:rsidRPr="005A7F38" w:rsidRDefault="00CB62A8" w:rsidP="002446BB">
      <w:pPr>
        <w:pStyle w:val="Heading4"/>
        <w:rPr>
          <w:rFonts w:cs="Times New Roman"/>
        </w:rPr>
      </w:pPr>
      <w:bookmarkStart w:id="27" w:name="_Toc106513532"/>
      <w:bookmarkStart w:id="28" w:name="_Toc106717790"/>
      <w:bookmarkStart w:id="29" w:name="_Toc506540008"/>
      <w:r w:rsidRPr="005A7F38">
        <w:rPr>
          <w:rFonts w:cs="Times New Roman"/>
        </w:rPr>
        <w:t>Age</w:t>
      </w:r>
      <w:bookmarkEnd w:id="29"/>
    </w:p>
    <w:p w14:paraId="30D9A6FD" w14:textId="2DD8494D" w:rsidR="005F29F2" w:rsidRPr="005A7F38" w:rsidRDefault="00CB62A8" w:rsidP="002446BB">
      <w:pPr>
        <w:pStyle w:val="Noindent"/>
      </w:pPr>
      <w:r w:rsidRPr="005A7F38">
        <w:t>Although often thought of as a disease primarily affecting adults over 40 years of age, recent studies have demonstrated a bimodal trend in age of diagnosis.</w:t>
      </w:r>
      <w:r w:rsidRPr="005A7F38">
        <w:fldChar w:fldCharType="begin"/>
      </w:r>
      <w:r w:rsidR="00B775CB">
        <w:instrText>ADDIN F1000_CSL_CITATION&lt;~#@#~&gt;[{"DOI":"10.1378/chest.10-0413","First":false,"Last":false,"PMCID":"PMC3014690","PMID":"20595459","abstract":"&lt;strong&gt;BACKGROUND:&lt;/strong&gt; Sarcoidosis is a systemic granulomatous disorder of unknown cause that occurs among men and women of all races. In the United States, black women are most frequently and most severely affected. There have been few epidemiologic studies of sarcoidosis focusing on black women.&lt;br&gt;&lt;br&gt;&lt;strong&gt;METHODS:&lt;/strong&gt; In this article, we present data on incidence, prevalence, and clinical characteristics of sarcoidosis among participants in the Black Women's Health Study, a cohort study of 59,000 black women from across the United States. Data on incident disease and potential risk factors are obtained through biennial questionnaires. Follow-up has been &gt; 80% through six completed cycles.&lt;br&gt;&lt;br&gt;&lt;strong&gt;RESULTS:&lt;/strong&gt; There were 685 prevalent cases of sarcoidosis at baseline in 1995 and 435 incident cases reported during 611,585 person-years of follow-up through 2007, for an average annual incidence rate of 71/100,000 and a current prevalence of 2.0%. The sarcoid diagnosis was confirmed in 96% of self-reported cases for whom medical records or physician checklists were obtained. The most frequently affected site was the lung. Most patients also had extrapulmonary involvement, with the most common sites being lymph nodes, skin, and eyes. Prednisone had the highest prevalence of use, followed by inhaled corticosteroids.&lt;br&gt;&lt;br&gt;&lt;strong&gt;CONCLUSIONS:&lt;/strong&gt; This study confirms previous reports of high incidence and prevalence of sarcoidosis among black women, as well as the extent of extrapulmonary disease, frequent need for steroid therapy, and comorbid conditions in this population. The prospective identification of sarcoidosis cases from a defined population will enable a valid assessment of risk factors for incident disease as follow-up continues.","author":[{"family":"Cozier","given":"Yvette C"},{"family":"Berman","given":"Jeffrey S"},{"family":"Palmer","given":"Julie R"},{"family":"Boggs","given":"Deborah A"},{"family":"Serlin","given":"David M"},{"family":"Rosenberg","given":"Lynn"}],"authorYearDisplayFormat":false,"citation-label":"4339051","container-title":"Chest","container-title-short":"Chest","id":"4339051","invisible":false,"issue":"1","issued":{"date-parts":[["2011","1"]]},"journalAbbreviation":"Chest","page":"144-150","suppress-author":false,"title":"Sarcoidosis in black women in the United States: data from the Black Women's Health Study.","type":"article-journal","volume":"139"}]</w:instrText>
      </w:r>
      <w:r w:rsidRPr="005A7F38">
        <w:fldChar w:fldCharType="separate"/>
      </w:r>
      <w:r w:rsidR="00B775CB" w:rsidRPr="00B775CB">
        <w:rPr>
          <w:noProof/>
          <w:vertAlign w:val="superscript"/>
        </w:rPr>
        <w:t>29</w:t>
      </w:r>
      <w:r w:rsidRPr="005A7F38">
        <w:fldChar w:fldCharType="end"/>
      </w:r>
      <w:r w:rsidRPr="005A7F38">
        <w:rPr>
          <w:vertAlign w:val="superscript"/>
        </w:rPr>
        <w:t>,</w:t>
      </w:r>
      <w:r w:rsidRPr="005A7F38">
        <w:fldChar w:fldCharType="begin"/>
      </w:r>
      <w:r w:rsidR="00B775CB">
        <w:instrText>ADDIN F1000_CSL_CITATION&lt;~#@#~&gt;[{"DOI":"10.1513/AnnalsATS.201511-760OC","First":false,"Last":false,"PMID":"27509154","abstract":"&lt;strong&gt;RATIONALE:&lt;/strong&gt; There have been no recent comprehensive studies of the epidemiology of sarcoidosis in the United States. Changes in health care use have made available access to data on large numbers of patients with sarcoidosis.&lt;br&gt;&lt;br&gt;&lt;strong&gt;OBJECTIVES:&lt;/strong&gt; To use a U.S. national health care database to gather data on patients with sarcoidosis identified over a 3-year period who were 18 years of age and older, and to determine health care costs for these patients.&lt;br&gt;&lt;br&gt;&lt;strong&gt;METHODS:&lt;/strong&gt; The Optum health care database was queried for a 3-year period (2010-2013). This database includes approximately 15% of U.S. residents. The incidence rate of sarcoidosis was calculated for new cases identified in each year. Calculation of prevalence was based on any patient with sarcoidosis seen during the year. Incidence and prevalence rates are reported per 100,000 patients.&lt;br&gt;&lt;br&gt;&lt;strong&gt;MEASUREMENTS AND MAIN RESULTS:&lt;/strong&gt; A total of 29,372 adult patients with sarcoidosis were identified. Of these, 14,700 (55%) were over 55 years of age at the time of diagnosis. The incidence and prevalence rates were higher for African Americans (17.8 and 141.4 per 100,000, respectively) than for white individuals (8.1 and 49.8), Hispanics (4.3 and 21.7), or Asians (3.2 and 18.9). Women were two times more likely to have sarcoidosis, with the highest prevalence for sarcoidosis noted in African American women (178.5). Overall, the yearly health care cost reported for patients with sarcoidosis was low, with a median of $18,663 per year. However, the yearly cost for the top 5% was $93,201.&lt;br&gt;&lt;br&gt;&lt;strong&gt;CONCLUSIONS:&lt;/strong&gt; For patients 18 years of age and older enrolled in a U.S. national administrative database, sarcoidosis was more common among African Americans, but it was reported for all four of the major ethnic groups studied. While health care costs were relatively small for most patients, the cost of care for some patients was considerable.","author":[{"family":"Baughman","given":"Robert P"},{"family":"Field","given":"Shelli"},{"family":"Costabel","given":"Ulrich"},{"family":"Crystal","given":"Ronald G"},{"family":"Culver","given":"Daniel A"},{"family":"Drent","given":"Marjolein"},{"family":"Judson","given":"Marc A"},{"family":"Wolff","given":"Gerhard"}],"authorYearDisplayFormat":false,"citation-label":"4267493","container-title":"Annals of the American Thoracic Society","container-title-short":"Ann Am Thorac Soc","id":"4267493","invisible":false,"issue":"8","issued":{"date-parts":[["2016","8"]]},"journalAbbreviation":"Ann Am Thorac Soc","page":"1244-1252","suppress-author":false,"title":"Sarcoidosis in america. analysis based on health care use.","type":"article-journal","volume":"13"}]</w:instrText>
      </w:r>
      <w:r w:rsidRPr="005A7F38">
        <w:fldChar w:fldCharType="separate"/>
      </w:r>
      <w:r w:rsidR="00B775CB" w:rsidRPr="00B775CB">
        <w:rPr>
          <w:noProof/>
          <w:vertAlign w:val="superscript"/>
        </w:rPr>
        <w:t>2</w:t>
      </w:r>
      <w:r w:rsidRPr="005A7F38">
        <w:fldChar w:fldCharType="end"/>
      </w:r>
      <w:r w:rsidRPr="005A7F38">
        <w:rPr>
          <w:vertAlign w:val="superscript"/>
        </w:rPr>
        <w:t>,</w:t>
      </w:r>
      <w:r w:rsidRPr="005A7F38">
        <w:fldChar w:fldCharType="begin"/>
      </w:r>
      <w:r w:rsidR="00B775CB">
        <w:instrText>ADDIN F1000_CSL_CITATION&lt;~#@#~&gt;[{"First":false,"Last":false,"PMID":"12102610","abstract":"&lt;strong&gt;BACKGROUND:&lt;/strong&gt; Sarcoidosis occurs most often between 20 and 40 years of age, but also presents in children and older adults. Newly diagnosed sarcoidosis in older patients has received little attention. In order to characterize sarcoidosis in older patients, the clinical, radiographic and laboratory features of sarcoidosis presenting in patients aged 50 or older were compared to patients whose sarcoidosis was diagnosed at an earlier age.&lt;br&gt;&lt;br&gt;&lt;strong&gt;METHODS:&lt;/strong&gt; The medical records of 181 consecutive patients with sarcoidosis were reviewed. They were divided into 92 patients diagnosed at 50 years of age or older (group A), and 89 whose diagnosis preceded age 50 (group B).&lt;br&gt;&lt;br&gt;&lt;strong&gt;RESULTS:&lt;/strong&gt; Comparison of group A with group B revealed that the two groups were similar with regard to race, gender, smoking habits, common presenting symptoms, organ system involvement, pulmonary function data, radiographic stage, PPD status, and laboratory values. At the time of diagnosis, most patients in both groups presented with either respiratory symptoms or asymptomatic chest roentgenogram abnormalities. The most prevalent pulmonary function abnormality was reduced diffusing capacity in both groups. Most patients exhibited either stage I or II chest roentgenograms. Organ systems most commonly involved included lung, lymph nodes, and skin.&lt;br&gt;&lt;br&gt;&lt;strong&gt;CONCLUSION:&lt;/strong&gt; Sarcoidosis presents with similar clinical features whether diagnosed in young adults or in patients over the age of 50. The diagnosis of sarcoidosis should be considered in patients presenting over age 50 with characteristic signs and symptoms including chest radiographic evidence of mediastinal lymphadenopathy.","author":[{"family":"Lenner","given":"Roberta"},{"family":"Schilero","given":"Gregory J"},{"family":"Padilla","given":"Maria L"},{"family":"Teirstein","given":"Alvin S"}],"authorYearDisplayFormat":false,"citation-label":"4339049","container-title":"Sarcoidosis, vasculitis, and diffuse lung diseases : official journal of WASOG / World Association of Sarcoidosis and Other Granulomatous Disorders","container-title-short":"Sarcoidosis Vasc Diffuse Lung Dis","id":"4339049","invisible":false,"issue":"2","issued":{"date-parts":[["2002","6"]]},"journalAbbreviation":"Sarcoidosis Vasc Diffuse Lung Dis","page":"143-147","suppress-author":false,"title":"Sarcoidosis presenting in patients older than 50 years.","type":"article-journal","volume":"19"}]</w:instrText>
      </w:r>
      <w:r w:rsidRPr="005A7F38">
        <w:fldChar w:fldCharType="separate"/>
      </w:r>
      <w:r w:rsidR="00B775CB" w:rsidRPr="00B775CB">
        <w:rPr>
          <w:noProof/>
          <w:vertAlign w:val="superscript"/>
        </w:rPr>
        <w:t>53</w:t>
      </w:r>
      <w:r w:rsidRPr="005A7F38">
        <w:fldChar w:fldCharType="end"/>
      </w:r>
      <w:r w:rsidRPr="005A7F38">
        <w:t xml:space="preserve"> Incidence peaks first between ages 25-29 years and then again at ages 65-69 years.</w:t>
      </w:r>
      <w:r w:rsidRPr="005A7F38">
        <w:fldChar w:fldCharType="begin"/>
      </w:r>
      <w:r w:rsidR="00B775CB">
        <w:instrText>ADDIN F1000_CSL_CITATION&lt;~#@#~&gt;[{"DOI":"10.1164/arrd.1984.130.1.29","First":false,"Last":false,"PMID":"6742607","abstract":"A 15-year study of patients with sarcoidosis is presented. In most patients, the disease was discovered at a general health screening examination. The mean total incidence among persons 15 yr of age or older was 19 per 100,000 per year (21.7 for women and 16.5 for men). There was a peak incidence in both sexes between the ages of 20 and 34, and in older women, there was a second but lower and broader peak. The frequency of symptoms was greater in older women than in other patients. The accumulated lifetime risk of sarcoidosis was 1.3% for women and almost 1% for men. Patients with Stage I sarcoidosis, i.e., with bilateral hilar adenopathy alone, had the best prognosis, with 50% of the patients showing a normal radiographic picture 15 months after the discovery of the disease. Among patients with Stage II sarcoidosis (both bilateral hilar adenopathy and pulmonary infiltration), it was 36 months before 50% returned to normal radiographically. Resolution of all radiographic evidence of the disease could still occur many years after the first pathologic findings were made on chest films.","author":[{"family":"Hillerdal","given":"G"},{"family":"Nöu","given":"E"},{"family":"Osterman","given":"K"},{"family":"Schmekel","given":"B"}],"authorYearDisplayFormat":false,"citation-label":"4339046","container-title":"The American Review of Respiratory Disease","container-title-short":"Am Rev Respir Dis","id":"4339046","invisible":false,"issue":"1","issued":{"date-parts":[["1984","7"]]},"journalAbbreviation":"Am Rev Respir Dis","page":"29-32","suppress-author":false,"title":"Sarcoidosis: epidemiology and prognosis. A 15-year European study.","type":"article-journal","volume":"130"}]</w:instrText>
      </w:r>
      <w:r w:rsidRPr="005A7F38">
        <w:fldChar w:fldCharType="separate"/>
      </w:r>
      <w:r w:rsidR="00B775CB" w:rsidRPr="00B775CB">
        <w:rPr>
          <w:noProof/>
          <w:vertAlign w:val="superscript"/>
        </w:rPr>
        <w:t>54</w:t>
      </w:r>
      <w:r w:rsidRPr="005A7F38">
        <w:fldChar w:fldCharType="end"/>
      </w:r>
      <w:r w:rsidRPr="005A7F38">
        <w:t xml:space="preserve"> In a community-based study of sarcoidosis, </w:t>
      </w:r>
      <w:r w:rsidRPr="005A7F38">
        <w:lastRenderedPageBreak/>
        <w:t>a peak incidence in males (</w:t>
      </w:r>
      <w:r w:rsidR="002445F7" w:rsidRPr="005A7F38">
        <w:t>IR:</w:t>
      </w:r>
      <w:r w:rsidRPr="005A7F38">
        <w:t>18.7) was found at ages 30-39 years and in females (</w:t>
      </w:r>
      <w:r w:rsidR="002445F7" w:rsidRPr="005A7F38">
        <w:t xml:space="preserve">IR: </w:t>
      </w:r>
      <w:r w:rsidRPr="005A7F38">
        <w:t>15.6) at ages 40 to 49 years.</w:t>
      </w:r>
      <w:r w:rsidRPr="005A7F38">
        <w:fldChar w:fldCharType="begin"/>
      </w:r>
      <w:r w:rsidR="00B775CB">
        <w:instrText>ADDIN F1000_CSL_CITATION&lt;~#@#~&gt;[{"First":false,"Last":false,"PMID":"3962966","abstract":"Using the unique data resources of the Rochester Epidemiology Project, a community-based study of clinically diagnosed sarcoidosis was conducted. In this population-based study, the 75 Rochester, Minnesota, residents with sarcoidosis initially diagnosed between 1946 and 1975 (incidence cohort) were followed through their comprehensive medical records in the community to January 1, 1982. The age- and sex-adjusted incidence of sarcoidosis was 6.1 per 100,000 person-years. The age-adjusted incidence of sarcoidosis was similar in males (5.9) and females (6.3), with a peak incidence in males 30 to 39 years old (18.7) and in females 40 to 49 years old (15.6). A secular increase in sarcoidosis incidence was noted in the period 1946-1975 for females, with a marked increase in the number and percentage of biopsy-documented cases. Seasonal variation in sarcoidosis incidence was minimal, with a seasonal peak of 31% of the Rochester cases being diagnosed during the spring (March-May). Survival, compared with that of the North Central United States, was unimpaired in this sarcoidosis incidence cohort.","author":[{"family":"Henke","given":"C E"},{"family":"Henke","given":"G"},{"family":"Elveback","given":"L R"},{"family":"Beard","given":"C M"},{"family":"Ballard","given":"D J"},{"family":"Kurland","given":"L T"}],"authorYearDisplayFormat":false,"citation-label":"4444541","container-title":"American Journal of Epidemiology","container-title-short":"Am J Epidemiol","id":"4444541","invisible":false,"issue":"5","issued":{"date-parts":[["1986","5"]]},"journalAbbreviation":"Am J Epidemiol","page":"840-845","suppress-author":false,"title":"The epidemiology of sarcoidosis in Rochester, Minnesota: a population-based study of incidence and survival.","type":"article-journal","volume":"123"}]</w:instrText>
      </w:r>
      <w:r w:rsidRPr="005A7F38">
        <w:fldChar w:fldCharType="separate"/>
      </w:r>
      <w:r w:rsidR="00B775CB" w:rsidRPr="00B775CB">
        <w:rPr>
          <w:noProof/>
          <w:vertAlign w:val="superscript"/>
        </w:rPr>
        <w:t>41</w:t>
      </w:r>
      <w:r w:rsidRPr="005A7F38">
        <w:fldChar w:fldCharType="end"/>
      </w:r>
      <w:r w:rsidR="002E17E3" w:rsidRPr="005A7F38">
        <w:t xml:space="preserve"> The </w:t>
      </w:r>
      <w:r w:rsidR="002445F7" w:rsidRPr="005A7F38">
        <w:t>Black Women’s Health Study (</w:t>
      </w:r>
      <w:r w:rsidRPr="005A7F38">
        <w:t>BWHS</w:t>
      </w:r>
      <w:r w:rsidR="002445F7" w:rsidRPr="005A7F38">
        <w:t>)</w:t>
      </w:r>
      <w:r w:rsidR="002E17E3" w:rsidRPr="005A7F38">
        <w:t>, an ongoing cohort study of black women in the U.S., has found that</w:t>
      </w:r>
      <w:r w:rsidRPr="005A7F38">
        <w:t xml:space="preserve"> incidence was highest among black women in their 40s with a median age of diagnosis of 32 for prevalent cases and 44 years for incident cases, with an incidence rate of 92 per 100,000.</w:t>
      </w:r>
      <w:r w:rsidRPr="005A7F38">
        <w:fldChar w:fldCharType="begin"/>
      </w:r>
      <w:r w:rsidR="00B775CB">
        <w:instrText>ADDIN F1000_CSL_CITATION&lt;~#@#~&gt;[{"DOI":"10.1378/chest.10-0413","First":false,"Last":false,"PMCID":"PMC3014690","PMID":"20595459","abstract":"&lt;strong&gt;BACKGROUND:&lt;/strong&gt; Sarcoidosis is a systemic granulomatous disorder of unknown cause that occurs among men and women of all races. In the United States, black women are most frequently and most severely affected. There have been few epidemiologic studies of sarcoidosis focusing on black women.&lt;br&gt;&lt;br&gt;&lt;strong&gt;METHODS:&lt;/strong&gt; In this article, we present data on incidence, prevalence, and clinical characteristics of sarcoidosis among participants in the Black Women's Health Study, a cohort study of 59,000 black women from across the United States. Data on incident disease and potential risk factors are obtained through biennial questionnaires. Follow-up has been &gt; 80% through six completed cycles.&lt;br&gt;&lt;br&gt;&lt;strong&gt;RESULTS:&lt;/strong&gt; There were 685 prevalent cases of sarcoidosis at baseline in 1995 and 435 incident cases reported during 611,585 person-years of follow-up through 2007, for an average annual incidence rate of 71/100,000 and a current prevalence of 2.0%. The sarcoid diagnosis was confirmed in 96% of self-reported cases for whom medical records or physician checklists were obtained. The most frequently affected site was the lung. Most patients also had extrapulmonary involvement, with the most common sites being lymph nodes, skin, and eyes. Prednisone had the highest prevalence of use, followed by inhaled corticosteroids.&lt;br&gt;&lt;br&gt;&lt;strong&gt;CONCLUSIONS:&lt;/strong&gt; This study confirms previous reports of high incidence and prevalence of sarcoidosis among black women, as well as the extent of extrapulmonary disease, frequent need for steroid therapy, and comorbid conditions in this population. The prospective identification of sarcoidosis cases from a defined population will enable a valid assessment of risk factors for incident disease as follow-up continues.","author":[{"family":"Cozier","given":"Yvette C"},{"family":"Berman","given":"Jeffrey S"},{"family":"Palmer","given":"Julie R"},{"family":"Boggs","given":"Deborah A"},{"family":"Serlin","given":"David M"},{"family":"Rosenberg","given":"Lynn"}],"authorYearDisplayFormat":false,"citation-label":"4339051","container-title":"Chest","container-title-short":"Chest","id":"4339051","invisible":false,"issue":"1","issued":{"date-parts":[["2011","1"]]},"journalAbbreviation":"Chest","page":"144-150","suppress-author":false,"title":"Sarcoidosis in black women in the United States: data from the Black Women's Health Study.","type":"article-journal","volume":"139"}]</w:instrText>
      </w:r>
      <w:r w:rsidRPr="005A7F38">
        <w:fldChar w:fldCharType="separate"/>
      </w:r>
      <w:r w:rsidR="00B775CB" w:rsidRPr="00B775CB">
        <w:rPr>
          <w:noProof/>
          <w:vertAlign w:val="superscript"/>
        </w:rPr>
        <w:t>29</w:t>
      </w:r>
      <w:r w:rsidRPr="005A7F38">
        <w:fldChar w:fldCharType="end"/>
      </w:r>
      <w:r w:rsidRPr="005A7F38">
        <w:t xml:space="preserve"> The </w:t>
      </w:r>
      <w:r w:rsidR="002E17E3" w:rsidRPr="005A7F38">
        <w:t>NHSII</w:t>
      </w:r>
      <w:r w:rsidR="009847BE" w:rsidRPr="005A7F38">
        <w:t xml:space="preserve"> included </w:t>
      </w:r>
      <w:r w:rsidRPr="005A7F38">
        <w:t xml:space="preserve">an epidemiologic analysis of sarcoidosis in their cohort of primarily white nurses found the highest incident rates at ages 50-55 years. This </w:t>
      </w:r>
      <w:r w:rsidR="002954D3" w:rsidRPr="005A7F38">
        <w:t>discrepancy in age of diagnosis may be related to the previously mentioned challenges in</w:t>
      </w:r>
      <w:r w:rsidRPr="005A7F38">
        <w:t xml:space="preserve"> diagnosing sarcoidosis, especially in patients over the age of 50 years</w:t>
      </w:r>
      <w:r w:rsidR="002954D3" w:rsidRPr="005A7F38">
        <w:t>, compounded by the lower prevalence of sarcoidosis in white people</w:t>
      </w:r>
      <w:r w:rsidR="0081290A" w:rsidRPr="005A7F38">
        <w:t xml:space="preserve"> and the difference in clinical presentation by race</w:t>
      </w:r>
      <w:r w:rsidR="00F45D38">
        <w:t xml:space="preserve">. </w:t>
      </w:r>
      <w:r w:rsidRPr="005A7F38">
        <w:t>However, in case-control study of sarcoidosis, no significant difference was found between races in time-to-diagnosis.</w:t>
      </w:r>
      <w:r w:rsidRPr="005A7F38">
        <w:fldChar w:fldCharType="begin"/>
      </w:r>
      <w:r w:rsidR="00B775CB">
        <w:instrText>ADDIN F1000_CSL_CITATION&lt;~#@#~&gt;[{"DOI":"10.1378/chest.123.2.406","First":false,"Last":false,"author":[{"family":"Judson","given":"Marc A."},{"family":"Thompson","given":"Bruce W."},{"family":"Rabin","given":"David L."},{"family":"Steimel","given":"Joanne"},{"family":"Knattereud","given":"Genell L."},{"family":"Lackland","given":"Daniel T."},{"family":"Rose","given":"Cecile"},{"family":"Rand","given":"Cynthia S."},{"family":"Baughman","given":"Robert P."},{"family":"Teirstein","given":"Alvin S."}],"authorYearDisplayFormat":false,"citation-label":"4339056","container-title":"Chest","container-title-short":"Chest","id":"4339056","invisible":false,"issue":"2","issued":{"date-parts":[["2003","2"]]},"journalAbbreviation":"Chest","page":"406-412","suppress-author":false,"title":"The diagnostic pathway to sarcoidosis*","type":"article-journal","volume":"123"}]</w:instrText>
      </w:r>
      <w:r w:rsidRPr="005A7F38">
        <w:fldChar w:fldCharType="separate"/>
      </w:r>
      <w:r w:rsidR="00B775CB" w:rsidRPr="00B775CB">
        <w:rPr>
          <w:noProof/>
          <w:vertAlign w:val="superscript"/>
        </w:rPr>
        <w:t>55</w:t>
      </w:r>
      <w:r w:rsidRPr="005A7F38">
        <w:fldChar w:fldCharType="end"/>
      </w:r>
      <w:r w:rsidRPr="005A7F38">
        <w:t xml:space="preserve"> </w:t>
      </w:r>
      <w:r w:rsidR="007666B6" w:rsidRPr="005A7F38">
        <w:t>Sarcoidosis is very rare in children as compared to adults.</w:t>
      </w:r>
      <w:r w:rsidR="007666B6" w:rsidRPr="005A7F38">
        <w:fldChar w:fldCharType="begin"/>
      </w:r>
      <w:r w:rsidR="00B775CB">
        <w:instrText>ADDIN F1000_CSL_CITATION&lt;~#@#~&gt;[{"First":false,"Last":false,"PMID":"6933282","author":[{"family":"Schabel","given":"S I"},{"family":"Stanley","given":"J H"},{"family":"Shelley","given":"B E"}],"authorYearDisplayFormat":false,"citation-label":"4473874","container-title":"Journal of the South Carolina Medical Association (1975)","container-title-short":"J S C Med Assoc","id":"4473874","invisible":false,"issue":"9","issued":{"date-parts":[["1980","9"]]},"journalAbbreviation":"J S C Med Assoc","page":"419-422","suppress-author":false,"title":"Pediatric sarcoidosis.","type":"article-journal","volume":"76"},{"DOI":"10.1183/09031936.00011507","First":false,"Last":false,"PMID":"18057063","abstract":"The aim of the present study was to describe clinical features and long-term survival in childhood sarcoidosis. In total, 46 ethnic Caucasian Danish children (aged &lt; 16 yrs, 24 males) with sarcoidosis were identified in 1979-1994. In 33 (72%) children, diagnosis was verified by histology and, in the remaining 13, by clinical and radiological findings. In total, 37 subjects had a follow-up examination. Median (range) age at onset of disease was 14 (0.7-15.8) yrs and median (range) clinical follow-up was 15 (3-23) yrs after onset of disease. The median (range) age at clinical follow-up was 28 (17-30) yrs. At follow-up: 36 (78%) children recovered completely; 30 (65%) showed complete clinical regression at a median (range) 0.7 (0.6-5.9) yrs after onset of disease; two (4%) recovered with organ damage (unilateral loss of vision, abnormal chest radiograph); five (11%) still had chronic active disease with multiorgan involvement and impaired lung function; and three (7%) were deceased, due to central nervous system sarcoidosis and acute myeloid leukaemia probably caused by cytostatics. In Danish children, sarcoidosis had a favourable prognosis; the majority recovered &lt; 6 yrs after onset of disease. Some developed chronic active disease and impairment of pulmonary function, demanding continuous medical treatment. Prognosis was not related to the age at onset of disease. Erythema nodosum was associated with a good prognosis, and central nervous system involvement with a poor prognosis.","author":[{"family":"Milman","given":"N"},{"family":"Hoffmann","given":"A L"}],"authorYearDisplayFormat":false,"citation-label":"594873","container-title":"The European Respiratory Journal","container-title-short":"Eur Respir J","id":"594873","invisible":false,"issue":"3","issued":{"date-parts":[["2008","3"]]},"journalAbbreviation":"Eur Respir J","page":"592-598","suppress-author":false,"title":"Childhood sarcoidosis: long-term follow-up.","type":"article-journal","volume":"31"},{"DOI":"10.1016/j.disamonth.2009.04.008","First":false,"Last":false,"PMID":"19857640","author":[{"family":"Lazarus","given":"Angeline"}],"authorYearDisplayFormat":false,"citation-label":"4473837","container-title":"Disease-a-month : DM","container-title-short":"Dis Mon","id":"4473837","invisible":false,"issue":"11","issued":{"date-parts":[["2009","11"]]},"journalAbbreviation":"Dis Mon","page":"649-660","suppress-author":false,"title":"Sarcoidosis: epidemiology, etiology, pathogenesis, and genetics.","type":"article-journal","volume":"55"}]</w:instrText>
      </w:r>
      <w:r w:rsidR="007666B6" w:rsidRPr="005A7F38">
        <w:fldChar w:fldCharType="separate"/>
      </w:r>
      <w:r w:rsidR="00B775CB" w:rsidRPr="00B775CB">
        <w:rPr>
          <w:noProof/>
          <w:vertAlign w:val="superscript"/>
        </w:rPr>
        <w:t>56–58</w:t>
      </w:r>
      <w:r w:rsidR="007666B6" w:rsidRPr="005A7F38">
        <w:fldChar w:fldCharType="end"/>
      </w:r>
      <w:r w:rsidR="009A41DE" w:rsidRPr="005A7F38">
        <w:t xml:space="preserve"> </w:t>
      </w:r>
    </w:p>
    <w:p w14:paraId="28E8187F" w14:textId="77777777" w:rsidR="00CB62A8" w:rsidRPr="005A7F38" w:rsidRDefault="00CB62A8" w:rsidP="002446BB">
      <w:pPr>
        <w:pStyle w:val="Heading4"/>
        <w:rPr>
          <w:rFonts w:cs="Times New Roman"/>
        </w:rPr>
      </w:pPr>
      <w:bookmarkStart w:id="30" w:name="_Toc506540009"/>
      <w:r w:rsidRPr="005A7F38">
        <w:rPr>
          <w:rFonts w:cs="Times New Roman"/>
        </w:rPr>
        <w:t>Sex</w:t>
      </w:r>
      <w:bookmarkEnd w:id="30"/>
    </w:p>
    <w:p w14:paraId="6B0078C8" w14:textId="6C0A456C" w:rsidR="00487E7D" w:rsidRPr="005A7F38" w:rsidRDefault="009847BE" w:rsidP="002446BB">
      <w:pPr>
        <w:pStyle w:val="Noindent"/>
      </w:pPr>
      <w:r w:rsidRPr="005A7F38">
        <w:t>Sarcoidosis is more common in women than men.</w:t>
      </w:r>
      <w:r w:rsidR="00F72F98" w:rsidRPr="005A7F38">
        <w:t xml:space="preserve"> This sex related difference in incidence has been seen worldwide, as supported by population based studies from </w:t>
      </w:r>
      <w:r w:rsidR="0081290A" w:rsidRPr="005A7F38">
        <w:t xml:space="preserve">three </w:t>
      </w:r>
      <w:r w:rsidR="00F72F98" w:rsidRPr="005A7F38">
        <w:t xml:space="preserve">different countries. In a study of prevalence and incidence in Japan, nationwide surveys were conducted and vital statistics were examined over a decade. </w:t>
      </w:r>
      <w:r w:rsidR="00B906AE" w:rsidRPr="005A7F38">
        <w:t xml:space="preserve">Researchers found that </w:t>
      </w:r>
      <w:r w:rsidR="00DF4B22" w:rsidRPr="005A7F38">
        <w:t>females had a higher incidence rate (1.4 per 100,000) compared to males (1.2 per 100,000).</w:t>
      </w:r>
      <w:r w:rsidR="00DF4B22" w:rsidRPr="005A7F38">
        <w:fldChar w:fldCharType="begin"/>
      </w:r>
      <w:r w:rsidR="00B775CB">
        <w:instrText>ADDIN F1000_CSL_CITATION&lt;~#@#~&gt;[{"First":false,"Last":false,"PMID":"2602686","abstract":"This paper presents the results of an investigation made on the recent trends in the estimated prevalence and incidence rates of sarcoidosis in Japan and the changes in its epidemiological characteristics based on the results of nation-wide surveys conducted in 1972 and 1984. Age-adjusted mortality trends based on vital statistics were also examined. The estimated prevalence rate in males increased from 3.0 per 100,000 population in 1972 to 3.8 in 1984 and in females from 3.3 to 5.6, respectively (p less than 0.01), while the estimated incidence rate remained unchanged (1.2 per 100,000 in males and 1.4 in females). The age-adjusted mortality rate showed a gradually decreasing tendency from 0.2 to 0.1 per million. The estimated age-sex specific prevalence and incidence rates showed a pronounced increase in the middle-aged and elderly age groups particularly in females but a marked decrease in those 19 years and under. The increase in prevalence rate may be attributable to the prolonged duration of the disease. Noteworthy changes in the pattern of the disorder included a marked increase in the proportion of patients with eye lesions (males: from 31.3% to 44.4% and females: 41.6% to 58.7%) indicative of poor prognosis and statistically insignificant increase in pulmonary parenchymal lesions (males: from 38.1% to 43.4% and females: from 33.5% to 36.4%), the majority of which showed pulmonary mottling not accompanied with severe fibrosis often seen in Europe and America. The standardized prevalence ratios were observed in hot, warm and cold areas.(ABSTRACT TRUNCATED AT 250 WORDS)","author":[{"family":"Yamaguchi","given":"M"},{"family":"Hosoda","given":"Y"},{"family":"Sasaki","given":"R"},{"family":"Aoki","given":"K"}],"authorYearDisplayFormat":false,"citation-label":"4506060","container-title":"Sarcoidosis","container-title-short":"Sarcoidosis","id":"4506060","invisible":false,"issue":"2","issued":{"date-parts":[["1989","9"]]},"journalAbbreviation":"Sarcoidosis","page":"138-146","suppress-author":false,"title":"Epidemiological study on sarcoidosis in Japan. Recent trends in incidence and prevalence rates and changes in epidemiological features.","type":"article-journal","volume":"6"}]</w:instrText>
      </w:r>
      <w:r w:rsidR="00DF4B22" w:rsidRPr="005A7F38">
        <w:fldChar w:fldCharType="separate"/>
      </w:r>
      <w:r w:rsidR="00B775CB" w:rsidRPr="00B775CB">
        <w:rPr>
          <w:noProof/>
          <w:vertAlign w:val="superscript"/>
        </w:rPr>
        <w:t>59</w:t>
      </w:r>
      <w:r w:rsidR="00DF4B22" w:rsidRPr="005A7F38">
        <w:fldChar w:fldCharType="end"/>
      </w:r>
      <w:r w:rsidR="00C74ADE" w:rsidRPr="005A7F38">
        <w:t xml:space="preserve"> </w:t>
      </w:r>
      <w:r w:rsidR="00D62CFC" w:rsidRPr="005A7F38">
        <w:t xml:space="preserve">The difference in incidence by sex was much more pronounced in Sweden where a population based study over the course of </w:t>
      </w:r>
      <w:r w:rsidR="0081290A" w:rsidRPr="005A7F38">
        <w:t>ne</w:t>
      </w:r>
      <w:r w:rsidR="00F45D38">
        <w:t>a</w:t>
      </w:r>
      <w:r w:rsidR="0081290A" w:rsidRPr="005A7F38">
        <w:t xml:space="preserve">rly </w:t>
      </w:r>
      <w:r w:rsidR="00D62CFC" w:rsidRPr="005A7F38">
        <w:t>30 years found a rate of 21.7 per 100,000 person years in females compared to 16.5 per 100,000 person years.</w:t>
      </w:r>
      <w:r w:rsidR="00D62CFC" w:rsidRPr="005A7F38">
        <w:fldChar w:fldCharType="begin"/>
      </w:r>
      <w:r w:rsidR="00B775CB">
        <w:instrText>ADDIN F1000_CSL_CITATION&lt;~#@#~&gt;[{"First":false,"Last":false,"PMID":"2345819","abstract":"The review is based on studies from Denmark, Finland, Norway and Sweden during 1950-1982. In general sarcoidosis was slightly more frequent in females than in males, especially after 40 years of age. The majority of cases were diagnosed before 35 years; 59% had symptoms, 41% were found by chance. Radiological stage I was present in 50%, stage II in 35%, and stage III-IV in 14%. The prevalence was age dependent with maximum between 18-35 years, varying from 8-102/10(5) examined persons in Finland to 27 in Norway and 64 in Sweden. The incidence was likewise age related, being highest in 18- to 20-years-old males (57/10(5) examined persons/year); overall incidence varied from 14-15/10(5) examined persons/year in Denmark, Finland and Norway to 24 in Sweden. No definite change in incidence figures has occurred. The accumulated lifetime risk of acquiring sarcoidosis was identical in the two sexes up to 45 years of age, and then increased in females; at 65 years the risk was 1.6% in females and 1.2% in males based on the population examined.","author":[{"family":"Milman","given":"N"},{"family":"Selroos","given":"O"}],"authorYearDisplayFormat":false,"citation-label":"4506164","container-title":"Sarcoidosis","container-title-short":"Sarcoidosis","id":"4506164","invisible":false,"issue":"1","issued":{"date-parts":[["1990","3"]]},"journalAbbreviation":"Sarcoidosis","page":"50-57","suppress-author":false,"title":"Pulmonary sarcoidosis in the Nordic countries 1950-1982. Epidemiology and clinical picture.","type":"article-journal","volume":"7"}]</w:instrText>
      </w:r>
      <w:r w:rsidR="00D62CFC" w:rsidRPr="005A7F38">
        <w:fldChar w:fldCharType="separate"/>
      </w:r>
      <w:r w:rsidR="00B775CB" w:rsidRPr="00B775CB">
        <w:rPr>
          <w:noProof/>
          <w:vertAlign w:val="superscript"/>
        </w:rPr>
        <w:t>44</w:t>
      </w:r>
      <w:r w:rsidR="00D62CFC" w:rsidRPr="005A7F38">
        <w:fldChar w:fldCharType="end"/>
      </w:r>
      <w:r w:rsidR="00D62CFC" w:rsidRPr="005A7F38">
        <w:t xml:space="preserve">  In the U.S., researchers developed an incidence cohort of 75 individuals with sarcoidosis diagnosed over 30 years in Rochester, Minnesota </w:t>
      </w:r>
      <w:r w:rsidR="0081290A" w:rsidRPr="005A7F38">
        <w:t xml:space="preserve">who </w:t>
      </w:r>
      <w:r w:rsidR="00D62CFC" w:rsidRPr="005A7F38">
        <w:t>were followed retrospectively through their comprehensive medical records.</w:t>
      </w:r>
      <w:r w:rsidR="00D62CFC" w:rsidRPr="005A7F38">
        <w:fldChar w:fldCharType="begin"/>
      </w:r>
      <w:r w:rsidR="00B775CB">
        <w:instrText>ADDIN F1000_CSL_CITATION&lt;~#@#~&gt;[{"First":false,"Last":false,"PMID":"3962966","abstract":"Using the unique data resources of the Rochester Epidemiology Project, a community-based study of clinically diagnosed sarcoidosis was conducted. In this population-based study, the 75 Rochester, Minnesota, residents with sarcoidosis initially diagnosed between 1946 and 1975 (incidence cohort) were followed through their comprehensive medical records in the community to January 1, 1982. The age- and sex-adjusted incidence of sarcoidosis was 6.1 per 100,000 person-years. The age-adjusted incidence of sarcoidosis was similar in males (5.9) and females (6.3), with a peak incidence in males 30 to 39 years old (18.7) and in females 40 to 49 years old (15.6). A secular increase in sarcoidosis incidence was noted in the period 1946-1975 for females, with a marked increase in the number and percentage of biopsy-documented cases. Seasonal variation in sarcoidosis incidence was minimal, with a seasonal peak of 31% of the Rochester cases being diagnosed during the spring (March-May). Survival, compared with that of the North Central United States, was unimpaired in this sarcoidosis incidence cohort.","author":[{"family":"Henke","given":"C E"},{"family":"Henke","given":"G"},{"family":"Elveback","given":"L R"},{"family":"Beard","given":"C M"},{"family":"Ballard","given":"D J"},{"family":"Kurland","given":"L T"}],"authorYearDisplayFormat":false,"citation-label":"4444541","container-title":"American Journal of Epidemiology","container-title-short":"Am J Epidemiol","id":"4444541","invisible":false,"issue":"5","issued":{"date-parts":[["1986","5"]]},"journalAbbreviation":"Am J Epidemiol","page":"840-845","suppress-author":false,"title":"The epidemiology of sarcoidosis in Rochester, Minnesota: a population-based study of incidence and survival.","type":"article-journal","volume":"123"}]</w:instrText>
      </w:r>
      <w:r w:rsidR="00D62CFC" w:rsidRPr="005A7F38">
        <w:fldChar w:fldCharType="separate"/>
      </w:r>
      <w:r w:rsidR="00B775CB" w:rsidRPr="00B775CB">
        <w:rPr>
          <w:noProof/>
          <w:vertAlign w:val="superscript"/>
        </w:rPr>
        <w:t>41</w:t>
      </w:r>
      <w:r w:rsidR="00D62CFC" w:rsidRPr="005A7F38">
        <w:fldChar w:fldCharType="end"/>
      </w:r>
      <w:r w:rsidR="00D62CFC" w:rsidRPr="005A7F38">
        <w:t xml:space="preserve"> Age-adjusted incidence rates were higher in females (6.3 per 100,000) than in males (5.9 per 100,000). </w:t>
      </w:r>
    </w:p>
    <w:p w14:paraId="0C2676C9" w14:textId="35C85716" w:rsidR="00C143D7" w:rsidRPr="005A7F38" w:rsidRDefault="00D62CFC" w:rsidP="002446BB">
      <w:r w:rsidRPr="005A7F38">
        <w:lastRenderedPageBreak/>
        <w:t xml:space="preserve">More recently, a study of patients evaluated at a tertiary referral care center in South Carolina </w:t>
      </w:r>
      <w:r w:rsidR="00BE7B43" w:rsidRPr="005A7F38">
        <w:t>found that 65.5% of the patients diagnosed there were female. The retrospective analysis used a clinical database and electronic medical records from the Medical University of South Carolina (MUSC) to develop a large cohort of patients with a sarcoidosis diagnosis diverse by age, race and sex. The cohort</w:t>
      </w:r>
      <w:r w:rsidR="00DD700B" w:rsidRPr="005A7F38">
        <w:t xml:space="preserve"> of 1236 patients</w:t>
      </w:r>
      <w:r w:rsidR="00BE7B43" w:rsidRPr="005A7F38">
        <w:t xml:space="preserve"> was followed for over ten years</w:t>
      </w:r>
      <w:r w:rsidR="007224DC" w:rsidRPr="005A7F38">
        <w:t xml:space="preserve"> and over 90% of patients had a diagnosis confirmed by biopsy increasing the validity of the findings considerably</w:t>
      </w:r>
      <w:r w:rsidR="00BE7B43" w:rsidRPr="005A7F38">
        <w:t xml:space="preserve">. </w:t>
      </w:r>
      <w:r w:rsidR="00487E7D" w:rsidRPr="005A7F38">
        <w:t xml:space="preserve">Males had symptoms of sarcoidosis earlier than females (p=0.03) and had a diagnostic biopsy </w:t>
      </w:r>
      <w:r w:rsidR="008741CE" w:rsidRPr="005A7F38">
        <w:t xml:space="preserve">two </w:t>
      </w:r>
      <w:r w:rsidR="00487E7D" w:rsidRPr="005A7F38">
        <w:t>years earlier than females on average (p=0.02).</w:t>
      </w:r>
      <w:r w:rsidR="00487E7D" w:rsidRPr="005A7F38">
        <w:fldChar w:fldCharType="begin"/>
      </w:r>
      <w:r w:rsidR="00B775CB">
        <w:instrText>ADDIN F1000_CSL_CITATION&lt;~#@#~&gt;[{"First":false,"Last":false,"PMID":"23461074","abstract":"&lt;strong&gt;BACKGROUND:&lt;/strong&gt; Although numerous reports have described the clinical features of sarcoidosis in various ethnic and racial groups, many have been limited by small size, homogenous populations, and relatively short follow-up periods. We report the clinical characteristics of a large, race-sex-age diverse cohort of sarcoidosis clinic patients followed in a large university medical center for an extended period of time.&lt;br&gt;&lt;br&gt;&lt;strong&gt;METHODS:&lt;/strong&gt; This study included clinical data for sarcoidosis patients followed over a 12-year period at a sarcoidosis clinic at the Medical University of South Carolina.&lt;br&gt;&lt;br&gt;&lt;strong&gt;RESULTS:&lt;/strong&gt; 1774 sarcoidosis patients were identified. Black females were more common (44%) than other race/gender combinations (p = 0.01). The diagnosis of sarcoidosis occurred &gt; 3 months after the onset of symptoms in 48% of the cohort and &gt; 1 year after the onset of symptoms in 25%. Anti-sarcoidosis treatment was required in 61% of the patients. Pulmonary function improved over time and the median corticosteroid requirement lessened. Compared to whites, blacks had more advanced radiographic stages of sarcoidosis (p &lt;  0.0001), more organ involvement (p &lt;  0.0001), and more frequently required anti-sarcoidosis medication (p &lt;  0.0001). Compared to women, men had more advanced radiographic stages of sarcoidosis (p &lt;  0.0001).&lt;br&gt;&lt;br&gt;&lt;strong&gt;CONCLUSIONS:&lt;/strong&gt; The analysis indicates that sarcoidosis tends to improve over time in terms of pulmonary function and medication requirements. The disease was found to be more severe in blacks than whites. Treatment was not necessarily required. These results provide a comprehensive model of the course and treatment of sarcoidosis in the clinical setting.","author":[{"family":"Judson","given":"M A"},{"family":"Boan","given":"A D"},{"family":"Lackland","given":"D T"}],"authorYearDisplayFormat":false,"citation-label":"4339058","container-title":"Sarcoidosis, vasculitis, and diffuse lung diseases : official journal of WASOG / World Association of Sarcoidosis and Other Granulomatous Disorders","container-title-short":"Sarcoidosis Vasc Diffuse Lung Dis","id":"4339058","invisible":false,"issue":"2","issued":{"date-parts":[["2012","10"]]},"journalAbbreviation":"Sarcoidosis Vasc Diffuse Lung Dis","page":"119-127","suppress-author":false,"title":"The clinical course of sarcoidosis: presentation, diagnosis, and treatment in a large white and black cohort in the United States.","type":"article-journal","volume":"29"}]</w:instrText>
      </w:r>
      <w:r w:rsidR="00487E7D" w:rsidRPr="005A7F38">
        <w:fldChar w:fldCharType="separate"/>
      </w:r>
      <w:r w:rsidR="00B775CB" w:rsidRPr="00B775CB">
        <w:rPr>
          <w:noProof/>
          <w:vertAlign w:val="superscript"/>
        </w:rPr>
        <w:t>26</w:t>
      </w:r>
      <w:r w:rsidR="00487E7D" w:rsidRPr="005A7F38">
        <w:fldChar w:fldCharType="end"/>
      </w:r>
      <w:r w:rsidR="00487E7D" w:rsidRPr="005A7F38">
        <w:t xml:space="preserve"> </w:t>
      </w:r>
      <w:r w:rsidR="005D067E" w:rsidRPr="005A7F38">
        <w:t xml:space="preserve">Previous research supports </w:t>
      </w:r>
      <w:r w:rsidR="008514E3" w:rsidRPr="005A7F38">
        <w:t xml:space="preserve">this </w:t>
      </w:r>
      <w:r w:rsidR="005D067E" w:rsidRPr="005A7F38">
        <w:t xml:space="preserve">trend of </w:t>
      </w:r>
      <w:r w:rsidR="008514E3" w:rsidRPr="005A7F38">
        <w:t xml:space="preserve">a </w:t>
      </w:r>
      <w:r w:rsidR="005D067E" w:rsidRPr="005A7F38">
        <w:t xml:space="preserve">later onset of sarcoidosis for women compared to </w:t>
      </w:r>
      <w:r w:rsidR="008514E3" w:rsidRPr="005A7F38">
        <w:t>men</w:t>
      </w:r>
      <w:r w:rsidR="005D067E" w:rsidRPr="005A7F38">
        <w:t>.</w:t>
      </w:r>
      <w:r w:rsidR="005D067E" w:rsidRPr="005A7F38">
        <w:fldChar w:fldCharType="begin"/>
      </w:r>
      <w:r w:rsidR="00B775CB">
        <w:instrText>ADDIN F1000_CSL_CITATION&lt;~#@#~&gt;[{"DOI":"10.1378/chest.126.5.1423","First":false,"Last":false,"PMID":"15539708","abstract":"&lt;strong&gt;STUDY OBJECTIVE:&lt;/strong&gt; This study investigated the clinical features and disease course of sarcoidosis diagnosed in patients &gt; 70 years of age.&lt;br&gt;&lt;br&gt;&lt;strong&gt;METHODS:&lt;/strong&gt; A retrospective analysis was made of cases treated at the University Hospital in Nantes, France, between 1986 and 2000. The diagnosis of sarcoidosis was confirmed histopathologically. Cases involving progressive cancer and active tuberculosis were excluded.&lt;br&gt;&lt;br&gt;&lt;strong&gt;RESULTS:&lt;/strong&gt; Thirty white patients with sarcoidosis diagnosed after age 70 years (mean, 74 years) were included. An alteration of general health (asthenia and/or anorexia and/or weight loss) was frequent (53%) and characteristic of the systemic form of the disease. Dyspnea was a fairly common sign (23%). The intrathoracic form of sarcoidosis was most frequent (43.3%). Diagnosis was difficult and lengthy, and symptomatology was atypical. Accessory salivary gland biopsy was an important contributing factor to diagnosis (70.6% were positive). Oral corticosteroid therapy was often required (60.7%). The disease course was satisfactory overall (81.8% of cases), but only for 50% of patients in intrathoracic stage IV.&lt;br&gt;&lt;br&gt;&lt;strong&gt;CONCLUSIONS:&lt;/strong&gt; The clinical presentation of sarcoidosis in elderly subjects is mainly characterized by an alteration of general health. Diagnosis is difficult and should include accessory salivary gland biopsy. Therapy frequently involves corticosteroids. Overall prognosis is similar to that for young subjects.","author":[{"family":"Chevalet","given":"Pascal"},{"family":"Clément","given":"Renaud"},{"family":"Rodat","given":"Olivier"},{"family":"Moreau","given":"Anne"},{"family":"Brisseau","given":"Jean-Marie"},{"family":"Clarke","given":"Jean-Patrick"}],"authorYearDisplayFormat":false,"citation-label":"4506657","container-title":"Chest","container-title-short":"Chest","id":"4506657","invisible":false,"issue":"5","issued":{"date-parts":[["2004","11"]]},"journalAbbreviation":"Chest","page":"1423-1430","suppress-author":false,"title":"Sarcoidosis diagnosed in elderly subjects: retrospective study of 30 cases.","type":"article-journal","volume":"126"}]</w:instrText>
      </w:r>
      <w:r w:rsidR="005D067E" w:rsidRPr="005A7F38">
        <w:fldChar w:fldCharType="separate"/>
      </w:r>
      <w:r w:rsidR="00B775CB" w:rsidRPr="00B775CB">
        <w:rPr>
          <w:noProof/>
          <w:vertAlign w:val="superscript"/>
        </w:rPr>
        <w:t>60</w:t>
      </w:r>
      <w:r w:rsidR="005D067E" w:rsidRPr="005A7F38">
        <w:fldChar w:fldCharType="end"/>
      </w:r>
      <w:r w:rsidR="005D067E" w:rsidRPr="005A7F38">
        <w:t xml:space="preserve"> In a study by Varron et al</w:t>
      </w:r>
      <w:r w:rsidR="008514E3" w:rsidRPr="005A7F38">
        <w:t>.</w:t>
      </w:r>
      <w:r w:rsidR="005D067E" w:rsidRPr="005A7F38">
        <w:t xml:space="preserve"> that compared patients with sarcoidosis by age of onset, the proportion of females diagnosed with </w:t>
      </w:r>
      <w:r w:rsidR="00DE1D51" w:rsidRPr="005A7F38">
        <w:t>sarcoidosis</w:t>
      </w:r>
      <w:r w:rsidR="005D067E" w:rsidRPr="005A7F38">
        <w:t xml:space="preserve"> after age 65 was five t</w:t>
      </w:r>
      <w:r w:rsidR="00DE1D51" w:rsidRPr="005A7F38">
        <w:t>imes larger than that of males.</w:t>
      </w:r>
      <w:r w:rsidR="004B3FAC" w:rsidRPr="005A7F38">
        <w:fldChar w:fldCharType="begin"/>
      </w:r>
      <w:r w:rsidR="00B775CB">
        <w:instrText>ADDIN F1000_CSL_CITATION&lt;~#@#~&gt;[{"DOI":"10.1097/MD.0b013e3182569f91","First":false,"Last":false,"PMID":"22543629","abstract":"Sarcoidosis is not rare in patients aged more than 65 years, but studies of elderly patients with sarcoidosis are scarce. We analyzed the characteristics and outcomes of patients in a French teaching hospital with late-onset sarcoidosis, defined as sarcoidosis diagnosed in patients aged 65 years or older, and compared them with those of younger patients with sarcoidosis. From 2002 to 2006, 30 patients were identified as having late-onset sarcoidosis and were compared to 70 patients randomly selected aged younger than 65 years. We compared clinical characteristics, laboratory data at diagnosis, severity, therapy, and outcome. The female to male ratio was higher in the late-onset sarcoidosis group than in the younger group (5:1 vs. 1:1, respectively; p = 0.003). Asthenia (30% vs. 10%; p = 0.012), uveitis (33.3 vs. 8.6%; p = 0.002), and specific skin lesions (36.7% vs. 15.7%; p = 0.002) occurred more frequently in patients with late-onset sarcoidosis than in younger patients. On the contrary, asymptomatic chest radiograph abnormalities (p = 0.031) and erythema nodosum (p = 0.016) were not reported in the group of elderly patients. The 2 groups were similar with regard to race, other organ systems involved, pulmonary function, radiographic stage, laboratory values, and severity. The proportion of patients with accessory salivary glands (p = 0.002) and skin (p = 0.023) biopsies was more often contributory to the diagnosis in the late-onset group.After a mean follow-up of 50 months, 1 death related to pulmonary mycetoma and 2 others unrelated to sarcoidosis occurred in the late-onset sarcoidosis group. The 5-year survival rate was 93.3% in the late-onset group compared with 100% in the young-onset group (p = 0.03), while overall mortality was not significantly different. The 2 groups were similar with regard to oral corticosteroid therapy and immunosuppressive use, although steroid-related adverse events were more common in the elderly group.In conclusion, we found certain clinical and diagnostic peculiarities in patients with late-onset sarcoidosis. Asthenia, uveitis, and specific cutaneous lesions were more frequent in this group, whereas erythema nodosum and disclosure on a routine chest roentgenogram were not observed. Biopsy of the minor salivary glands appears to be particularly pertinent for the diagnosis. Evolution and therapeutic management were not different in the 2 groups. However, the patients aged more than 65 years had more side effects related to the corticosteroid therapy.","author":[{"family":"Varron","given":"Loig"},{"family":"Cottin","given":"Vincent"},{"family":"Schott","given":"Anne-Marie"},{"family":"Broussolle","given":"Christiane"},{"family":"Sève","given":"Pascal"}],"authorYearDisplayFormat":false,"citation-label":"4506675","container-title":"Medicine","container-title-short":"Medicine (Baltimore)","id":"4506675","invisible":false,"issue":"3","issued":{"date-parts":[["2012","5"]]},"journalAbbreviation":"Medicine (Baltimore)","page":"137-143","suppress-author":false,"title":"Late-onset sarcoidosis: a comparative study.","type":"article-journal","volume":"91"}]</w:instrText>
      </w:r>
      <w:r w:rsidR="004B3FAC" w:rsidRPr="005A7F38">
        <w:fldChar w:fldCharType="separate"/>
      </w:r>
      <w:r w:rsidR="00B775CB" w:rsidRPr="00B775CB">
        <w:rPr>
          <w:noProof/>
          <w:vertAlign w:val="superscript"/>
        </w:rPr>
        <w:t>61</w:t>
      </w:r>
      <w:r w:rsidR="004B3FAC" w:rsidRPr="005A7F38">
        <w:fldChar w:fldCharType="end"/>
      </w:r>
      <w:r w:rsidR="00DE1D51" w:rsidRPr="005A7F38">
        <w:t xml:space="preserve"> </w:t>
      </w:r>
    </w:p>
    <w:p w14:paraId="3AA7C6AD" w14:textId="36B31BB0" w:rsidR="00C143D7" w:rsidRPr="005A7F38" w:rsidRDefault="00CF5A49" w:rsidP="002446BB">
      <w:pPr>
        <w:pStyle w:val="Noindent"/>
        <w:ind w:firstLine="720"/>
      </w:pPr>
      <w:r w:rsidRPr="005A7F38">
        <w:t xml:space="preserve">Organ involvement differed by </w:t>
      </w:r>
      <w:r w:rsidR="00975023" w:rsidRPr="005A7F38">
        <w:t>sex</w:t>
      </w:r>
      <w:r w:rsidRPr="005A7F38">
        <w:t xml:space="preserve"> as well. In males, sarcoidosis involvement of the lungs</w:t>
      </w:r>
      <w:r w:rsidR="005852DA" w:rsidRPr="005A7F38">
        <w:t xml:space="preserve"> (OR=1.99, CI=1.31-3.04</w:t>
      </w:r>
      <w:r w:rsidR="00694582" w:rsidRPr="005A7F38">
        <w:t>, p&lt;0.05</w:t>
      </w:r>
      <w:r w:rsidR="005852DA" w:rsidRPr="005A7F38">
        <w:t>)</w:t>
      </w:r>
      <w:r w:rsidRPr="005A7F38">
        <w:t xml:space="preserve"> and heart </w:t>
      </w:r>
      <w:r w:rsidR="005852DA" w:rsidRPr="005A7F38">
        <w:t>(OR=2.18, CI=1.27-3.</w:t>
      </w:r>
      <w:r w:rsidR="008F5985" w:rsidRPr="005A7F38">
        <w:t>74,</w:t>
      </w:r>
      <w:r w:rsidR="00694582" w:rsidRPr="005A7F38">
        <w:t xml:space="preserve"> p&lt;0.05</w:t>
      </w:r>
      <w:r w:rsidR="005852DA" w:rsidRPr="005A7F38">
        <w:t xml:space="preserve">) </w:t>
      </w:r>
      <w:r w:rsidRPr="005A7F38">
        <w:t xml:space="preserve">was more prevalent than </w:t>
      </w:r>
      <w:r w:rsidR="005852DA" w:rsidRPr="005A7F38">
        <w:t>in females while males less</w:t>
      </w:r>
      <w:r w:rsidRPr="005A7F38">
        <w:t xml:space="preserve"> had involvement of the liver</w:t>
      </w:r>
      <w:r w:rsidR="005852DA" w:rsidRPr="005A7F38">
        <w:t xml:space="preserve"> (OR=0.68, CI=0.50-0.93</w:t>
      </w:r>
      <w:r w:rsidR="00694582" w:rsidRPr="005A7F38">
        <w:t>, p&lt;0.05</w:t>
      </w:r>
      <w:r w:rsidR="005852DA" w:rsidRPr="005A7F38">
        <w:t>)</w:t>
      </w:r>
      <w:r w:rsidRPr="005A7F38">
        <w:t>, peripheral lymph nodes</w:t>
      </w:r>
      <w:r w:rsidR="005852DA" w:rsidRPr="005A7F38">
        <w:t xml:space="preserve"> (OR=0.62, CI=0.42-0.91</w:t>
      </w:r>
      <w:r w:rsidR="00694582" w:rsidRPr="005A7F38">
        <w:t>, p&lt;0.05</w:t>
      </w:r>
      <w:r w:rsidR="005852DA" w:rsidRPr="005A7F38">
        <w:t>)</w:t>
      </w:r>
      <w:r w:rsidRPr="005A7F38">
        <w:t>, skin</w:t>
      </w:r>
      <w:r w:rsidR="005852DA" w:rsidRPr="005A7F38">
        <w:t xml:space="preserve"> (OR=0.59, CI=0.45-0.76</w:t>
      </w:r>
      <w:r w:rsidR="00694582" w:rsidRPr="005A7F38">
        <w:t>, p&lt;0.05</w:t>
      </w:r>
      <w:r w:rsidR="005852DA" w:rsidRPr="005A7F38">
        <w:t>)</w:t>
      </w:r>
      <w:r w:rsidRPr="005A7F38">
        <w:t xml:space="preserve"> and eye</w:t>
      </w:r>
      <w:r w:rsidR="005852DA" w:rsidRPr="005A7F38">
        <w:t xml:space="preserve"> (OR=0.67, CI= 0.50-0.93</w:t>
      </w:r>
      <w:r w:rsidR="00694582" w:rsidRPr="005A7F38">
        <w:t>, p&lt;0.05</w:t>
      </w:r>
      <w:r w:rsidR="005852DA" w:rsidRPr="005A7F38">
        <w:t>)</w:t>
      </w:r>
      <w:r w:rsidRPr="005A7F38">
        <w:t>. Males required treatment for neurologic involvement</w:t>
      </w:r>
      <w:r w:rsidR="005852DA" w:rsidRPr="005A7F38">
        <w:t xml:space="preserve"> (OR=3.03, CI=1.32-6.7</w:t>
      </w:r>
      <w:r w:rsidR="00694582" w:rsidRPr="005A7F38">
        <w:t>, p&lt;0.05</w:t>
      </w:r>
      <w:r w:rsidR="005852DA" w:rsidRPr="005A7F38">
        <w:t>)</w:t>
      </w:r>
      <w:r w:rsidR="00266382" w:rsidRPr="005A7F38">
        <w:t>, lung involvement (OR=1.31, CI=1.01-1.69</w:t>
      </w:r>
      <w:r w:rsidR="00694582" w:rsidRPr="005A7F38">
        <w:t>, p&lt;0.05</w:t>
      </w:r>
      <w:r w:rsidR="00266382" w:rsidRPr="005A7F38">
        <w:t>) more frequently than females and required treatment of skin involvement (OR=0.58, CI=0.37-0.92</w:t>
      </w:r>
      <w:r w:rsidR="00694582" w:rsidRPr="005A7F38">
        <w:t>, p&lt;0.05</w:t>
      </w:r>
      <w:r w:rsidR="00266382" w:rsidRPr="005A7F38">
        <w:t>) less frequently than females.</w:t>
      </w:r>
      <w:r w:rsidRPr="005A7F38">
        <w:fldChar w:fldCharType="begin"/>
      </w:r>
      <w:r w:rsidR="00B775CB">
        <w:instrText>ADDIN F1000_CSL_CITATION&lt;~#@#~&gt;[{"First":false,"Last":false,"PMID":"23461074","abstract":"&lt;strong&gt;BACKGROUND:&lt;/strong&gt; Although numerous reports have described the clinical features of sarcoidosis in various ethnic and racial groups, many have been limited by small size, homogenous populations, and relatively short follow-up periods. We report the clinical characteristics of a large, race-sex-age diverse cohort of sarcoidosis clinic patients followed in a large university medical center for an extended period of time.&lt;br&gt;&lt;br&gt;&lt;strong&gt;METHODS:&lt;/strong&gt; This study included clinical data for sarcoidosis patients followed over a 12-year period at a sarcoidosis clinic at the Medical University of South Carolina.&lt;br&gt;&lt;br&gt;&lt;strong&gt;RESULTS:&lt;/strong&gt; 1774 sarcoidosis patients were identified. Black females were more common (44%) than other race/gender combinations (p = 0.01). The diagnosis of sarcoidosis occurred &gt; 3 months after the onset of symptoms in 48% of the cohort and &gt; 1 year after the onset of symptoms in 25%. Anti-sarcoidosis treatment was required in 61% of the patients. Pulmonary function improved over time and the median corticosteroid requirement lessened. Compared to whites, blacks had more advanced radiographic stages of sarcoidosis (p &lt;  0.0001), more organ involvement (p &lt;  0.0001), and more frequently required anti-sarcoidosis medication (p &lt;  0.0001). Compared to women, men had more advanced radiographic stages of sarcoidosis (p &lt;  0.0001).&lt;br&gt;&lt;br&gt;&lt;strong&gt;CONCLUSIONS:&lt;/strong&gt; The analysis indicates that sarcoidosis tends to improve over time in terms of pulmonary function and medication requirements. The disease was found to be more severe in blacks than whites. Treatment was not necessarily required. These results provide a comprehensive model of the course and treatment of sarcoidosis in the clinical setting.","author":[{"family":"Judson","given":"M A"},{"family":"Boan","given":"A D"},{"family":"Lackland","given":"D T"}],"authorYearDisplayFormat":false,"citation-label":"4339058","container-title":"Sarcoidosis, vasculitis, and diffuse lung diseases : official journal of WASOG / World Association of Sarcoidosis and Other Granulomatous Disorders","container-title-short":"Sarcoidosis Vasc Diffuse Lung Dis","id":"4339058","invisible":false,"issue":"2","issued":{"date-parts":[["2012","10"]]},"journalAbbreviation":"Sarcoidosis Vasc Diffuse Lung Dis","page":"119-127","suppress-author":false,"title":"The clinical course of sarcoidosis: presentation, diagnosis, and treatment in a large white and black cohort in the United States.","type":"article-journal","volume":"29"}]</w:instrText>
      </w:r>
      <w:r w:rsidRPr="005A7F38">
        <w:fldChar w:fldCharType="separate"/>
      </w:r>
      <w:r w:rsidR="00B775CB" w:rsidRPr="00B775CB">
        <w:rPr>
          <w:noProof/>
          <w:vertAlign w:val="superscript"/>
        </w:rPr>
        <w:t>26</w:t>
      </w:r>
      <w:r w:rsidRPr="005A7F38">
        <w:fldChar w:fldCharType="end"/>
      </w:r>
      <w:r w:rsidRPr="005A7F38">
        <w:t xml:space="preserve"> Treatment with </w:t>
      </w:r>
      <w:r w:rsidR="008514E3" w:rsidRPr="005A7F38">
        <w:t xml:space="preserve">corticosteroids </w:t>
      </w:r>
      <w:r w:rsidRPr="005A7F38">
        <w:t>during the disease course was more likely to be prescribed for males (65.3%) than females</w:t>
      </w:r>
      <w:r w:rsidR="00560891" w:rsidRPr="005A7F38">
        <w:t xml:space="preserve"> (59.5%) (p=0.01).</w:t>
      </w:r>
      <w:r w:rsidR="00560891" w:rsidRPr="005A7F38">
        <w:fldChar w:fldCharType="begin"/>
      </w:r>
      <w:r w:rsidR="00B775CB">
        <w:instrText>ADDIN F1000_CSL_CITATION&lt;~#@#~&gt;[{"First":false,"Last":false,"PMID":"23461074","abstract":"&lt;strong&gt;BACKGROUND:&lt;/strong&gt; Although numerous reports have described the clinical features of sarcoidosis in various ethnic and racial groups, many have been limited by small size, homogenous populations, and relatively short follow-up periods. We report the clinical characteristics of a large, race-sex-age diverse cohort of sarcoidosis clinic patients followed in a large university medical center for an extended period of time.&lt;br&gt;&lt;br&gt;&lt;strong&gt;METHODS:&lt;/strong&gt; This study included clinical data for sarcoidosis patients followed over a 12-year period at a sarcoidosis clinic at the Medical University of South Carolina.&lt;br&gt;&lt;br&gt;&lt;strong&gt;RESULTS:&lt;/strong&gt; 1774 sarcoidosis patients were identified. Black females were more common (44%) than other race/gender combinations (p = 0.01). The diagnosis of sarcoidosis occurred &gt; 3 months after the onset of symptoms in 48% of the cohort and &gt; 1 year after the onset of symptoms in 25%. Anti-sarcoidosis treatment was required in 61% of the patients. Pulmonary function improved over time and the median corticosteroid requirement lessened. Compared to whites, blacks had more advanced radiographic stages of sarcoidosis (p &lt;  0.0001), more organ involvement (p &lt;  0.0001), and more frequently required anti-sarcoidosis medication (p &lt;  0.0001). Compared to women, men had more advanced radiographic stages of sarcoidosis (p &lt;  0.0001).&lt;br&gt;&lt;br&gt;&lt;strong&gt;CONCLUSIONS:&lt;/strong&gt; The analysis indicates that sarcoidosis tends to improve over time in terms of pulmonary function and medication requirements. The disease was found to be more severe in blacks than whites. Treatment was not necessarily required. These results provide a comprehensive model of the course and treatment of sarcoidosis in the clinical setting.","author":[{"family":"Judson","given":"M A"},{"family":"Boan","given":"A D"},{"family":"Lackland","given":"D T"}],"authorYearDisplayFormat":false,"citation-label":"4339058","container-title":"Sarcoidosis, vasculitis, and diffuse lung diseases : official journal of WASOG / World Association of Sarcoidosis and Other Granulomatous Disorders","container-title-short":"Sarcoidosis Vasc Diffuse Lung Dis","id":"4339058","invisible":false,"issue":"2","issued":{"date-parts":[["2012","10"]]},"journalAbbreviation":"Sarcoidosis Vasc Diffuse Lung Dis","page":"119-127","suppress-author":false,"title":"The clinical course of sarcoidosis: presentation, diagnosis, and treatment in a large white and black cohort in the United States.","type":"article-journal","volume":"29"}]</w:instrText>
      </w:r>
      <w:r w:rsidR="00560891" w:rsidRPr="005A7F38">
        <w:fldChar w:fldCharType="separate"/>
      </w:r>
      <w:r w:rsidR="00B775CB" w:rsidRPr="00B775CB">
        <w:rPr>
          <w:noProof/>
          <w:vertAlign w:val="superscript"/>
        </w:rPr>
        <w:t>26</w:t>
      </w:r>
      <w:r w:rsidR="00560891" w:rsidRPr="005A7F38">
        <w:fldChar w:fldCharType="end"/>
      </w:r>
      <w:r w:rsidR="00EE1F45" w:rsidRPr="005A7F38">
        <w:t xml:space="preserve"> </w:t>
      </w:r>
      <w:r w:rsidRPr="005A7F38">
        <w:t xml:space="preserve">On radiographic images of the chest, males were classified into more advanced Scadding radiographic stages than females (p&lt;0.0001) indicating that while more females were diagnosed with </w:t>
      </w:r>
      <w:r w:rsidRPr="005A7F38">
        <w:lastRenderedPageBreak/>
        <w:t xml:space="preserve">sarcoidosis in the cohort, males had more advanced pulmonary disease </w:t>
      </w:r>
      <w:r w:rsidR="008514E3" w:rsidRPr="005A7F38">
        <w:t xml:space="preserve">on diagnosis </w:t>
      </w:r>
      <w:r w:rsidRPr="005A7F38">
        <w:t>than females.</w:t>
      </w:r>
      <w:r w:rsidRPr="005A7F38">
        <w:fldChar w:fldCharType="begin"/>
      </w:r>
      <w:r w:rsidR="00B775CB">
        <w:instrText>ADDIN F1000_CSL_CITATION&lt;~#@#~&gt;[{"First":false,"Last":false,"PMID":"23461074","abstract":"&lt;strong&gt;BACKGROUND:&lt;/strong&gt; Although numerous reports have described the clinical features of sarcoidosis in various ethnic and racial groups, many have been limited by small size, homogenous populations, and relatively short follow-up periods. We report the clinical characteristics of a large, race-sex-age diverse cohort of sarcoidosis clinic patients followed in a large university medical center for an extended period of time.&lt;br&gt;&lt;br&gt;&lt;strong&gt;METHODS:&lt;/strong&gt; This study included clinical data for sarcoidosis patients followed over a 12-year period at a sarcoidosis clinic at the Medical University of South Carolina.&lt;br&gt;&lt;br&gt;&lt;strong&gt;RESULTS:&lt;/strong&gt; 1774 sarcoidosis patients were identified. Black females were more common (44%) than other race/gender combinations (p = 0.01). The diagnosis of sarcoidosis occurred &gt; 3 months after the onset of symptoms in 48% of the cohort and &gt; 1 year after the onset of symptoms in 25%. Anti-sarcoidosis treatment was required in 61% of the patients. Pulmonary function improved over time and the median corticosteroid requirement lessened. Compared to whites, blacks had more advanced radiographic stages of sarcoidosis (p &lt;  0.0001), more organ involvement (p &lt;  0.0001), and more frequently required anti-sarcoidosis medication (p &lt;  0.0001). Compared to women, men had more advanced radiographic stages of sarcoidosis (p &lt;  0.0001).&lt;br&gt;&lt;br&gt;&lt;strong&gt;CONCLUSIONS:&lt;/strong&gt; The analysis indicates that sarcoidosis tends to improve over time in terms of pulmonary function and medication requirements. The disease was found to be more severe in blacks than whites. Treatment was not necessarily required. These results provide a comprehensive model of the course and treatment of sarcoidosis in the clinical setting.","author":[{"family":"Judson","given":"M A"},{"family":"Boan","given":"A D"},{"family":"Lackland","given":"D T"}],"authorYearDisplayFormat":false,"citation-label":"4339058","container-title":"Sarcoidosis, vasculitis, and diffuse lung diseases : official journal of WASOG / World Association of Sarcoidosis and Other Granulomatous Disorders","container-title-short":"Sarcoidosis Vasc Diffuse Lung Dis","id":"4339058","invisible":false,"issue":"2","issued":{"date-parts":[["2012","10"]]},"journalAbbreviation":"Sarcoidosis Vasc Diffuse Lung Dis","page":"119-127","suppress-author":false,"title":"The clinical course of sarcoidosis: presentation, diagnosis, and treatment in a large white and black cohort in the United States.","type":"article-journal","volume":"29"}]</w:instrText>
      </w:r>
      <w:r w:rsidRPr="005A7F38">
        <w:fldChar w:fldCharType="separate"/>
      </w:r>
      <w:r w:rsidR="00B775CB" w:rsidRPr="00B775CB">
        <w:rPr>
          <w:noProof/>
          <w:vertAlign w:val="superscript"/>
        </w:rPr>
        <w:t>26</w:t>
      </w:r>
      <w:r w:rsidRPr="005A7F38">
        <w:fldChar w:fldCharType="end"/>
      </w:r>
    </w:p>
    <w:p w14:paraId="517DA387" w14:textId="0AB74AC2" w:rsidR="00C143D7" w:rsidRPr="005A7F38" w:rsidRDefault="009A41DE" w:rsidP="002446BB">
      <w:pPr>
        <w:pStyle w:val="Noindent"/>
        <w:ind w:firstLine="720"/>
      </w:pPr>
      <w:r w:rsidRPr="005A7F38">
        <w:t>A report from 2007 compared rates of mortality from sarcoidosis to those in 1988 and found a difference in increase in the mortality rate that was significantly different by sex. Over the 20 years</w:t>
      </w:r>
      <w:r w:rsidR="008514E3" w:rsidRPr="005A7F38">
        <w:t xml:space="preserve"> analyzed</w:t>
      </w:r>
      <w:r w:rsidRPr="005A7F38">
        <w:t xml:space="preserve">, </w:t>
      </w:r>
      <w:r w:rsidR="0031150D" w:rsidRPr="005A7F38">
        <w:t>there was</w:t>
      </w:r>
      <w:r w:rsidRPr="005A7F38">
        <w:t xml:space="preserve"> a 30% increase in mortality for males compared to a 50% increase in mortality from sarcoidosis in women. </w:t>
      </w:r>
      <w:r w:rsidRPr="005A7F38">
        <w:fldChar w:fldCharType="begin"/>
      </w:r>
      <w:r w:rsidR="00B775CB">
        <w:instrText>ADDIN F1000_CSL_CITATION&lt;~#@#~&gt;[{"First":false,"Last":false,"PMID":"21319591","abstract":"&lt;strong&gt;BACKGROUND:&lt;/strong&gt; Sarcoidosis has different phenotypic manifestations which may have a diverse effect on functional status and quality of life. There are few studies in sarcoidosis addressing gender disparity and its effect on Health-Related Quality of Life (HRQL) and functional status.&lt;br&gt;&lt;br&gt;&lt;strong&gt;OBJECTIVE:&lt;/strong&gt; The purpose of this study was to investigate the effects of gender on HRQL and to identify associations between poor HRQL and the results of common clinical tests.&lt;br&gt;&lt;br&gt;&lt;strong&gt;DESIGN:&lt;/strong&gt; We assessed HRQL for 221 patients with sarcoidosis in a prospective, cross-sectional study using the Short Form-36 Health Survey and Sarcoidosis Health Questionnaire. We evaluated the association between the scores of these measures with patient characteristics, pulmonary function test (PFT) and 6-minute walk test (6MWT) data.&lt;br&gt;&lt;br&gt;&lt;strong&gt;RESULTS:&lt;/strong&gt; Women had lower scores than men on every measure of HRQL and weaker associations to findings from PFT and 6MWT. Multivariate linear regression analyses demonstrated that reduced 6MWT distance and DLCO were significantly associated with poor HRQL in both genders but the sensation of dyspnea played a significant role in women only.&lt;br&gt;&lt;br&gt;&lt;strong&gt;CONCLUSIONS:&lt;/strong&gt; Our results indicate that women with sarcoidosis have a lower HRQL score and a greater degree of functional impairment than men. The factors that are associated with poor HRQL differ by gender. Predictors of poor HRQL include reduction in DLCO and 6MWT distance and an increased sensation of dyspnea.","author":[{"family":"Bourbonnais","given":"J M"},{"family":"Samavati","given":"L"}],"authorYearDisplayFormat":false,"citation-label":"4506695","container-title":"Sarcoidosis, vasculitis, and diffuse lung diseases : official journal of WASOG / World Association of Sarcoidosis and Other Granulomatous Disorders","container-title-short":"Sarcoidosis Vasc Diffuse Lung Dis","id":"4506695","invisible":false,"issue":"2","issued":{"date-parts":[["2010","7"]]},"journalAbbreviation":"Sarcoidosis Vasc Diffuse Lung Dis","page":"96-102","suppress-author":false,"title":"Effect of gender on health related quality of life in sarcoidosis.","type":"article-journal","volume":"27"},{"DOI":"10.1155/2014/236905","First":false,"Last":false,"PMCID":"PMC4060497","PMID":"24987524","abstract":"Sarcoidosis is an inflammatory disease with a wide range of clinical presentations. The manifestations and prognosis in sarcoidosis are dependent upon not only organ involvement but also age and sex. The purpose of this review is to describe the systemic and ocular manifestations of sarcoidosis with a specific focus on sex-dependent difference in presentation and management. Sarcoidosis is more common in women, particularly in patients who present after age of 50 years. Women with sarcoidosis are more likely to develop cystoid macular edema and the mortality rate is higher than that of men.","author":[{"family":"Birnbaum","given":"Andrea D"},{"family":"Rifkin","given":"Lana M"}],"authorYearDisplayFormat":false,"citation-label":"4505173","container-title":"Journal of ophthalmology","container-title-short":"J Ophthalmol","id":"4505173","invisible":false,"issued":{"date-parts":[["2014","6","2"]]},"journalAbbreviation":"J Ophthalmol","page":"236905","suppress-author":false,"title":"Sarcoidosis: sex-dependent variations in presentation and management.","type":"article-journal","volume":"2014"}]</w:instrText>
      </w:r>
      <w:r w:rsidRPr="005A7F38">
        <w:fldChar w:fldCharType="separate"/>
      </w:r>
      <w:r w:rsidR="00B775CB" w:rsidRPr="00B775CB">
        <w:rPr>
          <w:noProof/>
          <w:vertAlign w:val="superscript"/>
        </w:rPr>
        <w:t>62,63</w:t>
      </w:r>
      <w:r w:rsidRPr="005A7F38">
        <w:fldChar w:fldCharType="end"/>
      </w:r>
    </w:p>
    <w:p w14:paraId="5BF75339" w14:textId="77777777" w:rsidR="002E17E3" w:rsidRPr="005A7F38" w:rsidRDefault="004673B6" w:rsidP="002446BB">
      <w:pPr>
        <w:pStyle w:val="Heading5"/>
      </w:pPr>
      <w:r w:rsidRPr="005A7F38">
        <w:t>Sex Hormones and Sarcoidosis Risk</w:t>
      </w:r>
    </w:p>
    <w:p w14:paraId="3A40A21A" w14:textId="13E2EA95" w:rsidR="004B4075" w:rsidRPr="005A7F38" w:rsidRDefault="00EE1F45" w:rsidP="002446BB">
      <w:pPr>
        <w:pStyle w:val="Noindent"/>
      </w:pPr>
      <w:r w:rsidRPr="005A7F38">
        <w:t>Due to the increased incidence of sarcoidosis in females, some researchers have hypothesized that sex hormones may play a role i</w:t>
      </w:r>
      <w:r w:rsidR="0063600D" w:rsidRPr="005A7F38">
        <w:t xml:space="preserve">n developing sarcoidosis. </w:t>
      </w:r>
      <w:r w:rsidR="004B4075" w:rsidRPr="005A7F38">
        <w:t>An inflammatory cascade has been observed in sarcoidosis with a polarized T helper Type 1 (Th1) response from lymphocytes.</w:t>
      </w:r>
      <w:r w:rsidR="004B4075" w:rsidRPr="005A7F38">
        <w:fldChar w:fldCharType="begin"/>
      </w:r>
      <w:r w:rsidR="00B775CB">
        <w:instrText>ADDIN F1000_CSL_CITATION&lt;~#@#~&gt;[{"DOI":"10.1136/thx.2010.140319","First":false,"Last":false,"PMID":"21139119","abstract":"&lt;strong&gt;BACKGROUND AND AIMS:&lt;/strong&gt; Sarcoidosis is characterised by a compartmentalisation of CD4(+) T helper 1 (Th1) lymphocytes and activated macrophages in involved organs, including the lung. Recently, Th17 effector CD4(+) T cells have been claimed to be involved in the pathogenesis of granuloma formation. The objective of this study was to investigate the involvement of Th17 cells in the pathogenesis of sarcoidosis.&lt;br&gt;&lt;br&gt;&lt;strong&gt;METHODS:&lt;/strong&gt; Peripheral and pulmonary Th17 cells were evaluated by flow cytometry, real-time PCR, immunohistochemistry analyses and functional assays in patients with sarcoidosis in different phases of the disease and in control subjects.&lt;br&gt;&lt;br&gt;&lt;strong&gt;RESULTS:&lt;/strong&gt; Th17 cells were detected both in the peripheral blood (4.72 ± 2.27% of CD4(+) T cells) and in the bronchoalveolar lavage (BAL) (8.81 ± 2.25% of CD4(+) T lymphocytes) of patients with sarcoidosis and T cell alveolitis. Immunohistochemical analysis of lung and lymph node specimens showed that interleukin 17 (IL-17)(+)/CD4(+) T cells infiltrate sarcoid tissues surrounding the central core of the granuloma. IL-17 was expressed by macrophages infiltrating sarcoid tissue and/or forming the granuloma core (7.88 ± 2.40% of alveolar macrophages). Analysis of some lung specimens highlighted the persistence of IL-17(+)/CD4(+) T cells in relapsed patients and their absence in the recovered cases. Migratory assays demonstrated the ability of the Th17 cell to respond to the chemotactic stimulus CCL20-that is, the CCR6 ligand (74.8 ± 8.5 vs 7.6 ± 2.8 migrating BAL lymphocytes/high-powered field, with and without CCL20, respectively).&lt;br&gt;&lt;br&gt;&lt;strong&gt;CONCLUSIONS:&lt;/strong&gt; Th17 cells participate in the alveolitic/granuloma phase and also to the progression towards the fibrotic phase of the disease. The recruitment of this cell subset may be driven by CCL20 chemokine.","author":[{"family":"Facco","given":"Monica"},{"family":"Cabrelle","given":"Anna"},{"family":"Teramo","given":"Antonella"},{"family":"Olivieri","given":"Valeria"},{"family":"Gnoato","given":"Marianna"},{"family":"Teolato","given":"Sara"},{"family":"Ave","given":"Elisa"},{"family":"Gattazzo","given":"Cristina"},{"family":"Fadini","given":"Gian Paolo"},{"family":"Calabrese","given":"Fiorella"},{"family":"Semenzato","given":"Gianpietro"},{"family":"Agostini","given":"Carlo"}],"authorYearDisplayFormat":false,"citation-label":"4336083","container-title":"Thorax","container-title-short":"Thorax","id":"4336083","invisible":false,"issue":"2","issued":{"date-parts":[["2011","2"]]},"journalAbbreviation":"Thorax","page":"144-150","suppress-author":false,"title":"Sarcoidosis is a Th1/Th17 multisystem disorder.","type":"article-journal","volume":"66"},{"DOI":"10.1159/000324295","First":false,"Last":false,"PMID":"21454951","abstract":"&lt;strong&gt;BACKGROUND:&lt;/strong&gt; The lung is one of the sites of granulomatous responses, which are characterized by the recruitment and organization of activated macrophages and lymphocytes. There have been several reports that have shown that some pulmonary granulomatous diseases, such as sarcoidosis and nontuberculous mycobacterial disease, are likely to be characterized by a preponderance in postmenopausal females. Although sex hormones have been shown to play an important role in the regulation of the immune system, the influence of sex hormones on pulmonary granuloma formation is still unclear.&lt;br&gt;&lt;br&gt;&lt;strong&gt;OBJECTIVES:&lt;/strong&gt; The purpose of this study was to assess whether sex hormones are involved in granulomatous inflammation and to evaluate how sex hormones modulate this response in the lung.&lt;br&gt;&lt;br&gt;&lt;strong&gt;METHODS:&lt;/strong&gt; Ovariectomized rats were used as an experimental postmenopausal model in which chronic pulmonary granulomatous inflammation was induced by intravenous injection of complete Freund's adjuvant.&lt;br&gt;&lt;br&gt;&lt;strong&gt;RESULTS:&lt;/strong&gt; Histological analysis of lung tissues demonstrated enhancement of granuloma formation in the ovariectomized group. Such enhanced granuloma formation was significantly associated with generalized Th1-biased cytokine production in the bronchoalveolar lavage fluid.&lt;br&gt;&lt;br&gt;&lt;strong&gt;CONCLUSION:&lt;/strong&gt; These results indicate that sex hormones play an important role in pulmonary granuloma formation by altering the Th1 responses.&lt;br&gt;&lt;br&gt;Copyright © 2011 S. Karger AG, Basel.","author":[{"family":"Tajima","given":"Ken"},{"family":"Miura","given":"Kayo"},{"family":"Ishiwata","given":"Toshiji"},{"family":"Takahashi","given":"Fumiyuki"},{"family":"Yoshioka","given":"Masataka"},{"family":"Minakata","given":"Kunihiko"},{"family":"Murakami","given":"Akiko"},{"family":"Sasaki","given":"Shinichi"},{"family":"Iwakami","given":"Shinichiro"},{"family":"Annoura","given":"Takeshi"},{"family":"Hashimoto","given":"Muneaki"},{"family":"Nara","given":"Takeshi"},{"family":"Takahashi","given":"Kazuhisa"}],"authorYearDisplayFormat":false,"citation-label":"4533312","container-title":"Respiration; International Review of Thoracic Diseases","container-title-short":"Respiration","id":"4533312","invisible":false,"issue":"6","issued":{"date-parts":[["2011","4","1"]]},"journalAbbreviation":"Respiration","page":"491-498","suppress-author":false,"title":"Sex hormones alter Th1 responses and enhance granuloma formation in the lung.","type":"article-journal","volume":"81"}]</w:instrText>
      </w:r>
      <w:r w:rsidR="004B4075" w:rsidRPr="005A7F38">
        <w:fldChar w:fldCharType="separate"/>
      </w:r>
      <w:r w:rsidR="00B775CB" w:rsidRPr="00B775CB">
        <w:rPr>
          <w:noProof/>
          <w:vertAlign w:val="superscript"/>
        </w:rPr>
        <w:t>64,65</w:t>
      </w:r>
      <w:r w:rsidR="004B4075" w:rsidRPr="005A7F38">
        <w:fldChar w:fldCharType="end"/>
      </w:r>
      <w:r w:rsidR="0046589B" w:rsidRPr="005A7F38">
        <w:t xml:space="preserve"> There is also significant evidence that sex hormones can act as immunomodulators.</w:t>
      </w:r>
      <w:r w:rsidR="009E573B" w:rsidRPr="005A7F38">
        <w:fldChar w:fldCharType="begin"/>
      </w:r>
      <w:r w:rsidR="00B775CB">
        <w:instrText>ADDIN F1000_CSL_CITATION&lt;~#@#~&gt;[{"First":false,"Last":false,"PMCID":"PMC1887926","PMID":"3907369","abstract":"Immune reactivity is greater in females than in males. In both experimental animals and in man there is a greater preponderance of autoimmune diseases in females, compared with males. Studies in many experimental models have established that the underlying basis for this sex-related susceptibility is the marked effects of sex hormones. Sex hormones influence the onset and severity of immune-mediated pathologic conditions by modulating lymphocytes at all stages of life, prenatal, prepubertal, and postpubertal. However, despite extensive studies, the mechanisms of sex hormone action are not precisely understood. Earlier evidence suggested that the sex hormones acted via the thymus gland. In recent years it has become apparent that sex hormones can also influence the immune system by acting on several nonclassic target sites such as the immune system itself (nonthymic lymphoid organs), the central nervous system, the macrophage-macrocyte system, and the skeletal system. Immunoregulatory T cells appear to be most sensitive to sex hormone action among lymphoid cells. Several mechanisms of action of sex hormones are discussed in this review. The possibility of using sex hormone modulation of immune responses for the treatment of autoimmune disorders is a promising area for future investigation.","author":[{"family":"Ansar Ahmed","given":"S"},{"family":"Penhale","given":"W J"},{"family":"Talal","given":"N"}],"authorYearDisplayFormat":false,"citation-label":"3688522","container-title":"The American Journal of Pathology","container-title-short":"Am J Pathol","id":"3688522","invisible":false,"issue":"3","issued":{"date-parts":[["1985","12"]]},"journalAbbreviation":"Am J Pathol","page":"531-551","suppress-author":false,"title":"Sex hormones, immune responses, and autoimmune diseases. Mechanisms of sex hormone action.","type":"article-journal","volume":"121"},{"DOI":"10.1159/000324295","First":false,"Last":false,"PMID":"21454951","abstract":"&lt;strong&gt;BACKGROUND:&lt;/strong&gt; The lung is one of the sites of granulomatous responses, which are characterized by the recruitment and organization of activated macrophages and lymphocytes. There have been several reports that have shown that some pulmonary granulomatous diseases, such as sarcoidosis and nontuberculous mycobacterial disease, are likely to be characterized by a preponderance in postmenopausal females. Although sex hormones have been shown to play an important role in the regulation of the immune system, the influence of sex hormones on pulmonary granuloma formation is still unclear.&lt;br&gt;&lt;br&gt;&lt;strong&gt;OBJECTIVES:&lt;/strong&gt; The purpose of this study was to assess whether sex hormones are involved in granulomatous inflammation and to evaluate how sex hormones modulate this response in the lung.&lt;br&gt;&lt;br&gt;&lt;strong&gt;METHODS:&lt;/strong&gt; Ovariectomized rats were used as an experimental postmenopausal model in which chronic pulmonary granulomatous inflammation was induced by intravenous injection of complete Freund's adjuvant.&lt;br&gt;&lt;br&gt;&lt;strong&gt;RESULTS:&lt;/strong&gt; Histological analysis of lung tissues demonstrated enhancement of granuloma formation in the ovariectomized group. Such enhanced granuloma formation was significantly associated with generalized Th1-biased cytokine production in the bronchoalveolar lavage fluid.&lt;br&gt;&lt;br&gt;&lt;strong&gt;CONCLUSION:&lt;/strong&gt; These results indicate that sex hormones play an important role in pulmonary granuloma formation by altering the Th1 responses.&lt;br&gt;&lt;br&gt;Copyright © 2011 S. Karger AG, Basel.","author":[{"family":"Tajima","given":"Ken"},{"family":"Miura","given":"Kayo"},{"family":"Ishiwata","given":"Toshiji"},{"family":"Takahashi","given":"Fumiyuki"},{"family":"Yoshioka","given":"Masataka"},{"family":"Minakata","given":"Kunihiko"},{"family":"Murakami","given":"Akiko"},{"family":"Sasaki","given":"Shinichi"},{"family":"Iwakami","given":"Shinichiro"},{"family":"Annoura","given":"Takeshi"},{"family":"Hashimoto","given":"Muneaki"},{"family":"Nara","given":"Takeshi"},{"family":"Takahashi","given":"Kazuhisa"}],"authorYearDisplayFormat":false,"citation-label":"4533312","container-title":"Respiration; International Review of Thoracic Diseases","container-title-short":"Respiration","id":"4533312","invisible":false,"issue":"6","issued":{"date-parts":[["2011","4","1"]]},"journalAbbreviation":"Respiration","page":"491-498","suppress-author":false,"title":"Sex hormones alter Th1 responses and enhance granuloma formation in the lung.","type":"article-journal","volume":"81"},{"First":false,"Last":false,"PMID":"10084932","author":[{"family":"Whitacre","given":"C C"},{"family":"Reingold","given":"S C"},{"family":"O'Looney","given":"P A"}],"authorYearDisplayFormat":false,"citation-label":"1383124","container-title":"Science","container-title-short":"Science","id":"1383124","invisible":false,"issue":"5406","issued":{"date-parts":[["1999","2","26"]]},"journalAbbreviation":"Science","page":"1277-1278","suppress-author":false,"title":"A gender gap in autoimmunity.","type":"article-journal","volume":"283"},{"First":false,"Last":false,"PMID":"11418693","abstract":"A shift toward Th2 cytokine production has been demonstrated during pregnancy and high dose estrogen therapy and is thought to be the primary mechanism by which estrogen suppresses the development of experimental autoimmune encephalomyelitis. However, low dose estrogen treatment is equally protective in the absence of a significant shift in cytokine production. In this study cytokine-deficient mice were treated with estrogen to determine whether a shift in Th2 cytokine production was required for the protective effects of hormone therapy. Estrogen effectively suppressed the development of experimental autoimmune encephalomyelitis in IL-4 and IL-10 knockout mice and in wild type littermate mice with a similar potency of protection. Significant disease suppression was also seen in IFN-gamma-deficient mice. The decrease in disease severity was accompanied by a concomitant reduction in the number of proinflammatory cytokine- and chemokine-producing cells in the CNS. Although there was no apparent increase in compensatory Th2 cytokine production in cytokine-deficient mice, there was a profound decrease in the frequency of TNF-alpha-producing cells in the CNS and the periphery. Therefore, we propose that one mechanism by which estrogen protects females from the development of cell-mediated autoimmunity is through a hormone-dependent regulation of TNF-alpha production.","author":[{"family":"Ito","given":"A"},{"family":"Bebo","given":"B F"},{"family":"Matejuk","given":"A"},{"family":"Zamora","given":"A"},{"family":"Silverman","given":"M"},{"family":"Fyfe-Johnson","given":"A"},{"family":"Offner","given":"H"}],"authorYearDisplayFormat":false,"citation-label":"1287277","container-title":"Journal of Immunology","container-title-short":"J Immunol","id":"1287277","invisible":false,"issue":"1","issued":{"date-parts":[["2001","7","1"]]},"journalAbbreviation":"J Immunol","page":"542-552","suppress-author":false,"title":"Estrogen treatment down-regulates TNF-alpha production and reduces the severity of experimental autoimmune encephalomyelitis in cytokine knockout mice.","type":"article-journal","volume":"167"}]</w:instrText>
      </w:r>
      <w:r w:rsidR="009E573B" w:rsidRPr="005A7F38">
        <w:fldChar w:fldCharType="separate"/>
      </w:r>
      <w:r w:rsidR="00B775CB" w:rsidRPr="00B775CB">
        <w:rPr>
          <w:noProof/>
          <w:vertAlign w:val="superscript"/>
        </w:rPr>
        <w:t>65–68</w:t>
      </w:r>
      <w:r w:rsidR="009E573B" w:rsidRPr="005A7F38">
        <w:fldChar w:fldCharType="end"/>
      </w:r>
      <w:r w:rsidR="0046589B" w:rsidRPr="005A7F38">
        <w:t xml:space="preserve"> Immune cells, including T cells, B cells, monocytes and macrophages have been demonstrated to possess functional sex hormone receptors.</w:t>
      </w:r>
      <w:r w:rsidR="00EF5378" w:rsidRPr="005A7F38">
        <w:fldChar w:fldCharType="begin"/>
      </w:r>
      <w:r w:rsidR="00B775CB">
        <w:instrText>ADDIN F1000_CSL_CITATION&lt;~#@#~&gt;[{"DOI":"10.1093/humupd/dmi008","First":false,"Last":false,"PMID":"15817524","abstract":"In addition to their effects on sexual differentiation and reproduction, sex hormones appear to influence the immune system. This results in a sexual dimorphism in the immune response in humans: for instance, females produce more vigorous cellular and more vigorous humoral immune reactions, are more resistant to certain infections, and suffer a higher incidence of autoimmune diseases. Disease expression is also affected by the reproductive status of the female. As sex steroids--estrogens, progesterone and testosterone--differ between gender and within different reproductive stages, a lot of research has focussed on the effects of sex hormones on immune responses. Although there is also a vast literature on the effects of sex hormones on immune responses in animals, in this review we will focus on the most intriguing effects and mechanisms by which sex hormones affect different components of the immune system in humans.","author":[{"family":"Bouman","given":"Annechien"},{"family":"Heineman","given":"Maas Jan"},{"family":"Faas","given":"Marijke M"}],"authorYearDisplayFormat":false,"citation-label":"43177","container-title":"Human Reproduction Update","container-title-short":"Hum Reprod Update","id":"43177","invisible":false,"issue":"4","issued":{"date-parts":[["2005","8"]]},"journalAbbreviation":"Hum Reprod Update","page":"411-423","suppress-author":false,"title":"Sex hormones and the immune response in humans.","type":"article-journal","volume":"11"},{"First":false,"Last":false,"PMID":"11943576","author":[{"family":"Shames","given":"Richard S"}],"authorYearDisplayFormat":false,"citation-label":"4533331","container-title":"The Journal of Adolescent Health","container-title-short":"J Adolesc Health","id":"4533331","invisible":false,"issue":"4 Suppl","issued":{"date-parts":[["2002","4"]]},"journalAbbreviation":"J Adolesc Health","page":"59-70","suppress-author":false,"title":"Gender differences in the development and function of the immune system.","type":"article-journal","volume":"30"},{"DOI":"10.1210/edrv-17-4-369","First":false,"Last":false,"PMID":"8854050","author":[{"family":"Olsen","given":"N J"},{"family":"Kovacs","given":"W J"}],"authorYearDisplayFormat":false,"citation-label":"4533333","container-title":"Endocrine Reviews","container-title-short":"Endocr Rev","id":"4533333","invisible":false,"issue":"4","issued":{"date-parts":[["1996","8"]]},"journalAbbreviation":"Endocr Rev","page":"369-384","suppress-author":false,"title":"Gonadal steroids and immunity.","type":"article-journal","volume":"17"},{"First":false,"Last":false,"PMID":"7656468","abstract":"Estrogens appear to play a central role in the immune response and immune-mediated diseases. Recent studies have shown the presence of estrogen receptors on the cells involved in the immune response, namely thymocytes, macrophages and endothelial cells. Particular attention has been focused on the dose-dependent influence of estrogen on the immune response, which appears to be related to the clinical symptoms of autoimmunity (i.e. the effects of pregnancy or oral contraceptive pills). The influence of estrogens on cytokine production by target cells, through interference with their transcriptional activity, has also been the focus of various studies. The effect of estrogens on the expression of the protooncogenes and oncosuppressor genes involved in programmed cell death (apoptosis) might also be relevant to human autoimmunity, in particular the uncontrolled synovial lining cell hyperplasia associated with rheumatoid arthritis and the prolonged T-cell survival in systemic lupus erythematosus. Estrogen-induced immunomodulation is a subject of growing interest and stimulating research.","author":[{"family":"Cutolo","given":"M"},{"family":"Sulli","given":"A"},{"family":"Seriolo","given":"B"},{"family":"Accardo","given":"S"},{"family":"Masi","given":"A T"}],"authorYearDisplayFormat":false,"citation-label":"4533335","container-title":"Clinical and Experimental Rheumatology","container-title-short":"Clin Exp Rheumatol","id":"4533335","invisible":false,"issue":"2","issued":{"date-parts":[["1995","4"]]},"journalAbbreviation":"Clin Exp Rheumatol","page":"217-226","suppress-author":false,"title":"Estrogens, the immune response and autoimmunity.","type":"article-journal","volume":"13"}]</w:instrText>
      </w:r>
      <w:r w:rsidR="00EF5378" w:rsidRPr="005A7F38">
        <w:fldChar w:fldCharType="separate"/>
      </w:r>
      <w:r w:rsidR="00B775CB" w:rsidRPr="00B775CB">
        <w:rPr>
          <w:noProof/>
          <w:vertAlign w:val="superscript"/>
        </w:rPr>
        <w:t>69–72</w:t>
      </w:r>
      <w:r w:rsidR="00EF5378" w:rsidRPr="005A7F38">
        <w:fldChar w:fldCharType="end"/>
      </w:r>
      <w:r w:rsidR="00B1582E" w:rsidRPr="005A7F38">
        <w:t xml:space="preserve"> </w:t>
      </w:r>
      <w:r w:rsidR="00AB249B" w:rsidRPr="005A7F38">
        <w:t xml:space="preserve">This hypothesis was tested and proved in a 2011 study by Tajima et al using an animal model. </w:t>
      </w:r>
      <w:r w:rsidR="002446BB" w:rsidRPr="005A7F38">
        <w:t>In Tajima et al’s study, o</w:t>
      </w:r>
      <w:r w:rsidR="00AB249B" w:rsidRPr="005A7F38">
        <w:t xml:space="preserve">variectomized </w:t>
      </w:r>
      <w:r w:rsidR="002446BB" w:rsidRPr="005A7F38">
        <w:t>rats and intact rats were induced to develop chronic pulmonary granulomatous inflammation by an injection of Freund’s adjuvant. On histologic examination, the ovariectimized group had an increased number granulomas associated with enhanced Th1-based cytokine production in BAL fluid.</w:t>
      </w:r>
      <w:r w:rsidR="002446BB" w:rsidRPr="005A7F38">
        <w:fldChar w:fldCharType="begin"/>
      </w:r>
      <w:r w:rsidR="00B775CB">
        <w:instrText>ADDIN F1000_CSL_CITATION&lt;~#@#~&gt;[{"DOI":"10.1159/000324295","First":false,"Last":false,"PMID":"21454951","abstract":"&lt;strong&gt;BACKGROUND:&lt;/strong&gt; The lung is one of the sites of granulomatous responses, which are characterized by the recruitment and organization of activated macrophages and lymphocytes. There have been several reports that have shown that some pulmonary granulomatous diseases, such as sarcoidosis and nontuberculous mycobacterial disease, are likely to be characterized by a preponderance in postmenopausal females. Although sex hormones have been shown to play an important role in the regulation of the immune system, the influence of sex hormones on pulmonary granuloma formation is still unclear.&lt;br&gt;&lt;br&gt;&lt;strong&gt;OBJECTIVES:&lt;/strong&gt; The purpose of this study was to assess whether sex hormones are involved in granulomatous inflammation and to evaluate how sex hormones modulate this response in the lung.&lt;br&gt;&lt;br&gt;&lt;strong&gt;METHODS:&lt;/strong&gt; Ovariectomized rats were used as an experimental postmenopausal model in which chronic pulmonary granulomatous inflammation was induced by intravenous injection of complete Freund's adjuvant.&lt;br&gt;&lt;br&gt;&lt;strong&gt;RESULTS:&lt;/strong&gt; Histological analysis of lung tissues demonstrated enhancement of granuloma formation in the ovariectomized group. Such enhanced granuloma formation was significantly associated with generalized Th1-biased cytokine production in the bronchoalveolar lavage fluid.&lt;br&gt;&lt;br&gt;&lt;strong&gt;CONCLUSION:&lt;/strong&gt; These results indicate that sex hormones play an important role in pulmonary granuloma formation by altering the Th1 responses.&lt;br&gt;&lt;br&gt;Copyright © 2011 S. Karger AG, Basel.","author":[{"family":"Tajima","given":"Ken"},{"family":"Miura","given":"Kayo"},{"family":"Ishiwata","given":"Toshiji"},{"family":"Takahashi","given":"Fumiyuki"},{"family":"Yoshioka","given":"Masataka"},{"family":"Minakata","given":"Kunihiko"},{"family":"Murakami","given":"Akiko"},{"family":"Sasaki","given":"Shinichi"},{"family":"Iwakami","given":"Shinichiro"},{"family":"Annoura","given":"Takeshi"},{"family":"Hashimoto","given":"Muneaki"},{"family":"Nara","given":"Takeshi"},{"family":"Takahashi","given":"Kazuhisa"}],"authorYearDisplayFormat":false,"citation-label":"4533312","container-title":"Respiration; International Review of Thoracic Diseases","container-title-short":"Respiration","id":"4533312","invisible":false,"issue":"6","issued":{"date-parts":[["2011","4","1"]]},"journalAbbreviation":"Respiration","page":"491-498","suppress-author":false,"title":"Sex hormones alter Th1 responses and enhance granuloma formation in the lung.","type":"article-journal","volume":"81"}]</w:instrText>
      </w:r>
      <w:r w:rsidR="002446BB" w:rsidRPr="005A7F38">
        <w:fldChar w:fldCharType="separate"/>
      </w:r>
      <w:r w:rsidR="00B775CB" w:rsidRPr="00B775CB">
        <w:rPr>
          <w:noProof/>
          <w:vertAlign w:val="superscript"/>
        </w:rPr>
        <w:t>65</w:t>
      </w:r>
      <w:r w:rsidR="002446BB" w:rsidRPr="005A7F38">
        <w:fldChar w:fldCharType="end"/>
      </w:r>
      <w:r w:rsidR="002446BB" w:rsidRPr="005A7F38">
        <w:t xml:space="preserve"> While it is clear that sex hormones play a critical role in pulmonary granuloma formation by modulation of Th1 responses, more research is needed to elucidate this pathway.</w:t>
      </w:r>
      <w:r w:rsidR="008D2C20">
        <w:t xml:space="preserve"> Hormone disruption is a well-known sequelae of </w:t>
      </w:r>
    </w:p>
    <w:p w14:paraId="5C97849A" w14:textId="121B61AC" w:rsidR="00B601AE" w:rsidRPr="005A7F38" w:rsidRDefault="006F37E9" w:rsidP="002446BB">
      <w:pPr>
        <w:pStyle w:val="Noindent"/>
        <w:ind w:firstLine="720"/>
      </w:pPr>
      <w:r w:rsidRPr="005A7F38">
        <w:t xml:space="preserve">The BWHS </w:t>
      </w:r>
      <w:r w:rsidR="00EE1F45" w:rsidRPr="005A7F38">
        <w:t xml:space="preserve">collected data concerning reproductive history </w:t>
      </w:r>
      <w:r w:rsidR="008F52DC" w:rsidRPr="005A7F38">
        <w:t>and</w:t>
      </w:r>
      <w:r w:rsidR="00EE1F45" w:rsidRPr="005A7F38">
        <w:t xml:space="preserve"> sarcoidosis</w:t>
      </w:r>
      <w:r w:rsidR="008F52DC" w:rsidRPr="005A7F38">
        <w:t xml:space="preserve">. The </w:t>
      </w:r>
      <w:r w:rsidR="00EE1F45" w:rsidRPr="005A7F38">
        <w:t>analysis suggest</w:t>
      </w:r>
      <w:r w:rsidR="008F52DC" w:rsidRPr="005A7F38">
        <w:t>s</w:t>
      </w:r>
      <w:r w:rsidR="00EE1F45" w:rsidRPr="005A7F38">
        <w:t xml:space="preserve"> that experiencing a full term pregnancy and later age at menopause may be associated with a reduced risk of developing sarcoidosis.</w:t>
      </w:r>
      <w:r w:rsidR="00EE1F45" w:rsidRPr="005A7F38">
        <w:fldChar w:fldCharType="begin"/>
      </w:r>
      <w:r w:rsidR="00B775CB">
        <w:instrText>ADDIN F1000_CSL_CITATION&lt;~#@#~&gt;[{"DOI":"10.1093/aje/kws145","First":false,"Last":false,"PMCID":"PMC3530373","PMID":"22967742","abstract":"The authors assessed the relation of hormonal and pregnancy-related factors to the incidence of sarcoidosis in the Black Women's Health Study. On biennial questionnaires, participants (US black women aged 21-69 years at baseline) reported data on diagnoses of sarcoidosis, reproductive history, and medication use. Cox regression models, adjusted for age, education, geographic region, smoking, and body mass index, were used to estimate incidence rate ratios and 95% confidence intervals. During 694,818 person-years of follow-up from 1995 through 2009, 452 incident cases of sarcoidosis were identified. The incidence of sarcoidosis decreased as age at menopause increased (P-trend = 0.03). Both later age at first full-term birth and having a more recent birth were associated with a reduced incidence of sarcoidosis. In models that included both factors, the incidence rate ratios were 0.60 (95% confidence interval: 0.37, 0.97) for age at first birth ≥30 years versus &lt; 20 years (P-trend = 0.05) and 0.73 (95% confidence interval: 0.43, 1.24) for &lt; 5 years since last birth versus ≥15 years (P-trend = 0.15). No significant associations were observed with age at menarche, parity, lactation, oral contraceptive use, or female hormone use. These results suggest that later full-term pregnancy and longer exposure to endogenous female hormones may be related to a reduced risk of sarcoidosis.","author":[{"family":"Cozier","given":"Yvette C"},{"family":"Berman","given":"Jeffrey S"},{"family":"Palmer","given":"Julie R"},{"family":"Boggs","given":"Deborah A"},{"family":"Wise","given":"Lauren A"},{"family":"Rosenberg","given":"Lynn"}],"authorYearDisplayFormat":false,"citation-label":"4506462","container-title":"American Journal of Epidemiology","container-title-short":"Am J Epidemiol","id":"4506462","invisible":false,"issue":"7","issued":{"date-parts":[["2012","10","1"]]},"journalAbbreviation":"Am J Epidemiol","page":"635-641","suppress-author":false,"title":"Reproductive and hormonal factors in relation to incidence of sarcoidosis in US Black women: The Black Women's Health Study.","type":"article-journal","volume":"176"},{"DOI":"10.1155/2014/236905","First":false,"Last":false,"PMCID":"PMC4060497","PMID":"24987524","abstract":"Sarcoidosis is an inflammatory disease with a wide range of clinical presentations. The manifestations and prognosis in sarcoidosis are dependent upon not only organ involvement but also age and sex. The purpose of this review is to describe the systemic and ocular manifestations of sarcoidosis with a specific focus on sex-dependent difference in presentation and management. Sarcoidosis is more common in women, particularly in patients who present after age of 50 years. Women with sarcoidosis are more likely to develop cystoid macular edema and the mortality rate is higher than that of men.","author":[{"family":"Birnbaum","given":"Andrea D"},{"family":"Rifkin","given":"Lana M"}],"authorYearDisplayFormat":false,"citation-label":"4505173","container-title":"Journal of ophthalmology","container-title-short":"J Ophthalmol","id":"4505173","invisible":false,"issued":{"date-parts":[["2014","6","2"]]},"journalAbbreviation":"J Ophthalmol","page":"236905","suppress-author":false,"title":"Sarcoidosis: sex-dependent variations in presentation and management.","type":"article-journal","volume":"2014"}]</w:instrText>
      </w:r>
      <w:r w:rsidR="00EE1F45" w:rsidRPr="005A7F38">
        <w:fldChar w:fldCharType="separate"/>
      </w:r>
      <w:r w:rsidR="00B775CB" w:rsidRPr="00B775CB">
        <w:rPr>
          <w:noProof/>
          <w:vertAlign w:val="superscript"/>
        </w:rPr>
        <w:t>63,73</w:t>
      </w:r>
      <w:r w:rsidR="00EE1F45" w:rsidRPr="005A7F38">
        <w:fldChar w:fldCharType="end"/>
      </w:r>
      <w:r w:rsidR="00EE1F45" w:rsidRPr="005A7F38">
        <w:rPr>
          <w:vanish/>
        </w:rPr>
        <w:t xml:space="preserve"> </w:t>
      </w:r>
      <w:r w:rsidR="00EE1F45" w:rsidRPr="005A7F38">
        <w:t xml:space="preserve"> </w:t>
      </w:r>
      <w:r w:rsidRPr="005A7F38">
        <w:t>Researchers studied</w:t>
      </w:r>
      <w:r w:rsidR="00EE1F45" w:rsidRPr="005A7F38">
        <w:t xml:space="preserve"> the relationship between </w:t>
      </w:r>
      <w:r w:rsidR="00EE1F45" w:rsidRPr="005A7F38">
        <w:lastRenderedPageBreak/>
        <w:t xml:space="preserve">exogenous estrogen exposure (oral contraceptive and supplemental female hormone use) and markers of endogenous estrogen exposure (age at menarche, age at menopause, pregnancy related data) to sarcoidosis </w:t>
      </w:r>
      <w:r w:rsidRPr="005A7F38">
        <w:t>incidence in black women</w:t>
      </w:r>
      <w:r w:rsidR="004673B6" w:rsidRPr="005A7F38">
        <w:t xml:space="preserve"> and found a negative association between prolonged endogenous estrogen exposure, by way of births later in life and later in life onset of menopause, and sarcoidosis risk. Adjusting</w:t>
      </w:r>
      <w:r w:rsidR="00FF168B" w:rsidRPr="005A7F38">
        <w:t xml:space="preserve"> for age, education, geographic region, smoking status, BMI an</w:t>
      </w:r>
      <w:r w:rsidR="004673B6" w:rsidRPr="005A7F38">
        <w:t>d follow up questionnaire cycle</w:t>
      </w:r>
      <w:r w:rsidR="00FF168B" w:rsidRPr="005A7F38">
        <w:t>, no significant association between age at menarche and sarcoidosis risk was found. Among postmenopausal women, later age at menopause was associated with a decreased risk of developing sarcoidosis</w:t>
      </w:r>
      <w:r w:rsidR="00B0707D" w:rsidRPr="005A7F38">
        <w:t xml:space="preserve"> (p=0.03)</w:t>
      </w:r>
      <w:r w:rsidR="00FF168B" w:rsidRPr="005A7F38">
        <w:t>. Compared to those who experienced menopause before 40 years, those who experienced menopause between 40 and 44 years of age</w:t>
      </w:r>
      <w:r w:rsidR="00A83AC4" w:rsidRPr="005A7F38">
        <w:t xml:space="preserve"> had an incidence rate ratio (IRR) of 0.92 (</w:t>
      </w:r>
      <w:r w:rsidR="00FF168B" w:rsidRPr="005A7F38">
        <w:t>CI=0.51</w:t>
      </w:r>
      <w:r w:rsidR="00A83AC4" w:rsidRPr="005A7F38">
        <w:t xml:space="preserve">-1.67), between ages 45-49 had an IRR of 0.65 (CI=0.34-1.22) and 0.60 (CI=0.31-1.15) (p-trend=0.03). No association was found between parity and sarcoidosis incidence. Among childbearing women, the IRR for mothers with a first birth at age 30 years or older compared to those who had their first birth before the age of 20 years (IRR=0.52, CI=0.34-0.82, p=0.02). </w:t>
      </w:r>
      <w:r w:rsidR="006A588F" w:rsidRPr="005A7F38">
        <w:t xml:space="preserve">Decreased time since last birth was associated with decreased risk. Comparing those with less than </w:t>
      </w:r>
      <w:r w:rsidR="002D138F" w:rsidRPr="005A7F38">
        <w:t>five</w:t>
      </w:r>
      <w:r w:rsidR="006A588F" w:rsidRPr="005A7F38">
        <w:t xml:space="preserve"> years since their last birth to those who experienced their last birth 15 or more years ago, the IRR was 0.56 (CI=0.35-0.91, p=0.01). The IRR for those who had ever lactated to those who had never l</w:t>
      </w:r>
      <w:r w:rsidR="009949B3">
        <w:t>actated was 0.87 (CI=0.69-1.09);</w:t>
      </w:r>
      <w:r w:rsidR="006A588F" w:rsidRPr="005A7F38">
        <w:t xml:space="preserve"> however there was no statistically significant association between duration of lactation and sarcoidosis (p=0.25). In examining exogenous exposure, no statistically significant association between oral contraceptive use and sarcoidosis was found (IRR=0.98, CI=0.78-1.23). In those using female hormone therapy compared to those who have not used female hormone therapy the IRR was 1.20 (CI=0.87-1.64) representing a possible increased risk of sarcoidosis in those using female hormone therapy.</w:t>
      </w:r>
      <w:r w:rsidR="00221CB4" w:rsidRPr="005A7F38">
        <w:fldChar w:fldCharType="begin"/>
      </w:r>
      <w:r w:rsidR="00B775CB">
        <w:instrText>ADDIN F1000_CSL_CITATION&lt;~#@#~&gt;[{"DOI":"10.1093/aje/kws145","First":false,"Last":false,"PMCID":"PMC3530373","PMID":"22967742","abstract":"The authors assessed the relation of hormonal and pregnancy-related factors to the incidence of sarcoidosis in the Black Women's Health Study. On biennial questionnaires, participants (US black women aged 21-69 years at baseline) reported data on diagnoses of sarcoidosis, reproductive history, and medication use. Cox regression models, adjusted for age, education, geographic region, smoking, and body mass index, were used to estimate incidence rate ratios and 95% confidence intervals. During 694,818 person-years of follow-up from 1995 through 2009, 452 incident cases of sarcoidosis were identified. The incidence of sarcoidosis decreased as age at menopause increased (P-trend = 0.03). Both later age at first full-term birth and having a more recent birth were associated with a reduced incidence of sarcoidosis. In models that included both factors, the incidence rate ratios were 0.60 (95% confidence interval: 0.37, 0.97) for age at first birth ≥30 years versus &lt; 20 years (P-trend = 0.05) and 0.73 (95% confidence interval: 0.43, 1.24) for &lt; 5 years since last birth versus ≥15 years (P-trend = 0.15). No significant associations were observed with age at menarche, parity, lactation, oral contraceptive use, or female hormone use. These results suggest that later full-term pregnancy and longer exposure to endogenous female hormones may be related to a reduced risk of sarcoidosis.","author":[{"family":"Cozier","given":"Yvette C"},{"family":"Berman","given":"Jeffrey S"},{"family":"Palmer","given":"Julie R"},{"family":"Boggs","given":"Deborah A"},{"family":"Wise","given":"Lauren A"},{"family":"Rosenberg","given":"Lynn"}],"authorYearDisplayFormat":false,"citation-label":"4506462","container-title":"American Journal of Epidemiology","container-title-short":"Am J Epidemiol","id":"4506462","invisible":false,"issue":"7","issued":{"date-parts":[["2012","10","1"]]},"journalAbbreviation":"Am J Epidemiol","page":"635-641","suppress-author":false,"title":"Reproductive and hormonal factors in relation to incidence of sarcoidosis in US Black women: The Black Women's Health Study.","type":"article-journal","volume":"176"}]</w:instrText>
      </w:r>
      <w:r w:rsidR="00221CB4" w:rsidRPr="005A7F38">
        <w:fldChar w:fldCharType="separate"/>
      </w:r>
      <w:r w:rsidR="00B775CB" w:rsidRPr="00B775CB">
        <w:rPr>
          <w:noProof/>
          <w:vertAlign w:val="superscript"/>
        </w:rPr>
        <w:t>73</w:t>
      </w:r>
      <w:r w:rsidR="00221CB4" w:rsidRPr="005A7F38">
        <w:fldChar w:fldCharType="end"/>
      </w:r>
      <w:r w:rsidR="002E17E3" w:rsidRPr="005A7F38">
        <w:t xml:space="preserve"> </w:t>
      </w:r>
      <w:r w:rsidR="002E17E3" w:rsidRPr="005A7F38">
        <w:lastRenderedPageBreak/>
        <w:t>These findings suggest that endogenous estrogen exposure is a mediating factor for decreased sarcoidosis risk.</w:t>
      </w:r>
    </w:p>
    <w:p w14:paraId="3BC6FAE3" w14:textId="2FEA907B" w:rsidR="002D624E" w:rsidRPr="005A7F38" w:rsidRDefault="00BE065D" w:rsidP="002446BB">
      <w:pPr>
        <w:pStyle w:val="Noindent"/>
        <w:ind w:firstLine="720"/>
      </w:pPr>
      <w:r w:rsidRPr="005A7F38">
        <w:t>Anim</w:t>
      </w:r>
      <w:r w:rsidR="00FB15D3" w:rsidRPr="005A7F38">
        <w:t xml:space="preserve">al studies have shown that endogenous </w:t>
      </w:r>
      <w:r w:rsidRPr="005A7F38">
        <w:t>estrogen exposure</w:t>
      </w:r>
      <w:r w:rsidR="00FB15D3" w:rsidRPr="005A7F38">
        <w:t xml:space="preserve"> may</w:t>
      </w:r>
      <w:r w:rsidRPr="005A7F38">
        <w:t xml:space="preserve"> play a role in the development and disease course of sarcoidosis.</w:t>
      </w:r>
      <w:r w:rsidRPr="005A7F38">
        <w:fldChar w:fldCharType="begin"/>
      </w:r>
      <w:r w:rsidR="00B775CB">
        <w:instrText>ADDIN F1000_CSL_CITATION&lt;~#@#~&gt;[{"DOI":"10.1093/aje/kws145","First":false,"Last":false,"PMCID":"PMC3530373","PMID":"22967742","abstract":"The authors assessed the relation of hormonal and pregnancy-related factors to the incidence of sarcoidosis in the Black Women's Health Study. On biennial questionnaires, participants (US black women aged 21-69 years at baseline) reported data on diagnoses of sarcoidosis, reproductive history, and medication use. Cox regression models, adjusted for age, education, geographic region, smoking, and body mass index, were used to estimate incidence rate ratios and 95% confidence intervals. During 694,818 person-years of follow-up from 1995 through 2009, 452 incident cases of sarcoidosis were identified. The incidence of sarcoidosis decreased as age at menopause increased (P-trend = 0.03). Both later age at first full-term birth and having a more recent birth were associated with a reduced incidence of sarcoidosis. In models that included both factors, the incidence rate ratios were 0.60 (95% confidence interval: 0.37, 0.97) for age at first birth ≥30 years versus &lt; 20 years (P-trend = 0.05) and 0.73 (95% confidence interval: 0.43, 1.24) for &lt; 5 years since last birth versus ≥15 years (P-trend = 0.15). No significant associations were observed with age at menarche, parity, lactation, oral contraceptive use, or female hormone use. These results suggest that later full-term pregnancy and longer exposure to endogenous female hormones may be related to a reduced risk of sarcoidosis.","author":[{"family":"Cozier","given":"Yvette C"},{"family":"Berman","given":"Jeffrey S"},{"family":"Palmer","given":"Julie R"},{"family":"Boggs","given":"Deborah A"},{"family":"Wise","given":"Lauren A"},{"family":"Rosenberg","given":"Lynn"}],"authorYearDisplayFormat":false,"citation-label":"4506462","container-title":"American Journal of Epidemiology","container-title-short":"Am J Epidemiol","id":"4506462","invisible":false,"issue":"7","issued":{"date-parts":[["2012","10","1"]]},"journalAbbreviation":"Am J Epidemiol","page":"635-641","suppress-author":false,"title":"Reproductive and hormonal factors in relation to incidence of sarcoidosis in US Black women: The Black Women's Health Study.","type":"article-journal","volume":"176"}]</w:instrText>
      </w:r>
      <w:r w:rsidRPr="005A7F38">
        <w:fldChar w:fldCharType="separate"/>
      </w:r>
      <w:r w:rsidR="00B775CB" w:rsidRPr="00B775CB">
        <w:rPr>
          <w:noProof/>
          <w:vertAlign w:val="superscript"/>
        </w:rPr>
        <w:t>73</w:t>
      </w:r>
      <w:r w:rsidRPr="005A7F38">
        <w:fldChar w:fldCharType="end"/>
      </w:r>
      <w:r w:rsidRPr="005A7F38">
        <w:t xml:space="preserve"> Shirai et al have developed a model of sarcoidosis in rats by using heat-killed bacilli Calmette-Guerin (BCG) to </w:t>
      </w:r>
      <w:r w:rsidR="00FB15D3" w:rsidRPr="005A7F38">
        <w:t>elicit a</w:t>
      </w:r>
      <w:r w:rsidRPr="005A7F38">
        <w:t xml:space="preserve"> granulomatous reaction in the lung. Researchers compared the granulomatous inflammatory changes between ovariectomized rats and intact rats with the pulmonary granulomas provoked with BCG and found </w:t>
      </w:r>
      <w:r w:rsidR="00FB15D3" w:rsidRPr="005A7F38">
        <w:t>increased diffuse, mature granulomas throughout the lung in the ovariectomized rats compare to the intact rats. When given supplemental estradiol, rates of granulomas were similar to the intact rats.</w:t>
      </w:r>
      <w:r w:rsidR="00B601AE" w:rsidRPr="005A7F38">
        <w:t xml:space="preserve"> This supports the idea that endogenous estrogen exposure as a protective factor against sarcoidosis and points to ovarian dysfunction as a risk factor for the development of sarcoidosis.</w:t>
      </w:r>
      <w:r w:rsidR="00B601AE" w:rsidRPr="005A7F38">
        <w:fldChar w:fldCharType="begin"/>
      </w:r>
      <w:r w:rsidR="00B775CB">
        <w:instrText>ADDIN F1000_CSL_CITATION&lt;~#@#~&gt;[{"First":false,"Last":false,"PMID":"7758563","abstract":"This study was initiated to clarify the relationship between ovarian hormones and the granulomatous inflammatory process in the lung. To assess whether ovarian dysfunction influences the granulomatous inflammatory process, we compared immunological alterations in ovariectomized rats and in sham-operated rats. After a heat-killed, bacilli Calmette-Guérin (BCG)-elicited granulomatous reaction, the lung-body weight ratios, the number of lymphocytes and activated T-cells, and the interferon-gamma levels in the bronchoalveolar lavage fluid from the ovariectomized rats were significantly higher than those of the sham-operated rats. Moreover, exogenous ovarian steroids supplemented in vivo suppressed not only the granulomatous inflammatory process in the lungs, but also the parameters measured in the bronchoalveolar fluid. These results indicate that ovarian dysfunction may adversely affect the formation of granulomas in the lung.","author":[{"family":"Shirai","given":"M"},{"family":"Sato","given":"A"},{"family":"Chida","given":"K"}],"authorYearDisplayFormat":false,"citation-label":"4506614","container-title":"The European Respiratory Journal","container-title-short":"Eur Respir J","id":"4506614","invisible":false,"issue":"2","issued":{"date-parts":[["1995","2"]]},"journalAbbreviation":"Eur Respir J","page":"272-277","suppress-author":false,"title":"The influence of ovarian hormones on the granulomatous inflammatory process in the rat lung.","type":"article-journal","volume":"8"}]</w:instrText>
      </w:r>
      <w:r w:rsidR="00B601AE" w:rsidRPr="005A7F38">
        <w:fldChar w:fldCharType="separate"/>
      </w:r>
      <w:r w:rsidR="00B775CB" w:rsidRPr="00B775CB">
        <w:rPr>
          <w:noProof/>
          <w:vertAlign w:val="superscript"/>
        </w:rPr>
        <w:t>74</w:t>
      </w:r>
      <w:r w:rsidR="00B601AE" w:rsidRPr="005A7F38">
        <w:fldChar w:fldCharType="end"/>
      </w:r>
    </w:p>
    <w:p w14:paraId="5B93A25E" w14:textId="7464530F" w:rsidR="00AA6AC0" w:rsidRPr="005A7F38" w:rsidRDefault="002D624E" w:rsidP="002446BB">
      <w:pPr>
        <w:pStyle w:val="Noindent"/>
        <w:ind w:firstLine="720"/>
      </w:pPr>
      <w:r w:rsidRPr="005A7F38">
        <w:t xml:space="preserve">In a case report of a postmenopausal woman with a </w:t>
      </w:r>
      <w:r w:rsidR="00DC2038" w:rsidRPr="005A7F38">
        <w:t>12-</w:t>
      </w:r>
      <w:r w:rsidRPr="005A7F38">
        <w:t xml:space="preserve">year history of chronic sarcoidosis with pulmonary, ocular, hepatic and submandibular lymph node involvement treated with conjugated estrogen and medroxyprogesterone, liver function and pulmonary function tests improved with hormone replacement therapy. The patient had been diagnosed by </w:t>
      </w:r>
      <w:r w:rsidR="008F5985" w:rsidRPr="005A7F38">
        <w:t>trans bronchial</w:t>
      </w:r>
      <w:r w:rsidRPr="005A7F38">
        <w:t xml:space="preserve"> and lymph node biopsy at age 41 years and had a favorable disease course for 12 years and did not require any pharmaceutical therapy during that time. The patient experienced onset of menopause at age 50 (9 years after diagnosis). 3 years following the onset of menopause (12 years after diagnosis), the patient was hospitalized with elevated liver function t</w:t>
      </w:r>
      <w:r w:rsidR="00A90B3A" w:rsidRPr="005A7F38">
        <w:t xml:space="preserve">ests and hepatic abnormalities including multiple areas consistent with granulomas on CT imaging that were confirmed with needle biopsy. Due to potential for serious adverse risks, the patient was prescribed hormone replacement therapy rather than the standard glucocorticoid therapy. Following initiation of the hormone replacement therapy the patient experienced rapid normalization of liver function and </w:t>
      </w:r>
      <w:r w:rsidR="00A90B3A" w:rsidRPr="005A7F38">
        <w:lastRenderedPageBreak/>
        <w:t xml:space="preserve">liver biopsy performed after 7 months showed remarkable improvement. Pulmonary function tests and chest radiographs immediately and 3 years after the initiation of hormone replacement therapy have shown improvement as well. </w:t>
      </w:r>
      <w:r w:rsidR="00A90B3A" w:rsidRPr="005A7F38">
        <w:fldChar w:fldCharType="begin"/>
      </w:r>
      <w:r w:rsidR="00B775CB">
        <w:instrText>ADDIN F1000_CSL_CITATION&lt;~#@#~&gt;[{"First":false,"Last":false,"PMID":"10489669","abstract":"A possible supplementary effect of sex hormone replacement therapy (HRT) for the postmenopausal woman with sarcoidosis is described. A 53-year-old woman presented with a 12-year history of sarcoidosis in the eyes, in the submandibular lymph nodes and in the lungs. In the course of follow up without any medication, her liver function tests were abnormal, and she was diagnosed as having hepatic sarcoidosis. Daily administration of 0.625 mg conjugated oestrogen and 2.5 mg medroxyprogesterone improved her liver function. The results suggest that HRT may help to prevent the progression of sarcoidosis in postmenopausal patients.","author":[{"family":"Chida","given":"K"},{"family":"Shirai","given":"M"},{"family":"Sato","given":"M"},{"family":"Sato","given":"J"},{"family":"Nakamura","given":"H"}],"authorYearDisplayFormat":false,"citation-label":"4506615","container-title":"Respirology","container-title-short":"Respirology","id":"4506615","invisible":false,"issue":"3","issued":{"date-parts":[["1999","9"]]},"journalAbbreviation":"Respirology","page":"259-261","suppress-author":false,"title":"Successful treatment of hepatic sarcoidosis with hormone replacement in a postmenopausal woman.","type":"article-journal","volume":"4"}]</w:instrText>
      </w:r>
      <w:r w:rsidR="00A90B3A" w:rsidRPr="005A7F38">
        <w:fldChar w:fldCharType="separate"/>
      </w:r>
      <w:r w:rsidR="00B775CB" w:rsidRPr="00B775CB">
        <w:rPr>
          <w:noProof/>
          <w:vertAlign w:val="superscript"/>
        </w:rPr>
        <w:t>75</w:t>
      </w:r>
      <w:r w:rsidR="00A90B3A" w:rsidRPr="005A7F38">
        <w:fldChar w:fldCharType="end"/>
      </w:r>
      <w:r w:rsidR="00DC2038" w:rsidRPr="005A7F38">
        <w:t xml:space="preserve"> </w:t>
      </w:r>
    </w:p>
    <w:p w14:paraId="49C8CA10" w14:textId="285812B7" w:rsidR="00233B8F" w:rsidRPr="005A7F38" w:rsidRDefault="008B471B" w:rsidP="002446BB">
      <w:pPr>
        <w:pStyle w:val="Noindent"/>
        <w:ind w:firstLine="720"/>
      </w:pPr>
      <w:r w:rsidRPr="005A7F38">
        <w:t>The rate of relapse for those with systemic sarcoidosis may also be impacted by sex. White males have the highest rates of relapse compared to white females and black patients of both sexes.</w:t>
      </w:r>
      <w:r w:rsidRPr="005A7F38">
        <w:fldChar w:fldCharType="begin"/>
      </w:r>
      <w:r w:rsidR="00B775CB">
        <w:instrText>ADDIN F1000_CSL_CITATION&lt;~#@#~&gt;[{"DOI":"10.1378/chest.111.3.623","First":false,"Last":false,"author":[{"family":"Gottlieb","given":"Jonathan E."},{"family":"Israel","given":"Harold L."},{"family":"Steiner","given":"Robert M."},{"family":"Triolo","given":"Joseph"},{"family":"Patrick","given":"Herbert"}],"authorYearDisplayFormat":false,"citation-label":"2096082","container-title":"Chest","container-title-short":"Chest","id":"2096082","invisible":false,"issue":"3","issued":{"date-parts":[["1997","3"]]},"journalAbbreviation":"Chest","page":"623-631","suppress-author":false,"title":"Outcome in Sarcoidosis","type":"article-journal","volume":"111"},{"DOI":"10.1164/ajrccm.149.4.8143052","First":false,"Last":false,"PMID":"8143052","abstract":"The clinical characteristics and pathology of sarcoidosis are well defined; however, the optimal therapy for this disorder remains unclear. Although patients respond, acutely, to corticosteroid therapy, it is not clear that these agents ultimately alter the natural history of this disease. These observations and that corticosteroids have significant side effects suggest that only patients who will clearly benefit from corticosteroid therapy should be treated. In a prospective study of patients' with sarcoidosis (n = 98), we limited our use of corticosteroids to those patients who had objective evidence of recent deterioration in lung function or serious extrapulmonary disease. All patients with sarcoidosis fulfilling these criteria were treated with corticosteroids. Patients were tapered off corticosteroids after they were treated for 1 yr. Of the 98 study subjects, 91 had not received therapy for the disease and 7 were on therapy before entry into the study. Of the 91 previously untreated patients, 55 were observed without therapy and 36 were treated with corticosteroids. Of those who were observed off therapy, only eight deteriorated. Of these latter patients, six responded and stabilized with the administration of corticosteroids for treatment of the underlying disease, to antibiotics for an associated bronchiectasis, or to diuretics for treatment for congestive heart failure; two were lost to follow-up. None of these six patients deteriorated while receiving corticosteroids. Of the 36 patients who deteriorated and were treated with corticosteroids, 20 remained stable and 16 improved clinically. Of the 37 patients who were eventually tapered off corticosteroids, five deteriorated and required reinitiation of corticosteroid therapy.(ABSTRACT TRUNCATED AT 250 WORDS)","author":[{"family":"Hunninghake","given":"G W"},{"family":"Gilbert","given":"S"},{"family":"Pueringer","given":"R"},{"family":"Dayton","given":"C"},{"family":"Floerchinger","given":"C"},{"family":"Helmers","given":"R"},{"family":"Merchant","given":"R"},{"family":"Wilson","given":"J"},{"family":"Galvin","given":"J"},{"family":"Schwartz","given":"D"}],"authorYearDisplayFormat":false,"citation-label":"4339061","container-title":"American Journal of Respiratory and Critical Care Medicine","container-title-short":"Am J Respir Crit Care Med","id":"4339061","invisible":false,"issue":"4 Pt 1","issued":{"date-parts":[["1994","4"]]},"journalAbbreviation":"Am J Respir Crit Care Med","page":"893-898","suppress-author":false,"title":"Outcome of the treatment for sarcoidosis.","type":"article-journal","volume":"149"}]</w:instrText>
      </w:r>
      <w:r w:rsidRPr="005A7F38">
        <w:fldChar w:fldCharType="separate"/>
      </w:r>
      <w:r w:rsidR="00B775CB" w:rsidRPr="00B775CB">
        <w:rPr>
          <w:noProof/>
          <w:vertAlign w:val="superscript"/>
        </w:rPr>
        <w:t>76,77</w:t>
      </w:r>
      <w:r w:rsidRPr="005A7F38">
        <w:fldChar w:fldCharType="end"/>
      </w:r>
      <w:r w:rsidR="00430DC6" w:rsidRPr="005A7F38">
        <w:t xml:space="preserve"> In a study of nearly 350 patients diagnosed with sarcoidosis enrolled in a registry over a </w:t>
      </w:r>
      <w:r w:rsidR="00B06F61" w:rsidRPr="005A7F38">
        <w:t>four</w:t>
      </w:r>
      <w:r w:rsidR="009949B3">
        <w:t>-</w:t>
      </w:r>
      <w:r w:rsidR="00430DC6" w:rsidRPr="005A7F38">
        <w:t>year period, black patients of both sexes received pharmacologic therapy with twice the frequency of white patients of both sexes due to the severity of their disease presentation but had a similar relapse rate.</w:t>
      </w:r>
      <w:r w:rsidR="00430DC6" w:rsidRPr="005A7F38">
        <w:fldChar w:fldCharType="begin"/>
      </w:r>
      <w:r w:rsidR="00B775CB">
        <w:instrText>ADDIN F1000_CSL_CITATION&lt;~#@#~&gt;[{"First":false,"Last":false,"PMID":"23461074","abstract":"&lt;strong&gt;BACKGROUND:&lt;/strong&gt; Although numerous reports have described the clinical features of sarcoidosis in various ethnic and racial groups, many have been limited by small size, homogenous populations, and relatively short follow-up periods. We report the clinical characteristics of a large, race-sex-age diverse cohort of sarcoidosis clinic patients followed in a large university medical center for an extended period of time.&lt;br&gt;&lt;br&gt;&lt;strong&gt;METHODS:&lt;/strong&gt; This study included clinical data for sarcoidosis patients followed over a 12-year period at a sarcoidosis clinic at the Medical University of South Carolina.&lt;br&gt;&lt;br&gt;&lt;strong&gt;RESULTS:&lt;/strong&gt; 1774 sarcoidosis patients were identified. Black females were more common (44%) than other race/gender combinations (p = 0.01). The diagnosis of sarcoidosis occurred &gt; 3 months after the onset of symptoms in 48% of the cohort and &gt; 1 year after the onset of symptoms in 25%. Anti-sarcoidosis treatment was required in 61% of the patients. Pulmonary function improved over time and the median corticosteroid requirement lessened. Compared to whites, blacks had more advanced radiographic stages of sarcoidosis (p &lt;  0.0001), more organ involvement (p &lt;  0.0001), and more frequently required anti-sarcoidosis medication (p &lt;  0.0001). Compared to women, men had more advanced radiographic stages of sarcoidosis (p &lt;  0.0001).&lt;br&gt;&lt;br&gt;&lt;strong&gt;CONCLUSIONS:&lt;/strong&gt; The analysis indicates that sarcoidosis tends to improve over time in terms of pulmonary function and medication requirements. The disease was found to be more severe in blacks than whites. Treatment was not necessarily required. These results provide a comprehensive model of the course and treatment of sarcoidosis in the clinical setting.","author":[{"family":"Judson","given":"M A"},{"family":"Boan","given":"A D"},{"family":"Lackland","given":"D T"}],"authorYearDisplayFormat":false,"citation-label":"4339058","container-title":"Sarcoidosis, vasculitis, and diffuse lung diseases : official journal of WASOG / World Association of Sarcoidosis and Other Granulomatous Disorders","container-title-short":"Sarcoidosis Vasc Diffuse Lung Dis","id":"4339058","invisible":false,"issue":"2","issued":{"date-parts":[["2012","10"]]},"journalAbbreviation":"Sarcoidosis Vasc Diffuse Lung Dis","page":"119-127","suppress-author":false,"title":"The clinical course of sarcoidosis: presentation, diagnosis, and treatment in a large white and black cohort in the United States.","type":"article-journal","volume":"29"}]</w:instrText>
      </w:r>
      <w:r w:rsidR="00430DC6" w:rsidRPr="005A7F38">
        <w:fldChar w:fldCharType="separate"/>
      </w:r>
      <w:r w:rsidR="00B775CB" w:rsidRPr="00B775CB">
        <w:rPr>
          <w:noProof/>
          <w:vertAlign w:val="superscript"/>
        </w:rPr>
        <w:t>26</w:t>
      </w:r>
      <w:r w:rsidR="00430DC6" w:rsidRPr="005A7F38">
        <w:fldChar w:fldCharType="end"/>
      </w:r>
      <w:r w:rsidR="00B601AE" w:rsidRPr="005A7F38">
        <w:t xml:space="preserve"> </w:t>
      </w:r>
    </w:p>
    <w:p w14:paraId="7ADB93CC" w14:textId="70788D5B" w:rsidR="008D2C20" w:rsidRPr="008D2C20" w:rsidRDefault="00B601AE" w:rsidP="008D2C20">
      <w:pPr>
        <w:pStyle w:val="Noindent"/>
        <w:ind w:firstLine="720"/>
      </w:pPr>
      <w:r w:rsidRPr="005A7F38">
        <w:t>Sarcoidosis occurs predominantly in women of reproductive age (under age 40) with a peak in incidence observed again among women age 50 to 60 years.</w:t>
      </w:r>
      <w:r w:rsidR="00FE72EC" w:rsidRPr="005A7F38">
        <w:fldChar w:fldCharType="begin"/>
      </w:r>
      <w:r w:rsidR="00B775CB">
        <w:instrText>ADDIN F1000_CSL_CITATION&lt;~#@#~&gt;[{"DOI":"10.1097/GME.0000000000000347","First":false,"Last":false,"PMID":"25314149","abstract":"&lt;strong&gt;OBJECTIVE:&lt;/strong&gt; Sarcoidosis is a multisystem inflammatory disorder of unknown cause that affects multiple organs. To date, only isolated cases of extrapulmonary sarcoidosis of the female reproductive tract, which rarely affects postmenopausal women, have been reported.&lt;br&gt;&lt;br&gt;&lt;strong&gt;METHODS:&lt;/strong&gt; We describe the case of a postmenopausal woman with sarcoidosis of multiple structures of the genital tract accompanied by pulmonary involvement. A review of the literature was performed to examine the role of sex hormones in the pathogenesis of sarcoidosis.&lt;br&gt;&lt;br&gt;&lt;strong&gt;RESULTS:&lt;/strong&gt; We describe the case of a 60-year-old white, nulliparous, nulligravid postmenopausal woman with sarcoidosis of the cervix, uterus, mesosalpinx, and right ovary, accompanied by pulmonary involvement. The diagnosis was based on the identification of noncaseating granulomas in reproductive tract organs. Although imaging methods (high-resolution CT and chest x-ray) and pulmonary function tests did not reveal any abnormality, lung involvement was confirmed histologically by transbronchial biopsy. Treatment with steroids was successful and led to normalization of serum biomarker (serum angiotensin-converting enzyme, soluble interleukin-2 receptor, and neopterin) levels.&lt;br&gt;&lt;br&gt;&lt;strong&gt;CONCLUSIONS:&lt;/strong&gt; This particular case and a brief literature review of female genital tract sarcoidosis in postmenopausal women suggest the role of sex hormones in the pathogenesis of sarcoidosis. Hormone therapy may be a prospective therapeutic alternative to corticosteroids in postmenopausal women.","author":[{"family":"Zurkova","given":"Monika"},{"family":"Turkova","given":"Marie"},{"family":"Tichy","given":"Tomas"},{"family":"Pilka","given":"Radovan"},{"family":"Kolek","given":"Vitezslav"},{"family":"Kriegova","given":"Eva"}],"authorYearDisplayFormat":false,"citation-label":"4532774","container-title":"Menopause","container-title-short":"Menopause","id":"4532774","invisible":false,"issue":"5","issued":{"date-parts":[["2015","5"]]},"journalAbbreviation":"Menopause","page":"549-553","suppress-author":false,"title":"Sarcoidosis of female reproductive organs in a postmenopausal woman: a case report and review of the literature: is there a potential for hormone therapy?","type":"article-journal","volume":"22"},{"First":false,"Last":false,"PMID":"10207945","abstract":"&lt;strong&gt;BACKGROUND:&lt;/strong&gt; Sarcoidosis is a multiorgan granulomatous disease of unknown cause. Lack of an objective system for assessment of sarcoidosis to evaluate disease course and effectiveness of therapy is a major problem.&lt;br&gt;&lt;br&gt;&lt;strong&gt;METHODS:&lt;/strong&gt; The sarcoidosis assessment instrument was developed by the Steering Committee of A Case Control Etiologic Study of Sarcoidosis (ACCESS) which included investigators at the ten ACCESS Clinical Centers, the Clinical Coordinating Center, and representatives of the National Heart, Blood, and Lung Institute. This system was developed to assess sarcoidosis organ involvement in ACCESS patients who would be followed over a two-year period. The system represents a consensus of opinions of members of the Steering Committee based on review of their experience and the medical literature.&lt;br&gt;&lt;br&gt;&lt;strong&gt;RESULTS:&lt;/strong&gt; Criteria for involvement in patients with biopsy-confirmed sarcoidosis are presented for organs and systems that are commonly involved (lung, skin, eyes, liver, calcium metabolism), unusual but clinically important (nervous system, kidney, heart) and other sites (non-thoracic lymph nodes, bone marrow, spleen, bone/joint, ear/nose/throat, parotid/salivary glands, muscles).&lt;br&gt;&lt;br&gt;&lt;strong&gt;CONCLUSION:&lt;/strong&gt; The proposed instrument is partially subjective in that it depends upon the clinician's diligence in pursuing evidence for sarcoidosis involvement of various organs. It is hoped that this instrument will lead to increased standardization in the definition of sarcoidosis organ involvement to help clinicians and researchers better characterize patients with sarcoidosis.","author":[{"family":"Judson","given":"M A"},{"family":"Baughman","given":"R P"},{"family":"Teirstein","given":"A S"},{"family":"Terrin","given":"M L"},{"family":"Yeager","given":"H"}],"authorYearDisplayFormat":false,"citation-label":"4532798","container-title":"Sarcoidosis, vasculitis, and diffuse lung diseases : official journal of WASOG / World Association of Sarcoidosis and Other Granulomatous Disorders","container-title-short":"Sarcoidosis Vasc Diffuse Lung Dis","id":"4532798","invisible":false,"issue":"1","issued":{"date-parts":[["1999","3"]]},"journalAbbreviation":"Sarcoidosis Vasc Diffuse Lung Dis","page":"75-86","suppress-author":false,"title":"Defining organ involvement in sarcoidosis: the ACCESS proposed instrument. ACCESS Research Group. A Case Control Etiologic Study of Sarcoidosis.","type":"article-journal","volume":"16"}]</w:instrText>
      </w:r>
      <w:r w:rsidR="00FE72EC" w:rsidRPr="005A7F38">
        <w:fldChar w:fldCharType="separate"/>
      </w:r>
      <w:r w:rsidR="00B775CB" w:rsidRPr="00B775CB">
        <w:rPr>
          <w:noProof/>
          <w:vertAlign w:val="superscript"/>
        </w:rPr>
        <w:t>13,78</w:t>
      </w:r>
      <w:r w:rsidR="00FE72EC" w:rsidRPr="005A7F38">
        <w:fldChar w:fldCharType="end"/>
      </w:r>
      <w:r w:rsidRPr="005A7F38">
        <w:t xml:space="preserve"> Notably, patients diagnosed after age 50 years are more often women.</w:t>
      </w:r>
      <w:r w:rsidR="00DB0FB2" w:rsidRPr="005A7F38">
        <w:fldChar w:fldCharType="begin"/>
      </w:r>
      <w:r w:rsidR="00B775CB">
        <w:instrText>ADDIN F1000_CSL_CITATION&lt;~#@#~&gt;[{"First":false,"Last":false,"PMID":"2602686","abstract":"This paper presents the results of an investigation made on the recent trends in the estimated prevalence and incidence rates of sarcoidosis in Japan and the changes in its epidemiological characteristics based on the results of nation-wide surveys conducted in 1972 and 1984. Age-adjusted mortality trends based on vital statistics were also examined. The estimated prevalence rate in males increased from 3.0 per 100,000 population in 1972 to 3.8 in 1984 and in females from 3.3 to 5.6, respectively (p less than 0.01), while the estimated incidence rate remained unchanged (1.2 per 100,000 in males and 1.4 in females). The age-adjusted mortality rate showed a gradually decreasing tendency from 0.2 to 0.1 per million. The estimated age-sex specific prevalence and incidence rates showed a pronounced increase in the middle-aged and elderly age groups particularly in females but a marked decrease in those 19 years and under. The increase in prevalence rate may be attributable to the prolonged duration of the disease. Noteworthy changes in the pattern of the disorder included a marked increase in the proportion of patients with eye lesions (males: from 31.3% to 44.4% and females: 41.6% to 58.7%) indicative of poor prognosis and statistically insignificant increase in pulmonary parenchymal lesions (males: from 38.1% to 43.4% and females: from 33.5% to 36.4%), the majority of which showed pulmonary mottling not accompanied with severe fibrosis often seen in Europe and America. The standardized prevalence ratios were observed in hot, warm and cold areas.(ABSTRACT TRUNCATED AT 250 WORDS)","author":[{"family":"Yamaguchi","given":"M"},{"family":"Hosoda","given":"Y"},{"family":"Sasaki","given":"R"},{"family":"Aoki","given":"K"}],"authorYearDisplayFormat":false,"citation-label":"4506060","container-title":"Sarcoidosis","container-title-short":"Sarcoidosis","id":"4506060","invisible":false,"issue":"2","issued":{"date-parts":[["1989","9"]]},"journalAbbreviation":"Sarcoidosis","page":"138-146","suppress-author":false,"title":"Epidemiological study on sarcoidosis in Japan. Recent trends in incidence and prevalence rates and changes in epidemiological features.","type":"article-journal","volume":"6"},{"DOI":"10.1164/arrd.1984.130.1.29","First":false,"Last":false,"PMID":"6742607","abstract":"A 15-year study of patients with sarcoidosis is presented. In most patients, the disease was discovered at a general health screening examination. The mean total incidence among persons 15 yr of age or older was 19 per 100,000 per year (21.7 for women and 16.5 for men). There was a peak incidence in both sexes between the ages of 20 and 34, and in older women, there was a second but lower and broader peak. The frequency of symptoms was greater in older women than in other patients. The accumulated lifetime risk of sarcoidosis was 1.3% for women and almost 1% for men. Patients with Stage I sarcoidosis, i.e., with bilateral hilar adenopathy alone, had the best prognosis, with 50% of the patients showing a normal radiographic picture 15 months after the discovery of the disease. Among patients with Stage II sarcoidosis (both bilateral hilar adenopathy and pulmonary infiltration), it was 36 months before 50% returned to normal radiographically. Resolution of all radiographic evidence of the disease could still occur many years after the first pathologic findings were made on chest films.","author":[{"family":"Hillerdal","given":"G"},{"family":"Nöu","given":"E"},{"family":"Osterman","given":"K"},{"family":"Schmekel","given":"B"}],"authorYearDisplayFormat":false,"citation-label":"4339046","container-title":"The American Review of Respiratory Disease","container-title-short":"Am Rev Respir Dis","id":"4339046","invisible":false,"issue":"1","issued":{"date-parts":[["1984","7"]]},"journalAbbreviation":"Am Rev Respir Dis","page":"29-32","suppress-author":false,"title":"Sarcoidosis: epidemiology and prognosis. A 15-year European study.","type":"article-journal","volume":"130"},{"DOI":"10.1097/GME.0000000000000347","First":false,"Last":false,"PMID":"25314149","abstract":"&lt;strong&gt;OBJECTIVE:&lt;/strong&gt; Sarcoidosis is a multisystem inflammatory disorder of unknown cause that affects multiple organs. To date, only isolated cases of extrapulmonary sarcoidosis of the female reproductive tract, which rarely affects postmenopausal women, have been reported.&lt;br&gt;&lt;br&gt;&lt;strong&gt;METHODS:&lt;/strong&gt; We describe the case of a postmenopausal woman with sarcoidosis of multiple structures of the genital tract accompanied by pulmonary involvement. A review of the literature was performed to examine the role of sex hormones in the pathogenesis of sarcoidosis.&lt;br&gt;&lt;br&gt;&lt;strong&gt;RESULTS:&lt;/strong&gt; We describe the case of a 60-year-old white, nulliparous, nulligravid postmenopausal woman with sarcoidosis of the cervix, uterus, mesosalpinx, and right ovary, accompanied by pulmonary involvement. The diagnosis was based on the identification of noncaseating granulomas in reproductive tract organs. Although imaging methods (high-resolution CT and chest x-ray) and pulmonary function tests did not reveal any abnormality, lung involvement was confirmed histologically by transbronchial biopsy. Treatment with steroids was successful and led to normalization of serum biomarker (serum angiotensin-converting enzyme, soluble interleukin-2 receptor, and neopterin) levels.&lt;br&gt;&lt;br&gt;&lt;strong&gt;CONCLUSIONS:&lt;/strong&gt; This particular case and a brief literature review of female genital tract sarcoidosis in postmenopausal women suggest the role of sex hormones in the pathogenesis of sarcoidosis. Hormone therapy may be a prospective therapeutic alternative to corticosteroids in postmenopausal women.","author":[{"family":"Zurkova","given":"Monika"},{"family":"Turkova","given":"Marie"},{"family":"Tichy","given":"Tomas"},{"family":"Pilka","given":"Radovan"},{"family":"Kolek","given":"Vitezslav"},{"family":"Kriegova","given":"Eva"}],"authorYearDisplayFormat":false,"citation-label":"4532774","container-title":"Menopause","container-title-short":"Menopause","id":"4532774","invisible":false,"issue":"5","issued":{"date-parts":[["2015","5"]]},"journalAbbreviation":"Menopause","page":"549-553","suppress-author":false,"title":"Sarcoidosis of female reproductive organs in a postmenopausal woman: a case report and review of the literature: is there a potential for hormone therapy?","type":"article-journal","volume":"22"}]</w:instrText>
      </w:r>
      <w:r w:rsidR="00DB0FB2" w:rsidRPr="005A7F38">
        <w:fldChar w:fldCharType="separate"/>
      </w:r>
      <w:r w:rsidR="00B775CB" w:rsidRPr="00B775CB">
        <w:rPr>
          <w:noProof/>
          <w:vertAlign w:val="superscript"/>
        </w:rPr>
        <w:t>54,59,78</w:t>
      </w:r>
      <w:r w:rsidR="00DB0FB2" w:rsidRPr="005A7F38">
        <w:fldChar w:fldCharType="end"/>
      </w:r>
      <w:r w:rsidRPr="005A7F38">
        <w:t xml:space="preserve"> The higher prevalence of sarcoidosis in women of reproductive age, the peak in incidence in the postmenopausal years and the fact that those diagnosed with sarcoidosis after age 50 years makes the continued study of hormones as a potential mediator of sarcoidosis pathogenesis. </w:t>
      </w:r>
      <w:r w:rsidR="00FE72EC" w:rsidRPr="005A7F38">
        <w:t>Research into the use of hormone replacement therapy for postmenopausal women with sarcoidosis should be undertaken.</w:t>
      </w:r>
      <w:r w:rsidR="00362897">
        <w:t xml:space="preserve"> </w:t>
      </w:r>
      <w:r w:rsidR="00DF435C">
        <w:t>Recent research has shown that there is significant interaction between gut microbiota and hormones. Controlling production and inhibition of hormones, the gut microbiota have been considered an independent endocrine organ. Gut microbiota have been shown to promote levels of estrogens, including estriol.</w:t>
      </w:r>
      <w:r w:rsidR="00DF435C">
        <w:fldChar w:fldCharType="begin"/>
      </w:r>
      <w:r w:rsidR="00B775CB">
        <w:instrText>ADDIN F1000_CSL_CITATION&lt;~#@#~&gt;[{"DOI":"10.1007/978-1-4939-0897-4_8","First":false,"Last":false,"PMID":"24997034","abstract":"Recent accumulating evidence indicates that the gut microbiome can affect the development and regulation of the hypothalamic-pituitary-adrenal axis and behavior, with central integrative systems being crucial in the successful physiological adaptation of the organism to external stressor. In contrast, host-derived hormones increase the bacterial proliferative capacity and pathogenicity. In the gut lumen, this type of cross-talk between microorganisms and the host is presumed to be performed continually through various kinds of luminal molecules, as numerous types of bacteria and host cells are in close proximity in the gastrointestinal tract of mammals.We herein focus on bidirectional signaling between the gut microbiome and the host in terms of commensal microbiota affecting the hypothalamic-pituitary-adrenal HPA axis response and behaviors and further discuss the role of gut luminal catecholamines and γ-aminobutyric acid, both of which are presumed to be involved in this signaling.","author":[{"family":"Sudo","given":"Nobuyuki"}],"authorYearDisplayFormat":false,"citation-label":"4614768","container-title":"Advances in Experimental Medicine and Biology","container-title-short":"Adv Exp Med Biol","id":"4614768","invisible":false,"issued":{"date-parts":[["2014"]]},"journalAbbreviation":"Adv Exp Med Biol","page":"177-194","suppress-author":false,"title":"Microbiome, HPA axis and production of endocrine hormones in the gut.","type":"article-journal","volume":"817"}]</w:instrText>
      </w:r>
      <w:r w:rsidR="00DF435C">
        <w:fldChar w:fldCharType="separate"/>
      </w:r>
      <w:r w:rsidR="00B775CB" w:rsidRPr="00B775CB">
        <w:rPr>
          <w:noProof/>
          <w:vertAlign w:val="superscript"/>
        </w:rPr>
        <w:t>79</w:t>
      </w:r>
      <w:r w:rsidR="00DF435C">
        <w:fldChar w:fldCharType="end"/>
      </w:r>
      <w:r w:rsidR="00DF435C">
        <w:t xml:space="preserve"> Perturbations of the microbiome may interact with hormone levels to increase risk of sarcoidosis. </w:t>
      </w:r>
    </w:p>
    <w:p w14:paraId="14A45769" w14:textId="77777777" w:rsidR="00CB62A8" w:rsidRPr="005A7F38" w:rsidRDefault="00CB62A8" w:rsidP="002446BB">
      <w:pPr>
        <w:pStyle w:val="Heading4"/>
        <w:rPr>
          <w:rFonts w:cs="Times New Roman"/>
        </w:rPr>
      </w:pPr>
      <w:bookmarkStart w:id="31" w:name="_Toc506540010"/>
      <w:r w:rsidRPr="005A7F38">
        <w:rPr>
          <w:rFonts w:cs="Times New Roman"/>
        </w:rPr>
        <w:t>Race</w:t>
      </w:r>
      <w:bookmarkEnd w:id="31"/>
    </w:p>
    <w:p w14:paraId="7FBA25BE" w14:textId="12B093F4" w:rsidR="00817102" w:rsidRPr="005A7F38" w:rsidRDefault="00394B3C" w:rsidP="002446BB">
      <w:pPr>
        <w:pStyle w:val="Noindent"/>
      </w:pPr>
      <w:r w:rsidRPr="005A7F38">
        <w:t xml:space="preserve">In the U.S., sarcoidosis has been reported as being 10-17 times </w:t>
      </w:r>
      <w:r w:rsidR="00E37F8E" w:rsidRPr="005A7F38">
        <w:t>more</w:t>
      </w:r>
      <w:r w:rsidRPr="005A7F38">
        <w:t xml:space="preserve"> prevalent in </w:t>
      </w:r>
      <w:r w:rsidR="007224DC" w:rsidRPr="005A7F38">
        <w:t>black patients</w:t>
      </w:r>
      <w:r w:rsidRPr="005A7F38">
        <w:t xml:space="preserve"> than in </w:t>
      </w:r>
      <w:r w:rsidR="007224DC" w:rsidRPr="005A7F38">
        <w:t>white patients</w:t>
      </w:r>
      <w:r w:rsidRPr="005A7F38">
        <w:t>.</w:t>
      </w:r>
      <w:r w:rsidRPr="005A7F38">
        <w:fldChar w:fldCharType="begin"/>
      </w:r>
      <w:r w:rsidR="00B775CB">
        <w:instrText>ADDIN F1000_CSL_CITATION&lt;~#@#~&gt;[{"DOI":"10.1093/oxfordjournals.aje.a009096","First":false,"Last":false,"PMID":"9012596","abstract":"Reports of racial differences in the incidence of sarcoidosis, a granulomatous disorder of unknown etiology, are primarily based on studies of military and veteran populations. To determine racial differences in sarcoidosis incidence in a metropolitan population the authors conducted a study of newly diagnosed cases that occurred between 1990 and 1994 among members of the Health Alliance Plan health maintenance organization in Detroit, Michigan. The study population was racially heterogeneous, was limited to individuals aged 20-69 years, and comprised about 5% of the Detroit metropolitan area population in that age group. Annual age-adjusted incidence, in number of new cases per 100,000, was highest in African-American females (39.1 cases). The next highest incidence was found in African-American males (29.8 cases), followed by Caucasian females (12.1) and Caucasian males (9.6). African-American females aged 30-39 years were at the greatest risk, with an annual incidence of 107/100,000. Overall, African Americans had about a threefold higher age-adjusted annual incidence (35.5/100,000) compared with Caucasians (10.9/100,000). Additional adjustment for sex, area of residence, and year of study resulted in 3.8-fold greater risk for African Americans compared with Caucasians. This study further confirmed the higher incidence of sarcoidosis in African Americans compared with Caucasians, but the racial difference was lower than previously reported. The results should be more generalizable than previous studies done with select populations and should serve as a useful frame of reference for future epidemiologic research of sarcoidosis.","author":[{"family":"Rybicki","given":"B A"},{"family":"Major","given":"M"},{"family":"Popovich","given":"J"},{"family":"Maliarik","given":"M J"},{"family":"Iannuzzi","given":"M C"}],"authorYearDisplayFormat":false,"citation-label":"3415906","container-title":"American Journal of Epidemiology","container-title-short":"Am J Epidemiol","id":"3415906","invisible":false,"issue":"3","issued":{"date-parts":[["1997","2","1"]]},"journalAbbreviation":"Am J Epidemiol","page":"234-241","suppress-author":false,"title":"Racial differences in sarcoidosis incidence: a 5-year study in a health maintenance organization.","type":"article-journal","volume":"145"}]</w:instrText>
      </w:r>
      <w:r w:rsidRPr="005A7F38">
        <w:fldChar w:fldCharType="separate"/>
      </w:r>
      <w:r w:rsidR="00B775CB" w:rsidRPr="00B775CB">
        <w:rPr>
          <w:noProof/>
          <w:vertAlign w:val="superscript"/>
        </w:rPr>
        <w:t>31</w:t>
      </w:r>
      <w:r w:rsidRPr="005A7F38">
        <w:fldChar w:fldCharType="end"/>
      </w:r>
      <w:r w:rsidR="00487E7D" w:rsidRPr="005A7F38">
        <w:t xml:space="preserve"> </w:t>
      </w:r>
      <w:r w:rsidR="006F37E9" w:rsidRPr="005A7F38">
        <w:t xml:space="preserve">The highest incidence rates of sarcoidosis in the U.S. are experienced by </w:t>
      </w:r>
      <w:r w:rsidR="006F37E9" w:rsidRPr="005A7F38">
        <w:lastRenderedPageBreak/>
        <w:t>black women.</w:t>
      </w:r>
      <w:r w:rsidR="006F37E9" w:rsidRPr="005A7F38">
        <w:fldChar w:fldCharType="begin"/>
      </w:r>
      <w:r w:rsidR="00B775CB">
        <w:instrText>ADDIN F1000_CSL_CITATION&lt;~#@#~&gt;[{"First":false,"Last":false,"PMID":"9764947","abstract":"Epidemiological knowledge of sarcoidosis is based mainly on studies performed more than 30 years ago. These early case-control studies produced some interesting risk factor-disease associations, but a clear causative mechanism in sarcoidosis remains unknown. Studies in military and veteran populations showed a clear preponderance of sarcoidosis in African Americans compared with Caucasians. Our recent sarcoidosis incidence study in a racially heterogeneous population found African Americans at three- to fourfold greater risk, which was less than the 10 to 17 times greater risk previously reported. Females are consistently found at greater risk than males, although the relative risk difference generally does not exceed two. The striking racial differences and numerous reports of familial clustering suggest genetic susceptibility. We have found that familial sarcoidosis is almost three times more common in African-American (17%) than Caucasian cases (6%). Future genetic studies can benefit from the extensive catalog of candidate genes that is emerging from the human genome project. The epidemiological evidence to date strongly suggests that studies seeking causes for sarcoidosis need to consider both environmental and genetic risk factors to be successful because the two likely interact with each other to produce disease.","author":[{"family":"Rybicki","given":"B A"},{"family":"Maliarik","given":"M J"},{"family":"Major","given":"M"},{"family":"Popovich","given":"J"},{"family":"Iannuzzi","given":"M C"}],"authorYearDisplayFormat":false,"citation-label":"4444543","container-title":"Seminars in respiratory infections","container-title-short":"Semin Respir Infect","id":"4444543","invisible":false,"issue":"3","issued":{"date-parts":[["1998","9"]]},"journalAbbreviation":"Semin Respir Infect","page":"166-173","suppress-author":false,"title":"Epidemiology, demographics, and genetics of sarcoidosis.","type":"article-journal","volume":"13"},{"DOI":"10.1093/oxfordjournals.aje.a009096","First":false,"Last":false,"PMID":"9012596","abstract":"Reports of racial differences in the incidence of sarcoidosis, a granulomatous disorder of unknown etiology, are primarily based on studies of military and veteran populations. To determine racial differences in sarcoidosis incidence in a metropolitan population the authors conducted a study of newly diagnosed cases that occurred between 1990 and 1994 among members of the Health Alliance Plan health maintenance organization in Detroit, Michigan. The study population was racially heterogeneous, was limited to individuals aged 20-69 years, and comprised about 5% of the Detroit metropolitan area population in that age group. Annual age-adjusted incidence, in number of new cases per 100,000, was highest in African-American females (39.1 cases). The next highest incidence was found in African-American males (29.8 cases), followed by Caucasian females (12.1) and Caucasian males (9.6). African-American females aged 30-39 years were at the greatest risk, with an annual incidence of 107/100,000. Overall, African Americans had about a threefold higher age-adjusted annual incidence (35.5/100,000) compared with Caucasians (10.9/100,000). Additional adjustment for sex, area of residence, and year of study resulted in 3.8-fold greater risk for African Americans compared with Caucasians. This study further confirmed the higher incidence of sarcoidosis in African Americans compared with Caucasians, but the racial difference was lower than previously reported. The results should be more generalizable than previous studies done with select populations and should serve as a useful frame of reference for future epidemiologic research of sarcoidosis.","author":[{"family":"Rybicki","given":"B A"},{"family":"Major","given":"M"},{"family":"Popovich","given":"J"},{"family":"Maliarik","given":"M J"},{"family":"Iannuzzi","given":"M C"}],"authorYearDisplayFormat":false,"citation-label":"3415906","container-title":"American Journal of Epidemiology","container-title-short":"Am J Epidemiol","id":"3415906","invisible":false,"issue":"3","issued":{"date-parts":[["1997","2","1"]]},"journalAbbreviation":"Am J Epidemiol","page":"234-241","suppress-author":false,"title":"Racial differences in sarcoidosis incidence: a 5-year study in a health maintenance organization.","type":"article-journal","volume":"145"}]</w:instrText>
      </w:r>
      <w:r w:rsidR="006F37E9" w:rsidRPr="005A7F38">
        <w:fldChar w:fldCharType="separate"/>
      </w:r>
      <w:r w:rsidR="00B775CB" w:rsidRPr="00B775CB">
        <w:rPr>
          <w:noProof/>
          <w:vertAlign w:val="superscript"/>
        </w:rPr>
        <w:t>31,80</w:t>
      </w:r>
      <w:r w:rsidR="006F37E9" w:rsidRPr="005A7F38">
        <w:fldChar w:fldCharType="end"/>
      </w:r>
      <w:r w:rsidR="006F37E9" w:rsidRPr="005A7F38">
        <w:t xml:space="preserve"> </w:t>
      </w:r>
      <w:r w:rsidR="005A56A8" w:rsidRPr="005A7F38">
        <w:t xml:space="preserve">In a recent case-control </w:t>
      </w:r>
      <w:r w:rsidR="00221CB4" w:rsidRPr="005A7F38">
        <w:t>study, approximately one-third of the sarcoidosis cases (736) were black women</w:t>
      </w:r>
      <w:r w:rsidR="003717E5" w:rsidRPr="005A7F38">
        <w:t>, with a total of 44% of the cases identifying as black</w:t>
      </w:r>
      <w:r w:rsidR="00221CB4" w:rsidRPr="005A7F38">
        <w:t>.</w:t>
      </w:r>
      <w:r w:rsidR="003717E5" w:rsidRPr="005A7F38">
        <w:fldChar w:fldCharType="begin"/>
      </w:r>
      <w:r w:rsidR="00B775CB">
        <w:instrText>ADDIN F1000_CSL_CITATION&lt;~#@#~&gt;[{"DOI":"10.1164/ajrccm.164.10.2104046","First":false,"Last":false,"PMID":"11734441","abstract":"Sarcoidosis may be affected by sex, race, and age. A Case Control Etiologic Study of Sarcoidosis (ACCESS) enrolled 736 patients with sarcoidosis within 6 mo of diagnosis from 10 clinical centers in the United States. Using the ACCESS sarcoidosis assessment system, we determined organ involvement for the whole group and for subgroups differentiated by sex, race, and age (less than 40 yr or 40 yr and older). The study population was heterogeneous in terms of race (53% white, 44% black), sex (64% female, 36% male), and age (46% &lt;  40 yr old, 54% &gt; or = 40 yr old). Women were more likely to have eye and neurologic involvement (chi(2) = 4.74, p &lt;  0.05 and chi(2) = 4.60, p &lt;  0.05 respectively), have erythema nodosum (chi(2) = 7.28, p &lt;  0.01), and to be age 40 yr or over (chi(2) = 6.07, p &lt;  0.02) whereas men were more likely to be hypercalcemic (chi(2) = 7.38, p &lt;  0.01). Black subjects were more likely to have skin involvement other than erythema nodosum (chi(2) = 5.47, p &lt;  0.05), and eye (chi(2) = 13.8, p &lt;  0.0001), liver (chi(2) = 23.3, p &lt;  0.0001), bone marrow (chi(2) = 18.8, p &lt;  0.001), and extrathoracic lymph node involvement (chi(2) = 7.21, p &lt;  0.01). We conclude that the initial presentation of sarcoidosis is related to sex, race, and age.","author":[{"family":"Baughman","given":"R P"},{"family":"Teirstein","given":"A S"},{"family":"Judson","given":"M A"},{"family":"Rossman","given":"M D"},{"family":"Yeager","given":"H"},{"family":"Bresnitz","given":"E A"},{"family":"DePalo","given":"L"},{"family":"Hunninghake","given":"G"},{"family":"Iannuzzi","given":"M C"},{"family":"Johns","given":"C J"},{"family":"McLennan","given":"G"},{"family":"Moller","given":"D R"},{"family":"Newman","given":"L S"},{"family":"Rabin","given":"D L"},{"family":"Rose","given":"C"},{"family":"Rybicki","given":"B"},{"family":"Weinberger","given":"S E"},{"family":"Terrin","given":"M L"},{"family":"Knatterud","given":"G L"},{"family":"Cherniak","given":"R"},{"family":"Case Control Etiologic Study of Sarcoidosis (ACCESS) research group"}],"authorYearDisplayFormat":false,"citation-label":"594878","container-title":"American Journal of Respiratory and Critical Care Medicine","container-title-short":"Am J Respir Crit Care Med","id":"594878","invisible":false,"issue":"10 Pt 1","issued":{"date-parts":[["2001","11","15"]]},"journalAbbreviation":"Am J Respir Crit Care Med","page":"1885-1889","suppress-author":false,"title":"Clinical characteristics of patients in a case control study of sarcoidosis.","type":"article-journal","volume":"164"}]</w:instrText>
      </w:r>
      <w:r w:rsidR="003717E5" w:rsidRPr="005A7F38">
        <w:fldChar w:fldCharType="separate"/>
      </w:r>
      <w:r w:rsidR="00B775CB" w:rsidRPr="00B775CB">
        <w:rPr>
          <w:noProof/>
          <w:vertAlign w:val="superscript"/>
        </w:rPr>
        <w:t>81</w:t>
      </w:r>
      <w:r w:rsidR="003717E5" w:rsidRPr="005A7F38">
        <w:fldChar w:fldCharType="end"/>
      </w:r>
      <w:r w:rsidR="00221CB4" w:rsidRPr="005A7F38">
        <w:t xml:space="preserve"> </w:t>
      </w:r>
      <w:r w:rsidR="00487E7D" w:rsidRPr="005A7F38">
        <w:t>In the MUSC cohort, black women made up 44% of the affected cohort and were the most common combination of race and sex (p=0.01).</w:t>
      </w:r>
      <w:r w:rsidR="00487E7D" w:rsidRPr="005A7F38">
        <w:fldChar w:fldCharType="begin"/>
      </w:r>
      <w:r w:rsidR="00B775CB">
        <w:instrText>ADDIN F1000_CSL_CITATION&lt;~#@#~&gt;[{"First":false,"Last":false,"PMID":"23461074","abstract":"&lt;strong&gt;BACKGROUND:&lt;/strong&gt; Although numerous reports have described the clinical features of sarcoidosis in various ethnic and racial groups, many have been limited by small size, homogenous populations, and relatively short follow-up periods. We report the clinical characteristics of a large, race-sex-age diverse cohort of sarcoidosis clinic patients followed in a large university medical center for an extended period of time.&lt;br&gt;&lt;br&gt;&lt;strong&gt;METHODS:&lt;/strong&gt; This study included clinical data for sarcoidosis patients followed over a 12-year period at a sarcoidosis clinic at the Medical University of South Carolina.&lt;br&gt;&lt;br&gt;&lt;strong&gt;RESULTS:&lt;/strong&gt; 1774 sarcoidosis patients were identified. Black females were more common (44%) than other race/gender combinations (p = 0.01). The diagnosis of sarcoidosis occurred &gt; 3 months after the onset of symptoms in 48% of the cohort and &gt; 1 year after the onset of symptoms in 25%. Anti-sarcoidosis treatment was required in 61% of the patients. Pulmonary function improved over time and the median corticosteroid requirement lessened. Compared to whites, blacks had more advanced radiographic stages of sarcoidosis (p &lt;  0.0001), more organ involvement (p &lt;  0.0001), and more frequently required anti-sarcoidosis medication (p &lt;  0.0001). Compared to women, men had more advanced radiographic stages of sarcoidosis (p &lt;  0.0001).&lt;br&gt;&lt;br&gt;&lt;strong&gt;CONCLUSIONS:&lt;/strong&gt; The analysis indicates that sarcoidosis tends to improve over time in terms of pulmonary function and medication requirements. The disease was found to be more severe in blacks than whites. Treatment was not necessarily required. These results provide a comprehensive model of the course and treatment of sarcoidosis in the clinical setting.","author":[{"family":"Judson","given":"M A"},{"family":"Boan","given":"A D"},{"family":"Lackland","given":"D T"}],"authorYearDisplayFormat":false,"citation-label":"4339058","container-title":"Sarcoidosis, vasculitis, and diffuse lung diseases : official journal of WASOG / World Association of Sarcoidosis and Other Granulomatous Disorders","container-title-short":"Sarcoidosis Vasc Diffuse Lung Dis","id":"4339058","invisible":false,"issue":"2","issued":{"date-parts":[["2012","10"]]},"journalAbbreviation":"Sarcoidosis Vasc Diffuse Lung Dis","page":"119-127","suppress-author":false,"title":"The clinical course of sarcoidosis: presentation, diagnosis, and treatment in a large white and black cohort in the United States.","type":"article-journal","volume":"29"}]</w:instrText>
      </w:r>
      <w:r w:rsidR="00487E7D" w:rsidRPr="005A7F38">
        <w:fldChar w:fldCharType="separate"/>
      </w:r>
      <w:r w:rsidR="00B775CB" w:rsidRPr="00B775CB">
        <w:rPr>
          <w:noProof/>
          <w:vertAlign w:val="superscript"/>
        </w:rPr>
        <w:t>26</w:t>
      </w:r>
      <w:r w:rsidR="00487E7D" w:rsidRPr="005A7F38">
        <w:fldChar w:fldCharType="end"/>
      </w:r>
      <w:r w:rsidR="00560891" w:rsidRPr="005A7F38">
        <w:t xml:space="preserve"> Of the nearly 1300 sarcoidosis patients in the MUSC cohort, 65.2% were black.</w:t>
      </w:r>
      <w:r w:rsidR="000A658B" w:rsidRPr="005A7F38">
        <w:t xml:space="preserve"> </w:t>
      </w:r>
      <w:r w:rsidR="00560891" w:rsidRPr="005A7F38">
        <w:t xml:space="preserve">Compared to </w:t>
      </w:r>
      <w:r w:rsidR="007224DC" w:rsidRPr="005A7F38">
        <w:t>white patients</w:t>
      </w:r>
      <w:r w:rsidR="00560891" w:rsidRPr="005A7F38">
        <w:t xml:space="preserve">, black patients had more advanced disease as seen on radiographic images of the chest described using Scadding stages (p&lt;0.0001), increased extra-pulmonary organ involvement (p&lt;0.0001) and required pharmacologic treatment more frequently (&lt;0.0001). </w:t>
      </w:r>
      <w:r w:rsidR="005149EC" w:rsidRPr="005A7F38">
        <w:t xml:space="preserve">Black patients received treatment for pulmonary sarcoidosis more often than </w:t>
      </w:r>
      <w:r w:rsidR="007224DC" w:rsidRPr="005A7F38">
        <w:t>white patients</w:t>
      </w:r>
      <w:r w:rsidR="00694582" w:rsidRPr="005A7F38">
        <w:t xml:space="preserve"> (OR=2.68, CI=2.06-3.48, p&lt;0.00</w:t>
      </w:r>
      <w:r w:rsidR="005149EC" w:rsidRPr="005A7F38">
        <w:t xml:space="preserve">01). </w:t>
      </w:r>
    </w:p>
    <w:p w14:paraId="2346D89F" w14:textId="07B547FB" w:rsidR="007224DC" w:rsidRPr="005A7F38" w:rsidRDefault="005149EC" w:rsidP="002446BB">
      <w:r w:rsidRPr="005A7F38">
        <w:t xml:space="preserve">Organ involvement differed between black and white patients. </w:t>
      </w:r>
      <w:r w:rsidR="00560891" w:rsidRPr="005A7F38">
        <w:t xml:space="preserve">Overall, the severity of disease in </w:t>
      </w:r>
      <w:r w:rsidR="007224DC" w:rsidRPr="005A7F38">
        <w:t>black patients</w:t>
      </w:r>
      <w:r w:rsidR="00560891" w:rsidRPr="005A7F38">
        <w:t xml:space="preserve"> was higher than in </w:t>
      </w:r>
      <w:r w:rsidR="007224DC" w:rsidRPr="005A7F38">
        <w:t>white patients</w:t>
      </w:r>
      <w:r w:rsidR="00560891" w:rsidRPr="005A7F38">
        <w:t>.</w:t>
      </w:r>
      <w:r w:rsidRPr="005A7F38">
        <w:t xml:space="preserve"> Black patients had more pulmonary (OR=2.05, CI=1.43-2.94</w:t>
      </w:r>
      <w:r w:rsidR="00694582" w:rsidRPr="005A7F38">
        <w:t>, p&lt;0.001</w:t>
      </w:r>
      <w:r w:rsidRPr="005A7F38">
        <w:t>), neurologic (OR=1.67, CI=1.07-2.61</w:t>
      </w:r>
      <w:r w:rsidR="00694582" w:rsidRPr="005A7F38">
        <w:t>, p&lt;0.05</w:t>
      </w:r>
      <w:r w:rsidRPr="005A7F38">
        <w:t>), skin (OR=1.97, CI=1.51-2.58</w:t>
      </w:r>
      <w:r w:rsidR="00694582" w:rsidRPr="005A7F38">
        <w:t>, p&lt;0.001</w:t>
      </w:r>
      <w:r w:rsidRPr="005A7F38">
        <w:t>), eye (OR= 2.19, CI=1.61-2.99</w:t>
      </w:r>
      <w:r w:rsidR="00694582" w:rsidRPr="005A7F38">
        <w:t>, p&lt;0.001</w:t>
      </w:r>
      <w:r w:rsidRPr="005A7F38">
        <w:t>), and liver (OR=1.48, CI=1.09-2.01</w:t>
      </w:r>
      <w:r w:rsidR="00694582" w:rsidRPr="005A7F38">
        <w:t>, p&lt;0.001</w:t>
      </w:r>
      <w:r w:rsidRPr="005A7F38">
        <w:t xml:space="preserve">) involvement than </w:t>
      </w:r>
      <w:r w:rsidR="007224DC" w:rsidRPr="005A7F38">
        <w:t>white patients</w:t>
      </w:r>
      <w:r w:rsidRPr="005A7F38">
        <w:t>.</w:t>
      </w:r>
      <w:r w:rsidR="00694582" w:rsidRPr="005A7F38">
        <w:t xml:space="preserve"> </w:t>
      </w:r>
      <w:r w:rsidR="007224DC" w:rsidRPr="005A7F38">
        <w:t>Black patients</w:t>
      </w:r>
      <w:r w:rsidR="00694582" w:rsidRPr="005A7F38">
        <w:t xml:space="preserve"> experienced less sarcoid involvement of the spleen (OR=0.63, CI=0.41-0.97, p&lt;0.05) as well as lower rates of hypercalcemia attributed to sarcoidosis (OR=0.58, CI=0.37-0.89, p&lt;0.05).</w:t>
      </w:r>
      <w:r w:rsidRPr="005A7F38">
        <w:t xml:space="preserve"> Additionally, certain combinations of organ involvement were more likely in </w:t>
      </w:r>
      <w:r w:rsidR="007224DC" w:rsidRPr="005A7F38">
        <w:t>black patients</w:t>
      </w:r>
      <w:r w:rsidRPr="005A7F38">
        <w:t xml:space="preserve"> than </w:t>
      </w:r>
      <w:r w:rsidR="007224DC" w:rsidRPr="005A7F38">
        <w:t>white patients</w:t>
      </w:r>
      <w:r w:rsidRPr="005A7F38">
        <w:t xml:space="preserve">. </w:t>
      </w:r>
      <w:r w:rsidR="007224DC" w:rsidRPr="005A7F38">
        <w:t>Black patients</w:t>
      </w:r>
      <w:r w:rsidRPr="005A7F38">
        <w:t xml:space="preserve"> were more likely to have both eye and neurologic involvement (OR=5.31, CI=1.60-17.5) as well as ear, nose, throat and skin involvement (OR=2.65, CI=1.37-5.12) more often than </w:t>
      </w:r>
      <w:r w:rsidR="007224DC" w:rsidRPr="005A7F38">
        <w:t>white patients</w:t>
      </w:r>
      <w:r w:rsidR="00694582" w:rsidRPr="005A7F38">
        <w:t xml:space="preserve"> but had lower rates of both spleen and liver involvement (OR=0</w:t>
      </w:r>
      <w:r w:rsidRPr="005A7F38">
        <w:t>.</w:t>
      </w:r>
      <w:r w:rsidR="00694582" w:rsidRPr="005A7F38">
        <w:t>53, CI=0.31-0.91, p&lt;0.05).</w:t>
      </w:r>
      <w:r w:rsidR="00560891" w:rsidRPr="005A7F38">
        <w:t xml:space="preserve"> </w:t>
      </w:r>
      <w:r w:rsidR="00817102" w:rsidRPr="005A7F38">
        <w:t xml:space="preserve">On average, </w:t>
      </w:r>
      <w:r w:rsidR="007224DC" w:rsidRPr="005A7F38">
        <w:t>black patients</w:t>
      </w:r>
      <w:r w:rsidR="00951D7C" w:rsidRPr="005A7F38">
        <w:t xml:space="preserve"> had a higher number of organs involved (2.48) in the disease process than </w:t>
      </w:r>
      <w:r w:rsidR="007224DC" w:rsidRPr="005A7F38">
        <w:t>white patients</w:t>
      </w:r>
      <w:r w:rsidR="00951D7C" w:rsidRPr="005A7F38">
        <w:t xml:space="preserve"> (2.06) (difference=0.42, p&lt;0.0001). The number of organs involved increased during the follow up period at a higher rate for </w:t>
      </w:r>
      <w:r w:rsidR="007224DC" w:rsidRPr="005A7F38">
        <w:t>black patients</w:t>
      </w:r>
      <w:r w:rsidR="00951D7C" w:rsidRPr="005A7F38">
        <w:t xml:space="preserve"> (mean</w:t>
      </w:r>
      <w:r w:rsidR="007224DC" w:rsidRPr="005A7F38">
        <w:t xml:space="preserve"> increase</w:t>
      </w:r>
      <w:r w:rsidR="00951D7C" w:rsidRPr="005A7F38">
        <w:t>=0.31</w:t>
      </w:r>
      <w:r w:rsidR="00951D7C" w:rsidRPr="005A7F38">
        <w:sym w:font="Symbol" w:char="F0B1"/>
      </w:r>
      <w:r w:rsidR="00951D7C" w:rsidRPr="005A7F38">
        <w:t xml:space="preserve">0.86) </w:t>
      </w:r>
      <w:r w:rsidR="00951D7C" w:rsidRPr="005A7F38">
        <w:lastRenderedPageBreak/>
        <w:t xml:space="preserve">than </w:t>
      </w:r>
      <w:r w:rsidR="007224DC" w:rsidRPr="005A7F38">
        <w:t>white patients</w:t>
      </w:r>
      <w:r w:rsidR="00951D7C" w:rsidRPr="005A7F38">
        <w:t xml:space="preserve"> (mean</w:t>
      </w:r>
      <w:r w:rsidR="007224DC" w:rsidRPr="005A7F38">
        <w:t xml:space="preserve"> increase</w:t>
      </w:r>
      <w:r w:rsidR="00951D7C" w:rsidRPr="005A7F38">
        <w:t xml:space="preserve">=0.19 </w:t>
      </w:r>
      <w:r w:rsidR="00951D7C" w:rsidRPr="005A7F38">
        <w:sym w:font="Symbol" w:char="F0B1"/>
      </w:r>
      <w:r w:rsidR="00951D7C" w:rsidRPr="005A7F38">
        <w:t xml:space="preserve"> 0.77) (p&lt;0.0001). </w:t>
      </w:r>
      <w:r w:rsidR="007224DC" w:rsidRPr="005A7F38">
        <w:t>This difference by race in the increase in the number of organ</w:t>
      </w:r>
      <w:r w:rsidR="005A56A8" w:rsidRPr="005A7F38">
        <w:t xml:space="preserve">s involved was also found in a case-control study of 706 sarcoidosis patients and matched </w:t>
      </w:r>
      <w:r w:rsidR="009463E7" w:rsidRPr="005A7F38">
        <w:t>controls</w:t>
      </w:r>
      <w:r w:rsidR="007224DC" w:rsidRPr="005A7F38">
        <w:t xml:space="preserve"> where new organ involvement was more likely in black patients (mean increase=0.48) compared to white patients (mean increase=0.17) over two years.</w:t>
      </w:r>
      <w:r w:rsidR="007224DC" w:rsidRPr="005A7F38">
        <w:fldChar w:fldCharType="begin"/>
      </w:r>
      <w:r w:rsidR="00B775CB">
        <w:instrText>ADDIN F1000_CSL_CITATION&lt;~#@#~&gt;[{"First":false,"Last":false,"PMID":"16053022","abstract":"Sarcoidosis is a multisystem disorder of unknown cause(s). Despite the knowledge gained during the last decade regarding the pathogenetic mechanisms accounting for the onset, maintenance or evolution of the disease, its etiology is still elusive. To solve this problem, the National Heart, Lung, and Blood Institute (NHLBI) set up a multicenter study, i.e. the ACCESS study (A Case Control Etiologic Study of Sarcoidosis). The study has been designed to validate four major categories of etiological hypotheses (genetic, environmental, infectious and immune dysregulation hypotheses) and its primary endpoint is the discovery of the cause(s) of sarcoidosis. A definite etiology of sarcoidosis was not found, however, the results of ACCESS offer hypotheses for future targeted studies in the search for the cause(s) of the disease and a rich base of case and control data was established for future studies. Lessons learned from ACCESS suggest that hope for finding the etiology of sarcoidosis comes from large, collaborative studies.","author":[{"family":"Semenzato","given":"Gianpietro"}],"authorYearDisplayFormat":false,"citation-label":"4226461","container-title":"Sarcoidosis, vasculitis, and diffuse lung diseases : official journal of WASOG / World Association of Sarcoidosis and Other Granulomatous Disorders","container-title-short":"Sarcoidosis Vasc Diffuse Lung Dis","id":"4226461","invisible":false,"issue":"2","issued":{"date-parts":[["2005","6"]]},"journalAbbreviation":"Sarcoidosis Vasc Diffuse Lung Dis","page":"83-86","suppress-author":false,"title":"ACCESS: A case control etiologic study of sarcoidosis.","type":"article-journal","volume":"22"}]</w:instrText>
      </w:r>
      <w:r w:rsidR="007224DC" w:rsidRPr="005A7F38">
        <w:fldChar w:fldCharType="separate"/>
      </w:r>
      <w:r w:rsidR="00B775CB" w:rsidRPr="00B775CB">
        <w:rPr>
          <w:noProof/>
          <w:vertAlign w:val="superscript"/>
        </w:rPr>
        <w:t>49</w:t>
      </w:r>
      <w:r w:rsidR="007224DC" w:rsidRPr="005A7F38">
        <w:fldChar w:fldCharType="end"/>
      </w:r>
    </w:p>
    <w:p w14:paraId="6FF10322" w14:textId="4CCAB805" w:rsidR="004B3FAC" w:rsidRPr="005A7F38" w:rsidRDefault="007224DC" w:rsidP="00A61AAA">
      <w:pPr>
        <w:pStyle w:val="Noindent"/>
        <w:ind w:firstLine="720"/>
      </w:pPr>
      <w:r w:rsidRPr="005A7F38">
        <w:t>Black patients</w:t>
      </w:r>
      <w:r w:rsidR="000A658B" w:rsidRPr="005A7F38">
        <w:t xml:space="preserve"> developed their fir</w:t>
      </w:r>
      <w:r w:rsidR="0066132A" w:rsidRPr="005A7F38">
        <w:t xml:space="preserve">st symptoms related to sarcoidosis on average 10 years earlier than </w:t>
      </w:r>
      <w:r w:rsidRPr="005A7F38">
        <w:t>white patients</w:t>
      </w:r>
      <w:r w:rsidR="0066132A" w:rsidRPr="005A7F38">
        <w:t xml:space="preserve"> (p&lt;0.0001) and had a diagnostic biopsy on average </w:t>
      </w:r>
      <w:r w:rsidR="00557592" w:rsidRPr="005A7F38">
        <w:t xml:space="preserve">10 </w:t>
      </w:r>
      <w:r w:rsidR="0066132A" w:rsidRPr="005A7F38">
        <w:t xml:space="preserve">years earlier than </w:t>
      </w:r>
      <w:r w:rsidRPr="005A7F38">
        <w:t>white patients</w:t>
      </w:r>
      <w:r w:rsidR="0066132A" w:rsidRPr="005A7F38">
        <w:t xml:space="preserve"> (p&lt;0.0001).</w:t>
      </w:r>
      <w:r w:rsidR="0066132A" w:rsidRPr="005A7F38">
        <w:fldChar w:fldCharType="begin"/>
      </w:r>
      <w:r w:rsidR="00B775CB">
        <w:instrText>ADDIN F1000_CSL_CITATION&lt;~#@#~&gt;[{"First":false,"Last":false,"PMID":"23461074","abstract":"&lt;strong&gt;BACKGROUND:&lt;/strong&gt; Although numerous reports have described the clinical features of sarcoidosis in various ethnic and racial groups, many have been limited by small size, homogenous populations, and relatively short follow-up periods. We report the clinical characteristics of a large, race-sex-age diverse cohort of sarcoidosis clinic patients followed in a large university medical center for an extended period of time.&lt;br&gt;&lt;br&gt;&lt;strong&gt;METHODS:&lt;/strong&gt; This study included clinical data for sarcoidosis patients followed over a 12-year period at a sarcoidosis clinic at the Medical University of South Carolina.&lt;br&gt;&lt;br&gt;&lt;strong&gt;RESULTS:&lt;/strong&gt; 1774 sarcoidosis patients were identified. Black females were more common (44%) than other race/gender combinations (p = 0.01). The diagnosis of sarcoidosis occurred &gt; 3 months after the onset of symptoms in 48% of the cohort and &gt; 1 year after the onset of symptoms in 25%. Anti-sarcoidosis treatment was required in 61% of the patients. Pulmonary function improved over time and the median corticosteroid requirement lessened. Compared to whites, blacks had more advanced radiographic stages of sarcoidosis (p &lt;  0.0001), more organ involvement (p &lt;  0.0001), and more frequently required anti-sarcoidosis medication (p &lt;  0.0001). Compared to women, men had more advanced radiographic stages of sarcoidosis (p &lt;  0.0001).&lt;br&gt;&lt;br&gt;&lt;strong&gt;CONCLUSIONS:&lt;/strong&gt; The analysis indicates that sarcoidosis tends to improve over time in terms of pulmonary function and medication requirements. The disease was found to be more severe in blacks than whites. Treatment was not necessarily required. These results provide a comprehensive model of the course and treatment of sarcoidosis in the clinical setting.","author":[{"family":"Judson","given":"M A"},{"family":"Boan","given":"A D"},{"family":"Lackland","given":"D T"}],"authorYearDisplayFormat":false,"citation-label":"4339058","container-title":"Sarcoidosis, vasculitis, and diffuse lung diseases : official journal of WASOG / World Association of Sarcoidosis and Other Granulomatous Disorders","container-title-short":"Sarcoidosis Vasc Diffuse Lung Dis","id":"4339058","invisible":false,"issue":"2","issued":{"date-parts":[["2012","10"]]},"journalAbbreviation":"Sarcoidosis Vasc Diffuse Lung Dis","page":"119-127","suppress-author":false,"title":"The clinical course of sarcoidosis: presentation, diagnosis, and treatment in a large white and black cohort in the United States.","type":"article-journal","volume":"29"}]</w:instrText>
      </w:r>
      <w:r w:rsidR="0066132A" w:rsidRPr="005A7F38">
        <w:fldChar w:fldCharType="separate"/>
      </w:r>
      <w:r w:rsidR="00B775CB" w:rsidRPr="00B775CB">
        <w:rPr>
          <w:noProof/>
          <w:vertAlign w:val="superscript"/>
        </w:rPr>
        <w:t>26</w:t>
      </w:r>
      <w:r w:rsidR="0066132A" w:rsidRPr="005A7F38">
        <w:fldChar w:fldCharType="end"/>
      </w:r>
      <w:r w:rsidR="00560891" w:rsidRPr="005A7F38">
        <w:t xml:space="preserve"> </w:t>
      </w:r>
      <w:r w:rsidRPr="005A7F38">
        <w:t xml:space="preserve">More black patients received pharmacologic treatment (74.5%) than white patients (55.1%) (p&lt;0.0001) with a higher percentage of black patients receiving corticosteroid therapy (69.9%) at any time during the study follow up period than white patients (59.5%) (p&lt;0.01). </w:t>
      </w:r>
      <w:r w:rsidR="00557D7C" w:rsidRPr="005A7F38">
        <w:t xml:space="preserve">The racial difference in sarcoidosis incidence necessitates future study into the </w:t>
      </w:r>
      <w:r w:rsidR="00DF435C">
        <w:t>psychosocial</w:t>
      </w:r>
      <w:r w:rsidR="00557D7C" w:rsidRPr="005A7F38">
        <w:t xml:space="preserve"> and environmental differences between black and white patients with sarcoidosis. </w:t>
      </w:r>
    </w:p>
    <w:p w14:paraId="0C12121C" w14:textId="77777777" w:rsidR="00394B3C" w:rsidRPr="005A7F38" w:rsidRDefault="00394B3C" w:rsidP="002446BB">
      <w:pPr>
        <w:pStyle w:val="Heading4"/>
        <w:rPr>
          <w:rFonts w:cs="Times New Roman"/>
        </w:rPr>
      </w:pPr>
      <w:bookmarkStart w:id="32" w:name="_Toc506540011"/>
      <w:r w:rsidRPr="005A7F38">
        <w:rPr>
          <w:rFonts w:cs="Times New Roman"/>
        </w:rPr>
        <w:t>Socioeconomic Status</w:t>
      </w:r>
      <w:bookmarkEnd w:id="32"/>
    </w:p>
    <w:p w14:paraId="2C4D7F3C" w14:textId="5F889C05" w:rsidR="00CC6E40" w:rsidRPr="005A7F38" w:rsidRDefault="00C2617E" w:rsidP="00004E1A">
      <w:pPr>
        <w:ind w:firstLine="0"/>
      </w:pPr>
      <w:r w:rsidRPr="005A7F38">
        <w:t>Severity of disease in sarcoidosis is associated with socioeconomic status (SES).</w:t>
      </w:r>
      <w:r w:rsidR="000E758B" w:rsidRPr="005A7F38">
        <w:t xml:space="preserve"> </w:t>
      </w:r>
      <w:r w:rsidR="00CC6E40" w:rsidRPr="005A7F38">
        <w:t>Patients with low SES are at risk of having poor or no health insurance, which contributes to lack of access to care. In sarcoidosis patients with low SES and no health insurance, poor health status and severe dyspnea are more common.</w:t>
      </w:r>
      <w:r w:rsidR="00AA43DD" w:rsidRPr="005A7F38">
        <w:fldChar w:fldCharType="begin"/>
      </w:r>
      <w:r w:rsidR="00B775CB">
        <w:instrText>ADDIN F1000_CSL_CITATION&lt;~#@#~&gt;[{"First":false,"Last":false,"PMID":"11589347","abstract":"Several chronic diseases are more severe in persons who are Black, of low socioeconomic status (SES), and underinsured. The authors ask if this is true for sarcoidosis. Associations among sarcoidosis disease severity, SES, insurance coverage, and functional limitations were analysed. Back and White sarcoidosis patients (n=110) of a municipal and university hospital sarcoidosis registry were interviewed by telephone. Data on disease severity were abstracted from patient charts. Most patients reported good or excellent health by demographic characteristics. Low SES and no or public insurance were associated with worse health status and more severe dyspnoea. More advanced radiographic stage was associated with lower income, and forced vital capacity impairment with less education. Physical and social activity limitations due to physical and emotional disability were related to no or public insurance and lower income, but not education. Sarcoidosis severity is associated with socioeconomic status and insurance indicators; no or public insurance and low income are associated with functional limitations. Sarcoidosis-associated limitations are substantial, emphasizing the social significance of sarcoidosis. Lack of private insurance may inhibit the use of medical care, contributing to disease severity and impairment.","author":[{"family":"Rabin","given":"D L"},{"family":"Richardson","given":"M S"},{"family":"Stein","given":"S R"},{"family":"Yeager","given":"H"}],"authorYearDisplayFormat":false,"citation-label":"4471751","container-title":"The European Respiratory Journal","container-title-short":"Eur Respir J","id":"4471751","invisible":false,"issue":"3","issued":{"date-parts":[["2001","9"]]},"journalAbbreviation":"Eur Respir J","page":"499-506","suppress-author":false,"title":"Sarcoidosis severity and socioeconomic status.","type":"article-journal","volume":"18"},{"DOI":"10.1183/09031936.04.00070503","First":false,"Last":false,"PMID":"15459139","abstract":"To determine relationships among social predictors and sarcoidosis severity at presentation, demographic characteristics, socioeconomic status, and barriers to care, A Case-Control Etiologic Study of Sarcoidosis (ACCESS) was set up. Patients self-reported themselves to be Black or White and were tissue-confirmed incident cases aged &gt; or =l8-yrs-old (n=696) who had received uniform assessment procedures within one of 10 medical centres and were studied using standardised questionnaires and physical, radiographical, and pulmonary function tests. Severity was measured by objective disease indicators, subjective measures of dyspnoea and short form-36 subindices. The results of the study showed that lower income, the absence of private or Medicare health insurance, and other barriers to care were associated with sarcoidosis severity at presentation, as were race, sex, and age. Blacks were more likely to have severe disease by objective measures, while women were more likely than males to report subjective measures of severity. Older individuals were more likely to have severe disease by both measures. In conclusion, it was found that low income and other financial barriers to care are significantly associated with sarcoidosis severity at presentation even after adjusting for demographic characteristics of race, sex, and age.","author":[{"family":"Rabin","given":"D L"},{"family":"Thompson","given":"B"},{"family":"Brown","given":"K M"},{"family":"Judson","given":"M A"},{"family":"Huang","given":"X"},{"family":"Lackland","given":"D T"},{"family":"Knatterud","given":"G L"},{"family":"Yeager","given":"H"},{"family":"Rose","given":"C"},{"family":"Steimel","given":"J"}],"authorYearDisplayFormat":false,"citation-label":"4471739","container-title":"The European Respiratory Journal","container-title-short":"Eur Respir J","id":"4471739","invisible":false,"issue":"4","issued":{"date-parts":[["2004","10"]]},"journalAbbreviation":"Eur Respir J","page":"601-608","suppress-author":false,"title":"Sarcoidosis: social predictors of severity at presentation.","type":"article-journal","volume":"24"}]</w:instrText>
      </w:r>
      <w:r w:rsidR="00AA43DD" w:rsidRPr="005A7F38">
        <w:fldChar w:fldCharType="separate"/>
      </w:r>
      <w:r w:rsidR="00B775CB" w:rsidRPr="00B775CB">
        <w:rPr>
          <w:noProof/>
          <w:vertAlign w:val="superscript"/>
        </w:rPr>
        <w:t>82,83</w:t>
      </w:r>
      <w:r w:rsidR="00AA43DD" w:rsidRPr="005A7F38">
        <w:fldChar w:fldCharType="end"/>
      </w:r>
    </w:p>
    <w:p w14:paraId="3416EA14" w14:textId="355A8114" w:rsidR="00E43D11" w:rsidRPr="005A7F38" w:rsidRDefault="00E87192" w:rsidP="002446BB">
      <w:r w:rsidRPr="005A7F38">
        <w:t>In 2001, Rabin et al recruited patients with sarcoidosis</w:t>
      </w:r>
      <w:r w:rsidR="000E758B" w:rsidRPr="005A7F38">
        <w:t xml:space="preserve"> from a private university hospital sarcoidosis clinic and from a public municipal hospital to develop a cohort of sarcoidosis patients diverse by health insurance, SES, race, sex and age </w:t>
      </w:r>
      <w:r w:rsidR="007D79C1" w:rsidRPr="005A7F38">
        <w:t>to</w:t>
      </w:r>
      <w:r w:rsidR="000E758B" w:rsidRPr="005A7F38">
        <w:t xml:space="preserve"> characterize the role of insurance status and SES in sarcoidosis incidence, prevalence and outcome. </w:t>
      </w:r>
      <w:r w:rsidR="00CC6E40" w:rsidRPr="005A7F38">
        <w:t xml:space="preserve">By representing patients from both a private university hospital who may be more likely to have a higher SES and private insurance as well as patients from a public municipal hospital who may be more likely to have a lower SES and public insurance or no insurance, a much broader demographic was represented increasing the </w:t>
      </w:r>
      <w:r w:rsidR="00CC6E40" w:rsidRPr="005A7F38">
        <w:lastRenderedPageBreak/>
        <w:t xml:space="preserve">validity and generalizability of this analysis. </w:t>
      </w:r>
      <w:r w:rsidR="000E758B" w:rsidRPr="005A7F38">
        <w:t xml:space="preserve">A validated questionnaire, the Sarcoidosis Telephone Survey Form, was used to assess current health status, SES, insurance status and demographic characteristics. The Health Status Questionnaire Short Form 36 was used to assess general health status and quality of life was assess using the Medical Outcomes Study Short-Form General Health Survey. Dyspnea was specifically assessed using the Modified Medical </w:t>
      </w:r>
      <w:r w:rsidR="00B93965" w:rsidRPr="005A7F38">
        <w:t>Research</w:t>
      </w:r>
      <w:r w:rsidR="000E758B" w:rsidRPr="005A7F38">
        <w:t xml:space="preserve"> Dyspnea Scale and </w:t>
      </w:r>
      <w:r w:rsidR="00B93965" w:rsidRPr="005A7F38">
        <w:t xml:space="preserve">data pertaining to use of medical services, health insurance, education and income was collected using selected questions from the </w:t>
      </w:r>
      <w:r w:rsidR="000E758B" w:rsidRPr="005A7F38">
        <w:t xml:space="preserve">National Health </w:t>
      </w:r>
      <w:r w:rsidR="00B93965" w:rsidRPr="005A7F38">
        <w:t xml:space="preserve">Interview Survey. Data was collected using telephone survey. </w:t>
      </w:r>
      <w:r w:rsidRPr="005A7F38">
        <w:fldChar w:fldCharType="begin"/>
      </w:r>
      <w:r w:rsidR="00B775CB">
        <w:instrText>ADDIN F1000_CSL_CITATION&lt;~#@#~&gt;[{"First":false,"Last":false,"PMID":"11589347","abstract":"Several chronic diseases are more severe in persons who are Black, of low socioeconomic status (SES), and underinsured. The authors ask if this is true for sarcoidosis. Associations among sarcoidosis disease severity, SES, insurance coverage, and functional limitations were analysed. Back and White sarcoidosis patients (n=110) of a municipal and university hospital sarcoidosis registry were interviewed by telephone. Data on disease severity were abstracted from patient charts. Most patients reported good or excellent health by demographic characteristics. Low SES and no or public insurance were associated with worse health status and more severe dyspnoea. More advanced radiographic stage was associated with lower income, and forced vital capacity impairment with less education. Physical and social activity limitations due to physical and emotional disability were related to no or public insurance and lower income, but not education. Sarcoidosis severity is associated with socioeconomic status and insurance indicators; no or public insurance and low income are associated with functional limitations. Sarcoidosis-associated limitations are substantial, emphasizing the social significance of sarcoidosis. Lack of private insurance may inhibit the use of medical care, contributing to disease severity and impairment.","author":[{"family":"Rabin","given":"D L"},{"family":"Richardson","given":"M S"},{"family":"Stein","given":"S R"},{"family":"Yeager","given":"H"}],"authorYearDisplayFormat":false,"citation-label":"4471751","container-title":"The European Respiratory Journal","container-title-short":"Eur Respir J","id":"4471751","invisible":false,"issue":"3","issued":{"date-parts":[["2001","9"]]},"journalAbbreviation":"Eur Respir J","page":"499-506","suppress-author":false,"title":"Sarcoidosis severity and socioeconomic status.","type":"article-journal","volume":"18"}]</w:instrText>
      </w:r>
      <w:r w:rsidRPr="005A7F38">
        <w:fldChar w:fldCharType="separate"/>
      </w:r>
      <w:r w:rsidR="00B775CB" w:rsidRPr="00B775CB">
        <w:rPr>
          <w:noProof/>
          <w:vertAlign w:val="superscript"/>
        </w:rPr>
        <w:t>82</w:t>
      </w:r>
      <w:r w:rsidRPr="005A7F38">
        <w:fldChar w:fldCharType="end"/>
      </w:r>
    </w:p>
    <w:p w14:paraId="6E1ECD77" w14:textId="1DBE9186" w:rsidR="00B93965" w:rsidRPr="005A7F38" w:rsidRDefault="00B93965" w:rsidP="002446BB">
      <w:r w:rsidRPr="005A7F38">
        <w:t xml:space="preserve">Patients who self-reported their health status as only fair to poor more often had a high school education or less (p=0.001), an income less than $20,000 per year (p &lt;0.0001) and either no health insurance or public health insurance (p&lt;0.0001) but were not statistically different by age, sex or race. Patients who self-reported moderate or severe dyspnea more often had less than a high school education (p=0.007), an income less than $20,000 per year (p=0.002) and no health insurance or public health insurance (p=0.006). </w:t>
      </w:r>
      <w:r w:rsidR="00B1591A" w:rsidRPr="005A7F38">
        <w:t xml:space="preserve">Patients who had a more advanced radiographic Scadding Scale score more often had an income of less than $20,000 per year (p=0.034). Patients who had less than a high school education more often had pulmonary function tests indicating severe pulmonary impairment (p-0.041). </w:t>
      </w:r>
      <w:r w:rsidR="00CC6E40" w:rsidRPr="005A7F38">
        <w:t xml:space="preserve">Patients with an income less than $20,000 per year reported limitations in activities due to physical disability (0.022) and emotional disability (p=0.001). Patients with no insurance or public health insurance report limitations in activities due to physical disability (p=0.003), emotional disability (p=0.009) and social limitations due to disability (p=0.039). </w:t>
      </w:r>
      <w:r w:rsidR="00CC6E40" w:rsidRPr="005A7F38">
        <w:fldChar w:fldCharType="begin"/>
      </w:r>
      <w:r w:rsidR="00B775CB">
        <w:instrText>ADDIN F1000_CSL_CITATION&lt;~#@#~&gt;[{"First":false,"Last":false,"PMID":"11589347","abstract":"Several chronic diseases are more severe in persons who are Black, of low socioeconomic status (SES), and underinsured. The authors ask if this is true for sarcoidosis. Associations among sarcoidosis disease severity, SES, insurance coverage, and functional limitations were analysed. Back and White sarcoidosis patients (n=110) of a municipal and university hospital sarcoidosis registry were interviewed by telephone. Data on disease severity were abstracted from patient charts. Most patients reported good or excellent health by demographic characteristics. Low SES and no or public insurance were associated with worse health status and more severe dyspnoea. More advanced radiographic stage was associated with lower income, and forced vital capacity impairment with less education. Physical and social activity limitations due to physical and emotional disability were related to no or public insurance and lower income, but not education. Sarcoidosis severity is associated with socioeconomic status and insurance indicators; no or public insurance and low income are associated with functional limitations. Sarcoidosis-associated limitations are substantial, emphasizing the social significance of sarcoidosis. Lack of private insurance may inhibit the use of medical care, contributing to disease severity and impairment.","author":[{"family":"Rabin","given":"D L"},{"family":"Richardson","given":"M S"},{"family":"Stein","given":"S R"},{"family":"Yeager","given":"H"}],"authorYearDisplayFormat":false,"citation-label":"4471751","container-title":"The European Respiratory Journal","container-title-short":"Eur Respir J","id":"4471751","invisible":false,"issue":"3","issued":{"date-parts":[["2001","9"]]},"journalAbbreviation":"Eur Respir J","page":"499-506","suppress-author":false,"title":"Sarcoidosis severity and socioeconomic status.","type":"article-journal","volume":"18"}]</w:instrText>
      </w:r>
      <w:r w:rsidR="00CC6E40" w:rsidRPr="005A7F38">
        <w:fldChar w:fldCharType="separate"/>
      </w:r>
      <w:r w:rsidR="00B775CB" w:rsidRPr="00B775CB">
        <w:rPr>
          <w:noProof/>
          <w:vertAlign w:val="superscript"/>
        </w:rPr>
        <w:t>82</w:t>
      </w:r>
      <w:r w:rsidR="00CC6E40" w:rsidRPr="005A7F38">
        <w:fldChar w:fldCharType="end"/>
      </w:r>
      <w:r w:rsidR="00E87192" w:rsidRPr="005A7F38">
        <w:t xml:space="preserve"> This analysis did not account for racial differences. The racial differences noted above should be considered in light of the socioeconomic confounders presented here.</w:t>
      </w:r>
    </w:p>
    <w:p w14:paraId="2EBD4405" w14:textId="07C40213" w:rsidR="007D4E62" w:rsidRPr="005A7F38" w:rsidRDefault="00E87192" w:rsidP="002446BB">
      <w:r w:rsidRPr="005A7F38">
        <w:lastRenderedPageBreak/>
        <w:t>However, s</w:t>
      </w:r>
      <w:r w:rsidR="005E4948" w:rsidRPr="005A7F38">
        <w:t xml:space="preserve">imilar results were seen in </w:t>
      </w:r>
      <w:r w:rsidR="00431FAB" w:rsidRPr="005A7F38">
        <w:t>the ACCESS study with analysis including adjustment for race, sex and age</w:t>
      </w:r>
      <w:r w:rsidR="005E4948" w:rsidRPr="005A7F38">
        <w:t xml:space="preserve">. Patients with an income less than $20,000 per year were more likely to have no or public insurance (&lt;0.0001), to report difficulty getting their medications (&lt;0.0001), transportation barriers to accessing medical care (&lt;0.0001) and reported missing more medical appointments (&lt;0.0001). Additionally, patients with an income less than $20,000 had a greater number of organ systems involved in the disease process (p=0.006), pulmonary function tests indicating severe pulmonary impairment (p=0.003) and reported more dyspnea (p&lt;0.0001). Low income patients reported decreased physical functioning (p&lt;0.0001), increased limitation on their physical activities (p&lt;0.0001), decreased quality of health (p &lt;0.0001) and decreased social functioning (p&lt;0.0001). </w:t>
      </w:r>
      <w:r w:rsidR="005E4948" w:rsidRPr="005A7F38">
        <w:fldChar w:fldCharType="begin"/>
      </w:r>
      <w:r w:rsidR="00B775CB">
        <w:instrText>ADDIN F1000_CSL_CITATION&lt;~#@#~&gt;[{"DOI":"10.1183/09031936.04.00070503","First":false,"Last":false,"PMID":"15459139","abstract":"To determine relationships among social predictors and sarcoidosis severity at presentation, demographic characteristics, socioeconomic status, and barriers to care, A Case-Control Etiologic Study of Sarcoidosis (ACCESS) was set up. Patients self-reported themselves to be Black or White and were tissue-confirmed incident cases aged &gt; or =l8-yrs-old (n=696) who had received uniform assessment procedures within one of 10 medical centres and were studied using standardised questionnaires and physical, radiographical, and pulmonary function tests. Severity was measured by objective disease indicators, subjective measures of dyspnoea and short form-36 subindices. The results of the study showed that lower income, the absence of private or Medicare health insurance, and other barriers to care were associated with sarcoidosis severity at presentation, as were race, sex, and age. Blacks were more likely to have severe disease by objective measures, while women were more likely than males to report subjective measures of severity. Older individuals were more likely to have severe disease by both measures. In conclusion, it was found that low income and other financial barriers to care are significantly associated with sarcoidosis severity at presentation even after adjusting for demographic characteristics of race, sex, and age.","author":[{"family":"Rabin","given":"D L"},{"family":"Thompson","given":"B"},{"family":"Brown","given":"K M"},{"family":"Judson","given":"M A"},{"family":"Huang","given":"X"},{"family":"Lackland","given":"D T"},{"family":"Knatterud","given":"G L"},{"family":"Yeager","given":"H"},{"family":"Rose","given":"C"},{"family":"Steimel","given":"J"}],"authorYearDisplayFormat":false,"citation-label":"4471739","container-title":"The European Respiratory Journal","container-title-short":"Eur Respir J","id":"4471739","invisible":false,"issue":"4","issued":{"date-parts":[["2004","10"]]},"journalAbbreviation":"Eur Respir J","page":"601-608","suppress-author":false,"title":"Sarcoidosis: social predictors of severity at presentation.","type":"article-journal","volume":"24"}]</w:instrText>
      </w:r>
      <w:r w:rsidR="005E4948" w:rsidRPr="005A7F38">
        <w:fldChar w:fldCharType="separate"/>
      </w:r>
      <w:r w:rsidR="00B775CB" w:rsidRPr="00B775CB">
        <w:rPr>
          <w:noProof/>
          <w:vertAlign w:val="superscript"/>
        </w:rPr>
        <w:t>83</w:t>
      </w:r>
      <w:r w:rsidR="005E4948" w:rsidRPr="005A7F38">
        <w:fldChar w:fldCharType="end"/>
      </w:r>
      <w:r w:rsidR="00EB4BA3" w:rsidRPr="005A7F38">
        <w:t xml:space="preserve"> </w:t>
      </w:r>
    </w:p>
    <w:p w14:paraId="2DE73BF9" w14:textId="77777777" w:rsidR="007D4E62" w:rsidRPr="005A7F38" w:rsidRDefault="00EB4BA3" w:rsidP="002446BB">
      <w:r w:rsidRPr="005A7F38">
        <w:t>Adjust</w:t>
      </w:r>
      <w:r w:rsidR="009D5AC4" w:rsidRPr="005A7F38">
        <w:t>ment</w:t>
      </w:r>
      <w:r w:rsidRPr="005A7F38">
        <w:t xml:space="preserve"> for race, sex and age logistic regression was used to understand the association between the number of organs involved and socioeconomic factors. While barriers to care, comorbities, symptoms and </w:t>
      </w:r>
      <w:r w:rsidR="007D4E62" w:rsidRPr="005A7F38">
        <w:t>income</w:t>
      </w:r>
      <w:r w:rsidRPr="005A7F38">
        <w:t xml:space="preserve"> were assessed, only reported difficulty obtaining medications was statistically associated with increased number of organs involved in the disease process (OR=2.23, CI=1.27-3.92, p&lt;0.01) compared to those who did not report barriers to accessing prescribed medicines. </w:t>
      </w:r>
      <w:r w:rsidR="004E67B6" w:rsidRPr="005A7F38">
        <w:t>A</w:t>
      </w:r>
      <w:r w:rsidRPr="005A7F38">
        <w:t xml:space="preserve"> logistic regression model adjusting for race, sex and age examining the association between socioeconomic factors and pulmonary function test </w:t>
      </w:r>
      <w:r w:rsidR="007C46A6" w:rsidRPr="005A7F38">
        <w:t xml:space="preserve">(a surrogate for pulmonary disease severity) </w:t>
      </w:r>
      <w:r w:rsidRPr="005A7F38">
        <w:t>found several statistically significant associations. Patients with an income less than $20,000 were more likely to have a lower</w:t>
      </w:r>
      <w:r w:rsidR="00E41EB6" w:rsidRPr="005A7F38">
        <w:t xml:space="preserve"> forced expiratory volume in one second predicted (FEV</w:t>
      </w:r>
      <w:r w:rsidR="00E41EB6" w:rsidRPr="005A7F38">
        <w:rPr>
          <w:vertAlign w:val="subscript"/>
        </w:rPr>
        <w:t>1</w:t>
      </w:r>
      <w:r w:rsidR="00E41EB6" w:rsidRPr="005A7F38">
        <w:t xml:space="preserve">) </w:t>
      </w:r>
      <w:r w:rsidRPr="005A7F38">
        <w:t xml:space="preserve">(OR=1.6, CI=1.06-2.42, p&lt;0.05) compared to those with an income over $50,000. Patients who self-reported generally poor health </w:t>
      </w:r>
      <w:r w:rsidR="00E41EB6" w:rsidRPr="005A7F38">
        <w:t>have both a lower FEV</w:t>
      </w:r>
      <w:r w:rsidR="00E41EB6" w:rsidRPr="005A7F38">
        <w:rPr>
          <w:vertAlign w:val="subscript"/>
        </w:rPr>
        <w:t>1</w:t>
      </w:r>
      <w:r w:rsidR="00E41EB6" w:rsidRPr="005A7F38">
        <w:t xml:space="preserve"> (OR=1.27, CI=1.08-1.49, p&lt;0.01)</w:t>
      </w:r>
      <w:r w:rsidR="007D4E62" w:rsidRPr="005A7F38">
        <w:t xml:space="preserve"> </w:t>
      </w:r>
      <w:r w:rsidR="00E41EB6" w:rsidRPr="005A7F38">
        <w:t xml:space="preserve">and lower forced vital capacity percent predicted (FVC) (OR=1.27, CI=1.07-1.51, p&lt;0.01). </w:t>
      </w:r>
    </w:p>
    <w:p w14:paraId="1AF4963A" w14:textId="652CC55C" w:rsidR="005E4948" w:rsidRPr="005A7F38" w:rsidRDefault="007D4E62" w:rsidP="002446BB">
      <w:r w:rsidRPr="005A7F38">
        <w:lastRenderedPageBreak/>
        <w:t xml:space="preserve">In a logistic regression model adjusting for age, race and sex examining the association between self-reported dyspnea and socioeconomic factors found associations between increased dyspnea and income less than $20,000 (OR=2.13, CI=1.41-3.23, p&lt;0.001), reported difficulty getting prescribed medications (OR=3.25, CI=1.79-5.89, p &lt;0.001), and reported poor health (OR=2.17, CI=1.81-2.59, p&lt;0.001). Reported poor physical function was associated with </w:t>
      </w:r>
      <w:r w:rsidR="00542CC5" w:rsidRPr="005A7F38">
        <w:t xml:space="preserve">income less than </w:t>
      </w:r>
      <w:r w:rsidR="00896FCA" w:rsidRPr="005A7F38">
        <w:t xml:space="preserve">$20,000 </w:t>
      </w:r>
      <w:r w:rsidR="00542CC5" w:rsidRPr="005A7F38">
        <w:t xml:space="preserve">(OR=2.58, CI= 1.71-3.89, p&lt;0.001), </w:t>
      </w:r>
      <w:r w:rsidRPr="005A7F38">
        <w:t>difficulty getting prescribed medications (OR=4.24, CI=2.10-8.56, p&lt;0.001) and reported poor physical health (OR=2.37, CI=2.00-2.80, p&lt;0.001).  Increased physical limitations were associated with</w:t>
      </w:r>
      <w:r w:rsidR="00542CC5" w:rsidRPr="005A7F38">
        <w:t xml:space="preserve"> </w:t>
      </w:r>
      <w:r w:rsidR="00A5652F" w:rsidRPr="005A7F38">
        <w:t xml:space="preserve">more </w:t>
      </w:r>
      <w:r w:rsidRPr="005A7F38">
        <w:t>missed medical appointments (OR=1.74</w:t>
      </w:r>
      <w:r w:rsidR="00A5652F" w:rsidRPr="005A7F38">
        <w:t>, CI</w:t>
      </w:r>
      <w:r w:rsidR="00CA30C5" w:rsidRPr="005A7F38">
        <w:t>=1</w:t>
      </w:r>
      <w:r w:rsidR="002405C9" w:rsidRPr="005A7F38">
        <w:t>.04-2.93, p&lt;0.05) and trouble getting prescribed medications (OR=</w:t>
      </w:r>
      <w:r w:rsidR="00FD5293" w:rsidRPr="005A7F38">
        <w:t>1.95, CI=1.04-3.67, p&lt;0.05) and self-reported poor health (OR=2.05, CI=1.73-2.42, p&lt;0.001)</w:t>
      </w:r>
      <w:r w:rsidR="00F800CE" w:rsidRPr="005A7F38">
        <w:t xml:space="preserve"> and income less than $20,000 (OR=1.58, CI=1.05-2.37, p&lt;0.05)</w:t>
      </w:r>
      <w:r w:rsidR="00FD5293" w:rsidRPr="005A7F38">
        <w:t>.</w:t>
      </w:r>
      <w:r w:rsidR="00F800CE" w:rsidRPr="005A7F38">
        <w:t xml:space="preserve"> Restricted social functioning was associated with income less than $20,000 (OR=</w:t>
      </w:r>
      <w:r w:rsidR="00542CC5" w:rsidRPr="005A7F38">
        <w:t>1.98, CI=1.32-2.97, p&lt;0.001) and income between $20,000 and $49,999 (OR=1.70, CI=1.24-2.32, p&lt;0.001), difficulty getting prescribed medications (OR=1.84, CI=1.06-3.20, p&lt;0.05), more missed medical appointments (OR=1.97, CI=</w:t>
      </w:r>
      <w:r w:rsidR="00A11F82" w:rsidRPr="005A7F38">
        <w:t>1.24-3.14, p&lt;0.01), and poor mood (OR=1.03, CI=1.01-1.05, p&lt;0.01). Self-reported poor general health was associated with income less than $20,000 (OR=1.86, CI=1.28-2.72, p&lt;0.01), difficulty getting prescribed medications (OR=3.35, CI=1.82-6.16, p&lt;0.001), and decreased mood (OR=1.10, CI=1.097-1.12, p&lt;0.001).</w:t>
      </w:r>
      <w:r w:rsidR="00AB78A4" w:rsidRPr="005A7F38">
        <w:t xml:space="preserve"> </w:t>
      </w:r>
      <w:r w:rsidR="004E5D94" w:rsidRPr="005A7F38">
        <w:fldChar w:fldCharType="begin"/>
      </w:r>
      <w:r w:rsidR="00B775CB">
        <w:instrText>ADDIN F1000_CSL_CITATION&lt;~#@#~&gt;[{"DOI":"10.1183/09031936.04.00070503","First":false,"Last":false,"PMID":"15459139","abstract":"To determine relationships among social predictors and sarcoidosis severity at presentation, demographic characteristics, socioeconomic status, and barriers to care, A Case-Control Etiologic Study of Sarcoidosis (ACCESS) was set up. Patients self-reported themselves to be Black or White and were tissue-confirmed incident cases aged &gt; or =l8-yrs-old (n=696) who had received uniform assessment procedures within one of 10 medical centres and were studied using standardised questionnaires and physical, radiographical, and pulmonary function tests. Severity was measured by objective disease indicators, subjective measures of dyspnoea and short form-36 subindices. The results of the study showed that lower income, the absence of private or Medicare health insurance, and other barriers to care were associated with sarcoidosis severity at presentation, as were race, sex, and age. Blacks were more likely to have severe disease by objective measures, while women were more likely than males to report subjective measures of severity. Older individuals were more likely to have severe disease by both measures. In conclusion, it was found that low income and other financial barriers to care are significantly associated with sarcoidosis severity at presentation even after adjusting for demographic characteristics of race, sex, and age.","author":[{"family":"Rabin","given":"D L"},{"family":"Thompson","given":"B"},{"family":"Brown","given":"K M"},{"family":"Judson","given":"M A"},{"family":"Huang","given":"X"},{"family":"Lackland","given":"D T"},{"family":"Knatterud","given":"G L"},{"family":"Yeager","given":"H"},{"family":"Rose","given":"C"},{"family":"Steimel","given":"J"}],"authorYearDisplayFormat":false,"citation-label":"4471739","container-title":"The European Respiratory Journal","container-title-short":"Eur Respir J","id":"4471739","invisible":false,"issue":"4","issued":{"date-parts":[["2004","10"]]},"journalAbbreviation":"Eur Respir J","page":"601-608","suppress-author":false,"title":"Sarcoidosis: social predictors of severity at presentation.","type":"article-journal","volume":"24"}]</w:instrText>
      </w:r>
      <w:r w:rsidR="004E5D94" w:rsidRPr="005A7F38">
        <w:fldChar w:fldCharType="separate"/>
      </w:r>
      <w:r w:rsidR="00B775CB" w:rsidRPr="00B775CB">
        <w:rPr>
          <w:noProof/>
          <w:vertAlign w:val="superscript"/>
        </w:rPr>
        <w:t>83</w:t>
      </w:r>
      <w:r w:rsidR="004E5D94" w:rsidRPr="005A7F38">
        <w:fldChar w:fldCharType="end"/>
      </w:r>
      <w:r w:rsidR="00431FAB" w:rsidRPr="005A7F38">
        <w:t xml:space="preserve"> </w:t>
      </w:r>
      <w:r w:rsidR="00DF435C">
        <w:t xml:space="preserve">Low SES patients have access to different food options than higher SES patients and the gut microbiome may be impacted by this disparity in food consumption. Additionally, the microbiome of patients with differing levels of physical functioning may be impacted due to restricted activity or a change in exposure due to inactivity. </w:t>
      </w:r>
    </w:p>
    <w:p w14:paraId="3433EF96" w14:textId="77777777" w:rsidR="00394B3C" w:rsidRPr="005A7F38" w:rsidRDefault="00394B3C" w:rsidP="002446BB">
      <w:pPr>
        <w:pStyle w:val="Heading4"/>
        <w:rPr>
          <w:rFonts w:cs="Times New Roman"/>
        </w:rPr>
      </w:pPr>
      <w:bookmarkStart w:id="33" w:name="_Toc506540012"/>
      <w:r w:rsidRPr="005A7F38">
        <w:rPr>
          <w:rFonts w:cs="Times New Roman"/>
        </w:rPr>
        <w:lastRenderedPageBreak/>
        <w:t>Occupational Exposure</w:t>
      </w:r>
      <w:bookmarkEnd w:id="33"/>
    </w:p>
    <w:p w14:paraId="477B1007" w14:textId="257A253B" w:rsidR="00472680" w:rsidRPr="005A7F38" w:rsidRDefault="0025046C" w:rsidP="00004E1A">
      <w:pPr>
        <w:ind w:firstLine="0"/>
      </w:pPr>
      <w:r w:rsidRPr="005A7F38">
        <w:t xml:space="preserve">Although the </w:t>
      </w:r>
      <w:r w:rsidR="00C93696" w:rsidRPr="005A7F38">
        <w:t>etiology of the sarcoidosis is still uncle</w:t>
      </w:r>
      <w:r w:rsidR="00CD1A38" w:rsidRPr="005A7F38">
        <w:t>ar, previous research has suggested that environmental factors and occupational exp</w:t>
      </w:r>
      <w:r w:rsidR="00585870" w:rsidRPr="005A7F38">
        <w:t>osures have been</w:t>
      </w:r>
      <w:r w:rsidR="00CD1A38" w:rsidRPr="005A7F38">
        <w:t xml:space="preserve"> associated with incidence of sarcoidosis</w:t>
      </w:r>
      <w:r w:rsidR="000D5877" w:rsidRPr="005A7F38">
        <w:t xml:space="preserve"> and may play a putative role by directly triggering granulomatous inflammation or indirectly inducing immunologic changes that alter the risk of sarcoidosis</w:t>
      </w:r>
      <w:r w:rsidR="00CD1A38" w:rsidRPr="005A7F38">
        <w:t xml:space="preserve">. </w:t>
      </w:r>
      <w:r w:rsidR="00CD1A38" w:rsidRPr="005A7F38">
        <w:fldChar w:fldCharType="begin"/>
      </w:r>
      <w:r w:rsidR="00B775CB">
        <w:instrText>ADDIN F1000_CSL_CITATION&lt;~#@#~&gt;[{"DOI":"10.1164/rccm.200402-249OC","First":false,"Last":false,"PMID":"15347561","abstract":"Past research suggests that environmental factors may be associated with sarcoidosis risk. We conducted a case control study to test a priori hypotheses that environmental and occupational exposures are associated with sarcoidosis. Ten centers recruited 706 newly diagnosed patients with sarcoidosis and an equal number of age-, race-, and sex-matched control subjects. Interviewers administered questionnaires containing questions regarding occupational and nonoccupational exposures that we assessed in univariable and multivariable analyses. We observed positive associations between sarcoidosis and specific occupations (e.g., agricultural employment, odds ratio [OR] 1.46, confidence interval [CI] 1.13-1.89), exposures (e.g., insecticides at work, OR 1.52, CI 1.14-2.04, and work environments with mold/mildew exposures [environments with possible exposures to microbial bioaerosols], OR 1.61, CI 1.13-2.31). A history of ever smoking cigarettes was less frequent among cases than control subjects (OR 0.62, CI 0.50-0.77). In multivariable modeling, we observed elevated ORs for work in areas with musty odors (OR 1.62, CI 1.24-2.11) and with occupational exposure to insecticides (OR 1.61, CI 1.13-2.28), and a decreased OR related to ever smoking cigarettes (OR 0.65, CI 0.51-0.82). The study did not identify a single, predominant cause of sarcoidosis. We identified several exposures associated with sarcoidosis risk, including insecticides, agricultural employment, and microbial bioaerosols.","author":[{"family":"Newman","given":"Lee S"},{"family":"Rose","given":"Cecile S"},{"family":"Bresnitz","given":"Eddy A"},{"family":"Rossman","given":"Milton D"},{"family":"Barnard","given":"Juliana"},{"family":"Frederick","given":"Margaret"},{"family":"Terrin","given":"Michael L"},{"family":"Weinberger","given":"Steven E"},{"family":"Moller","given":"David R"},{"family":"McLennan","given":"Geoffrey"},{"family":"Hunninghake","given":"Gary"},{"family":"DePalo","given":"Louis"},{"family":"Baughman","given":"Robert P"},{"family":"Iannuzzi","given":"Michael C"},{"family":"Judson","given":"Marc A"},{"family":"Knatterud","given":"Genell L"},{"family":"Thompson","given":"Bruce W"},{"family":"Teirstein","given":"Alvin S"},{"family":"Yeager","given":"Henry"},{"family":"Johns","given":"Carol J"},{"family":"Rabin","given":"David L"},{"family":"Rybicki","given":"Benjamin A"},{"family":"Cherniack","given":"Reuben"},{"family":"ACCESS Research Group"}],"authorYearDisplayFormat":false,"citation-label":"1328213","container-title":"American Journal of Respiratory and Critical Care Medicine","container-title-short":"Am J Respir Crit Care Med","id":"1328213","invisible":false,"issue":"12","issued":{"date-parts":[["2004","12","15"]]},"journalAbbreviation":"Am J Respir Crit Care Med","page":"1324-1330","suppress-author":false,"title":"A case control etiologic study of sarcoidosis: environmental and occupational risk factors.","type":"article-journal","volume":"170"},{"DOI":"10.1513/AnnalsATS.201707-565OT","First":false,"Last":false,"PMID":"29073364","abstract":"Sarcoidosis is a multisystem disease with tremendous heterogeneity in disease manifestations, severity and clinical course that varies among different ethnic and racial groups. To better understand this disease and to improve the outcomes of patients, an NHLBI workshop was convened to assess the current state of knowledge, gaps and research needs across the clinical, genetic, environmental and immunologic arenas. We also explored to what extent the interplay of the genetic, environmental and immunologic factors could explain the different phenotypes and outcomes of sarcoidosis patients, including the chronic phenotypes that have the greatest health care burden. The potential utilization of current genetic, epigenetic and immunologic tools along with study approaches that integrate environmental exposures and precise clinical phenotyping were also explored. Finally, we made expert panel-based consensus recommendations for research approaches and priorities to improve our understanding of these factors on the health outcomes in sarcoidosis.","author":[{"family":"Moller","given":"David R"},{"family":"Rybicki","given":"Ben A"},{"family":"Hamzeh","given":"Nabeel Y"},{"family":"Montgomery","given":"Courtney G"},{"family":"Chen","given":"Edward S"},{"family":"Drake","given":"Wonder"},{"family":"Fontenot","given":"Andrew"}],"authorYearDisplayFormat":false,"citation-label":"4536488","container-title":"Annals of the American Thoracic Society","container-title-short":"Ann Am Thorac Soc","id":"4536488","invisible":false,"issued":{"date-parts":[["2017","10","26"]]},"journalAbbreviation":"Ann Am Thorac Soc","suppress-author":false,"title":"Genetic, immunological and environmental basis of sarcoidosis.","type":"article-journal"}]</w:instrText>
      </w:r>
      <w:r w:rsidR="00CD1A38" w:rsidRPr="005A7F38">
        <w:fldChar w:fldCharType="separate"/>
      </w:r>
      <w:r w:rsidR="00B775CB" w:rsidRPr="00B775CB">
        <w:rPr>
          <w:noProof/>
          <w:vertAlign w:val="superscript"/>
        </w:rPr>
        <w:t>4,84</w:t>
      </w:r>
      <w:r w:rsidR="00CD1A38" w:rsidRPr="005A7F38">
        <w:fldChar w:fldCharType="end"/>
      </w:r>
      <w:r w:rsidR="00472680" w:rsidRPr="005A7F38">
        <w:t xml:space="preserve"> It is unclear if environmental exposures reflect a direct trigger to induce granulomatous inflammation or an indirect influence, impacting the immune system and host response readiness.</w:t>
      </w:r>
      <w:r w:rsidR="00472680" w:rsidRPr="005A7F38">
        <w:fldChar w:fldCharType="begin"/>
      </w:r>
      <w:r w:rsidR="00B775CB">
        <w:instrText>ADDIN F1000_CSL_CITATION&lt;~#@#~&gt;[{"DOI":"10.1513/AnnalsATS.201707-565OT","First":false,"Last":false,"PMID":"29073364","abstract":"Sarcoidosis is a multisystem disease with tremendous heterogeneity in disease manifestations, severity and clinical course that varies among different ethnic and racial groups. To better understand this disease and to improve the outcomes of patients, an NHLBI workshop was convened to assess the current state of knowledge, gaps and research needs across the clinical, genetic, environmental and immunologic arenas. We also explored to what extent the interplay of the genetic, environmental and immunologic factors could explain the different phenotypes and outcomes of sarcoidosis patients, including the chronic phenotypes that have the greatest health care burden. The potential utilization of current genetic, epigenetic and immunologic tools along with study approaches that integrate environmental exposures and precise clinical phenotyping were also explored. Finally, we made expert panel-based consensus recommendations for research approaches and priorities to improve our understanding of these factors on the health outcomes in sarcoidosis.","author":[{"family":"Moller","given":"David R"},{"family":"Rybicki","given":"Ben A"},{"family":"Hamzeh","given":"Nabeel Y"},{"family":"Montgomery","given":"Courtney G"},{"family":"Chen","given":"Edward S"},{"family":"Drake","given":"Wonder"},{"family":"Fontenot","given":"Andrew"}],"authorYearDisplayFormat":false,"citation-label":"4536488","container-title":"Annals of the American Thoracic Society","container-title-short":"Ann Am Thorac Soc","id":"4536488","invisible":false,"issued":{"date-parts":[["2017","10","26"]]},"journalAbbreviation":"Ann Am Thorac Soc","suppress-author":false,"title":"Genetic, immunological and environmental basis of sarcoidosis.","type":"article-journal"}]</w:instrText>
      </w:r>
      <w:r w:rsidR="00472680" w:rsidRPr="005A7F38">
        <w:fldChar w:fldCharType="separate"/>
      </w:r>
      <w:r w:rsidR="00B775CB" w:rsidRPr="00B775CB">
        <w:rPr>
          <w:noProof/>
          <w:vertAlign w:val="superscript"/>
        </w:rPr>
        <w:t>84</w:t>
      </w:r>
      <w:r w:rsidR="00472680" w:rsidRPr="005A7F38">
        <w:fldChar w:fldCharType="end"/>
      </w:r>
      <w:r w:rsidR="00C04E65" w:rsidRPr="005A7F38">
        <w:t xml:space="preserve"> </w:t>
      </w:r>
      <w:r w:rsidR="007D6901" w:rsidRPr="005A7F38">
        <w:t>The lungs and the skin, both common organs involved in sarcoidosis, have regular exposure to a wide variety of environmental agents.</w:t>
      </w:r>
      <w:r w:rsidR="007D6901" w:rsidRPr="005A7F38">
        <w:fldChar w:fldCharType="begin"/>
      </w:r>
      <w:r w:rsidR="00B775CB">
        <w:instrText>ADDIN F1000_CSL_CITATION&lt;~#@#~&gt;[{"First":false,"Last":false,"PMID":"10580780","abstract":"Sarcoidosis is a chronic granulomatous disorder of unknown cause, characterized by activation of T-lymphocytes and macrophages. A Case Control Etiologic Study of Sarcoidosis (ACCESS) is a multicenter study designed to determine the etiology of sarcoidosis. The study organization includes 10 Clinical Centers, a Clinical Coordinating Center, specialized Core Laboratories, a Central Specimen Repository, and a Project Office at the National Heart, Lung, and Blood Institute. In addition to etiology, ACCESS will examine the socioeconomic status and clinical course of patients with sarcoidosis. We propose to enroll 720 newly diagnosed cases of sarcoidosis and compare them to 720 age, sex, and race matched controls and follow the first 240 cases for two years. Leads to the etiology of sarcoidosis have come from diverse sources: in clinical laboratory investigations, alveolitis has been found to precede granulomatous inflammation; in case control studies, familial aggregation has been identified; and in case reports, recurrence of granulomatous inflammation has been observed after lung transplantation. We describe the rationale for the study design based on genetic, environmental, infectious, and immune dysregulation hypotheses and the methods used for selecting controls. The cause may not prove to be a single, known exposure. Interactions of exposures with genetic predispositions would have important implications for our understanding of immune responses as well as the pathogenesis of sarcoidosis.","authorYearDisplayFormat":false,"citation-label":"4444544","container-title":"Journal of Clinical Epidemiology","container-title-short":"J Clin Epidemiol","id":"4444544","invisible":false,"issue":"12","issued":{"date-parts":[["1999","12"]]},"journalAbbreviation":"J Clin Epidemiol","page":"1173-1186","suppress-author":false,"title":"Design of a case control etiologic study of sarcoidosis (ACCESS). ACCESS Research Group.","type":"article-journal","volume":"52"}]</w:instrText>
      </w:r>
      <w:r w:rsidR="007D6901" w:rsidRPr="005A7F38">
        <w:fldChar w:fldCharType="separate"/>
      </w:r>
      <w:r w:rsidR="00B775CB" w:rsidRPr="00B775CB">
        <w:rPr>
          <w:noProof/>
          <w:vertAlign w:val="superscript"/>
        </w:rPr>
        <w:t>85</w:t>
      </w:r>
      <w:r w:rsidR="007D6901" w:rsidRPr="005A7F38">
        <w:fldChar w:fldCharType="end"/>
      </w:r>
      <w:r w:rsidR="007D6901" w:rsidRPr="005A7F38">
        <w:t xml:space="preserve"> </w:t>
      </w:r>
    </w:p>
    <w:p w14:paraId="5722C1C5" w14:textId="56E39ABB" w:rsidR="00472680" w:rsidRPr="005A7F38" w:rsidRDefault="008322E3" w:rsidP="002446BB">
      <w:r w:rsidRPr="005A7F38">
        <w:t>There are several known occupational and environmental exposures that can cause sensitization which can result in a cell-mediated immune response responsible for the development of granulomas.</w:t>
      </w:r>
      <w:r w:rsidRPr="005A7F38">
        <w:fldChar w:fldCharType="begin"/>
      </w:r>
      <w:r w:rsidR="00B775CB">
        <w:instrText>ADDIN F1000_CSL_CITATION&lt;~#@#~&gt;[{"DOI":"10.3389/fimmu.2013.00437","First":false,"Last":false,"PMCID":"PMC3857538","PMID":"24339826","abstract":"Sarcoidosis is a granulomatous disorder of unknown cause, affecting multiple organs, but mainly the lungs. The exact order of immunological events remains obscure. Reviewing current literature, combined with careful clinical observations, we propose a model for granuloma formation in pulmonary sarcoidosis. A tight collaboration between macrophages, dendritic cells, and lymphocyte subsets, initiates the first steps toward granuloma formation, orchestrated by cytokines and chemokines. In a substantial part of pulmonary sarcoidosis patients, granuloma formation becomes an on-going process, leading to debilitating disease, and sometimes death. The immunological response, determining granuloma sustainment is not well understood. An impaired immunosuppressive function of regulatory T cells has been suggested to contribute to the exaggerated response. Interestingly, therapeutical agents commonly used in sarcoidosis, such as glucocorticosteroids and anti-TNF agents, interfere with granuloma integrity and restore the immune homeostasis in autoimmune disorders. Increasing insight into their mechanisms of action may contribute to the search for new therapeutical targets in pulmonary sarcoidosis.","author":[{"family":"Broos","given":"Caroline E"},{"family":"van Nimwegen","given":"Menno"},{"family":"Hoogsteden","given":"Henk C"},{"family":"Hendriks","given":"Rudi W"},{"family":"Kool","given":"Mirjam"},{"family":"van den Blink","given":"Bernt"}],"authorYearDisplayFormat":false,"citation-label":"4238293","container-title":"Frontiers in immunology","container-title-short":"Front Immunol","id":"4238293","invisible":false,"issued":{"date-parts":[["2013","12","10"]]},"journalAbbreviation":"Front Immunol","page":"437","suppress-author":false,"title":"Granuloma formation in pulmonary sarcoidosis.","type":"article-journal","volume":"4"},{"DOI":"10.1164/arrd.1985.132.2.400","First":false,"Last":false,"PMID":"3896081","abstract":"To determine whether bronchoalveolar lavage reflects the histologic aspects of the lung histology in patients with sarcoidosis and hypersensitivity pneumonitis, cells recovered from lavage fluid were compared with tissue sections from transbronchial lung biopsies in 33 patients. The evaluation of cellular types and their topographic distribution in situ was determined by using monoclonal antibodies in combination with immunohistochemical techniques. Cell counts in bronchoalveolar lavage and lung biopsies were significantly correlated both in sarcoidosis and hypersensitivity pneumonitis. In fact, the relative proportions of inflammatory and immunocompetent cells recovered from lavage fluid accurately overlapped those observed in lung tissue sections. However, in patients with more pronounced alveolitis, the frequency of macrophages in tissue sections was higher than that observed in the bronchoalveolar lavage, and the degree of lymphocytes in the lavage was higher than that observed in the corresponding biopsy. Specifically, in these patients the lavage underestimated the amount of macrophages in the lung biopsies and overestimated the number of lymphocytes that were present in the lung parenchyma. This was more evident in patients with hypersensitivity pneumonitis, where the intensity of alveolitis was higher than in sarcoidosis. Our data support the idea that, at least in patients with sarcoidosis and hypersensitivity pneumonitis, bronchoalveolar lavage correctly samples the alveolitis. Discrepancies in patients with very high intensity alveolitis could be due to a more pronounced recirculation of lymphocytes from the parenchyma to the alveolar spaces.","author":[{"family":"Semenzato","given":"G"},{"family":"Chilosi","given":"M"},{"family":"Ossi","given":"E"},{"family":"Trentin","given":"L"},{"family":"Pizzolo","given":"G"},{"family":"Cipriani","given":"A"},{"family":"Agostini","given":"C"},{"family":"Zambello","given":"R"},{"family":"Marcer","given":"G"},{"family":"Gasparotto","given":"G"}],"authorYearDisplayFormat":false,"citation-label":"4507146","container-title":"The American Review of Respiratory Disease","container-title-short":"Am Rev Respir Dis","id":"4507146","invisible":false,"issue":"2","issued":{"date-parts":[["1985","8"]]},"journalAbbreviation":"Am Rev Respir Dis","page":"400-404","suppress-author":false,"title":"Bronchoalveolar lavage and lung histology. Comparative analysis of inflammatory and immunocompetent cells in patients with sarcoidosis and hypersensitivity pneumonitis.","type":"article-journal","volume":"132"}]</w:instrText>
      </w:r>
      <w:r w:rsidRPr="005A7F38">
        <w:fldChar w:fldCharType="separate"/>
      </w:r>
      <w:r w:rsidR="00B775CB" w:rsidRPr="00B775CB">
        <w:rPr>
          <w:noProof/>
          <w:vertAlign w:val="superscript"/>
        </w:rPr>
        <w:t>11,21</w:t>
      </w:r>
      <w:r w:rsidRPr="005A7F38">
        <w:fldChar w:fldCharType="end"/>
      </w:r>
      <w:r w:rsidRPr="005A7F38">
        <w:t xml:space="preserve"> </w:t>
      </w:r>
      <w:r w:rsidR="008B175D" w:rsidRPr="005A7F38">
        <w:t>Acute or chronic inhalation of both organic and inorganic antigens can cause hypersensitivity pneumonitis.</w:t>
      </w:r>
      <w:r w:rsidR="008B175D" w:rsidRPr="005A7F38">
        <w:fldChar w:fldCharType="begin"/>
      </w:r>
      <w:r w:rsidR="00B775CB">
        <w:instrText>ADDIN F1000_CSL_CITATION&lt;~#@#~&gt;[{"First":false,"Last":false,"PMCID":"PMC1035474","PMID":"8329313","author":[{"family":"Forst","given":"L S"},{"family":"Abraham","given":"J"}],"authorYearDisplayFormat":false,"citation-label":"4507183","container-title":"British journal of industrial medicine","container-title-short":"Br J Ind Med","id":"4507183","invisible":false,"issue":"6","issued":{"date-parts":[["1993","6"]]},"journalAbbreviation":"Br J Ind Med","page":"497-500","suppress-author":false,"title":"Hypersensitivity pneumonitis presenting as sarcoidosis.","type":"article-journal","volume":"50"}]</w:instrText>
      </w:r>
      <w:r w:rsidR="008B175D" w:rsidRPr="005A7F38">
        <w:fldChar w:fldCharType="separate"/>
      </w:r>
      <w:r w:rsidR="00B775CB" w:rsidRPr="00B775CB">
        <w:rPr>
          <w:noProof/>
          <w:vertAlign w:val="superscript"/>
        </w:rPr>
        <w:t>86</w:t>
      </w:r>
      <w:r w:rsidR="008B175D" w:rsidRPr="005A7F38">
        <w:fldChar w:fldCharType="end"/>
      </w:r>
      <w:r w:rsidR="008B175D" w:rsidRPr="005A7F38">
        <w:t xml:space="preserve"> Hypersensitivity pneumonitis has similar clinical, laboratory and pathological features to pulmonary sarcoidosis including the development of pulmonary granulomas and is often misdiagnosed as pulmonary sarcoidosis. </w:t>
      </w:r>
      <w:r w:rsidRPr="005A7F38">
        <w:t>Beryllium inhalation</w:t>
      </w:r>
      <w:r w:rsidR="00076698" w:rsidRPr="005A7F38">
        <w:t xml:space="preserve"> is one such occupational exposure which can cause sensitization and chronic beryllium exposure can</w:t>
      </w:r>
      <w:r w:rsidRPr="005A7F38">
        <w:t xml:space="preserve"> </w:t>
      </w:r>
      <w:r w:rsidR="00076698" w:rsidRPr="005A7F38">
        <w:t>result in the development of</w:t>
      </w:r>
      <w:r w:rsidR="00053C03" w:rsidRPr="005A7F38">
        <w:t xml:space="preserve"> pulmonary granulomas </w:t>
      </w:r>
      <w:r w:rsidR="00076698" w:rsidRPr="005A7F38">
        <w:t xml:space="preserve">indistinguishable </w:t>
      </w:r>
      <w:r w:rsidR="00053C03" w:rsidRPr="005A7F38">
        <w:t>to those seen in sarcoidosis.</w:t>
      </w:r>
      <w:r w:rsidR="00053C03" w:rsidRPr="005A7F38">
        <w:fldChar w:fldCharType="begin"/>
      </w:r>
      <w:r w:rsidR="00B775CB">
        <w:instrText>ADDIN F1000_CSL_CITATION&lt;~#@#~&gt;[{"First":false,"Last":false,"PMID":"7617981","author":[{"family":"Newman","given":"L S"}],"authorYearDisplayFormat":false,"citation-label":"4507144","container-title":"Sarcoidosis","container-title-short":"Sarcoidosis","id":"4507144","invisible":false,"issue":"1","issued":{"date-parts":[["1995","3"]]},"journalAbbreviation":"Sarcoidosis","page":"7-19","suppress-author":false,"title":"Beryllium disease and sarcoidosis: clinical and laboratory links.","type":"article-journal","volume":"12"}]</w:instrText>
      </w:r>
      <w:r w:rsidR="00053C03" w:rsidRPr="005A7F38">
        <w:fldChar w:fldCharType="separate"/>
      </w:r>
      <w:r w:rsidR="00B775CB" w:rsidRPr="00B775CB">
        <w:rPr>
          <w:noProof/>
          <w:vertAlign w:val="superscript"/>
        </w:rPr>
        <w:t>87</w:t>
      </w:r>
      <w:r w:rsidR="00053C03" w:rsidRPr="005A7F38">
        <w:fldChar w:fldCharType="end"/>
      </w:r>
      <w:r w:rsidR="00053C03" w:rsidRPr="005A7F38">
        <w:t xml:space="preserve"> Granulomatous lung disease</w:t>
      </w:r>
      <w:r w:rsidR="004B3BC6" w:rsidRPr="005A7F38">
        <w:t xml:space="preserve"> that imitates</w:t>
      </w:r>
      <w:r w:rsidR="00076698" w:rsidRPr="005A7F38">
        <w:t xml:space="preserve"> sarcoidosis</w:t>
      </w:r>
      <w:r w:rsidR="00053C03" w:rsidRPr="005A7F38">
        <w:t xml:space="preserve"> can</w:t>
      </w:r>
      <w:r w:rsidR="00076698" w:rsidRPr="005A7F38">
        <w:t xml:space="preserve"> also</w:t>
      </w:r>
      <w:r w:rsidR="00053C03" w:rsidRPr="005A7F38">
        <w:t xml:space="preserve"> be induced by inhalation of other metals including aluminum, titanium and zirconium</w:t>
      </w:r>
      <w:r w:rsidR="0078288E" w:rsidRPr="005A7F38">
        <w:t>.</w:t>
      </w:r>
      <w:r w:rsidR="009C5B2F" w:rsidRPr="005A7F38">
        <w:fldChar w:fldCharType="begin"/>
      </w:r>
      <w:r w:rsidR="00B775CB">
        <w:instrText>ADDIN F1000_CSL_CITATION&lt;~#@#~&gt;[{"First":false,"Last":false,"PMCID":"PMC1007732","PMID":"3778834","abstract":"A patient presented with granulomatous lung disease associated with the pulmonary deposition of various metallic particles. To evaluate the relation between the metallic dust and the granulomatous process, lymphocyte transformation tests to aluminium sulphate, titanium chloride, beryllium sulphate, and nickel sulphate were performed. A lymphocyte proliferative response to titanium chloride was observed on two separate occasions; no responses to the other metals were shown. These results are consistent with hypersensitivity to titanium, and suggest, in this individual, a possible aetiological role between the inhalation of titanium and a granulomatous disease process.","author":[{"family":"Redline","given":"S"},{"family":"Barna","given":"B P"},{"family":"Tomashefski","given":"J F"},{"family":"Abraham","given":"J L"}],"authorYearDisplayFormat":false,"citation-label":"4507153","container-title":"British journal of industrial medicine","container-title-short":"Br J Ind Med","id":"4507153","invisible":false,"issue":"10","issued":{"date-parts":[["1986","10"]]},"journalAbbreviation":"Br J Ind Med","page":"652-656","suppress-author":false,"title":"Granulomatous disease associated with pulmonary deposition of titanium.","type":"article-journal","volume":"43"},{"DOI":"10.1164/arrd.1987.135.2.493","First":false,"Last":false,"PMID":"3813209","abstract":"Interstitial lung disease developed in a 32-yr-old chemist after working 8 yr in a dusty atmosphere containing aluminum powders. Bronchoalveolar lavage disclosed a helper T-lymphocyte alveolitis, and transbronchial lung biopsies showed sarcoidlike epithelioid granulomas. These granulomas contained dust identified by mineralogic analyses as consisting mainly of aluminum particles. Nasal and liver biopsies and a Kveim test did not reveal extrapulmonary granulomatous infiltration. An extensive immunologic work-up showed none of the abnormalities classically seen in sarcoidosis, but peripheral blood lymphocytes exhibited blastic transformation in the presence of soluble aluminum compounds. About 1 yr after cessation of exposure, a chest radiograph and lung function tests remained essentially unchanged, but signs of alveolitis disappeared. This observation suggests that aluminum may cause granulomatous lung disease accompanied by a helper T-lymphocyte alveolitis, similar to that of berylliosis and sarcoidosis. Further observations would be necessary to show if this constitutes an early stage of aluminum-induced fibrosis (aluminum lung).","author":[{"family":"De Vuyst","given":"P"},{"family":"Dumortier","given":"P"},{"family":"Schandené","given":"L"},{"family":"Estenne","given":"M"},{"family":"Verhest","given":"A"},{"family":"Yernault","given":"J C"}],"authorYearDisplayFormat":false,"citation-label":"4507151","container-title":"The American Review of Respiratory Disease","container-title-short":"Am Rev Respir Dis","id":"4507151","invisible":false,"issue":"2","issued":{"date-parts":[["1987","2"]]},"journalAbbreviation":"Am Rev Respir Dis","page":"493-497","suppress-author":false,"title":"Sarcoidlike lung granulomatosis induced by aluminum dusts.","type":"article-journal","volume":"135"},{"First":false,"Last":false,"PMID":"8491884","abstract":"Zirconium compounds have been associated with the development of hypersensitivity granulomas. However, aluminum zirconium complexes have not previously been shown to induce sensitization. We present the clinical and histologic findings of a case in which a patient developed an acute hypersensitivity reaction to an aluminum zirconium complex.","author":[{"family":"Skelton","given":"H G"},{"family":"Smith","given":"K J"},{"family":"Johnson","given":"F B"},{"family":"Cooper","given":"C R"},{"family":"Tyler","given":"W F"},{"family":"Lupton","given":"G P"}],"authorYearDisplayFormat":false,"citation-label":"4507154","container-title":"Journal of the American Academy of Dermatology","container-title-short":"J Am Acad Dermatol","id":"4507154","invisible":false,"issue":"5 Pt 2","issued":{"date-parts":[["1993","5"]]},"journalAbbreviation":"J Am Acad Dermatol","page":"874-876","suppress-author":false,"title":"Zirconium granuloma resulting from an aluminum zirconium complex: a previously unrecognized agent in the development of hypersensitivity granulomas.","type":"article-journal","volume":"28"}]</w:instrText>
      </w:r>
      <w:r w:rsidR="009C5B2F" w:rsidRPr="005A7F38">
        <w:fldChar w:fldCharType="separate"/>
      </w:r>
      <w:r w:rsidR="00B775CB" w:rsidRPr="00B775CB">
        <w:rPr>
          <w:noProof/>
          <w:vertAlign w:val="superscript"/>
        </w:rPr>
        <w:t>88–90</w:t>
      </w:r>
      <w:r w:rsidR="009C5B2F" w:rsidRPr="005A7F38">
        <w:fldChar w:fldCharType="end"/>
      </w:r>
      <w:r w:rsidR="004B3BC6" w:rsidRPr="005A7F38">
        <w:t>.</w:t>
      </w:r>
      <w:r w:rsidR="008B175D" w:rsidRPr="005A7F38">
        <w:t xml:space="preserve"> Inhalation of other inorganic materials such as silica has also been associated with a sarcoid-like response as well.</w:t>
      </w:r>
      <w:r w:rsidR="008B175D" w:rsidRPr="005A7F38">
        <w:fldChar w:fldCharType="begin"/>
      </w:r>
      <w:r w:rsidR="00B775CB">
        <w:instrText>ADDIN F1000_CSL_CITATION&lt;~#@#~&gt;[{"First":false,"Last":false,"PMCID":"PMC1757515","PMID":"9930085","abstract":"&lt;strong&gt;OBJECTIVES:&lt;/strong&gt; The possibility of an association between exposure to silica and autoimmune diseases has recently come under discussion. In the following case-referent study, a cohort exposed to diatomaceous earth and cristobalite provided an opportunity to evaluate such an exposure with reference to sarcoidosis.&lt;br&gt;&lt;br&gt;&lt;strong&gt;METHODS:&lt;/strong&gt; The inhabitants of a district served by a single healthcare centre and a hospital formed the study base. A diatomaceous earth plant is located in this community and the medical institutions are responsible for primary and secondary health care of the population. Cases of sarcoidosis were identified from the hospital records according to certain clinical, radiological, and histological criteria. Referents were selected randomly from the population of the district. Information on exposure to crystalline silica, cristobalite, was obtained by record linkage of the cases and referents with a file which included all present and past workers at the diatomaceous earth plant and those who had worked at loading vessels with the product from the plant.&lt;br&gt;&lt;br&gt;&lt;strong&gt;RESULTS:&lt;/strong&gt; Eight cases of sarcoidosis were found, six of which were in the exposed group. Of the 70 referents, 13 were exposed. The odds ratio (95% confidence interval) was 13.2 (2.0 to 140.9).&lt;br&gt;&lt;br&gt;&lt;strong&gt;CONCLUSION:&lt;/strong&gt; The odds ratios were high and there were some indications of a dose-response relation which will hopefully encourage further studies. To our knowledge this is the first study to indicate a relation between sarcoidosis and exposure to the crystalline silica, cristobalite.","author":[{"family":"Rafnsson","given":"V"},{"family":"Ingimarsson","given":"O"},{"family":"Hjalmarsson","given":"I"},{"family":"Gunnarsdottir","given":"H"}],"authorYearDisplayFormat":false,"citation-label":"4536590","container-title":"Occupational and Environmental Medicine","container-title-short":"Occup Environ Med","id":"4536590","invisible":false,"issue":"10","issued":{"date-parts":[["1998","10"]]},"journalAbbreviation":"Occup Environ Med","page":"657-660","suppress-author":false,"title":"Association between exposure to crystalline silica and risk of sarcoidosis.","type":"article-journal","volume":"55"}]</w:instrText>
      </w:r>
      <w:r w:rsidR="008B175D" w:rsidRPr="005A7F38">
        <w:fldChar w:fldCharType="separate"/>
      </w:r>
      <w:r w:rsidR="00B775CB" w:rsidRPr="00B775CB">
        <w:rPr>
          <w:noProof/>
          <w:vertAlign w:val="superscript"/>
        </w:rPr>
        <w:t>91</w:t>
      </w:r>
      <w:r w:rsidR="008B175D" w:rsidRPr="005A7F38">
        <w:fldChar w:fldCharType="end"/>
      </w:r>
      <w:r w:rsidR="008B175D" w:rsidRPr="005A7F38">
        <w:t xml:space="preserve"> </w:t>
      </w:r>
      <w:r w:rsidR="00472680" w:rsidRPr="005A7F38">
        <w:t xml:space="preserve">A sarcoidosis-like disorder was experienced by many first-response rescue workers from the World Trade Center </w:t>
      </w:r>
      <w:r w:rsidR="008168E3">
        <w:t>(</w:t>
      </w:r>
      <w:r w:rsidR="00DF435C">
        <w:t xml:space="preserve">inhalational exposure to a complex mix of organic and inorganic chemicals) </w:t>
      </w:r>
      <w:r w:rsidR="00472680" w:rsidRPr="005A7F38">
        <w:t>disaster in 2001.</w:t>
      </w:r>
      <w:r w:rsidR="00FC5CD7" w:rsidRPr="005A7F38">
        <w:fldChar w:fldCharType="begin"/>
      </w:r>
      <w:r w:rsidR="00B775CB">
        <w:instrText>ADDIN F1000_CSL_CITATION&lt;~#@#~&gt;[{"DOI":"10.1378/chest.06-2114","First":false,"Last":false,"PMID":"17400664","abstract":"&lt;strong&gt;BACKGROUND:&lt;/strong&gt; Previous reports suggest that sarcoidosis occurs with abnormally high frequency in firefighters. We sought to determine whether exposure to World Trade Center (WTC) \"dust\" during the collapse and rescue/recovery effort increased the incidence of sarcoidosis or \"sarcoid-like\" granulomatous pulmonary disease (SLGPD).&lt;br&gt;&lt;br&gt;&lt;strong&gt;METHODS:&lt;/strong&gt; During the 5 years after the WTC disaster, enrollees in the Fire Department of New York (FDNY) WTC monitoring and treatment programs who had chest radiograph findings suggestive of sarcoidosis underwent evaluation, including the following: chest CT imaging, pulmonary function, provocative challenge, and biopsy. Annual incidence rates were compared to the 15 years before the WTC disaster.&lt;br&gt;&lt;br&gt;&lt;strong&gt;RESULTS:&lt;/strong&gt; After WTC dust exposure, pathologic evidence consistent with new-onset sarcoidosis was found in 26 patients: all 26 patients had intrathoracic adenopathy, and 6 patients (23%) had extrathoracic disease. Thirteen patients were identified during the first year after WTC dust exposure (incidence rate, 86/100,000), and 13 patients were identified during the next 4 years (average annual incidence rate, 22/100,000; as compared to 15/100,000 during the 15 years before the WTC disaster). Eighteen of 26 patients (69%) had findings consistent with asthma. Eight of 21 patients (38%) agreeing to challenge testing had airway hyperreactivity (AHR), findings not seen in FDNY sarcoidosis patients before the WTC disaster.&lt;br&gt;&lt;br&gt;&lt;strong&gt;CONCLUSION:&lt;/strong&gt; After the WTC disaster, the incidence of sarcoidosis or SLGPD was increased among FDNY rescue workers. This new information about the early onset of WTC-SLGPD and its association with asthma/AHR has important public health consequences for disease prevention, early detection, and treatment following environmental/occupational exposures.","author":[{"family":"Izbicki","given":"Gabriel"},{"family":"Chavko","given":"Robert"},{"family":"Banauch","given":"Gisela I"},{"family":"Weiden","given":"Michael D"},{"family":"Berger","given":"Kenneth I"},{"family":"Aldrich","given":"Thomas K"},{"family":"Hall","given":"Charles"},{"family":"Kelly","given":"Kerry J"},{"family":"Prezant","given":"David J"}],"authorYearDisplayFormat":false,"citation-label":"4536589","container-title":"Chest","container-title-short":"Chest","id":"4536589","invisible":false,"issue":"5","issued":{"date-parts":[["2007","5"]]},"journalAbbreviation":"Chest","page":"1414-1423","suppress-author":false,"title":"World Trade Center \"sarcoid-like\" granulomatous pulmonary disease in New York City Fire Department rescue workers.","type":"article-journal","volume":"131"}]</w:instrText>
      </w:r>
      <w:r w:rsidR="00FC5CD7" w:rsidRPr="005A7F38">
        <w:fldChar w:fldCharType="separate"/>
      </w:r>
      <w:r w:rsidR="00B775CB" w:rsidRPr="00B775CB">
        <w:rPr>
          <w:noProof/>
          <w:vertAlign w:val="superscript"/>
        </w:rPr>
        <w:t>92</w:t>
      </w:r>
      <w:r w:rsidR="00FC5CD7" w:rsidRPr="005A7F38">
        <w:fldChar w:fldCharType="end"/>
      </w:r>
      <w:r w:rsidR="00472680" w:rsidRPr="005A7F38">
        <w:t xml:space="preserve"> Whether these diseases should be considered sarcoidosis or remain independent pulmonary </w:t>
      </w:r>
      <w:r w:rsidR="00472680" w:rsidRPr="005A7F38">
        <w:lastRenderedPageBreak/>
        <w:t>disorders is contentious due to the absence of systemic granulomatous inflammation or extra-pulmonary involvement.</w:t>
      </w:r>
      <w:r w:rsidR="00B22980" w:rsidRPr="005A7F38">
        <w:fldChar w:fldCharType="begin"/>
      </w:r>
      <w:r w:rsidR="00B775CB">
        <w:instrText>ADDIN F1000_CSL_CITATION&lt;~#@#~&gt;[{"First":false,"Last":false,"PMID":"24751448","author":[{"family":"Judson","given":"Marc A"},{"family":"Baughman","given":"Robert P"}],"authorYearDisplayFormat":false,"citation-label":"3930264","container-title":"Sarcoidosis, vasculitis, and diffuse lung diseases : official journal of WASOG / World Association of Sarcoidosis and Other Granulomatous Disorders","container-title-short":"Sarcoidosis Vasc Diffuse Lung Dis","id":"3930264","invisible":false,"issue":"1","issued":{"date-parts":[["2014","4","18"]]},"journalAbbreviation":"Sarcoidosis Vasc Diffuse Lung Dis","page":"6-7","suppress-author":false,"title":"How many organs need to be involved to diagnose sarcoidosis?: An unanswered question that, hopefully, will become irrelevant.","type":"article-journal","volume":"31"}]</w:instrText>
      </w:r>
      <w:r w:rsidR="00B22980" w:rsidRPr="005A7F38">
        <w:fldChar w:fldCharType="separate"/>
      </w:r>
      <w:r w:rsidR="00B775CB" w:rsidRPr="00B775CB">
        <w:rPr>
          <w:noProof/>
          <w:vertAlign w:val="superscript"/>
        </w:rPr>
        <w:t>93</w:t>
      </w:r>
      <w:r w:rsidR="00B22980" w:rsidRPr="005A7F38">
        <w:fldChar w:fldCharType="end"/>
      </w:r>
    </w:p>
    <w:p w14:paraId="6B708B9D" w14:textId="3FFF2596" w:rsidR="00583F0C" w:rsidRPr="005A7F38" w:rsidRDefault="003C7849" w:rsidP="002446BB">
      <w:r w:rsidRPr="005A7F38">
        <w:t>With a clear predilection for those in early to middle adulthood, incidence is not frequently seen in children, pointing toward an exposure occurring in working-age individuals.</w:t>
      </w:r>
      <w:r w:rsidRPr="005A7F38">
        <w:fldChar w:fldCharType="begin"/>
      </w:r>
      <w:r w:rsidR="00B775CB">
        <w:instrText>ADDIN F1000_CSL_CITATION&lt;~#@#~&gt;[{"DOI":"10.1183/09031936.00011507","First":false,"Last":false,"PMID":"18057063","abstract":"The aim of the present study was to describe clinical features and long-term survival in childhood sarcoidosis. In total, 46 ethnic Caucasian Danish children (aged &lt; 16 yrs, 24 males) with sarcoidosis were identified in 1979-1994. In 33 (72%) children, diagnosis was verified by histology and, in the remaining 13, by clinical and radiological findings. In total, 37 subjects had a follow-up examination. Median (range) age at onset of disease was 14 (0.7-15.8) yrs and median (range) clinical follow-up was 15 (3-23) yrs after onset of disease. The median (range) age at clinical follow-up was 28 (17-30) yrs. At follow-up: 36 (78%) children recovered completely; 30 (65%) showed complete clinical regression at a median (range) 0.7 (0.6-5.9) yrs after onset of disease; two (4%) recovered with organ damage (unilateral loss of vision, abnormal chest radiograph); five (11%) still had chronic active disease with multiorgan involvement and impaired lung function; and three (7%) were deceased, due to central nervous system sarcoidosis and acute myeloid leukaemia probably caused by cytostatics. In Danish children, sarcoidosis had a favourable prognosis; the majority recovered &lt; 6 yrs after onset of disease. Some developed chronic active disease and impairment of pulmonary function, demanding continuous medical treatment. Prognosis was not related to the age at onset of disease. Erythema nodosum was associated with a good prognosis, and central nervous system involvement with a poor prognosis.","author":[{"family":"Milman","given":"N"},{"family":"Hoffmann","given":"A L"}],"authorYearDisplayFormat":false,"citation-label":"594873","container-title":"The European Respiratory Journal","container-title-short":"Eur Respir J","id":"594873","invisible":false,"issue":"3","issued":{"date-parts":[["2008","3"]]},"journalAbbreviation":"Eur Respir J","page":"592-598","suppress-author":false,"title":"Childhood sarcoidosis: long-term follow-up.","type":"article-journal","volume":"31"},{"DOI":"10.1016/S0022-3476(86)80978-7","First":false,"Last":false,"PMID":"3944700","author":[{"family":"Pattishall","given":"E N"},{"family":"Strope","given":"G L"},{"family":"Spinola","given":"S M"},{"family":"Denny","given":"F W"}],"authorYearDisplayFormat":false,"citation-label":"4507193","container-title":"The Journal of Pediatrics","container-title-short":"J Pediatr","id":"4507193","invisible":false,"issue":"2","issued":{"date-parts":[["1986","2"]]},"journalAbbreviation":"J Pediatr","page":"169-177","suppress-author":false,"title":"Childhood sarcoidosis.","type":"article-journal","volume":"108"}]</w:instrText>
      </w:r>
      <w:r w:rsidRPr="005A7F38">
        <w:fldChar w:fldCharType="separate"/>
      </w:r>
      <w:r w:rsidR="00B775CB" w:rsidRPr="00B775CB">
        <w:rPr>
          <w:noProof/>
          <w:vertAlign w:val="superscript"/>
        </w:rPr>
        <w:t>57,94</w:t>
      </w:r>
      <w:r w:rsidRPr="005A7F38">
        <w:fldChar w:fldCharType="end"/>
      </w:r>
      <w:r w:rsidR="007D6901" w:rsidRPr="005A7F38">
        <w:t xml:space="preserve"> </w:t>
      </w:r>
      <w:r w:rsidR="008322E3" w:rsidRPr="005A7F38">
        <w:t>There are several known occupational and environmental exposures that can cause sensitization which can result in a cell-mediated immune response responsible for the development of granulomas.</w:t>
      </w:r>
      <w:r w:rsidR="008322E3" w:rsidRPr="005A7F38">
        <w:fldChar w:fldCharType="begin"/>
      </w:r>
      <w:r w:rsidR="00B775CB">
        <w:instrText>ADDIN F1000_CSL_CITATION&lt;~#@#~&gt;[{"DOI":"10.3389/fimmu.2013.00437","First":false,"Last":false,"PMCID":"PMC3857538","PMID":"24339826","abstract":"Sarcoidosis is a granulomatous disorder of unknown cause, affecting multiple organs, but mainly the lungs. The exact order of immunological events remains obscure. Reviewing current literature, combined with careful clinical observations, we propose a model for granuloma formation in pulmonary sarcoidosis. A tight collaboration between macrophages, dendritic cells, and lymphocyte subsets, initiates the first steps toward granuloma formation, orchestrated by cytokines and chemokines. In a substantial part of pulmonary sarcoidosis patients, granuloma formation becomes an on-going process, leading to debilitating disease, and sometimes death. The immunological response, determining granuloma sustainment is not well understood. An impaired immunosuppressive function of regulatory T cells has been suggested to contribute to the exaggerated response. Interestingly, therapeutical agents commonly used in sarcoidosis, such as glucocorticosteroids and anti-TNF agents, interfere with granuloma integrity and restore the immune homeostasis in autoimmune disorders. Increasing insight into their mechanisms of action may contribute to the search for new therapeutical targets in pulmonary sarcoidosis.","author":[{"family":"Broos","given":"Caroline E"},{"family":"van Nimwegen","given":"Menno"},{"family":"Hoogsteden","given":"Henk C"},{"family":"Hendriks","given":"Rudi W"},{"family":"Kool","given":"Mirjam"},{"family":"van den Blink","given":"Bernt"}],"authorYearDisplayFormat":false,"citation-label":"4238293","container-title":"Frontiers in immunology","container-title-short":"Front Immunol","id":"4238293","invisible":false,"issued":{"date-parts":[["2013","12","10"]]},"journalAbbreviation":"Front Immunol","page":"437","suppress-author":false,"title":"Granuloma formation in pulmonary sarcoidosis.","type":"article-journal","volume":"4"},{"DOI":"10.1164/arrd.1985.132.2.400","First":false,"Last":false,"PMID":"3896081","abstract":"To determine whether bronchoalveolar lavage reflects the histologic aspects of the lung histology in patients with sarcoidosis and hypersensitivity pneumonitis, cells recovered from lavage fluid were compared with tissue sections from transbronchial lung biopsies in 33 patients. The evaluation of cellular types and their topographic distribution in situ was determined by using monoclonal antibodies in combination with immunohistochemical techniques. Cell counts in bronchoalveolar lavage and lung biopsies were significantly correlated both in sarcoidosis and hypersensitivity pneumonitis. In fact, the relative proportions of inflammatory and immunocompetent cells recovered from lavage fluid accurately overlapped those observed in lung tissue sections. However, in patients with more pronounced alveolitis, the frequency of macrophages in tissue sections was higher than that observed in the bronchoalveolar lavage, and the degree of lymphocytes in the lavage was higher than that observed in the corresponding biopsy. Specifically, in these patients the lavage underestimated the amount of macrophages in the lung biopsies and overestimated the number of lymphocytes that were present in the lung parenchyma. This was more evident in patients with hypersensitivity pneumonitis, where the intensity of alveolitis was higher than in sarcoidosis. Our data support the idea that, at least in patients with sarcoidosis and hypersensitivity pneumonitis, bronchoalveolar lavage correctly samples the alveolitis. Discrepancies in patients with very high intensity alveolitis could be due to a more pronounced recirculation of lymphocytes from the parenchyma to the alveolar spaces.","author":[{"family":"Semenzato","given":"G"},{"family":"Chilosi","given":"M"},{"family":"Ossi","given":"E"},{"family":"Trentin","given":"L"},{"family":"Pizzolo","given":"G"},{"family":"Cipriani","given":"A"},{"family":"Agostini","given":"C"},{"family":"Zambello","given":"R"},{"family":"Marcer","given":"G"},{"family":"Gasparotto","given":"G"}],"authorYearDisplayFormat":false,"citation-label":"4507146","container-title":"The American Review of Respiratory Disease","container-title-short":"Am Rev Respir Dis","id":"4507146","invisible":false,"issue":"2","issued":{"date-parts":[["1985","8"]]},"journalAbbreviation":"Am Rev Respir Dis","page":"400-404","suppress-author":false,"title":"Bronchoalveolar lavage and lung histology. Comparative analysis of inflammatory and immunocompetent cells in patients with sarcoidosis and hypersensitivity pneumonitis.","type":"article-journal","volume":"132"}]</w:instrText>
      </w:r>
      <w:r w:rsidR="008322E3" w:rsidRPr="005A7F38">
        <w:fldChar w:fldCharType="separate"/>
      </w:r>
      <w:r w:rsidR="00B775CB" w:rsidRPr="00B775CB">
        <w:rPr>
          <w:noProof/>
          <w:vertAlign w:val="superscript"/>
        </w:rPr>
        <w:t>11,21</w:t>
      </w:r>
      <w:r w:rsidR="008322E3" w:rsidRPr="005A7F38">
        <w:fldChar w:fldCharType="end"/>
      </w:r>
      <w:r w:rsidR="008322E3" w:rsidRPr="005A7F38">
        <w:t xml:space="preserve"> Beryllium inhalation can cause sensitizatio</w:t>
      </w:r>
      <w:r w:rsidR="00636FF4" w:rsidRPr="005A7F38">
        <w:t>n and chronic berylliu</w:t>
      </w:r>
      <w:r w:rsidR="00053C03" w:rsidRPr="005A7F38">
        <w:t>m disease which presents with pulmonary granulomas similar to those seen in sarcoidosis.</w:t>
      </w:r>
      <w:r w:rsidR="00053C03" w:rsidRPr="005A7F38">
        <w:fldChar w:fldCharType="begin"/>
      </w:r>
      <w:r w:rsidR="00B775CB">
        <w:instrText>ADDIN F1000_CSL_CITATION&lt;~#@#~&gt;[{"First":false,"Last":false,"PMID":"7617981","author":[{"family":"Newman","given":"L S"}],"authorYearDisplayFormat":false,"citation-label":"4507144","container-title":"Sarcoidosis","container-title-short":"Sarcoidosis","id":"4507144","invisible":false,"issue":"1","issued":{"date-parts":[["1995","3"]]},"journalAbbreviation":"Sarcoidosis","page":"7-19","suppress-author":false,"title":"Beryllium disease and sarcoidosis: clinical and laboratory links.","type":"article-journal","volume":"12"}]</w:instrText>
      </w:r>
      <w:r w:rsidR="00053C03" w:rsidRPr="005A7F38">
        <w:fldChar w:fldCharType="separate"/>
      </w:r>
      <w:r w:rsidR="00B775CB" w:rsidRPr="00B775CB">
        <w:rPr>
          <w:noProof/>
          <w:vertAlign w:val="superscript"/>
        </w:rPr>
        <w:t>87</w:t>
      </w:r>
      <w:r w:rsidR="00053C03" w:rsidRPr="005A7F38">
        <w:fldChar w:fldCharType="end"/>
      </w:r>
      <w:r w:rsidR="00053C03" w:rsidRPr="005A7F38">
        <w:t xml:space="preserve"> Granulomatous lung disease</w:t>
      </w:r>
      <w:r w:rsidR="004B3BC6" w:rsidRPr="005A7F38">
        <w:t xml:space="preserve"> that imitates</w:t>
      </w:r>
      <w:r w:rsidR="00053C03" w:rsidRPr="005A7F38">
        <w:t xml:space="preserve"> can be induced by inhalation of other metals including aluminum, titanium and zirconium</w:t>
      </w:r>
      <w:r w:rsidR="0078288E" w:rsidRPr="005A7F38">
        <w:t>.</w:t>
      </w:r>
      <w:r w:rsidR="009C5B2F" w:rsidRPr="005A7F38">
        <w:fldChar w:fldCharType="begin"/>
      </w:r>
      <w:r w:rsidR="00B775CB">
        <w:instrText>ADDIN F1000_CSL_CITATION&lt;~#@#~&gt;[{"First":false,"Last":false,"PMCID":"PMC1007732","PMID":"3778834","abstract":"A patient presented with granulomatous lung disease associated with the pulmonary deposition of various metallic particles. To evaluate the relation between the metallic dust and the granulomatous process, lymphocyte transformation tests to aluminium sulphate, titanium chloride, beryllium sulphate, and nickel sulphate were performed. A lymphocyte proliferative response to titanium chloride was observed on two separate occasions; no responses to the other metals were shown. These results are consistent with hypersensitivity to titanium, and suggest, in this individual, a possible aetiological role between the inhalation of titanium and a granulomatous disease process.","author":[{"family":"Redline","given":"S"},{"family":"Barna","given":"B P"},{"family":"Tomashefski","given":"J F"},{"family":"Abraham","given":"J L"}],"authorYearDisplayFormat":false,"citation-label":"4507153","container-title":"British journal of industrial medicine","container-title-short":"Br J Ind Med","id":"4507153","invisible":false,"issue":"10","issued":{"date-parts":[["1986","10"]]},"journalAbbreviation":"Br J Ind Med","page":"652-656","suppress-author":false,"title":"Granulomatous disease associated with pulmonary deposition of titanium.","type":"article-journal","volume":"43"},{"DOI":"10.1164/arrd.1987.135.2.493","First":false,"Last":false,"PMID":"3813209","abstract":"Interstitial lung disease developed in a 32-yr-old chemist after working 8 yr in a dusty atmosphere containing aluminum powders. Bronchoalveolar lavage disclosed a helper T-lymphocyte alveolitis, and transbronchial lung biopsies showed sarcoidlike epithelioid granulomas. These granulomas contained dust identified by mineralogic analyses as consisting mainly of aluminum particles. Nasal and liver biopsies and a Kveim test did not reveal extrapulmonary granulomatous infiltration. An extensive immunologic work-up showed none of the abnormalities classically seen in sarcoidosis, but peripheral blood lymphocytes exhibited blastic transformation in the presence of soluble aluminum compounds. About 1 yr after cessation of exposure, a chest radiograph and lung function tests remained essentially unchanged, but signs of alveolitis disappeared. This observation suggests that aluminum may cause granulomatous lung disease accompanied by a helper T-lymphocyte alveolitis, similar to that of berylliosis and sarcoidosis. Further observations would be necessary to show if this constitutes an early stage of aluminum-induced fibrosis (aluminum lung).","author":[{"family":"De Vuyst","given":"P"},{"family":"Dumortier","given":"P"},{"family":"Schandené","given":"L"},{"family":"Estenne","given":"M"},{"family":"Verhest","given":"A"},{"family":"Yernault","given":"J C"}],"authorYearDisplayFormat":false,"citation-label":"4507151","container-title":"The American Review of Respiratory Disease","container-title-short":"Am Rev Respir Dis","id":"4507151","invisible":false,"issue":"2","issued":{"date-parts":[["1987","2"]]},"journalAbbreviation":"Am Rev Respir Dis","page":"493-497","suppress-author":false,"title":"Sarcoidlike lung granulomatosis induced by aluminum dusts.","type":"article-journal","volume":"135"},{"First":false,"Last":false,"PMID":"8491884","abstract":"Zirconium compounds have been associated with the development of hypersensitivity granulomas. However, aluminum zirconium complexes have not previously been shown to induce sensitization. We present the clinical and histologic findings of a case in which a patient developed an acute hypersensitivity reaction to an aluminum zirconium complex.","author":[{"family":"Skelton","given":"H G"},{"family":"Smith","given":"K J"},{"family":"Johnson","given":"F B"},{"family":"Cooper","given":"C R"},{"family":"Tyler","given":"W F"},{"family":"Lupton","given":"G P"}],"authorYearDisplayFormat":false,"citation-label":"4507154","container-title":"Journal of the American Academy of Dermatology","container-title-short":"J Am Acad Dermatol","id":"4507154","invisible":false,"issue":"5 Pt 2","issued":{"date-parts":[["1993","5"]]},"journalAbbreviation":"J Am Acad Dermatol","page":"874-876","suppress-author":false,"title":"Zirconium granuloma resulting from an aluminum zirconium complex: a previously unrecognized agent in the development of hypersensitivity granulomas.","type":"article-journal","volume":"28"}]</w:instrText>
      </w:r>
      <w:r w:rsidR="009C5B2F" w:rsidRPr="005A7F38">
        <w:fldChar w:fldCharType="separate"/>
      </w:r>
      <w:r w:rsidR="00B775CB" w:rsidRPr="00B775CB">
        <w:rPr>
          <w:noProof/>
          <w:vertAlign w:val="superscript"/>
        </w:rPr>
        <w:t>88–90</w:t>
      </w:r>
      <w:r w:rsidR="009C5B2F" w:rsidRPr="005A7F38">
        <w:fldChar w:fldCharType="end"/>
      </w:r>
      <w:r w:rsidR="004B3BC6" w:rsidRPr="005A7F38">
        <w:t xml:space="preserve"> Inhalation of both organic and inorganic antigens can cause hypersensitivity pneumonitis.</w:t>
      </w:r>
      <w:r w:rsidR="004B3BC6" w:rsidRPr="005A7F38">
        <w:fldChar w:fldCharType="begin"/>
      </w:r>
      <w:r w:rsidR="00B775CB">
        <w:instrText>ADDIN F1000_CSL_CITATION&lt;~#@#~&gt;[{"First":false,"Last":false,"PMCID":"PMC1035474","PMID":"8329313","author":[{"family":"Forst","given":"L S"},{"family":"Abraham","given":"J"}],"authorYearDisplayFormat":false,"citation-label":"4507183","container-title":"British journal of industrial medicine","container-title-short":"Br J Ind Med","id":"4507183","invisible":false,"issue":"6","issued":{"date-parts":[["1993","6"]]},"journalAbbreviation":"Br J Ind Med","page":"497-500","suppress-author":false,"title":"Hypersensitivity pneumonitis presenting as sarcoidosis.","type":"article-journal","volume":"50"}]</w:instrText>
      </w:r>
      <w:r w:rsidR="004B3BC6" w:rsidRPr="005A7F38">
        <w:fldChar w:fldCharType="separate"/>
      </w:r>
      <w:r w:rsidR="00B775CB" w:rsidRPr="00B775CB">
        <w:rPr>
          <w:noProof/>
          <w:vertAlign w:val="superscript"/>
        </w:rPr>
        <w:t>86</w:t>
      </w:r>
      <w:r w:rsidR="004B3BC6" w:rsidRPr="005A7F38">
        <w:fldChar w:fldCharType="end"/>
      </w:r>
      <w:r w:rsidR="004B3BC6" w:rsidRPr="005A7F38">
        <w:t xml:space="preserve"> </w:t>
      </w:r>
      <w:r w:rsidR="000B4B2E" w:rsidRPr="005A7F38">
        <w:t>Hypersensitivity</w:t>
      </w:r>
      <w:r w:rsidR="004B3BC6" w:rsidRPr="005A7F38">
        <w:t xml:space="preserve"> pneumonitis has similar clinical, laboratory and pathological features to pulmonary sarcoidosis and is often misdiagnosed as pulmonary sarcoidosis.</w:t>
      </w:r>
      <w:r w:rsidR="004B3BC6" w:rsidRPr="005A7F38">
        <w:fldChar w:fldCharType="begin"/>
      </w:r>
      <w:r w:rsidR="00B775CB">
        <w:instrText>ADDIN F1000_CSL_CITATION&lt;~#@#~&gt;[{"First":false,"Last":false,"PMCID":"PMC1035474","PMID":"8329313","author":[{"family":"Forst","given":"L S"},{"family":"Abraham","given":"J"}],"authorYearDisplayFormat":false,"citation-label":"4507183","container-title":"British journal of industrial medicine","container-title-short":"Br J Ind Med","id":"4507183","invisible":false,"issue":"6","issued":{"date-parts":[["1993","6"]]},"journalAbbreviation":"Br J Ind Med","page":"497-500","suppress-author":false,"title":"Hypersensitivity pneumonitis presenting as sarcoidosis.","type":"article-journal","volume":"50"}]</w:instrText>
      </w:r>
      <w:r w:rsidR="004B3BC6" w:rsidRPr="005A7F38">
        <w:fldChar w:fldCharType="separate"/>
      </w:r>
      <w:r w:rsidR="00B775CB" w:rsidRPr="00B775CB">
        <w:rPr>
          <w:noProof/>
          <w:vertAlign w:val="superscript"/>
        </w:rPr>
        <w:t>86</w:t>
      </w:r>
      <w:r w:rsidR="004B3BC6" w:rsidRPr="005A7F38">
        <w:fldChar w:fldCharType="end"/>
      </w:r>
      <w:r w:rsidR="00455C8C" w:rsidRPr="005A7F38">
        <w:t xml:space="preserve"> </w:t>
      </w:r>
      <w:r w:rsidR="004C7F60" w:rsidRPr="005A7F38">
        <w:t>In animal studies, a wide variety of antigens have been found to cause hypersensitivity and induce a granulomatous formation. Experimental antigens have included mycobacterial extracts, avian protein, fungal spores, schistosome eggs, carrageenan and other bacterial and viral agents.</w:t>
      </w:r>
      <w:r w:rsidR="00A32F23" w:rsidRPr="005A7F38">
        <w:t xml:space="preserve"> </w:t>
      </w:r>
    </w:p>
    <w:p w14:paraId="57A8F933" w14:textId="77777777" w:rsidR="0025046C" w:rsidRPr="005A7F38" w:rsidRDefault="00431FAB" w:rsidP="002446BB">
      <w:r w:rsidRPr="005A7F38">
        <w:t xml:space="preserve">In 2001, the </w:t>
      </w:r>
      <w:r w:rsidR="00987F93" w:rsidRPr="005A7F38">
        <w:t xml:space="preserve">ACCESS trial </w:t>
      </w:r>
      <w:r w:rsidR="00C04E65" w:rsidRPr="005A7F38">
        <w:t xml:space="preserve">examined both occupational and non-occupational exposures in a sample of 706 cases </w:t>
      </w:r>
      <w:r w:rsidRPr="005A7F38">
        <w:t>and</w:t>
      </w:r>
      <w:r w:rsidR="00076698" w:rsidRPr="005A7F38">
        <w:t xml:space="preserve"> </w:t>
      </w:r>
      <w:r w:rsidR="00C04E65" w:rsidRPr="005A7F38">
        <w:t xml:space="preserve">age, race and sex matched controls. </w:t>
      </w:r>
      <w:r w:rsidR="00067DDB" w:rsidRPr="005A7F38">
        <w:t xml:space="preserve">Patients were recruited from 10 clinical centers across the U.S. </w:t>
      </w:r>
      <w:r w:rsidR="003431B8" w:rsidRPr="005A7F38">
        <w:t xml:space="preserve">Cases were newly diagnosed with sarcoidosis (less than </w:t>
      </w:r>
      <w:r w:rsidR="00E206ED" w:rsidRPr="005A7F38">
        <w:t xml:space="preserve">six </w:t>
      </w:r>
      <w:r w:rsidR="003431B8" w:rsidRPr="005A7F38">
        <w:t xml:space="preserve">months from diagnosis) by biopsy. Cases were recruited from </w:t>
      </w:r>
      <w:r w:rsidR="00E206ED" w:rsidRPr="005A7F38">
        <w:t xml:space="preserve">a variety of </w:t>
      </w:r>
      <w:r w:rsidR="003431B8" w:rsidRPr="005A7F38">
        <w:t>clinical settings</w:t>
      </w:r>
      <w:r w:rsidR="00E206ED" w:rsidRPr="005A7F38">
        <w:t xml:space="preserve"> </w:t>
      </w:r>
      <w:r w:rsidR="003431B8" w:rsidRPr="005A7F38">
        <w:t xml:space="preserve">including inpatient </w:t>
      </w:r>
      <w:r w:rsidR="00E206ED" w:rsidRPr="005A7F38">
        <w:t xml:space="preserve">and outpatient </w:t>
      </w:r>
      <w:r w:rsidR="003431B8" w:rsidRPr="005A7F38">
        <w:t xml:space="preserve">hospital </w:t>
      </w:r>
      <w:r w:rsidR="00E206ED" w:rsidRPr="005A7F38">
        <w:t>settings</w:t>
      </w:r>
      <w:r w:rsidR="003431B8" w:rsidRPr="005A7F38">
        <w:t xml:space="preserve"> and nonhospital outpatient settings at each of the 10 centers. Controls were recruited by random digit dialing and matched on age (within </w:t>
      </w:r>
      <w:r w:rsidR="00E206ED" w:rsidRPr="005A7F38">
        <w:t xml:space="preserve">five </w:t>
      </w:r>
      <w:r w:rsidR="003431B8" w:rsidRPr="005A7F38">
        <w:t xml:space="preserve">years), sex and race. Both cases and controls </w:t>
      </w:r>
      <w:r w:rsidR="00FB1677" w:rsidRPr="005A7F38">
        <w:t xml:space="preserve">completed </w:t>
      </w:r>
      <w:r w:rsidR="004129AA" w:rsidRPr="005A7F38">
        <w:t xml:space="preserve">questionnaires collecting data on demographic information, medical history, environmental and occupational exposure history, family history, </w:t>
      </w:r>
      <w:r w:rsidR="004129AA" w:rsidRPr="005A7F38">
        <w:lastRenderedPageBreak/>
        <w:t xml:space="preserve">quality of life variables and medical care usage. </w:t>
      </w:r>
      <w:r w:rsidR="00753EAE" w:rsidRPr="005A7F38">
        <w:t xml:space="preserve">Cases had a physical examination and </w:t>
      </w:r>
      <w:r w:rsidR="00F812A0" w:rsidRPr="005A7F38">
        <w:t>extent of disease and organ involvement was assessed using standard of care diagnostic testing. R</w:t>
      </w:r>
      <w:r w:rsidR="0070518E" w:rsidRPr="005A7F38">
        <w:t xml:space="preserve">adiographic images of the chest, pulmonary function tests, complete blood count and chemistries were completed for all cases. </w:t>
      </w:r>
    </w:p>
    <w:p w14:paraId="086CFA6A" w14:textId="47B8A4E3" w:rsidR="00331587" w:rsidRPr="005A7F38" w:rsidRDefault="001B2EA1" w:rsidP="002446BB">
      <w:r w:rsidRPr="005A7F38">
        <w:t>The ACCESS study found that several occupations were associated with sarcoidosis.</w:t>
      </w:r>
      <w:r w:rsidR="00480F54" w:rsidRPr="005A7F38">
        <w:t xml:space="preserve"> Cases with sarcoidosis were more likely to work in the agricultural industry (OR=1.46, CI=1.13-1.89, p=0.004), as a physician (OR=11.00, CI=1.6-473.47, p=0.006), raising birds (OR=3.5, CI=1.1-14.60, p=0.031), in automotive manufacturing (OR=8.00, CI=1.07-354.98, p=0.039), as a teacher (OR=1.55, CI=1.02-2.40, p=0.042) or in a job with radiation exposure (OR=1.83, CI=1.01-3.46, p=0.049) compared to healthy controls. Sarcoidosis patients were more likely to work in an industry that uses pesticides</w:t>
      </w:r>
      <w:r w:rsidR="00CD5044" w:rsidRPr="005A7F38">
        <w:t xml:space="preserve"> (OR=1.41, CI=1.09-1.83, p=0.008</w:t>
      </w:r>
      <w:r w:rsidR="00480F54" w:rsidRPr="005A7F38">
        <w:t xml:space="preserve">) as well as to have exposure to insecticide (OR=1.52, CI=1.14-2.04, p=0.003), mold or mildew (OR=1.61, CI=1.13-2.31, p=0.007) or musty odors (OR=1.42, CI=1.09-1.84, p=0.008) in the workplace compared to healthy controls. </w:t>
      </w:r>
      <w:r w:rsidR="00EB0ED7" w:rsidRPr="005A7F38">
        <w:fldChar w:fldCharType="begin"/>
      </w:r>
      <w:r w:rsidR="00B775CB">
        <w:instrText>ADDIN F1000_CSL_CITATION&lt;~#@#~&gt;[{"DOI":"10.1164/rccm.200402-249OC","First":false,"Last":false,"PMID":"15347561","abstract":"Past research suggests that environmental factors may be associated with sarcoidosis risk. We conducted a case control study to test a priori hypotheses that environmental and occupational exposures are associated with sarcoidosis. Ten centers recruited 706 newly diagnosed patients with sarcoidosis and an equal number of age-, race-, and sex-matched control subjects. Interviewers administered questionnaires containing questions regarding occupational and nonoccupational exposures that we assessed in univariable and multivariable analyses. We observed positive associations between sarcoidosis and specific occupations (e.g., agricultural employment, odds ratio [OR] 1.46, confidence interval [CI] 1.13-1.89), exposures (e.g., insecticides at work, OR 1.52, CI 1.14-2.04, and work environments with mold/mildew exposures [environments with possible exposures to microbial bioaerosols], OR 1.61, CI 1.13-2.31). A history of ever smoking cigarettes was less frequent among cases than control subjects (OR 0.62, CI 0.50-0.77). In multivariable modeling, we observed elevated ORs for work in areas with musty odors (OR 1.62, CI 1.24-2.11) and with occupational exposure to insecticides (OR 1.61, CI 1.13-2.28), and a decreased OR related to ever smoking cigarettes (OR 0.65, CI 0.51-0.82). The study did not identify a single, predominant cause of sarcoidosis. We identified several exposures associated with sarcoidosis risk, including insecticides, agricultural employment, and microbial bioaerosols.","author":[{"family":"Newman","given":"Lee S"},{"family":"Rose","given":"Cecile S"},{"family":"Bresnitz","given":"Eddy A"},{"family":"Rossman","given":"Milton D"},{"family":"Barnard","given":"Juliana"},{"family":"Frederick","given":"Margaret"},{"family":"Terrin","given":"Michael L"},{"family":"Weinberger","given":"Steven E"},{"family":"Moller","given":"David R"},{"family":"McLennan","given":"Geoffrey"},{"family":"Hunninghake","given":"Gary"},{"family":"DePalo","given":"Louis"},{"family":"Baughman","given":"Robert P"},{"family":"Iannuzzi","given":"Michael C"},{"family":"Judson","given":"Marc A"},{"family":"Knatterud","given":"Genell L"},{"family":"Thompson","given":"Bruce W"},{"family":"Teirstein","given":"Alvin S"},{"family":"Yeager","given":"Henry"},{"family":"Johns","given":"Carol J"},{"family":"Rabin","given":"David L"},{"family":"Rybicki","given":"Benjamin A"},{"family":"Cherniack","given":"Reuben"},{"family":"ACCESS Research Group"}],"authorYearDisplayFormat":false,"citation-label":"1328213","container-title":"American Journal of Respiratory and Critical Care Medicine","container-title-short":"Am J Respir Crit Care Med","id":"1328213","invisible":false,"issue":"12","issued":{"date-parts":[["2004","12","15"]]},"journalAbbreviation":"Am J Respir Crit Care Med","page":"1324-1330","suppress-author":false,"title":"A case control etiologic study of sarcoidosis: environmental and occupational risk factors.","type":"article-journal","volume":"170"}]</w:instrText>
      </w:r>
      <w:r w:rsidR="00EB0ED7" w:rsidRPr="005A7F38">
        <w:fldChar w:fldCharType="separate"/>
      </w:r>
      <w:r w:rsidR="00B775CB" w:rsidRPr="00B775CB">
        <w:rPr>
          <w:noProof/>
          <w:vertAlign w:val="superscript"/>
        </w:rPr>
        <w:t>4</w:t>
      </w:r>
      <w:r w:rsidR="00EB0ED7" w:rsidRPr="005A7F38">
        <w:fldChar w:fldCharType="end"/>
      </w:r>
    </w:p>
    <w:p w14:paraId="57CF62AA" w14:textId="31D97559" w:rsidR="00331587" w:rsidRPr="005A7F38" w:rsidRDefault="00480F54" w:rsidP="002446BB">
      <w:r w:rsidRPr="005A7F38">
        <w:t xml:space="preserve">Patients with sarcoidosis were less likely to work as a wait-staff in a </w:t>
      </w:r>
      <w:r w:rsidR="00CD5044" w:rsidRPr="005A7F38">
        <w:t>restaurant</w:t>
      </w:r>
      <w:r w:rsidRPr="005A7F38">
        <w:t xml:space="preserve"> (</w:t>
      </w:r>
      <w:r w:rsidR="009949B3">
        <w:t>OR=</w:t>
      </w:r>
      <w:r w:rsidRPr="005A7F38">
        <w:t xml:space="preserve">0.68, CI=0.51-0.90, p=0.006) or in a job that required isolation (OR=0.77, CI=0.61-0.97, p=0.023) or </w:t>
      </w:r>
      <w:r w:rsidR="00A94B2F" w:rsidRPr="005A7F38">
        <w:t xml:space="preserve">work that was done primarily on the computer (OR=0.77, CI=0.60-0.97, p=0.029) compared to healthy controls. </w:t>
      </w:r>
      <w:r w:rsidR="00331587" w:rsidRPr="005A7F38">
        <w:t xml:space="preserve">Although previous research findings had suggested that a positive association between animal exposures including animal dust, feathers and animal droppings, the ACCESS found that sarcoidosis cases were less likely to have been exposed to cats (OR=0.70, CI=0.52-0.95, p=0.022), animal dust (OR=0.77, CI=0.61-0.98, p=0.032), animal feathers in down pillows (OR=0.71, CI=0.57-0.89) and fish tanks (OR=0.71, CI=0.57-0.89, p=0.002). </w:t>
      </w:r>
      <w:r w:rsidR="00CD5044" w:rsidRPr="005A7F38">
        <w:t xml:space="preserve">Use of indoor pools </w:t>
      </w:r>
      <w:r w:rsidR="00CD5044" w:rsidRPr="005A7F38">
        <w:lastRenderedPageBreak/>
        <w:t>(OR=0.73, CI=0.56-0.94, p=0.013) and hot tubs (OR=0.76, CI=0.60-0.96, p=0.021) was also negatively associated with sarcoidosis incidence.</w:t>
      </w:r>
      <w:r w:rsidR="00EB0ED7" w:rsidRPr="005A7F38">
        <w:fldChar w:fldCharType="begin"/>
      </w:r>
      <w:r w:rsidR="00B775CB">
        <w:instrText>ADDIN F1000_CSL_CITATION&lt;~#@#~&gt;[{"First":false,"Last":false,"PMID":"16053022","abstract":"Sarcoidosis is a multisystem disorder of unknown cause(s). Despite the knowledge gained during the last decade regarding the pathogenetic mechanisms accounting for the onset, maintenance or evolution of the disease, its etiology is still elusive. To solve this problem, the National Heart, Lung, and Blood Institute (NHLBI) set up a multicenter study, i.e. the ACCESS study (A Case Control Etiologic Study of Sarcoidosis). The study has been designed to validate four major categories of etiological hypotheses (genetic, environmental, infectious and immune dysregulation hypotheses) and its primary endpoint is the discovery of the cause(s) of sarcoidosis. A definite etiology of sarcoidosis was not found, however, the results of ACCESS offer hypotheses for future targeted studies in the search for the cause(s) of the disease and a rich base of case and control data was established for future studies. Lessons learned from ACCESS suggest that hope for finding the etiology of sarcoidosis comes from large, collaborative studies.","author":[{"family":"Semenzato","given":"Gianpietro"}],"authorYearDisplayFormat":false,"citation-label":"4226461","container-title":"Sarcoidosis, vasculitis, and diffuse lung diseases : official journal of WASOG / World Association of Sarcoidosis and Other Granulomatous Disorders","container-title-short":"Sarcoidosis Vasc Diffuse Lung Dis","id":"4226461","invisible":false,"issue":"2","issued":{"date-parts":[["2005","6"]]},"journalAbbreviation":"Sarcoidosis Vasc Diffuse Lung Dis","page":"83-86","suppress-author":false,"title":"ACCESS: A case control etiologic study of sarcoidosis.","type":"article-journal","volume":"22"}]</w:instrText>
      </w:r>
      <w:r w:rsidR="00EB0ED7" w:rsidRPr="005A7F38">
        <w:fldChar w:fldCharType="separate"/>
      </w:r>
      <w:r w:rsidR="00B775CB" w:rsidRPr="00B775CB">
        <w:rPr>
          <w:noProof/>
          <w:vertAlign w:val="superscript"/>
        </w:rPr>
        <w:t>49</w:t>
      </w:r>
      <w:r w:rsidR="00EB0ED7" w:rsidRPr="005A7F38">
        <w:fldChar w:fldCharType="end"/>
      </w:r>
    </w:p>
    <w:p w14:paraId="4A08E967" w14:textId="761FD02A" w:rsidR="003C7849" w:rsidRPr="005A7F38" w:rsidRDefault="003C7849" w:rsidP="009949B3">
      <w:pPr>
        <w:pStyle w:val="Noindent"/>
        <w:ind w:firstLine="720"/>
      </w:pPr>
      <w:r w:rsidRPr="005A7F38">
        <w:t>Research has shown high prevalence rates in areas where timbering occurs and lumber is processed and in rural areas where wood and coal are burned for heat. Cummings et al found clustering of sarcoidosis incidence in areas in which lumber mills or carpentry mills were the primary local industry.</w:t>
      </w:r>
      <w:r w:rsidRPr="005A7F38">
        <w:fldChar w:fldCharType="begin"/>
      </w:r>
      <w:r w:rsidR="00B775CB">
        <w:instrText>ADDIN F1000_CSL_CITATION&lt;~#@#~&gt;[{"DOI":"10.7326/0003-4819-50-4-879","First":false,"Last":false,"authorYearDisplayFormat":false,"citation-label":"4507272","container-title":"Annals of Internal Medicine","container-title-short":"Ann Intern Med","id":"4507272","invisible":false,"issue":"4","issued":{"date-parts":[["1959","4","1"]]},"journalAbbreviation":"Ann Intern Med","page":"879","suppress-author":false,"title":"Epidemiologic and clinical observations in sarcoidosis","type":"article-journal","volume":"50"}]</w:instrText>
      </w:r>
      <w:r w:rsidRPr="005A7F38">
        <w:fldChar w:fldCharType="separate"/>
      </w:r>
      <w:r w:rsidR="00B775CB" w:rsidRPr="00B775CB">
        <w:rPr>
          <w:noProof/>
          <w:vertAlign w:val="superscript"/>
        </w:rPr>
        <w:t>95</w:t>
      </w:r>
      <w:r w:rsidRPr="005A7F38">
        <w:fldChar w:fldCharType="end"/>
      </w:r>
      <w:r w:rsidRPr="005A7F38">
        <w:t xml:space="preserve"> Soil, foliage and other organic antigens have been considered as potential etiologic agents. </w:t>
      </w:r>
    </w:p>
    <w:p w14:paraId="52EEDF7F" w14:textId="011683C6" w:rsidR="003C7849" w:rsidRPr="005A7F38" w:rsidRDefault="003C7849" w:rsidP="002446BB">
      <w:r w:rsidRPr="005A7F38">
        <w:t>Previous studies have shown that exposures in the workplace have been associated with sarcoidosis risk.</w:t>
      </w:r>
      <w:r w:rsidRPr="005A7F38">
        <w:fldChar w:fldCharType="begin"/>
      </w:r>
      <w:r w:rsidR="00B775CB">
        <w:instrText>ADDIN F1000_CSL_CITATION&lt;~#@#~&gt;[{"First":false,"Last":false,"PMID":"10580780","abstract":"Sarcoidosis is a chronic granulomatous disorder of unknown cause, characterized by activation of T-lymphocytes and macrophages. A Case Control Etiologic Study of Sarcoidosis (ACCESS) is a multicenter study designed to determine the etiology of sarcoidosis. The study organization includes 10 Clinical Centers, a Clinical Coordinating Center, specialized Core Laboratories, a Central Specimen Repository, and a Project Office at the National Heart, Lung, and Blood Institute. In addition to etiology, ACCESS will examine the socioeconomic status and clinical course of patients with sarcoidosis. We propose to enroll 720 newly diagnosed cases of sarcoidosis and compare them to 720 age, sex, and race matched controls and follow the first 240 cases for two years. Leads to the etiology of sarcoidosis have come from diverse sources: in clinical laboratory investigations, alveolitis has been found to precede granulomatous inflammation; in case control studies, familial aggregation has been identified; and in case reports, recurrence of granulomatous inflammation has been observed after lung transplantation. We describe the rationale for the study design based on genetic, environmental, infectious, and immune dysregulation hypotheses and the methods used for selecting controls. The cause may not prove to be a single, known exposure. Interactions of exposures with genetic predispositions would have important implications for our understanding of immune responses as well as the pathogenesis of sarcoidosis.","authorYearDisplayFormat":false,"citation-label":"4444544","container-title":"Journal of Clinical Epidemiology","container-title-short":"J Clin Epidemiol","id":"4444544","invisible":false,"issue":"12","issued":{"date-parts":[["1999","12"]]},"journalAbbreviation":"J Clin Epidemiol","page":"1173-1186","suppress-author":false,"title":"Design of a case control etiologic study of sarcoidosis (ACCESS). ACCESS Research Group.","type":"article-journal","volume":"52"},{"First":false,"Last":false,"PMID":"16053022","abstract":"Sarcoidosis is a multisystem disorder of unknown cause(s). Despite the knowledge gained during the last decade regarding the pathogenetic mechanisms accounting for the onset, maintenance or evolution of the disease, its etiology is still elusive. To solve this problem, the National Heart, Lung, and Blood Institute (NHLBI) set up a multicenter study, i.e. the ACCESS study (A Case Control Etiologic Study of Sarcoidosis). The study has been designed to validate four major categories of etiological hypotheses (genetic, environmental, infectious and immune dysregulation hypotheses) and its primary endpoint is the discovery of the cause(s) of sarcoidosis. A definite etiology of sarcoidosis was not found, however, the results of ACCESS offer hypotheses for future targeted studies in the search for the cause(s) of the disease and a rich base of case and control data was established for future studies. Lessons learned from ACCESS suggest that hope for finding the etiology of sarcoidosis comes from large, collaborative studies.","author":[{"family":"Semenzato","given":"Gianpietro"}],"authorYearDisplayFormat":false,"citation-label":"4226461","container-title":"Sarcoidosis, vasculitis, and diffuse lung diseases : official journal of WASOG / World Association of Sarcoidosis and Other Granulomatous Disorders","container-title-short":"Sarcoidosis Vasc Diffuse Lung Dis","id":"4226461","invisible":false,"issue":"2","issued":{"date-parts":[["2005","6"]]},"journalAbbreviation":"Sarcoidosis Vasc Diffuse Lung Dis","page":"83-86","suppress-author":false,"title":"ACCESS: A case control etiologic study of sarcoidosis.","type":"article-journal","volume":"22"},{"First":false,"Last":false,"PMID":"5093653","author":[{"family":"Keller","given":"A Z"}],"authorYearDisplayFormat":false,"citation-label":"4507266","container-title":"American Journal of Epidemiology","container-title-short":"Am J Epidemiol","id":"4507266","invisible":false,"issue":"3","issued":{"date-parts":[["1971","9"]]},"journalAbbreviation":"Am J Epidemiol","page":"222-230","suppress-author":false,"title":"Hospital, age, racial, occupational, geographical, clinical and survivorship characteristics in the epidemiology of sarcoidosis.","type":"article-journal","volume":"94"},{"First":false,"Last":false,"PMID":"8491884","abstract":"Zirconium compounds have been associated with the development of hypersensitivity granulomas. However, aluminum zirconium complexes have not previously been shown to induce sensitization. We present the clinical and histologic findings of a case in which a patient developed an acute hypersensitivity reaction to an aluminum zirconium complex.","author":[{"family":"Skelton","given":"H G"},{"family":"Smith","given":"K J"},{"family":"Johnson","given":"F B"},{"family":"Cooper","given":"C R"},{"family":"Tyler","given":"W F"},{"family":"Lupton","given":"G P"}],"authorYearDisplayFormat":false,"citation-label":"4507154","container-title":"Journal of the American Academy of Dermatology","container-title-short":"J Am Acad Dermatol","id":"4507154","invisible":false,"issue":"5 Pt 2","issued":{"date-parts":[["1993","5"]]},"journalAbbreviation":"J Am Acad Dermatol","page":"874-876","suppress-author":false,"title":"Zirconium granuloma resulting from an aluminum zirconium complex: a previously unrecognized agent in the development of hypersensitivity granulomas.","type":"article-journal","volume":"28"},{"DOI":"10.1164/arrd.1987.135.2.493","First":false,"Last":false,"PMID":"3813209","abstract":"Interstitial lung disease developed in a 32-yr-old chemist after working 8 yr in a dusty atmosphere containing aluminum powders. Bronchoalveolar lavage disclosed a helper T-lymphocyte alveolitis, and transbronchial lung biopsies showed sarcoidlike epithelioid granulomas. These granulomas contained dust identified by mineralogic analyses as consisting mainly of aluminum particles. Nasal and liver biopsies and a Kveim test did not reveal extrapulmonary granulomatous infiltration. An extensive immunologic work-up showed none of the abnormalities classically seen in sarcoidosis, but peripheral blood lymphocytes exhibited blastic transformation in the presence of soluble aluminum compounds. About 1 yr after cessation of exposure, a chest radiograph and lung function tests remained essentially unchanged, but signs of alveolitis disappeared. This observation suggests that aluminum may cause granulomatous lung disease accompanied by a helper T-lymphocyte alveolitis, similar to that of berylliosis and sarcoidosis. Further observations would be necessary to show if this constitutes an early stage of aluminum-induced fibrosis (aluminum lung).","author":[{"family":"De Vuyst","given":"P"},{"family":"Dumortier","given":"P"},{"family":"Schandené","given":"L"},{"family":"Estenne","given":"M"},{"family":"Verhest","given":"A"},{"family":"Yernault","given":"J C"}],"authorYearDisplayFormat":false,"citation-label":"4507151","container-title":"The American Review of Respiratory Disease","container-title-short":"Am Rev Respir Dis","id":"4507151","invisible":false,"issue":"2","issued":{"date-parts":[["1987","2"]]},"journalAbbreviation":"Am Rev Respir Dis","page":"493-497","suppress-author":false,"title":"Sarcoidlike lung granulomatosis induced by aluminum dusts.","type":"article-journal","volume":"135"},{"First":false,"Last":false,"PMCID":"PMC1007732","PMID":"3778834","abstract":"A patient presented with granulomatous lung disease associated with the pulmonary deposition of various metallic particles. To evaluate the relation between the metallic dust and the granulomatous process, lymphocyte transformation tests to aluminium sulphate, titanium chloride, beryllium sulphate, and nickel sulphate were performed. A lymphocyte proliferative response to titanium chloride was observed on two separate occasions; no responses to the other metals were shown. These results are consistent with hypersensitivity to titanium, and suggest, in this individual, a possible aetiological role between the inhalation of titanium and a granulomatous disease process.","author":[{"family":"Redline","given":"S"},{"family":"Barna","given":"B P"},{"family":"Tomashefski","given":"J F"},{"family":"Abraham","given":"J L"}],"authorYearDisplayFormat":false,"citation-label":"4507153","container-title":"British journal of industrial medicine","container-title-short":"Br J Ind Med","id":"4507153","invisible":false,"issue":"10","issued":{"date-parts":[["1986","10"]]},"journalAbbreviation":"Br J Ind Med","page":"652-656","suppress-author":false,"title":"Granulomatous disease associated with pulmonary deposition of titanium.","type":"article-journal","volume":"43"}]</w:instrText>
      </w:r>
      <w:r w:rsidRPr="005A7F38">
        <w:fldChar w:fldCharType="separate"/>
      </w:r>
      <w:r w:rsidR="00B775CB" w:rsidRPr="00B775CB">
        <w:rPr>
          <w:noProof/>
          <w:vertAlign w:val="superscript"/>
        </w:rPr>
        <w:t>49,85,88–90,96</w:t>
      </w:r>
      <w:r w:rsidRPr="005A7F38">
        <w:fldChar w:fldCharType="end"/>
      </w:r>
      <w:r w:rsidRPr="005A7F38">
        <w:t xml:space="preserve"> Workers in industries that utilize metals, specifically aluminum, zirconium, titanium and beryllium, are known to have increased risk of sarcoidosis, hypersensitivity pneumonitis and granulomatous lung disease.</w:t>
      </w:r>
      <w:r w:rsidRPr="005A7F38">
        <w:fldChar w:fldCharType="begin"/>
      </w:r>
      <w:r w:rsidR="00B775CB">
        <w:instrText>ADDIN F1000_CSL_CITATION&lt;~#@#~&gt;[{"First":false,"Last":false,"PMCID":"PMC1007732","PMID":"3778834","abstract":"A patient presented with granulomatous lung disease associated with the pulmonary deposition of various metallic particles. To evaluate the relation between the metallic dust and the granulomatous process, lymphocyte transformation tests to aluminium sulphate, titanium chloride, beryllium sulphate, and nickel sulphate were performed. A lymphocyte proliferative response to titanium chloride was observed on two separate occasions; no responses to the other metals were shown. These results are consistent with hypersensitivity to titanium, and suggest, in this individual, a possible aetiological role between the inhalation of titanium and a granulomatous disease process.","author":[{"family":"Redline","given":"S"},{"family":"Barna","given":"B P"},{"family":"Tomashefski","given":"J F"},{"family":"Abraham","given":"J L"}],"authorYearDisplayFormat":false,"citation-label":"4507153","container-title":"British journal of industrial medicine","container-title-short":"Br J Ind Med","id":"4507153","invisible":false,"issue":"10","issued":{"date-parts":[["1986","10"]]},"journalAbbreviation":"Br J Ind Med","page":"652-656","suppress-author":false,"title":"Granulomatous disease associated with pulmonary deposition of titanium.","type":"article-journal","volume":"43"},{"DOI":"10.1164/arrd.1985.132.2.400","First":false,"Last":false,"PMID":"3896081","abstract":"To determine whether bronchoalveolar lavage reflects the histologic aspects of the lung histology in patients with sarcoidosis and hypersensitivity pneumonitis, cells recovered from lavage fluid were compared with tissue sections from transbronchial lung biopsies in 33 patients. The evaluation of cellular types and their topographic distribution in situ was determined by using monoclonal antibodies in combination with immunohistochemical techniques. Cell counts in bronchoalveolar lavage and lung biopsies were significantly correlated both in sarcoidosis and hypersensitivity pneumonitis. In fact, the relative proportions of inflammatory and immunocompetent cells recovered from lavage fluid accurately overlapped those observed in lung tissue sections. However, in patients with more pronounced alveolitis, the frequency of macrophages in tissue sections was higher than that observed in the bronchoalveolar lavage, and the degree of lymphocytes in the lavage was higher than that observed in the corresponding biopsy. Specifically, in these patients the lavage underestimated the amount of macrophages in the lung biopsies and overestimated the number of lymphocytes that were present in the lung parenchyma. This was more evident in patients with hypersensitivity pneumonitis, where the intensity of alveolitis was higher than in sarcoidosis. Our data support the idea that, at least in patients with sarcoidosis and hypersensitivity pneumonitis, bronchoalveolar lavage correctly samples the alveolitis. Discrepancies in patients with very high intensity alveolitis could be due to a more pronounced recirculation of lymphocytes from the parenchyma to the alveolar spaces.","author":[{"family":"Semenzato","given":"G"},{"family":"Chilosi","given":"M"},{"family":"Ossi","given":"E"},{"family":"Trentin","given":"L"},{"family":"Pizzolo","given":"G"},{"family":"Cipriani","given":"A"},{"family":"Agostini","given":"C"},{"family":"Zambello","given":"R"},{"family":"Marcer","given":"G"},{"family":"Gasparotto","given":"G"}],"authorYearDisplayFormat":false,"citation-label":"4507146","container-title":"The American Review of Respiratory Disease","container-title-short":"Am Rev Respir Dis","id":"4507146","invisible":false,"issue":"2","issued":{"date-parts":[["1985","8"]]},"journalAbbreviation":"Am Rev Respir Dis","page":"400-404","suppress-author":false,"title":"Bronchoalveolar lavage and lung histology. Comparative analysis of inflammatory and immunocompetent cells in patients with sarcoidosis and hypersensitivity pneumonitis.","type":"article-journal","volume":"132"},{"DOI":"10.1164/arrd.1987.135.2.493","First":false,"Last":false,"PMID":"3813209","abstract":"Interstitial lung disease developed in a 32-yr-old chemist after working 8 yr in a dusty atmosphere containing aluminum powders. Bronchoalveolar lavage disclosed a helper T-lymphocyte alveolitis, and transbronchial lung biopsies showed sarcoidlike epithelioid granulomas. These granulomas contained dust identified by mineralogic analyses as consisting mainly of aluminum particles. Nasal and liver biopsies and a Kveim test did not reveal extrapulmonary granulomatous infiltration. An extensive immunologic work-up showed none of the abnormalities classically seen in sarcoidosis, but peripheral blood lymphocytes exhibited blastic transformation in the presence of soluble aluminum compounds. About 1 yr after cessation of exposure, a chest radiograph and lung function tests remained essentially unchanged, but signs of alveolitis disappeared. This observation suggests that aluminum may cause granulomatous lung disease accompanied by a helper T-lymphocyte alveolitis, similar to that of berylliosis and sarcoidosis. Further observations would be necessary to show if this constitutes an early stage of aluminum-induced fibrosis (aluminum lung).","author":[{"family":"De Vuyst","given":"P"},{"family":"Dumortier","given":"P"},{"family":"Schandené","given":"L"},{"family":"Estenne","given":"M"},{"family":"Verhest","given":"A"},{"family":"Yernault","given":"J C"}],"authorYearDisplayFormat":false,"citation-label":"4507151","container-title":"The American Review of Respiratory Disease","container-title-short":"Am Rev Respir Dis","id":"4507151","invisible":false,"issue":"2","issued":{"date-parts":[["1987","2"]]},"journalAbbreviation":"Am Rev Respir Dis","page":"493-497","suppress-author":false,"title":"Sarcoidlike lung granulomatosis induced by aluminum dusts.","type":"article-journal","volume":"135"},{"First":false,"Last":false,"PMID":"8491884","abstract":"Zirconium compounds have been associated with the development of hypersensitivity granulomas. However, aluminum zirconium complexes have not previously been shown to induce sensitization. We present the clinical and histologic findings of a case in which a patient developed an acute hypersensitivity reaction to an aluminum zirconium complex.","author":[{"family":"Skelton","given":"H G"},{"family":"Smith","given":"K J"},{"family":"Johnson","given":"F B"},{"family":"Cooper","given":"C R"},{"family":"Tyler","given":"W F"},{"family":"Lupton","given":"G P"}],"authorYearDisplayFormat":false,"citation-label":"4507154","container-title":"Journal of the American Academy of Dermatology","container-title-short":"J Am Acad Dermatol","id":"4507154","invisible":false,"issue":"5 Pt 2","issued":{"date-parts":[["1993","5"]]},"journalAbbreviation":"J Am Acad Dermatol","page":"874-876","suppress-author":false,"title":"Zirconium granuloma resulting from an aluminum zirconium complex: a previously unrecognized agent in the development of hypersensitivity granulomas.","type":"article-journal","volume":"28"},{"First":false,"Last":false,"PMID":"10580780","abstract":"Sarcoidosis is a chronic granulomatous disorder of unknown cause, characterized by activation of T-lymphocytes and macrophages. A Case Control Etiologic Study of Sarcoidosis (ACCESS) is a multicenter study designed to determine the etiology of sarcoidosis. The study organization includes 10 Clinical Centers, a Clinical Coordinating Center, specialized Core Laboratories, a Central Specimen Repository, and a Project Office at the National Heart, Lung, and Blood Institute. In addition to etiology, ACCESS will examine the socioeconomic status and clinical course of patients with sarcoidosis. We propose to enroll 720 newly diagnosed cases of sarcoidosis and compare them to 720 age, sex, and race matched controls and follow the first 240 cases for two years. Leads to the etiology of sarcoidosis have come from diverse sources: in clinical laboratory investigations, alveolitis has been found to precede granulomatous inflammation; in case control studies, familial aggregation has been identified; and in case reports, recurrence of granulomatous inflammation has been observed after lung transplantation. We describe the rationale for the study design based on genetic, environmental, infectious, and immune dysregulation hypotheses and the methods used for selecting controls. The cause may not prove to be a single, known exposure. Interactions of exposures with genetic predispositions would have important implications for our understanding of immune responses as well as the pathogenesis of sarcoidosis.","authorYearDisplayFormat":false,"citation-label":"4444544","container-title":"Journal of Clinical Epidemiology","container-title-short":"J Clin Epidemiol","id":"4444544","invisible":false,"issue":"12","issued":{"date-parts":[["1999","12"]]},"journalAbbreviation":"J Clin Epidemiol","page":"1173-1186","suppress-author":false,"title":"Design of a case control etiologic study of sarcoidosis (ACCESS). ACCESS Research Group.","type":"article-journal","volume":"52"},{"DOI":"10.1164/ajrccm.164.10.2104046","First":false,"Last":false,"PMID":"11734441","abstract":"Sarcoidosis may be affected by sex, race, and age. A Case Control Etiologic Study of Sarcoidosis (ACCESS) enrolled 736 patients with sarcoidosis within 6 mo of diagnosis from 10 clinical centers in the United States. Using the ACCESS sarcoidosis assessment system, we determined organ involvement for the whole group and for subgroups differentiated by sex, race, and age (less than 40 yr or 40 yr and older). The study population was heterogeneous in terms of race (53% white, 44% black), sex (64% female, 36% male), and age (46% &lt;  40 yr old, 54% &gt; or = 40 yr old). Women were more likely to have eye and neurologic involvement (chi(2) = 4.74, p &lt;  0.05 and chi(2) = 4.60, p &lt;  0.05 respectively), have erythema nodosum (chi(2) = 7.28, p &lt;  0.01), and to be age 40 yr or over (chi(2) = 6.07, p &lt;  0.02) whereas men were more likely to be hypercalcemic (chi(2) = 7.38, p &lt;  0.01). Black subjects were more likely to have skin involvement other than erythema nodosum (chi(2) = 5.47, p &lt;  0.05), and eye (chi(2) = 13.8, p &lt;  0.0001), liver (chi(2) = 23.3, p &lt;  0.0001), bone marrow (chi(2) = 18.8, p &lt;  0.001), and extrathoracic lymph node involvement (chi(2) = 7.21, p &lt;  0.01). We conclude that the initial presentation of sarcoidosis is related to sex, race, and age.","author":[{"family":"Baughman","given":"R P"},{"family":"Teirstein","given":"A S"},{"family":"Judson","given":"M A"},{"family":"Rossman","given":"M D"},{"family":"Yeager","given":"H"},{"family":"Bresnitz","given":"E A"},{"family":"DePalo","given":"L"},{"family":"Hunninghake","given":"G"},{"family":"Iannuzzi","given":"M C"},{"family":"Johns","given":"C J"},{"family":"McLennan","given":"G"},{"family":"Moller","given":"D R"},{"family":"Newman","given":"L S"},{"family":"Rabin","given":"D L"},{"family":"Rose","given":"C"},{"family":"Rybicki","given":"B"},{"family":"Weinberger","given":"S E"},{"family":"Terrin","given":"M L"},{"family":"Knatterud","given":"G L"},{"family":"Cherniak","given":"R"},{"family":"Case Control Etiologic Study of Sarcoidosis (ACCESS) research group"}],"authorYearDisplayFormat":false,"citation-label":"594878","container-title":"American Journal of Respiratory and Critical Care Medicine","container-title-short":"Am J Respir Crit Care Med","id":"594878","invisible":false,"issue":"10 Pt 1","issued":{"date-parts":[["2001","11","15"]]},"journalAbbreviation":"Am J Respir Crit Care Med","page":"1885-1889","suppress-author":false,"title":"Clinical characteristics of patients in a case control study of sarcoidosis.","type":"article-journal","volume":"164"},{"DOI":"10.1164/rccm.200402-249OC","First":false,"Last":false,"PMID":"15347561","abstract":"Past research suggests that environmental factors may be associated with sarcoidosis risk. We conducted a case control study to test a priori hypotheses that environmental and occupational exposures are associated with sarcoidosis. Ten centers recruited 706 newly diagnosed patients with sarcoidosis and an equal number of age-, race-, and sex-matched control subjects. Interviewers administered questionnaires containing questions regarding occupational and nonoccupational exposures that we assessed in univariable and multivariable analyses. We observed positive associations between sarcoidosis and specific occupations (e.g., agricultural employment, odds ratio [OR] 1.46, confidence interval [CI] 1.13-1.89), exposures (e.g., insecticides at work, OR 1.52, CI 1.14-2.04, and work environments with mold/mildew exposures [environments with possible exposures to microbial bioaerosols], OR 1.61, CI 1.13-2.31). A history of ever smoking cigarettes was less frequent among cases than control subjects (OR 0.62, CI 0.50-0.77). In multivariable modeling, we observed elevated ORs for work in areas with musty odors (OR 1.62, CI 1.24-2.11) and with occupational exposure to insecticides (OR 1.61, CI 1.13-2.28), and a decreased OR related to ever smoking cigarettes (OR 0.65, CI 0.51-0.82). The study did not identify a single, predominant cause of sarcoidosis. We identified several exposures associated with sarcoidosis risk, including insecticides, agricultural employment, and microbial bioaerosols.","author":[{"family":"Newman","given":"Lee S"},{"family":"Rose","given":"Cecile S"},{"family":"Bresnitz","given":"Eddy A"},{"family":"Rossman","given":"Milton D"},{"family":"Barnard","given":"Juliana"},{"family":"Frederick","given":"Margaret"},{"family":"Terrin","given":"Michael L"},{"family":"Weinberger","given":"Steven E"},{"family":"Moller","given":"David R"},{"family":"McLennan","given":"Geoffrey"},{"family":"Hunninghake","given":"Gary"},{"family":"DePalo","given":"Louis"},{"family":"Baughman","given":"Robert P"},{"family":"Iannuzzi","given":"Michael C"},{"family":"Judson","given":"Marc A"},{"family":"Knatterud","given":"Genell L"},{"family":"Thompson","given":"Bruce W"},{"family":"Teirstein","given":"Alvin S"},{"family":"Yeager","given":"Henry"},{"family":"Johns","given":"Carol J"},{"family":"Rabin","given":"David L"},{"family":"Rybicki","given":"Benjamin A"},{"family":"Cherniack","given":"Reuben"},{"family":"ACCESS Research Group"}],"authorYearDisplayFormat":false,"citation-label":"1328213","container-title":"American Journal of Respiratory and Critical Care Medicine","container-title-short":"Am J Respir Crit Care Med","id":"1328213","invisible":false,"issue":"12","issued":{"date-parts":[["2004","12","15"]]},"journalAbbreviation":"Am J Respir Crit Care Med","page":"1324-1330","suppress-author":false,"title":"A case control etiologic study of sarcoidosis: environmental and occupational risk factors.","type":"article-journal","volume":"170"},{"First":false,"Last":false,"PMID":"16053022","abstract":"Sarcoidosis is a multisystem disorder of unknown cause(s). Despite the knowledge gained during the last decade regarding the pathogenetic mechanisms accounting for the onset, maintenance or evolution of the disease, its etiology is still elusive. To solve this problem, the National Heart, Lung, and Blood Institute (NHLBI) set up a multicenter study, i.e. the ACCESS study (A Case Control Etiologic Study of Sarcoidosis). The study has been designed to validate four major categories of etiological hypotheses (genetic, environmental, infectious and immune dysregulation hypotheses) and its primary endpoint is the discovery of the cause(s) of sarcoidosis. A definite etiology of sarcoidosis was not found, however, the results of ACCESS offer hypotheses for future targeted studies in the search for the cause(s) of the disease and a rich base of case and control data was established for future studies. Lessons learned from ACCESS suggest that hope for finding the etiology of sarcoidosis comes from large, collaborative studies.","author":[{"family":"Semenzato","given":"Gianpietro"}],"authorYearDisplayFormat":false,"citation-label":"4226461","container-title":"Sarcoidosis, vasculitis, and diffuse lung diseases : official journal of WASOG / World Association of Sarcoidosis and Other Granulomatous Disorders","container-title-short":"Sarcoidosis Vasc Diffuse Lung Dis","id":"4226461","invisible":false,"issue":"2","issued":{"date-parts":[["2005","6"]]},"journalAbbreviation":"Sarcoidosis Vasc Diffuse Lung Dis","page":"83-86","suppress-author":false,"title":"ACCESS: A case control etiologic study of sarcoidosis.","type":"article-journal","volume":"22"}]</w:instrText>
      </w:r>
      <w:r w:rsidRPr="005A7F38">
        <w:fldChar w:fldCharType="separate"/>
      </w:r>
      <w:r w:rsidR="00B775CB" w:rsidRPr="00B775CB">
        <w:rPr>
          <w:noProof/>
          <w:vertAlign w:val="superscript"/>
        </w:rPr>
        <w:t>4,21,49,81,85,88–90</w:t>
      </w:r>
      <w:r w:rsidRPr="005A7F38">
        <w:fldChar w:fldCharType="end"/>
      </w:r>
      <w:r w:rsidRPr="005A7F38">
        <w:t xml:space="preserve"> Other sarcoidosis clusters have been identified in mechanics, postal workers and firefighters. </w:t>
      </w:r>
      <w:r w:rsidRPr="005A7F38">
        <w:fldChar w:fldCharType="begin"/>
      </w:r>
      <w:r w:rsidR="00B775CB">
        <w:instrText>ADDIN F1000_CSL_CITATION&lt;~#@#~&gt;[{"DOI":"10.1164/ajrccm/148.4_Pt_1.974","First":false,"Last":false,"PMID":"8214953","abstract":"A unique cluster of three cases of sarcoidosis developed recently among 10 white firefighters who trained together as apprentices in 1979. This led us to hypothesize that firefighters are at increased risk of this condition because of the combined effect of smoke exposure and infection with a communicable agent, such as Chlamydia pneumoniae, a recently proposed cause of sarcoidosis. We conducted a case-finding questionnaire survey of 1,282 active and retired male Providence firefighters and police officers and then evaluated both the index apprenticeship class and two control cohorts by chest radiography, seromarkers of T lymphocyte activation (neopterin and sIL-2R), and chlamydial serology. One additional case of sarcoidosis was identified among the 990 (77%) survey respondents. No new cases were detected in the subsequent laboratory investigation of 46 (87%) firefighters from the index 1979 apprenticeship class, 53 (75%) firefighter controls from the 1974 and 1980 classes, or 50 (30%) police officer controls from 1973-1981 classes. The cohorts did not differ with regard to either C. pneumoniae antibody titers or sIL-2R levels, but serum neopterin was elevated (&gt; 9.0 nmol/L) in 20% (eight of 41) of the index cohort, 22% (11 of 51) of firefighter controls, and 4% (two of 48) of police officers. Logistic regression found firefighting to be the only significant predictor of neopterin elevation (odds ratio 5.8; 95% CI, 1.3 to 26.9). Our results suggest that firefighters may be at risk of T lymphocyte activation. Determining whether this reflects an enhanced risk of lymphocytic alveolitis and whether firefighters are more likely to develop sarcoidosis requires further study.","author":[{"family":"Kern","given":"D G"},{"family":"Neill","given":"M A"},{"family":"Wrenn","given":"D S"},{"family":"Varone","given":"J C"}],"authorYearDisplayFormat":false,"citation-label":"4507223","container-title":"The American Review of Respiratory Disease","container-title-short":"Am Rev Respir Dis","id":"4507223","invisible":false,"issue":"4 Pt 1","issued":{"date-parts":[["1993","10"]]},"journalAbbreviation":"Am Rev Respir Dis","page":"974-980","suppress-author":false,"title":"Investigation of a unique time-space cluster of sarcoidosis in firefighters.","type":"article-journal","volume":"148"},{"First":false,"Last":false,"PMID":"11164127","abstract":"&lt;strong&gt;PURPOSE:&lt;/strong&gt; To identify and quantify the risk of developing sarcoidosis associated with specific rural exposures previously recognized as potential risk factors for this disease.\n&lt;br&gt;\n&lt;br&gt;\n&lt;strong&gt;METHODS:&lt;/strong&gt; A matched case-control design was carried out with a 2-to-1 ratio of controls to cases. Case exposure histories were determine from a detailed questionnaire collecting self-reported information covering the period from birth through disease development and comparing that to exposure histories for the corresponding period in age-, race-, and gender-matched controls identified using Random Digit Dial survey methodology. Conditional logistic regression was used to analyze the matched data while controlling for several baseline variables.\n&lt;br&gt;\n&lt;br&gt;\n&lt;strong&gt;RESULTS:&lt;/strong&gt; A number of exposures were found to be univariately associated with the development of sarcoidosis including: the use of wood stoves, the use of fireplaces, the use of nonpublic water supplies, and living or working on a farm. A dose-response gradient was detected from exposure to wood stoves and fireplaces continued to be significantly associated with sarcoidosis in multivariable models.\n&lt;br&gt;\n&lt;br&gt;\n&lt;strong&gt;CONCLUSIONS:&lt;/strong&gt; The results of this study provide further support for the hypothesis that behaviors associated with rural living play some role in the development of sarcoidosis. This study further suggests that exposures involving the handling or burning of wood such as using wood stoves or fireplaces for home heating may, in part, explain this rural association.","author":[{"family":"Kajdasz","given":"D K"},{"family":"Lackland","given":"D T"},{"family":"Mohr","given":"L C"},{"family":"Judson","given":"M A"}],"authorYearDisplayFormat":false,"citation-label":"1249546","container-title":"Annals of Epidemiology","container-title-short":"Ann Epidemiol","id":"1249546","invisible":false,"issue":"2","issued":{"date-parts":[["2001","2"]]},"journalAbbreviation":"Ann Epidemiol","page":"111-117","suppress-author":false,"title":"A current assessment of rurally linked exposures as potential risk factors for sarcoidosis.","type":"article-journal","volume":"11"},{"First":false,"Last":false,"PMID":"10580780","abstract":"Sarcoidosis is a chronic granulomatous disorder of unknown cause, characterized by activation of T-lymphocytes and macrophages. A Case Control Etiologic Study of Sarcoidosis (ACCESS) is a multicenter study designed to determine the etiology of sarcoidosis. The study organization includes 10 Clinical Centers, a Clinical Coordinating Center, specialized Core Laboratories, a Central Specimen Repository, and a Project Office at the National Heart, Lung, and Blood Institute. In addition to etiology, ACCESS will examine the socioeconomic status and clinical course of patients with sarcoidosis. We propose to enroll 720 newly diagnosed cases of sarcoidosis and compare them to 720 age, sex, and race matched controls and follow the first 240 cases for two years. Leads to the etiology of sarcoidosis have come from diverse sources: in clinical laboratory investigations, alveolitis has been found to precede granulomatous inflammation; in case control studies, familial aggregation has been identified; and in case reports, recurrence of granulomatous inflammation has been observed after lung transplantation. We describe the rationale for the study design based on genetic, environmental, infectious, and immune dysregulation hypotheses and the methods used for selecting controls. The cause may not prove to be a single, known exposure. Interactions of exposures with genetic predispositions would have important implications for our understanding of immune responses as well as the pathogenesis of sarcoidosis.","authorYearDisplayFormat":false,"citation-label":"4444544","container-title":"Journal of Clinical Epidemiology","container-title-short":"J Clin Epidemiol","id":"4444544","invisible":false,"issue":"12","issued":{"date-parts":[["1999","12"]]},"journalAbbreviation":"J Clin Epidemiol","page":"1173-1186","suppress-author":false,"title":"Design of a case control etiologic study of sarcoidosis (ACCESS). ACCESS Research Group.","type":"article-journal","volume":"52"}]</w:instrText>
      </w:r>
      <w:r w:rsidRPr="005A7F38">
        <w:fldChar w:fldCharType="separate"/>
      </w:r>
      <w:r w:rsidR="00B775CB" w:rsidRPr="00B775CB">
        <w:rPr>
          <w:noProof/>
          <w:vertAlign w:val="superscript"/>
        </w:rPr>
        <w:t>47,85,97</w:t>
      </w:r>
      <w:r w:rsidRPr="005A7F38">
        <w:fldChar w:fldCharType="end"/>
      </w:r>
      <w:r w:rsidRPr="005A7F38">
        <w:t xml:space="preserve"> </w:t>
      </w:r>
    </w:p>
    <w:p w14:paraId="37D7F8C6" w14:textId="1A3B54CE" w:rsidR="00E67725" w:rsidRDefault="00E67725" w:rsidP="002446BB">
      <w:pPr>
        <w:pStyle w:val="Heading4"/>
        <w:rPr>
          <w:rFonts w:cs="Times New Roman"/>
        </w:rPr>
      </w:pPr>
      <w:bookmarkStart w:id="34" w:name="_Toc506540013"/>
      <w:r>
        <w:rPr>
          <w:rFonts w:cs="Times New Roman"/>
        </w:rPr>
        <w:t>Animal Exposures</w:t>
      </w:r>
      <w:bookmarkEnd w:id="34"/>
    </w:p>
    <w:p w14:paraId="71311902" w14:textId="654AEA4E" w:rsidR="00E67725" w:rsidRDefault="00E67725" w:rsidP="003E3EA2">
      <w:pPr>
        <w:pStyle w:val="Noindent"/>
      </w:pPr>
      <w:r>
        <w:t xml:space="preserve">Previous literature has found a positive association between cats and sarcoidosis. </w:t>
      </w:r>
      <w:r w:rsidRPr="005A7F38">
        <w:t>A case control study by Revsbech in 1992 reported that in an analysis of pet exposures and sarcoidosis risk, no difference in sarcoidosis was found between those who lived with cats.</w:t>
      </w:r>
      <w:r w:rsidRPr="005A7F38">
        <w:fldChar w:fldCharType="begin"/>
      </w:r>
      <w:r w:rsidR="00B775CB">
        <w:instrText>ADDIN F1000_CSL_CITATION&lt;~#@#~&gt;[{"First":false,"Last":false,"PMID":"1344050","abstract":"On the assumption that sarcoidosis could be caused by inhalation of antigens stemming from pets a case-referent study was set up to examine this idea. Thirty-nine patients with biopsy-proven sarcoidosis were compared with 106 sex- and age-matched control persons on the exposure to pets, present and previous, in the households. In addition data on basic housing conditions and smoking habits were collected. No statistical difference in the absolute frequency of dogs, dogs and/or cats or any pet in the two groups was observed counting only pets kept for more than 2 years prior to the year of diagnosis. Equally the basic housing conditions (size, type of and age of dwelling, family size) were identical. There was a tendency of more non-smokers in the sarcoidosis group (46% vs 33%) but the difference did not reach statistical significance. However it cannot be excluded that inhalable antigens stemming from pets initiate sarcoidosis among susceptible individuals.","author":[{"family":"Revsbech","given":"P"}],"authorYearDisplayFormat":false,"citation-label":"4541064","container-title":"Sarcoidosis","container-title-short":"Sarcoidosis","id":"4541064","invisible":false,"issue":"2","issued":{"date-parts":[["1992","9"]]},"journalAbbreviation":"Sarcoidosis","page":"101-103","suppress-author":false,"title":"Is sarcoidosis related to exposure to pets or the housing conditions? A case-referent study.","type":"article-journal","volume":"9"}]</w:instrText>
      </w:r>
      <w:r w:rsidRPr="005A7F38">
        <w:fldChar w:fldCharType="separate"/>
      </w:r>
      <w:r w:rsidR="00B775CB" w:rsidRPr="00B775CB">
        <w:rPr>
          <w:noProof/>
          <w:vertAlign w:val="superscript"/>
        </w:rPr>
        <w:t>98</w:t>
      </w:r>
      <w:r w:rsidRPr="005A7F38">
        <w:fldChar w:fldCharType="end"/>
      </w:r>
      <w:r w:rsidRPr="005A7F38">
        <w:t xml:space="preserve"> In 2012, Drent et al presented a case of severe sarcoidosis in a woman with 8 cats. Her physicians advised she avoid contact with her cats and within 6 months of following this advice, her sarcoidosis had relented such that she no longer required pharmaceutical therapy. Drent et al postulate that the silica-containing cat litter was responsible for triggering the induction of sarcoidosis in this patient as the patient was able to live with her cats again after changing their litter to a newspaper based product rather than the silica-based litter used previously.</w:t>
      </w:r>
      <w:r w:rsidRPr="005A7F38">
        <w:fldChar w:fldCharType="begin"/>
      </w:r>
      <w:r w:rsidR="00B775CB">
        <w:instrText>ADDIN F1000_CSL_CITATION&lt;~#@#~&gt;[{"DOI":"10.1183/09031936.00074411","First":false,"Last":false,"PMID":"22210816","author":[{"family":"Drent","given":"M"},{"family":"Wijnen","given":"P A"},{"family":"Boots","given":"A W"},{"family":"Bast","given":"A"}],"authorYearDisplayFormat":false,"citation-label":"4541078","container-title":"The European Respiratory Journal","container-title-short":"Eur Respir J","id":"4541078","invisible":false,"issue":"1","issued":{"date-parts":[["2012","1"]]},"journalAbbreviation":"Eur Respir J","page":"221-222","suppress-author":false,"title":"Cat litter is a possible trigger for sarcoidosis.","type":"article-journal","volume":"39"}]</w:instrText>
      </w:r>
      <w:r w:rsidRPr="005A7F38">
        <w:fldChar w:fldCharType="separate"/>
      </w:r>
      <w:r w:rsidR="00B775CB" w:rsidRPr="00B775CB">
        <w:rPr>
          <w:noProof/>
          <w:vertAlign w:val="superscript"/>
        </w:rPr>
        <w:t>99</w:t>
      </w:r>
      <w:r w:rsidRPr="005A7F38">
        <w:fldChar w:fldCharType="end"/>
      </w:r>
      <w:r w:rsidRPr="005A7F38">
        <w:t xml:space="preserve"> More research into types of cat litter </w:t>
      </w:r>
      <w:r w:rsidRPr="005A7F38">
        <w:lastRenderedPageBreak/>
        <w:t xml:space="preserve">used, if cats lived in doors or not and how long individuals were exposed </w:t>
      </w:r>
      <w:r>
        <w:t>to cats may help to explain this association.</w:t>
      </w:r>
    </w:p>
    <w:p w14:paraId="736F91DA" w14:textId="5AB52516" w:rsidR="00E67725" w:rsidRPr="00E67725" w:rsidRDefault="003E3EA2" w:rsidP="006F3D04">
      <w:pPr>
        <w:ind w:firstLine="0"/>
      </w:pPr>
      <w:r>
        <w:tab/>
        <w:t xml:space="preserve">Research has shown an association between exposure to birds and </w:t>
      </w:r>
      <w:r w:rsidR="009A478C">
        <w:t>hypersensitivity</w:t>
      </w:r>
      <w:r>
        <w:t xml:space="preserve"> pneumonitis</w:t>
      </w:r>
      <w:r w:rsidR="009B5AD2">
        <w:t>.</w:t>
      </w:r>
      <w:r w:rsidR="009B5AD2">
        <w:fldChar w:fldCharType="begin"/>
      </w:r>
      <w:r w:rsidR="00B775CB">
        <w:instrText>ADDIN F1000_CSL_CITATION&lt;~#@#~&gt;[{"First":false,"Last":false,"PMCID":"PMC1240451","PMID":"11673130","abstract":"A previously healthy woman developed hypersensitivity pneumonitis of such severity that she required chronic systemic corticosteroid therapy for symptom control. Detailed investigation of her workplace and home environments revealed fungi in her typical suburban home, to which she had specific serum precipitating antibodies. Efforts to remove mold from the home were unsuccessful in relieving symptoms, and moving to another residence was the only intervention that allowed her to be withdrawn from corticosteroid therapy. Hypersensitivity pneumonitis is commonly associated with occupational or avocational exposures, such as moldy hay in farmers or bird antigen in bird breeders. We propose that hypersensitivity pneumonitis may occur in North America, as it does in Japan, from domestic exposures alone.","author":[{"family":"Apostolakos","given":"M J"},{"family":"Rossmoore","given":"H"},{"family":"Beckett","given":"W S"}],"authorYearDisplayFormat":false,"citation-label":"4611944","container-title":"Environmental Health Perspectives","container-title-short":"Environ Health Perspect","id":"4611944","invisible":false,"issue":"9","issued":{"date-parts":[["2001","9","1"]]},"journalAbbreviation":"Environ Health Perspect","page":"979-981","suppress-author":false,"title":"Hypersensitivity pneumonitis from ordinary residential exposures.","type":"article-journal","volume":"109"}]</w:instrText>
      </w:r>
      <w:r w:rsidR="009B5AD2">
        <w:fldChar w:fldCharType="separate"/>
      </w:r>
      <w:r w:rsidR="00B775CB" w:rsidRPr="00B775CB">
        <w:rPr>
          <w:noProof/>
          <w:vertAlign w:val="superscript"/>
        </w:rPr>
        <w:t>100</w:t>
      </w:r>
      <w:r w:rsidR="009B5AD2">
        <w:fldChar w:fldCharType="end"/>
      </w:r>
      <w:r w:rsidR="009B5AD2">
        <w:t xml:space="preserve"> </w:t>
      </w:r>
      <w:r w:rsidR="009666F5">
        <w:t xml:space="preserve">In 2004, Newman </w:t>
      </w:r>
      <w:r w:rsidR="005E18AD">
        <w:t>et al</w:t>
      </w:r>
      <w:r w:rsidR="009666F5">
        <w:t xml:space="preserve"> conducted a case-control study and </w:t>
      </w:r>
      <w:r w:rsidR="005E18AD">
        <w:t xml:space="preserve">found that </w:t>
      </w:r>
      <w:r w:rsidR="009666F5">
        <w:t>both occupational (OR:3.73, CI: 1.10-12.59, p=0.034) and avocational exposure (OR:1.49, CI: 1-2.21, p=0.049) to birds was associated with sarcoidosis.</w:t>
      </w:r>
      <w:r w:rsidR="009B5AD2">
        <w:fldChar w:fldCharType="begin"/>
      </w:r>
      <w:r w:rsidR="00B775CB">
        <w:instrText>ADDIN F1000_CSL_CITATION&lt;~#@#~&gt;[{"DOI":"10.1164/rccm.200402-249OC","First":false,"Last":false,"PMID":"15347561","abstract":"Past research suggests that environmental factors may be associated with sarcoidosis risk. We conducted a case control study to test a priori hypotheses that environmental and occupational exposures are associated with sarcoidosis. Ten centers recruited 706 newly diagnosed patients with sarcoidosis and an equal number of age-, race-, and sex-matched control subjects. Interviewers administered questionnaires containing questions regarding occupational and nonoccupational exposures that we assessed in univariable and multivariable analyses. We observed positive associations between sarcoidosis and specific occupations (e.g., agricultural employment, odds ratio [OR] 1.46, confidence interval [CI] 1.13-1.89), exposures (e.g., insecticides at work, OR 1.52, CI 1.14-2.04, and work environments with mold/mildew exposures [environments with possible exposures to microbial bioaerosols], OR 1.61, CI 1.13-2.31). A history of ever smoking cigarettes was less frequent among cases than control subjects (OR 0.62, CI 0.50-0.77). In multivariable modeling, we observed elevated ORs for work in areas with musty odors (OR 1.62, CI 1.24-2.11) and with occupational exposure to insecticides (OR 1.61, CI 1.13-2.28), and a decreased OR related to ever smoking cigarettes (OR 0.65, CI 0.51-0.82). The study did not identify a single, predominant cause of sarcoidosis. We identified several exposures associated with sarcoidosis risk, including insecticides, agricultural employment, and microbial bioaerosols.","author":[{"family":"Newman","given":"Lee S"},{"family":"Rose","given":"Cecile S"},{"family":"Bresnitz","given":"Eddy A"},{"family":"Rossman","given":"Milton D"},{"family":"Barnard","given":"Juliana"},{"family":"Frederick","given":"Margaret"},{"family":"Terrin","given":"Michael L"},{"family":"Weinberger","given":"Steven E"},{"family":"Moller","given":"David R"},{"family":"McLennan","given":"Geoffrey"},{"family":"Hunninghake","given":"Gary"},{"family":"DePalo","given":"Louis"},{"family":"Baughman","given":"Robert P"},{"family":"Iannuzzi","given":"Michael C"},{"family":"Judson","given":"Marc A"},{"family":"Knatterud","given":"Genell L"},{"family":"Thompson","given":"Bruce W"},{"family":"Teirstein","given":"Alvin S"},{"family":"Yeager","given":"Henry"},{"family":"Johns","given":"Carol J"},{"family":"Rabin","given":"David L"},{"family":"Rybicki","given":"Benjamin A"},{"family":"Cherniack","given":"Reuben"},{"family":"ACCESS Research Group"}],"authorYearDisplayFormat":false,"citation-label":"1328213","container-title":"American Journal of Respiratory and Critical Care Medicine","container-title-short":"Am J Respir Crit Care Med","id":"1328213","invisible":false,"issue":"12","issued":{"date-parts":[["2004","12","15"]]},"journalAbbreviation":"Am J Respir Crit Care Med","page":"1324-1330","suppress-author":false,"title":"A case control etiologic study of sarcoidosis: environmental and occupational risk factors.","type":"article-journal","volume":"170"}]</w:instrText>
      </w:r>
      <w:r w:rsidR="009B5AD2">
        <w:fldChar w:fldCharType="separate"/>
      </w:r>
      <w:r w:rsidR="00B775CB" w:rsidRPr="00B775CB">
        <w:rPr>
          <w:noProof/>
          <w:vertAlign w:val="superscript"/>
        </w:rPr>
        <w:t>4</w:t>
      </w:r>
      <w:r w:rsidR="009B5AD2">
        <w:fldChar w:fldCharType="end"/>
      </w:r>
      <w:r w:rsidR="009666F5">
        <w:t xml:space="preserve"> The hyperinflammatory state caused by exposure to birds in some people may play a role in triggering the inflammatory pathways associated with sarcoidosis. Research into the types of birds and dose dependent relationship of the exposure will elucidate this connection in the future.</w:t>
      </w:r>
    </w:p>
    <w:p w14:paraId="3100E520" w14:textId="77777777" w:rsidR="0018362B" w:rsidRPr="005A7F38" w:rsidRDefault="00394B3C" w:rsidP="002446BB">
      <w:pPr>
        <w:pStyle w:val="Heading4"/>
        <w:rPr>
          <w:rFonts w:cs="Times New Roman"/>
        </w:rPr>
      </w:pPr>
      <w:bookmarkStart w:id="35" w:name="_Toc506540014"/>
      <w:r w:rsidRPr="005A7F38">
        <w:rPr>
          <w:rFonts w:cs="Times New Roman"/>
        </w:rPr>
        <w:t>Smoking</w:t>
      </w:r>
      <w:bookmarkEnd w:id="35"/>
      <w:r w:rsidR="0018362B" w:rsidRPr="005A7F38">
        <w:rPr>
          <w:rFonts w:cs="Times New Roman"/>
        </w:rPr>
        <w:t xml:space="preserve"> </w:t>
      </w:r>
    </w:p>
    <w:p w14:paraId="0A62DC3D" w14:textId="3C18F504" w:rsidR="002E466C" w:rsidRPr="005A7F38" w:rsidRDefault="00184C2B" w:rsidP="00004E1A">
      <w:pPr>
        <w:ind w:firstLine="0"/>
      </w:pPr>
      <w:r w:rsidRPr="005A7F38">
        <w:t xml:space="preserve">Although smoking tobacco </w:t>
      </w:r>
      <w:r w:rsidR="008C54C9" w:rsidRPr="005A7F38">
        <w:t>products</w:t>
      </w:r>
      <w:r w:rsidR="006043E4" w:rsidRPr="005A7F38">
        <w:t xml:space="preserve"> has been strongly associated </w:t>
      </w:r>
      <w:r w:rsidR="00D7385F" w:rsidRPr="005A7F38">
        <w:t>with pulmonary disease</w:t>
      </w:r>
      <w:r w:rsidR="007233AE" w:rsidRPr="005A7F38">
        <w:t xml:space="preserve">, most notably COPD and lung cancer, </w:t>
      </w:r>
      <w:r w:rsidR="00D7385F" w:rsidRPr="005A7F38">
        <w:t>smoking appears to be negatively correlated with development of sarcoidosis. In the ACCESS case-control study, a history of ever smoking cigarettes was less frequently observed in cases than in controls (OR=0.62, CI=0.50-0.77, p&lt;0.05</w:t>
      </w:r>
      <w:r w:rsidR="00A94B2F" w:rsidRPr="005A7F38">
        <w:t>)</w:t>
      </w:r>
      <w:r w:rsidR="00D7385F" w:rsidRPr="005A7F38">
        <w:t>.</w:t>
      </w:r>
      <w:r w:rsidR="00A94B2F" w:rsidRPr="005A7F38">
        <w:t xml:space="preserve"> Tobacco smoke exposure, including cigars and pipes, was less frequently observed in sarcoidosis cases (OR=0.20, CI=0.14-0.29, p&lt;0.001) as was second hand exposure to tobacco smoke of any type (OR=0.70, CI=0.55-0.88, p=0.002).</w:t>
      </w:r>
      <w:r w:rsidR="00A94B2F" w:rsidRPr="005A7F38">
        <w:fldChar w:fldCharType="begin"/>
      </w:r>
      <w:r w:rsidR="00B775CB">
        <w:instrText>ADDIN F1000_CSL_CITATION&lt;~#@#~&gt;[{"DOI":"10.1164/rccm.200402-249OC","First":false,"Last":false,"PMID":"15347561","abstract":"Past research suggests that environmental factors may be associated with sarcoidosis risk. We conducted a case control study to test a priori hypotheses that environmental and occupational exposures are associated with sarcoidosis. Ten centers recruited 706 newly diagnosed patients with sarcoidosis and an equal number of age-, race-, and sex-matched control subjects. Interviewers administered questionnaires containing questions regarding occupational and nonoccupational exposures that we assessed in univariable and multivariable analyses. We observed positive associations between sarcoidosis and specific occupations (e.g., agricultural employment, odds ratio [OR] 1.46, confidence interval [CI] 1.13-1.89), exposures (e.g., insecticides at work, OR 1.52, CI 1.14-2.04, and work environments with mold/mildew exposures [environments with possible exposures to microbial bioaerosols], OR 1.61, CI 1.13-2.31). A history of ever smoking cigarettes was less frequent among cases than control subjects (OR 0.62, CI 0.50-0.77). In multivariable modeling, we observed elevated ORs for work in areas with musty odors (OR 1.62, CI 1.24-2.11) and with occupational exposure to insecticides (OR 1.61, CI 1.13-2.28), and a decreased OR related to ever smoking cigarettes (OR 0.65, CI 0.51-0.82). The study did not identify a single, predominant cause of sarcoidosis. We identified several exposures associated with sarcoidosis risk, including insecticides, agricultural employment, and microbial bioaerosols.","author":[{"family":"Newman","given":"Lee S"},{"family":"Rose","given":"Cecile S"},{"family":"Bresnitz","given":"Eddy A"},{"family":"Rossman","given":"Milton D"},{"family":"Barnard","given":"Juliana"},{"family":"Frederick","given":"Margaret"},{"family":"Terrin","given":"Michael L"},{"family":"Weinberger","given":"Steven E"},{"family":"Moller","given":"David R"},{"family":"McLennan","given":"Geoffrey"},{"family":"Hunninghake","given":"Gary"},{"family":"DePalo","given":"Louis"},{"family":"Baughman","given":"Robert P"},{"family":"Iannuzzi","given":"Michael C"},{"family":"Judson","given":"Marc A"},{"family":"Knatterud","given":"Genell L"},{"family":"Thompson","given":"Bruce W"},{"family":"Teirstein","given":"Alvin S"},{"family":"Yeager","given":"Henry"},{"family":"Johns","given":"Carol J"},{"family":"Rabin","given":"David L"},{"family":"Rybicki","given":"Benjamin A"},{"family":"Cherniack","given":"Reuben"},{"family":"ACCESS Research Group"}],"authorYearDisplayFormat":false,"citation-label":"1328213","container-title":"American Journal of Respiratory and Critical Care Medicine","container-title-short":"Am J Respir Crit Care Med","id":"1328213","invisible":false,"issue":"12","issued":{"date-parts":[["2004","12","15"]]},"journalAbbreviation":"Am J Respir Crit Care Med","page":"1324-1330","suppress-author":false,"title":"A case control etiologic study of sarcoidosis: environmental and occupational risk factors.","type":"article-journal","volume":"170"}]</w:instrText>
      </w:r>
      <w:r w:rsidR="00A94B2F" w:rsidRPr="005A7F38">
        <w:fldChar w:fldCharType="separate"/>
      </w:r>
      <w:r w:rsidR="00B775CB" w:rsidRPr="00B775CB">
        <w:rPr>
          <w:noProof/>
          <w:vertAlign w:val="superscript"/>
        </w:rPr>
        <w:t>4</w:t>
      </w:r>
      <w:r w:rsidR="00A94B2F" w:rsidRPr="005A7F38">
        <w:fldChar w:fldCharType="end"/>
      </w:r>
      <w:r w:rsidR="00D7385F" w:rsidRPr="005A7F38">
        <w:t xml:space="preserve"> This is consistent with other studies presenting low prevalence of cigarette smok</w:t>
      </w:r>
      <w:r w:rsidR="007A1B45" w:rsidRPr="005A7F38">
        <w:t>ing among sarcoidosis patients.</w:t>
      </w:r>
      <w:r w:rsidR="007A1B45" w:rsidRPr="005A7F38">
        <w:fldChar w:fldCharType="begin"/>
      </w:r>
      <w:r w:rsidR="00B775CB">
        <w:instrText>ADDIN F1000_CSL_CITATION&lt;~#@#~&gt;[{"First":false,"Last":false,"PMID":"3460401","author":[{"family":"Bresnitz","given":"E A"},{"family":"Stolley","given":"P D"},{"family":"Israel","given":"H L"},{"family":"Soper","given":"K"}],"authorYearDisplayFormat":false,"citation-label":"4507651","container-title":"Annals of the New York Academy of Sciences","container-title-short":"Ann N Y Acad Sci","id":"4507651","invisible":false,"issued":{"date-parts":[["1986"]]},"journalAbbreviation":"Ann N Y Acad Sci","page":"632-642","suppress-author":false,"title":"Possible risk factors for sarcoidosis. A case-control study.","type":"article-journal","volume":"465"}]</w:instrText>
      </w:r>
      <w:r w:rsidR="007A1B45" w:rsidRPr="005A7F38">
        <w:fldChar w:fldCharType="separate"/>
      </w:r>
      <w:r w:rsidR="00B775CB" w:rsidRPr="00B775CB">
        <w:rPr>
          <w:noProof/>
          <w:vertAlign w:val="superscript"/>
        </w:rPr>
        <w:t>101</w:t>
      </w:r>
      <w:r w:rsidR="007A1B45" w:rsidRPr="005A7F38">
        <w:fldChar w:fldCharType="end"/>
      </w:r>
      <w:r w:rsidR="002E466C" w:rsidRPr="005A7F38">
        <w:t xml:space="preserve"> Negative associations between smoking and sarcoidosis have been found in the literature since the 1970s.</w:t>
      </w:r>
      <w:r w:rsidR="00ED5253" w:rsidRPr="005A7F38">
        <w:fldChar w:fldCharType="begin"/>
      </w:r>
      <w:r w:rsidR="00B775CB">
        <w:instrText>ADDIN F1000_CSL_CITATION&lt;~#@#~&gt;[{"DOI":"10.1038/nri803","First":false,"Last":false,"PMID":"12033743","abstract":"Although the health risks of tobacco smoking are well documented, there is increasing evidence that smokers have a lower incidence of some inflammatory and neurodegenerative diseases. Many of the adverse and beneficial effects of smoking might result from the ability of cigarette smoke to suppress the immune system. Nicotine, which is one of the main constituents of cigarette smoke, suppresses the immune system but might have therapeutic potential as a neuroprotective and anti-inflammatory agent.","author":[{"family":"Sopori","given":"Mohan"}],"authorYearDisplayFormat":false,"citation-label":"4507659","container-title":"Nature Reviews. Immunology","container-title-short":"Nat Rev Immunol","id":"4507659","invisible":false,"issue":"5","issued":{"date-parts":[["2002"]]},"journalAbbreviation":"Nat Rev Immunol","page":"372-377","suppress-author":false,"title":"Effects of cigarette smoke on the immune system.","type":"article-journal","volume":"2"},{"DOI":"10.1164/rccm.2402023","First":false,"Last":false,"PMID":"15072982","author":[{"family":"Maier","given":"Lisa A"}],"authorYearDisplayFormat":false,"citation-label":"3722767","container-title":"American Journal of Respiratory and Critical Care Medicine","container-title-short":"Am J Respir Crit Care Med","id":"3722767","invisible":false,"issue":"8","issued":{"date-parts":[["2004","4","15"]]},"journalAbbreviation":"Am J Respir Crit Care Med","page":"893-895","suppress-author":false,"title":"Is smoking beneficial for granulomatous lung diseases?","type":"article-journal","volume":"169"},{"First":false,"Last":false,"PMCID":"PMC460488","PMID":"3787509","abstract":"The smoking habits of 202 patients presenting with sarcoidosis, as recorded in the clinical case records, were compared with figures from the General Household Surveys (GHS) to determine whether there was any association between smoking habit and sarcoidosis. In 19 there was no record of smoking habit. Of the remaining 183 patients, 40 (21.9%) were smokers, which was significantly less than expected from the GHS figures (p less than 0.001). This association between non-smoking and sarcoidosis persisted despite further analysis by sex and age distribution and socioeconomic grouping. Statistical likelihood models showed that ex-smokers were similar to current smokers with respect to the association between smoking and sarcoidosis. This association was greatest in those patients with stage I sarcoidosis and less for those with other stages of the disease.","author":[{"family":"Douglas","given":"J G"},{"family":"Middleton","given":"W G"},{"family":"Gaddie","given":"J"},{"family":"Petrie","given":"G R"},{"family":"Choo-Kang","given":"Y F"},{"family":"Prescott","given":"R J"},{"family":"Crompton","given":"G K"}],"authorYearDisplayFormat":false,"citation-label":"4507664","container-title":"Thorax","container-title-short":"Thorax","id":"4507664","invisible":false,"issue":"10","issued":{"date-parts":[["1986","10"]]},"journalAbbreviation":"Thorax","page":"787-791","suppress-author":false,"title":"Sarcoidosis: a disorder commoner in non-smokers?","type":"article-journal","volume":"41"},{"First":false,"Last":false,"PMCID":"PMC470791","PMID":"594937","abstract":"The smoking habits of 18 patients with extrinsic allergic alveolitis, 22 with cryptogenic fibrosing alveolitis, and 75 patients with sarcoidosis were compared with the smoking habits of the normal population of the Prairie Region for 1973. The patients were diagnosed at the same two hospitals over the four-year period November 1971--75 and were of comparable age. Non-smoking was significantly associated with allergic alveolitis in men and the three cases in women were all non-smokers. For the other two diseases, smoking habits were similar to those of the local population.","author":[{"family":"Warren","given":"C P"}],"authorYearDisplayFormat":false,"citation-label":"4507663","container-title":"Thorax","container-title-short":"Thorax","id":"4507663","invisible":false,"issue":"5","issued":{"date-parts":[["1977","10"]]},"journalAbbreviation":"Thorax","page":"567-569","suppress-author":false,"title":"Extrinsic allergic alveolitis: a disease commoner in non-smokers.","type":"article-journal","volume":"32"},{"DOI":"10.1164/rccm.200402-249OC","First":false,"Last":false,"PMID":"15347561","abstract":"Past research suggests that environmental factors may be associated with sarcoidosis risk. We conducted a case control study to test a priori hypotheses that environmental and occupational exposures are associated with sarcoidosis. Ten centers recruited 706 newly diagnosed patients with sarcoidosis and an equal number of age-, race-, and sex-matched control subjects. Interviewers administered questionnaires containing questions regarding occupational and nonoccupational exposures that we assessed in univariable and multivariable analyses. We observed positive associations between sarcoidosis and specific occupations (e.g., agricultural employment, odds ratio [OR] 1.46, confidence interval [CI] 1.13-1.89), exposures (e.g., insecticides at work, OR 1.52, CI 1.14-2.04, and work environments with mold/mildew exposures [environments with possible exposures to microbial bioaerosols], OR 1.61, CI 1.13-2.31). A history of ever smoking cigarettes was less frequent among cases than control subjects (OR 0.62, CI 0.50-0.77). In multivariable modeling, we observed elevated ORs for work in areas with musty odors (OR 1.62, CI 1.24-2.11) and with occupational exposure to insecticides (OR 1.61, CI 1.13-2.28), and a decreased OR related to ever smoking cigarettes (OR 0.65, CI 0.51-0.82). The study did not identify a single, predominant cause of sarcoidosis. We identified several exposures associated with sarcoidosis risk, including insecticides, agricultural employment, and microbial bioaerosols.","author":[{"family":"Newman","given":"Lee S"},{"family":"Rose","given":"Cecile S"},{"family":"Bresnitz","given":"Eddy A"},{"family":"Rossman","given":"Milton D"},{"family":"Barnard","given":"Juliana"},{"family":"Frederick","given":"Margaret"},{"family":"Terrin","given":"Michael L"},{"family":"Weinberger","given":"Steven E"},{"family":"Moller","given":"David R"},{"family":"McLennan","given":"Geoffrey"},{"family":"Hunninghake","given":"Gary"},{"family":"DePalo","given":"Louis"},{"family":"Baughman","given":"Robert P"},{"family":"Iannuzzi","given":"Michael C"},{"family":"Judson","given":"Marc A"},{"family":"Knatterud","given":"Genell L"},{"family":"Thompson","given":"Bruce W"},{"family":"Teirstein","given":"Alvin S"},{"family":"Yeager","given":"Henry"},{"family":"Johns","given":"Carol J"},{"family":"Rabin","given":"David L"},{"family":"Rybicki","given":"Benjamin A"},{"family":"Cherniack","given":"Reuben"},{"family":"ACCESS Research Group"}],"authorYearDisplayFormat":false,"citation-label":"1328213","container-title":"American Journal of Respiratory and Critical Care Medicine","container-title-short":"Am J Respir Crit Care Med","id":"1328213","invisible":false,"issue":"12","issued":{"date-parts":[["2004","12","15"]]},"journalAbbreviation":"Am J Respir Crit Care Med","page":"1324-1330","suppress-author":false,"title":"A case control etiologic study of sarcoidosis: environmental and occupational risk factors.","type":"article-journal","volume":"170"}]</w:instrText>
      </w:r>
      <w:r w:rsidR="00ED5253" w:rsidRPr="005A7F38">
        <w:fldChar w:fldCharType="separate"/>
      </w:r>
      <w:r w:rsidR="00B775CB" w:rsidRPr="00B775CB">
        <w:rPr>
          <w:noProof/>
          <w:vertAlign w:val="superscript"/>
        </w:rPr>
        <w:t>4,102–105</w:t>
      </w:r>
      <w:r w:rsidR="00ED5253" w:rsidRPr="005A7F38">
        <w:fldChar w:fldCharType="end"/>
      </w:r>
      <w:r w:rsidR="002E466C" w:rsidRPr="005A7F38">
        <w:t xml:space="preserve"> </w:t>
      </w:r>
      <w:r w:rsidR="00D44ADF" w:rsidRPr="005A7F38">
        <w:t xml:space="preserve">A study of 200 patients with sarcoidosis found that only 21.9% of patients in the study had ever smoked, which was significantly less than was expected in the population (p&lt;0.0001). An estimation of relative risk of smoking in sarcoidosis patients </w:t>
      </w:r>
      <w:r w:rsidR="00E51D65" w:rsidRPr="005A7F38">
        <w:t>was statistically significant in heavy smokers (RR=0.44, CI=0.24-0.81, p&lt;0.05) compared to nonsmokers with sarcoidosis.</w:t>
      </w:r>
      <w:r w:rsidR="00E51D65" w:rsidRPr="005A7F38">
        <w:fldChar w:fldCharType="begin"/>
      </w:r>
      <w:r w:rsidR="00B775CB">
        <w:instrText>ADDIN F1000_CSL_CITATION&lt;~#@#~&gt;[{"First":false,"Last":false,"PMCID":"PMC460488","PMID":"3787509","abstract":"The smoking habits of 202 patients presenting with sarcoidosis, as recorded in the clinical case records, were compared with figures from the General Household Surveys (GHS) to determine whether there was any association between smoking habit and sarcoidosis. In 19 there was no record of smoking habit. Of the remaining 183 patients, 40 (21.9%) were smokers, which was significantly less than expected from the GHS figures (p less than 0.001). This association between non-smoking and sarcoidosis persisted despite further analysis by sex and age distribution and socioeconomic grouping. Statistical likelihood models showed that ex-smokers were similar to current smokers with respect to the association between smoking and sarcoidosis. This association was greatest in those patients with stage I sarcoidosis and less for those with other stages of the disease.","author":[{"family":"Douglas","given":"J G"},{"family":"Middleton","given":"W G"},{"family":"Gaddie","given":"J"},{"family":"Petrie","given":"G R"},{"family":"Choo-Kang","given":"Y F"},{"family":"Prescott","given":"R J"},{"family":"Crompton","given":"G K"}],"authorYearDisplayFormat":false,"citation-label":"4507664","container-title":"Thorax","container-title-short":"Thorax","id":"4507664","invisible":false,"issue":"10","issued":{"date-parts":[["1986","10"]]},"journalAbbreviation":"Thorax","page":"787-791","suppress-author":false,"title":"Sarcoidosis: a disorder commoner in non-smokers?","type":"article-journal","volume":"41"}]</w:instrText>
      </w:r>
      <w:r w:rsidR="00E51D65" w:rsidRPr="005A7F38">
        <w:fldChar w:fldCharType="separate"/>
      </w:r>
      <w:r w:rsidR="00B775CB" w:rsidRPr="00B775CB">
        <w:rPr>
          <w:noProof/>
          <w:vertAlign w:val="superscript"/>
        </w:rPr>
        <w:t>104</w:t>
      </w:r>
      <w:r w:rsidR="00E51D65" w:rsidRPr="005A7F38">
        <w:fldChar w:fldCharType="end"/>
      </w:r>
      <w:r w:rsidR="00A94B2F" w:rsidRPr="005A7F38">
        <w:t xml:space="preserve"> </w:t>
      </w:r>
    </w:p>
    <w:p w14:paraId="0DA7BAF3" w14:textId="37544D43" w:rsidR="00184C2B" w:rsidRPr="005A7F38" w:rsidRDefault="005C29E5" w:rsidP="002446BB">
      <w:r w:rsidRPr="005A7F38">
        <w:lastRenderedPageBreak/>
        <w:t xml:space="preserve">Tobacco smoke has been shown to have immunosuppressive properties and effects on both innate and adaptive immunity which have </w:t>
      </w:r>
      <w:r w:rsidR="002E466C" w:rsidRPr="005A7F38">
        <w:t>been implicated in the known major health hazards associated with tobacco use including cardiovascular disease, cancer and increased infection risk.</w:t>
      </w:r>
      <w:r w:rsidR="009C0E3D" w:rsidRPr="005A7F38">
        <w:fldChar w:fldCharType="begin"/>
      </w:r>
      <w:r w:rsidR="00B775CB">
        <w:instrText>ADDIN F1000_CSL_CITATION&lt;~#@#~&gt;[{"DOI":"10.1038/nri803","First":false,"Last":false,"PMID":"12033743","abstract":"Although the health risks of tobacco smoking are well documented, there is increasing evidence that smokers have a lower incidence of some inflammatory and neurodegenerative diseases. Many of the adverse and beneficial effects of smoking might result from the ability of cigarette smoke to suppress the immune system. Nicotine, which is one of the main constituents of cigarette smoke, suppresses the immune system but might have therapeutic potential as a neuroprotective and anti-inflammatory agent.","author":[{"family":"Sopori","given":"Mohan"}],"authorYearDisplayFormat":false,"citation-label":"4507659","container-title":"Nature Reviews. Immunology","container-title-short":"Nat Rev Immunol","id":"4507659","invisible":false,"issue":"5","issued":{"date-parts":[["2002"]]},"journalAbbreviation":"Nat Rev Immunol","page":"372-377","suppress-author":false,"title":"Effects of cigarette smoke on the immune system.","type":"article-journal","volume":"2"},{"DOI":"10.1164/rccm.200210-1154OC","First":false,"Last":false,"PMID":"14701707","abstract":"The incidence of hypersensitivity pneumonitis (HP) is lower in smokers than in nonsmokers. Because nicotine is immunosuppressive, we hypothesized that it could have a protective effect on HP induction in vivo. HP was induced in mice that were treated with nicotine either intraperitoneally (IP) (0.5 to 2.0 mg/kg/day) or intranasally (IN) (0.025 to 2.0 mg/kg/day). Both IP- and IN-treated animals had fewer bronchoalveolar lavage total cells and lymphocytes and a decreased lung tissue inflammation. IFN-gamma but not interleukin-10 mRNA expression was reduced in lung tissue of 2.0-mg/kg IN-treated animals. To test the effect of nicotine on alveolar macrophages, AMJ2-C11 cells were treated with nicotine and stimulated with lipopolysaccharide or Saccharopolyspora rectivirgula, a causative agent of HP. Nicotine reduced tumor necrosis factor release and tumor necrosis factor, interleukin-10, and IFN-gamma mRNA expression after stimulation and decreased CD80 expression by 55% in lipopolysaccharide-stimulated cells and by 41% in S. rectivirgula-stimulated cells. We conclude that nicotine could be, at least in part, responsible for the protection observed in smokers against HP. The inhibitory effect of nicotine on alveolar macrophages could be one of the mechanisms involved.","author":[{"family":"Blanchet","given":"Marie-Renée"},{"family":"Israël-Assayag","given":"Evelyne"},{"family":"Cormier","given":"Yvon"}],"authorYearDisplayFormat":false,"citation-label":"3004401","container-title":"American Journal of Respiratory and Critical Care Medicine","container-title-short":"Am J Respir Crit Care Med","id":"3004401","invisible":false,"issue":"8","issued":{"date-parts":[["2004","4","15"]]},"journalAbbreviation":"Am J Respir Crit Care Med","page":"903-909","suppress-author":false,"title":"Inhibitory effect of nicotine on experimental hypersensitivity pneumonitis in vivo and in vitro.","type":"article-journal","volume":"169"}]</w:instrText>
      </w:r>
      <w:r w:rsidR="009C0E3D" w:rsidRPr="005A7F38">
        <w:fldChar w:fldCharType="separate"/>
      </w:r>
      <w:r w:rsidR="00B775CB" w:rsidRPr="00B775CB">
        <w:rPr>
          <w:noProof/>
          <w:vertAlign w:val="superscript"/>
        </w:rPr>
        <w:t>102,106</w:t>
      </w:r>
      <w:r w:rsidR="009C0E3D" w:rsidRPr="005A7F38">
        <w:fldChar w:fldCharType="end"/>
      </w:r>
      <w:r w:rsidR="002E466C" w:rsidRPr="005A7F38">
        <w:t xml:space="preserve"> However, the immunosuppression may offer a beneficial impact on some inflammatory diseases including hypersensitivity pneumonitis and sarcoidosis.</w:t>
      </w:r>
      <w:r w:rsidR="006613D9" w:rsidRPr="005A7F38">
        <w:fldChar w:fldCharType="begin"/>
      </w:r>
      <w:r w:rsidR="00B775CB">
        <w:instrText>ADDIN F1000_CSL_CITATION&lt;~#@#~&gt;[{"First":false,"Last":false,"PMCID":"PMC461354","PMID":"2850637","abstract":"Patients with pulmonary sarcoidosis are less likely to smoke than persons of a similar age in the general population. This could be because smoking reduces the likelihood of developing sarcoidosis, or alternatively smoking could reduce the severity of the disease process so that smoking patients are underrepresented among patients with clinically overt disease. To evaluate these possibilities 64 patients with sarcoidosis of recent onset were studied at presentation and after a one year follow up period, clinical, functional, radiographic, and bronchoalveolar lavage fluid criteria being used to identify factors that might account for the lower incidence of sarcoidosis in smokers and to determine whether the disease is less severe in smoking patients. Smoking was less common in the patients with sarcoidosis (30%) than in the control subjects (46%). The study did not support the conclusion that sarcoidosis is less severe in smokers, as clinical, radiographic, and functional abnormalities were similar in smokers and non-smokers at initial evaluation and after a one year follow up period. Nevertheless, smoking did influence various indices used to assess disease \"activity.\" Cigarette smoking was associated with a significant increase in the serum angiotensin converting enzyme activity (SACE), and patients with very high SACE and pulmonary gallium-67 uptake were smokers. Furthermore, more CD8+ (but not CD4+) lymphocytes were recovered by lavage from smoking than from non-smoking patients, giving a lower CD4: CD8 ratio in smokers. Fewer alveolar macrophages were recovered by lavage from smokers with sarcoidosis than from normal subjects with a similar smoking history. These finding support the possibility that smokers, particularly those with a prominent accumulation of alveolar macrophages in the lower respiratory tract, may be less likely to develop sarcoidosis.","author":[{"family":"Valeyre","given":"D"},{"family":"Soler","given":"P"},{"family":"Clerici","given":"C"},{"family":"Pré","given":"J"},{"family":"Battesti","given":"J P"},{"family":"Georges","given":"R"},{"family":"Hance","given":"A J"}],"authorYearDisplayFormat":false,"citation-label":"4507672","container-title":"Thorax","container-title-short":"Thorax","id":"4507672","invisible":false,"issue":"7","issued":{"date-parts":[["1988","7"]]},"journalAbbreviation":"Thorax","page":"516-524","suppress-author":false,"title":"Smoking and pulmonary sarcoidosis: effect of cigarette smoking on prevalence, clinical manifestations, alveolitis, and evolution of the disease.","type":"article-journal","volume":"43"}]</w:instrText>
      </w:r>
      <w:r w:rsidR="006613D9" w:rsidRPr="005A7F38">
        <w:fldChar w:fldCharType="separate"/>
      </w:r>
      <w:r w:rsidR="00B775CB" w:rsidRPr="00B775CB">
        <w:rPr>
          <w:noProof/>
          <w:vertAlign w:val="superscript"/>
        </w:rPr>
        <w:t>107</w:t>
      </w:r>
      <w:r w:rsidR="006613D9" w:rsidRPr="005A7F38">
        <w:fldChar w:fldCharType="end"/>
      </w:r>
      <w:r w:rsidR="002E466C" w:rsidRPr="005A7F38">
        <w:t xml:space="preserve"> </w:t>
      </w:r>
      <w:r w:rsidR="00431FAB" w:rsidRPr="005A7F38">
        <w:t>In smokers, l</w:t>
      </w:r>
      <w:r w:rsidR="006311B9" w:rsidRPr="005A7F38">
        <w:t>ower serum antibody response to agents that have been known to cause hypersensitivity pneumonitis has been demonstrated in the literature as well</w:t>
      </w:r>
      <w:r w:rsidR="00E845D1" w:rsidRPr="005A7F38">
        <w:t xml:space="preserve"> </w:t>
      </w:r>
      <w:r w:rsidR="006311B9" w:rsidRPr="005A7F38">
        <w:t>.</w:t>
      </w:r>
      <w:r w:rsidR="009C0E3D" w:rsidRPr="005A7F38">
        <w:fldChar w:fldCharType="begin"/>
      </w:r>
      <w:r w:rsidR="00B775CB">
        <w:instrText>ADDIN F1000_CSL_CITATION&lt;~#@#~&gt;[{"DOI":"10.1038/nri803","First":false,"Last":false,"PMID":"12033743","abstract":"Although the health risks of tobacco smoking are well documented, there is increasing evidence that smokers have a lower incidence of some inflammatory and neurodegenerative diseases. Many of the adverse and beneficial effects of smoking might result from the ability of cigarette smoke to suppress the immune system. Nicotine, which is one of the main constituents of cigarette smoke, suppresses the immune system but might have therapeutic potential as a neuroprotective and anti-inflammatory agent.","author":[{"family":"Sopori","given":"Mohan"}],"authorYearDisplayFormat":false,"citation-label":"4507659","container-title":"Nature Reviews. Immunology","container-title-short":"Nat Rev Immunol","id":"4507659","invisible":false,"issue":"5","issued":{"date-parts":[["2002"]]},"journalAbbreviation":"Nat Rev Immunol","page":"372-377","suppress-author":false,"title":"Effects of cigarette smoke on the immune system.","type":"article-journal","volume":"2"}]</w:instrText>
      </w:r>
      <w:r w:rsidR="009C0E3D" w:rsidRPr="005A7F38">
        <w:fldChar w:fldCharType="separate"/>
      </w:r>
      <w:r w:rsidR="00B775CB" w:rsidRPr="00B775CB">
        <w:rPr>
          <w:noProof/>
          <w:vertAlign w:val="superscript"/>
        </w:rPr>
        <w:t>102</w:t>
      </w:r>
      <w:r w:rsidR="009C0E3D" w:rsidRPr="005A7F38">
        <w:fldChar w:fldCharType="end"/>
      </w:r>
      <w:r w:rsidR="006311B9" w:rsidRPr="005A7F38">
        <w:t xml:space="preserve"> These findings indicate that smoking may actually be protective and inhibit the development of granulomatous inflammation. </w:t>
      </w:r>
    </w:p>
    <w:p w14:paraId="76BBA4E3" w14:textId="77777777" w:rsidR="0018362B" w:rsidRPr="005A7F38" w:rsidRDefault="00571AFB" w:rsidP="002446BB">
      <w:pPr>
        <w:pStyle w:val="Heading4"/>
        <w:rPr>
          <w:rFonts w:cs="Times New Roman"/>
        </w:rPr>
      </w:pPr>
      <w:bookmarkStart w:id="36" w:name="_Toc506540015"/>
      <w:r w:rsidRPr="005A7F38">
        <w:rPr>
          <w:rFonts w:cs="Times New Roman"/>
        </w:rPr>
        <w:t xml:space="preserve">Exposure to </w:t>
      </w:r>
      <w:r w:rsidR="00656502" w:rsidRPr="005A7F38">
        <w:rPr>
          <w:rFonts w:cs="Times New Roman"/>
        </w:rPr>
        <w:t>Sarcoidosis</w:t>
      </w:r>
      <w:bookmarkEnd w:id="36"/>
    </w:p>
    <w:p w14:paraId="17B1838A" w14:textId="69CF51D3" w:rsidR="00AF478B" w:rsidRPr="005A7F38" w:rsidRDefault="00067BCE" w:rsidP="00004E1A">
      <w:pPr>
        <w:ind w:firstLine="0"/>
      </w:pPr>
      <w:r w:rsidRPr="005A7F38">
        <w:t xml:space="preserve">An association between </w:t>
      </w:r>
      <w:r w:rsidR="00E845D1" w:rsidRPr="005A7F38">
        <w:t>the</w:t>
      </w:r>
      <w:r w:rsidRPr="005A7F38">
        <w:t xml:space="preserve"> </w:t>
      </w:r>
      <w:r w:rsidR="00512E9B" w:rsidRPr="005A7F38">
        <w:t>development of sarcoidosis and contact with a patient with sar</w:t>
      </w:r>
      <w:r w:rsidR="00656502" w:rsidRPr="005A7F38">
        <w:t>coidosis has been demonstrated. In a study of an isolated community on an island with a high prevalence rate of sarcoidosis, those who had had contact with patients with sarcoidosis were more likely to develop sarcoidosis than those who had not had contact with someone with sarcoidosis</w:t>
      </w:r>
      <w:r w:rsidR="00431FAB" w:rsidRPr="005A7F38">
        <w:t xml:space="preserve"> </w:t>
      </w:r>
      <w:r w:rsidR="002B7E57" w:rsidRPr="005A7F38">
        <w:t xml:space="preserve">indicating that an infectious or microbial agent spread through person to person transmission is responsible for the etiology of sarcoidosis. </w:t>
      </w:r>
      <w:r w:rsidR="002B7E57" w:rsidRPr="005A7F38">
        <w:fldChar w:fldCharType="begin"/>
      </w:r>
      <w:r w:rsidR="00B775CB">
        <w:instrText>ADDIN F1000_CSL_CITATION&lt;~#@#~&gt;[{"First":false,"Last":false,"PMCID":"PMC460774","PMID":"3660301","abstract":"The case-control test for space-time clustering developed by Pike and Smith was applied to 96 cases of sarcoidosis diagnosed in the Isle of Man from 1962 to 1983. There were significantly more links between cases separated by time intervals of less than 10 years and distances of less than 100 metres than between the others. Analysis of the type of links indicated that clusters consisted of pairs whose contact was by place of residence or work. More linked cases were diagnosed less than three years apart than would be expected by chance. These findings lend support to the idea that sarcoidosis is a communicable disease.","author":[{"family":"Hills","given":"S E"},{"family":"Parkes","given":"S A"},{"family":"Baker","given":"S B"}],"authorYearDisplayFormat":false,"citation-label":"4507471","container-title":"Thorax","container-title-short":"Thorax","id":"4507471","invisible":false,"issue":"6","issued":{"date-parts":[["1987","6"]]},"journalAbbreviation":"Thorax","page":"427-430","suppress-author":false,"title":"Epidemiology of sarcoidosis in the Isle of Man--2: Evidence for space-time clustering.","type":"article-journal","volume":"42"}]</w:instrText>
      </w:r>
      <w:r w:rsidR="002B7E57" w:rsidRPr="005A7F38">
        <w:fldChar w:fldCharType="separate"/>
      </w:r>
      <w:r w:rsidR="00B775CB" w:rsidRPr="00B775CB">
        <w:rPr>
          <w:noProof/>
          <w:vertAlign w:val="superscript"/>
        </w:rPr>
        <w:t>108</w:t>
      </w:r>
      <w:r w:rsidR="002B7E57" w:rsidRPr="005A7F38">
        <w:fldChar w:fldCharType="end"/>
      </w:r>
      <w:r w:rsidR="002B7E57" w:rsidRPr="005A7F38">
        <w:t xml:space="preserve"> </w:t>
      </w:r>
      <w:r w:rsidR="0014469E" w:rsidRPr="005A7F38">
        <w:t>Individuals</w:t>
      </w:r>
      <w:r w:rsidR="005D68E1" w:rsidRPr="005A7F38">
        <w:t xml:space="preserve"> who worked with someone with sarcoidosis were more likely to develop sarcoidosis than those who did not work with someon</w:t>
      </w:r>
      <w:r w:rsidR="0014469E" w:rsidRPr="005A7F38">
        <w:t>e with sarcoidosis (p=0.0003). Individuals</w:t>
      </w:r>
      <w:r w:rsidR="005D68E1" w:rsidRPr="005A7F38">
        <w:t xml:space="preserve"> who lived within 100m of an individual with sarcoidosis </w:t>
      </w:r>
      <w:r w:rsidR="00FE6064" w:rsidRPr="005A7F38">
        <w:t>with in the last two years were more likely to develop sarcoidosis than those who did not live near someone with a new sarcoidosis diagnosis (</w:t>
      </w:r>
      <w:r w:rsidR="00D42FDA" w:rsidRPr="005A7F38">
        <w:t>p=0.0005). Those l</w:t>
      </w:r>
      <w:r w:rsidR="00FE6064" w:rsidRPr="005A7F38">
        <w:t>iving in proximity to a</w:t>
      </w:r>
      <w:r w:rsidR="00D42FDA" w:rsidRPr="005A7F38">
        <w:t>n</w:t>
      </w:r>
      <w:r w:rsidR="00FE6064" w:rsidRPr="005A7F38">
        <w:t xml:space="preserve"> individual with sarcoidosis </w:t>
      </w:r>
      <w:r w:rsidR="00D42FDA" w:rsidRPr="005A7F38">
        <w:t xml:space="preserve">were more likely to develop sarcoidosis compare to those who did not (100m, p=0.0034, 50m, p=0.0020, 10m, p=0.0026). </w:t>
      </w:r>
      <w:r w:rsidR="00C0015D" w:rsidRPr="005A7F38">
        <w:fldChar w:fldCharType="begin"/>
      </w:r>
      <w:r w:rsidR="00B775CB">
        <w:instrText>ADDIN F1000_CSL_CITATION&lt;~#@#~&gt;[{"First":false,"Last":false,"PMCID":"PMC460773","PMID":"3660300","abstract":"A case controlled study of 96 cases of sarcoidosis has been carried out in the Isle of Man. Age and sex matched controls were selected at random from the pathology and radiology records, which cover 85% of the resident population, and a second control group was drawn from a tuberculosis register. Special efforts were made to achieve a high level of ascertainment. In this study most cases occurred in young adults. It affected the sexes equally and occurred more frequently in the indigenous Manx population. Thirty eight cases (39.6%) had been in contact with the disease before diagnosis, compared with two (1.2%) of the combined controls. These contacts included members of the same household, colleagues at work, and close friends. A bias may have been introduced as patients would inevitably be more aware of the disease and be more likely to mention previous contact than the controls. Nevertheless, the evidence is considered to support the view that sarcoidosis is a communicable disease.","author":[{"family":"Parkes","given":"S A"},{"family":"Baker","given":"S B"},{"family":"Bourdillon","given":"R E"},{"family":"Murray","given":"C R"},{"family":"Rakshit","given":"M"}],"authorYearDisplayFormat":false,"citation-label":"4507207","container-title":"Thorax","container-title-short":"Thorax","id":"4507207","invisible":false,"issue":"6","issued":{"date-parts":[["1987","6"]]},"journalAbbreviation":"Thorax","page":"420-426","suppress-author":false,"title":"Epidemiology of sarcoidosis in the Isle of Man--1: A case controlled study.","type":"article-journal","volume":"42"},{"First":false,"Last":false,"PMCID":"PMC460774","PMID":"3660301","abstract":"The case-control test for space-time clustering developed by Pike and Smith was applied to 96 cases of sarcoidosis diagnosed in the Isle of Man from 1962 to 1983. There were significantly more links between cases separated by time intervals of less than 10 years and distances of less than 100 metres than between the others. Analysis of the type of links indicated that clusters consisted of pairs whose contact was by place of residence or work. More linked cases were diagnosed less than three years apart than would be expected by chance. These findings lend support to the idea that sarcoidosis is a communicable disease.","author":[{"family":"Hills","given":"S E"},{"family":"Parkes","given":"S A"},{"family":"Baker","given":"S B"}],"authorYearDisplayFormat":false,"citation-label":"4507471","container-title":"Thorax","container-title-short":"Thorax","id":"4507471","invisible":false,"issue":"6","issued":{"date-parts":[["1987","6"]]},"journalAbbreviation":"Thorax","page":"427-430","suppress-author":false,"title":"Epidemiology of sarcoidosis in the Isle of Man--2: Evidence for space-time clustering.","type":"article-journal","volume":"42"},{"First":false,"Last":false,"PMCID":"PMC460049","PMID":"4023978","abstract":"The incidence of sarcoidosis in a clearly defined island community has been determined in a seven year study. Special efforts were made to identify all cases, including those presenting to their general practitioners with only minor symptoms. A mean incidence of 14.7 per 100 000 per annum has been found in the years 1977-83 compared with an annual incidence of 3.5 per 100 000 in the preceding 15 years, when no specific attempts were made to identify sufferers from sarcoidosis. The lower figure is similar to the reported incidence in the United Kingdom and the difference is considered to be due to increased detection of cases during the study period. These findings suggest that a large proportion of cases of sarcoidosis in a general population may not be recorded in a registration system.","author":[{"family":"Parkes","given":"S A"},{"family":"Baker","given":"S B"},{"family":"Bourdillon","given":"R E"},{"family":"Murray","given":"C R"},{"family":"Rakshit","given":"M"},{"family":"Sarkies","given":"J W"},{"family":"Travers","given":"J P"},{"family":"Williams","given":"E W"}],"authorYearDisplayFormat":false,"citation-label":"4507468","container-title":"Thorax","container-title-short":"Thorax","id":"4507468","invisible":false,"issue":"4","issued":{"date-parts":[["1985","4"]]},"journalAbbreviation":"Thorax","page":"284-287","suppress-author":false,"title":"Incidence of sarcoidosis in the Isle of Man.","type":"article-journal","volume":"40"},{"First":false,"Last":false,"PMCID":"PMC461025","PMID":"3424278","author":[{"family":"Ayres","given":"J G"}],"authorYearDisplayFormat":false,"citation-label":"4507470","container-title":"Thorax","container-title-short":"Thorax","id":"4507470","invisible":false,"issue":"11","issued":{"date-parts":[["1987","11"]]},"journalAbbreviation":"Thorax","page":"911","suppress-author":false,"title":"Epidemiology of sarcoidosis in the Isle of Man.","type":"article-journal","volume":"42"}]</w:instrText>
      </w:r>
      <w:r w:rsidR="00C0015D" w:rsidRPr="005A7F38">
        <w:fldChar w:fldCharType="separate"/>
      </w:r>
      <w:r w:rsidR="00B775CB" w:rsidRPr="00B775CB">
        <w:rPr>
          <w:noProof/>
          <w:vertAlign w:val="superscript"/>
        </w:rPr>
        <w:t>46,108–110</w:t>
      </w:r>
      <w:r w:rsidR="00C0015D" w:rsidRPr="005A7F38">
        <w:fldChar w:fldCharType="end"/>
      </w:r>
      <w:r w:rsidR="00611EBD" w:rsidRPr="005A7F38">
        <w:t xml:space="preserve"> There are also reports of clusters in Sweden and Japan that suggest an infectious cause for sarcoidosis.</w:t>
      </w:r>
      <w:r w:rsidR="00611EBD" w:rsidRPr="005A7F38">
        <w:fldChar w:fldCharType="begin"/>
      </w:r>
      <w:r w:rsidR="00B775CB">
        <w:instrText>ADDIN F1000_CSL_CITATION&lt;~#@#~&gt;[{"First":false,"Last":false,"PMID":"1067020","abstract":"The characteristics of about 2,000 Japanese sarcoidosis cases collected by the Japan Sarcoidosis Committee during the 10-yr period, 1963-1972, were chronological increase with decreasing infectious diseases (represented by tuberculosis), north-to-south decline in sarcoidosis incidence in accordance with the Oxford Atlas Seasonal Climates, the age of cases shifting to the younger group in areas of high incidence, a local outbreak, and familial aggreagations. These results led the authors to an hypothesis that sarcoidosis is a disease induced by an infective agent or agents, prevalent in cold places, becoming influential in association with ecological changes, and affecting persons with predispositions.","author":[{"family":"Hosoda","given":"Y"},{"family":"Hiraga","given":"Y"},{"family":"Odaka","given":"M"},{"family":"Yangawa","given":"H"},{"family":"Ito","given":"Y"},{"family":"Shiegematsu","given":"I"},{"family":"Chiba","given":"Y"}],"authorYearDisplayFormat":false,"citation-label":"4508990","container-title":"Annals of the New York Academy of Sciences","container-title-short":"Ann N Y Acad Sci","id":"4508990","invisible":false,"issued":{"date-parts":[["1976"]]},"journalAbbreviation":"Ann N Y Acad Sci","page":"355-367","suppress-author":false,"title":"A cooperative study of sarcoidosis in Asia and Africa: analytic epidemiology.","type":"article-journal","volume":"278"}]</w:instrText>
      </w:r>
      <w:r w:rsidR="00611EBD" w:rsidRPr="005A7F38">
        <w:fldChar w:fldCharType="separate"/>
      </w:r>
      <w:r w:rsidR="00B775CB" w:rsidRPr="00B775CB">
        <w:rPr>
          <w:noProof/>
          <w:vertAlign w:val="superscript"/>
        </w:rPr>
        <w:t>111</w:t>
      </w:r>
      <w:r w:rsidR="00611EBD" w:rsidRPr="005A7F38">
        <w:fldChar w:fldCharType="end"/>
      </w:r>
      <w:r w:rsidR="00611EBD" w:rsidRPr="005A7F38">
        <w:t xml:space="preserve"> </w:t>
      </w:r>
      <w:r w:rsidR="00883917" w:rsidRPr="005A7F38">
        <w:t xml:space="preserve">A series of cases were also reported that were clustered together, including a pair of siblings, an employer of one of the siblings and the </w:t>
      </w:r>
      <w:r w:rsidR="00883917" w:rsidRPr="005A7F38">
        <w:lastRenderedPageBreak/>
        <w:t>employer’s friend, who was unacquainted with the siblings.</w:t>
      </w:r>
      <w:r w:rsidR="00883917" w:rsidRPr="005A7F38">
        <w:fldChar w:fldCharType="begin"/>
      </w:r>
      <w:r w:rsidR="00B775CB">
        <w:instrText>ADDIN F1000_CSL_CITATION&lt;~#@#~&gt;[{"First":false,"Last":false,"PMCID":"PMC459329","PMID":"7112482","author":[{"family":"Stewart","given":"I C"},{"family":"Davidson","given":"N M"}],"authorYearDisplayFormat":false,"citation-label":"4507507","container-title":"Thorax","container-title-short":"Thorax","id":"4507507","invisible":false,"issue":"5","issued":{"date-parts":[["1982","5"]]},"journalAbbreviation":"Thorax","page":"398-399","suppress-author":false,"title":"Clustering of sarcoidosis.","type":"article-journal","volume":"37"}]</w:instrText>
      </w:r>
      <w:r w:rsidR="00883917" w:rsidRPr="005A7F38">
        <w:fldChar w:fldCharType="separate"/>
      </w:r>
      <w:r w:rsidR="00B775CB" w:rsidRPr="00B775CB">
        <w:rPr>
          <w:noProof/>
          <w:vertAlign w:val="superscript"/>
        </w:rPr>
        <w:t>112</w:t>
      </w:r>
      <w:r w:rsidR="00883917" w:rsidRPr="005A7F38">
        <w:fldChar w:fldCharType="end"/>
      </w:r>
      <w:r w:rsidR="00611EBD" w:rsidRPr="005A7F38">
        <w:t xml:space="preserve"> </w:t>
      </w:r>
      <w:r w:rsidR="00D42FDA" w:rsidRPr="005A7F38">
        <w:t>This eviden</w:t>
      </w:r>
      <w:r w:rsidR="002B7E57" w:rsidRPr="005A7F38">
        <w:t xml:space="preserve">ce suggests that sarcoidosis could be a communicable disease or caused by an infectious agent requiring transmission from person to person through prolonged close contact. </w:t>
      </w:r>
      <w:r w:rsidR="002B7E57" w:rsidRPr="005A7F38">
        <w:fldChar w:fldCharType="begin"/>
      </w:r>
      <w:r w:rsidR="00B775CB">
        <w:instrText>ADDIN F1000_CSL_CITATION&lt;~#@#~&gt;[{"First":false,"Last":false,"PMCID":"PMC460773","PMID":"3660300","abstract":"A case controlled study of 96 cases of sarcoidosis has been carried out in the Isle of Man. Age and sex matched controls were selected at random from the pathology and radiology records, which cover 85% of the resident population, and a second control group was drawn from a tuberculosis register. Special efforts were made to achieve a high level of ascertainment. In this study most cases occurred in young adults. It affected the sexes equally and occurred more frequently in the indigenous Manx population. Thirty eight cases (39.6%) had been in contact with the disease before diagnosis, compared with two (1.2%) of the combined controls. These contacts included members of the same household, colleagues at work, and close friends. A bias may have been introduced as patients would inevitably be more aware of the disease and be more likely to mention previous contact than the controls. Nevertheless, the evidence is considered to support the view that sarcoidosis is a communicable disease.","author":[{"family":"Parkes","given":"S A"},{"family":"Baker","given":"S B"},{"family":"Bourdillon","given":"R E"},{"family":"Murray","given":"C R"},{"family":"Rakshit","given":"M"}],"authorYearDisplayFormat":false,"citation-label":"4507207","container-title":"Thorax","container-title-short":"Thorax","id":"4507207","invisible":false,"issue":"6","issued":{"date-parts":[["1987","6"]]},"journalAbbreviation":"Thorax","page":"420-426","suppress-author":false,"title":"Epidemiology of sarcoidosis in the Isle of Man--1: A case controlled study.","type":"article-journal","volume":"42"},{"First":false,"Last":false,"PMCID":"PMC460774","PMID":"3660301","abstract":"The case-control test for space-time clustering developed by Pike and Smith was applied to 96 cases of sarcoidosis diagnosed in the Isle of Man from 1962 to 1983. There were significantly more links between cases separated by time intervals of less than 10 years and distances of less than 100 metres than between the others. Analysis of the type of links indicated that clusters consisted of pairs whose contact was by place of residence or work. More linked cases were diagnosed less than three years apart than would be expected by chance. These findings lend support to the idea that sarcoidosis is a communicable disease.","author":[{"family":"Hills","given":"S E"},{"family":"Parkes","given":"S A"},{"family":"Baker","given":"S B"}],"authorYearDisplayFormat":false,"citation-label":"4507471","container-title":"Thorax","container-title-short":"Thorax","id":"4507471","invisible":false,"issue":"6","issued":{"date-parts":[["1987","6"]]},"journalAbbreviation":"Thorax","page":"427-430","suppress-author":false,"title":"Epidemiology of sarcoidosis in the Isle of Man--2: Evidence for space-time clustering.","type":"article-journal","volume":"42"},{"First":false,"Last":false,"PMCID":"PMC460049","PMID":"4023978","abstract":"The incidence of sarcoidosis in a clearly defined island community has been determined in a seven year study. Special efforts were made to identify all cases, including those presenting to their general practitioners with only minor symptoms. A mean incidence of 14.7 per 100 000 per annum has been found in the years 1977-83 compared with an annual incidence of 3.5 per 100 000 in the preceding 15 years, when no specific attempts were made to identify sufferers from sarcoidosis. The lower figure is similar to the reported incidence in the United Kingdom and the difference is considered to be due to increased detection of cases during the study period. These findings suggest that a large proportion of cases of sarcoidosis in a general population may not be recorded in a registration system.","author":[{"family":"Parkes","given":"S A"},{"family":"Baker","given":"S B"},{"family":"Bourdillon","given":"R E"},{"family":"Murray","given":"C R"},{"family":"Rakshit","given":"M"},{"family":"Sarkies","given":"J W"},{"family":"Travers","given":"J P"},{"family":"Williams","given":"E W"}],"authorYearDisplayFormat":false,"citation-label":"4507468","container-title":"Thorax","container-title-short":"Thorax","id":"4507468","invisible":false,"issue":"4","issued":{"date-parts":[["1985","4"]]},"journalAbbreviation":"Thorax","page":"284-287","suppress-author":false,"title":"Incidence of sarcoidosis in the Isle of Man.","type":"article-journal","volume":"40"},{"First":false,"Last":false,"PMCID":"PMC461025","PMID":"3424278","author":[{"family":"Ayres","given":"J G"}],"authorYearDisplayFormat":false,"citation-label":"4507470","container-title":"Thorax","container-title-short":"Thorax","id":"4507470","invisible":false,"issue":"11","issued":{"date-parts":[["1987","11"]]},"journalAbbreviation":"Thorax","page":"911","suppress-author":false,"title":"Epidemiology of sarcoidosis in the Isle of Man.","type":"article-journal","volume":"42"}]</w:instrText>
      </w:r>
      <w:r w:rsidR="002B7E57" w:rsidRPr="005A7F38">
        <w:fldChar w:fldCharType="separate"/>
      </w:r>
      <w:r w:rsidR="00B775CB" w:rsidRPr="00B775CB">
        <w:rPr>
          <w:noProof/>
          <w:vertAlign w:val="superscript"/>
        </w:rPr>
        <w:t>46,108–110</w:t>
      </w:r>
      <w:r w:rsidR="002B7E57" w:rsidRPr="005A7F38">
        <w:fldChar w:fldCharType="end"/>
      </w:r>
      <w:r w:rsidR="008168E3">
        <w:t xml:space="preserve"> Research has demonstrated that those who share environments or are in prolonged close contact can develop microbial communities that are more similar to each other. It is possible that </w:t>
      </w:r>
      <w:r w:rsidR="00FC46ED">
        <w:t xml:space="preserve">through physical interaction and the sharing of space that changes in the microbiota occur that increase the susceptibility to sarcoidosis. </w:t>
      </w:r>
    </w:p>
    <w:p w14:paraId="10100E57" w14:textId="77777777" w:rsidR="00AF478B" w:rsidRPr="005A7F38" w:rsidRDefault="00AF478B" w:rsidP="002446BB">
      <w:pPr>
        <w:pStyle w:val="Heading3"/>
        <w:rPr>
          <w:rFonts w:cs="Times New Roman"/>
        </w:rPr>
      </w:pPr>
      <w:bookmarkStart w:id="37" w:name="_Toc506540016"/>
      <w:r w:rsidRPr="005A7F38">
        <w:rPr>
          <w:rFonts w:cs="Times New Roman"/>
        </w:rPr>
        <w:t>Public Health Significance</w:t>
      </w:r>
      <w:bookmarkEnd w:id="37"/>
    </w:p>
    <w:p w14:paraId="5302E4D7" w14:textId="5207D7FD" w:rsidR="006469E1" w:rsidRPr="005A7F38" w:rsidRDefault="008D3AB9" w:rsidP="002446BB">
      <w:pPr>
        <w:pStyle w:val="Noindent"/>
      </w:pPr>
      <w:r>
        <w:t>The public health significance of sarcoidosis is reflected in the monetary as well as in the quality of life of individuals with sarcoidosis.</w:t>
      </w:r>
      <w:r w:rsidR="001F6E4C">
        <w:t xml:space="preserve"> </w:t>
      </w:r>
      <w:r>
        <w:t xml:space="preserve"> </w:t>
      </w:r>
      <w:r w:rsidR="007602E0" w:rsidRPr="005A7F38">
        <w:t xml:space="preserve">A </w:t>
      </w:r>
      <w:r w:rsidR="00802B3B" w:rsidRPr="005A7F38">
        <w:t xml:space="preserve">case-control </w:t>
      </w:r>
      <w:r w:rsidR="007602E0" w:rsidRPr="005A7F38">
        <w:t xml:space="preserve">study of sarcoidosis patients </w:t>
      </w:r>
      <w:r w:rsidR="00186A33" w:rsidRPr="005A7F38">
        <w:t>diagnosed</w:t>
      </w:r>
      <w:r w:rsidR="007602E0" w:rsidRPr="005A7F38">
        <w:t xml:space="preserve"> between 1988 and 2015</w:t>
      </w:r>
      <w:r w:rsidR="00F076BB">
        <w:t xml:space="preserve"> undertaken by Rice et al in 2017</w:t>
      </w:r>
      <w:r w:rsidR="00186A33" w:rsidRPr="005A7F38">
        <w:t>,</w:t>
      </w:r>
      <w:r w:rsidR="007602E0" w:rsidRPr="005A7F38">
        <w:t xml:space="preserve"> who had continuous private health insurance during that time</w:t>
      </w:r>
      <w:r w:rsidR="00186A33" w:rsidRPr="005A7F38">
        <w:t xml:space="preserve">, </w:t>
      </w:r>
      <w:r w:rsidR="00802B3B" w:rsidRPr="005A7F38">
        <w:t>and matched controls</w:t>
      </w:r>
      <w:r w:rsidR="007602E0" w:rsidRPr="005A7F38">
        <w:t xml:space="preserve"> was undertaken to understand the financial costs incurred in the treatment of sarcoidosis.</w:t>
      </w:r>
      <w:r w:rsidR="00364C2E">
        <w:fldChar w:fldCharType="begin"/>
      </w:r>
      <w:r w:rsidR="00B775CB">
        <w:instrText>ADDIN F1000_CSL_CITATION&lt;~#@#~&gt;[{"DOI":"10.1080/13696998.2017.1351371","First":false,"Last":false,"PMID":"28678623","abstract":"&lt;strong&gt;BACKGROUND:&lt;/strong&gt; Sarcoidosis is a multi-system inflammatory disorder characterized by the presence of non-caseating granulomas in involved organs. Patients with sarcoidosis have a reduced quality-of-life and are at an increased risk for several comorbidities. Little is known about the direct and indirect cost of sarcoidosis following the initial diagnosis.&lt;br&gt;&lt;br&gt;&lt;strong&gt;AIMS:&lt;/strong&gt; To provide an estimate of the healthcare resource utilization (HCRU) and costs borne by commercial payers for sarcoidosis patients in the US.&lt;br&gt;&lt;br&gt;&lt;strong&gt;METHODS:&lt;/strong&gt; Patients with a first diagnosis of sarcoidosis between January 1, 1998 and March 31, 2015 (\"index date\") were selected from a de-identified privately-insured administrative claims database. Sarcoidosis patients were required to have continuous health plan enrollment 12 months prior to and following their index dates. Propensity-score (1:1) matching of sarcoidosis patients with non-sarcoidosis controls was carried out based on a logistic regression of baseline characteristics. Burden of HCRU and work loss (disability days and medically-related absenteeism) were compared between the matched groups over the 12-month period following the index date (\"outcome period\").&lt;br&gt;&lt;br&gt;&lt;strong&gt;RESULTS:&lt;/strong&gt; A total of 7,119 sarcoidosis patients who met the selection criteria were matched with a control. Overall, commercial payers incurred $19,714 in mean total annual healthcare costs per sarcoidosis patient. The principle cost drivers were outpatient visits ($9,050 2015 USD, 46%) and inpatient admissions ($6,398, 32%). Relative to controls, sarcoidosis patients had $5,190 (36%) higher total healthcare costs ($19,714 vs $14,524; p &lt;  0.001). Sarcoidosis patients also had significantly more work loss days (15.9 vs 11.3; p &lt;  0.001) and work loss costs ($3,288 vs $2,527; p &lt;  0.001) than matched controls. Sarcoidosis imposes an estimated total direct medical cost of $1.3-$8.7 billion to commercial payers, and an indirect cost of $0.2-$1.5 billion to commercial payers in work loss.&lt;br&gt;&lt;br&gt;&lt;strong&gt;CONCLUSIONS:&lt;/strong&gt; Sarcoidosis imposes a significant economic burden to payers in the first year following diagnosis.","author":[{"family":"Rice","given":"J Bradford"},{"family":"White","given":"Alan"},{"family":"Lopez","given":"Andrea"},{"family":"Conway","given":"Alexandra"},{"family":"Wagh","given":"Aneesha"},{"family":"Nelson","given":"Winnie W"},{"family":"Philbin","given":"Michael"},{"family":"Wan","given":"George J"}],"authorYearDisplayFormat":false,"citation-label":"4507677","container-title":"Journal of medical economics","container-title-short":"J Med Econ","id":"4507677","invisible":false,"issue":"10","issued":{"date-parts":[["2017","10"]]},"journalAbbreviation":"J Med Econ","page":"1048-1055","suppress-author":false,"title":"Economic burden of sarcoidosis in a commercially-insured population in the United States.","type":"article-journal","volume":"20"}]</w:instrText>
      </w:r>
      <w:r w:rsidR="00364C2E">
        <w:fldChar w:fldCharType="separate"/>
      </w:r>
      <w:r w:rsidR="00B775CB" w:rsidRPr="00B775CB">
        <w:rPr>
          <w:noProof/>
          <w:vertAlign w:val="superscript"/>
        </w:rPr>
        <w:t>3</w:t>
      </w:r>
      <w:r w:rsidR="00364C2E">
        <w:fldChar w:fldCharType="end"/>
      </w:r>
      <w:r w:rsidR="007602E0" w:rsidRPr="005A7F38">
        <w:t xml:space="preserve"> </w:t>
      </w:r>
      <w:r w:rsidR="007E13EA">
        <w:t xml:space="preserve">Rice et al estimated that the total direct medical cost burden of sarcoidosis is between $1.3 to $8.7 billion to commercial health insurance companies. Compared to costs incurred treating matched controls, health insurance companies paid between $0.3 to $2.3 billion more on health care for patients with sarcoidosis. </w:t>
      </w:r>
      <w:r w:rsidR="00802B3B" w:rsidRPr="005A7F38">
        <w:t>Overall private health insurance companies incurred a mean total of $19,714 in annual healthcare costs per sarcoidosis patient. The costs were driven prim</w:t>
      </w:r>
      <w:r w:rsidR="0039666F" w:rsidRPr="005A7F38">
        <w:t>arily by outpatient visits (46%), costing</w:t>
      </w:r>
      <w:r w:rsidR="00802B3B" w:rsidRPr="005A7F38">
        <w:t xml:space="preserve"> $9,050</w:t>
      </w:r>
      <w:r w:rsidR="0039666F" w:rsidRPr="005A7F38">
        <w:t xml:space="preserve"> per year per patient in 2015 and inpatient hospital admissions (32%), costing $6,398 per year per patient. Compared to controls, patients with sarcoidosis had 36% higher health care costs ($5,190 difference, $19,714 for cases, $14,524 for controls, p&lt;0.0001).</w:t>
      </w:r>
      <w:r w:rsidR="00364C2E">
        <w:fldChar w:fldCharType="begin"/>
      </w:r>
      <w:r w:rsidR="00B775CB">
        <w:instrText>ADDIN F1000_CSL_CITATION&lt;~#@#~&gt;[{"DOI":"10.1080/13696998.2017.1351371","First":false,"Last":false,"PMID":"28678623","abstract":"&lt;strong&gt;BACKGROUND:&lt;/strong&gt; Sarcoidosis is a multi-system inflammatory disorder characterized by the presence of non-caseating granulomas in involved organs. Patients with sarcoidosis have a reduced quality-of-life and are at an increased risk for several comorbidities. Little is known about the direct and indirect cost of sarcoidosis following the initial diagnosis.&lt;br&gt;&lt;br&gt;&lt;strong&gt;AIMS:&lt;/strong&gt; To provide an estimate of the healthcare resource utilization (HCRU) and costs borne by commercial payers for sarcoidosis patients in the US.&lt;br&gt;&lt;br&gt;&lt;strong&gt;METHODS:&lt;/strong&gt; Patients with a first diagnosis of sarcoidosis between January 1, 1998 and March 31, 2015 (\"index date\") were selected from a de-identified privately-insured administrative claims database. Sarcoidosis patients were required to have continuous health plan enrollment 12 months prior to and following their index dates. Propensity-score (1:1) matching of sarcoidosis patients with non-sarcoidosis controls was carried out based on a logistic regression of baseline characteristics. Burden of HCRU and work loss (disability days and medically-related absenteeism) were compared between the matched groups over the 12-month period following the index date (\"outcome period\").&lt;br&gt;&lt;br&gt;&lt;strong&gt;RESULTS:&lt;/strong&gt; A total of 7,119 sarcoidosis patients who met the selection criteria were matched with a control. Overall, commercial payers incurred $19,714 in mean total annual healthcare costs per sarcoidosis patient. The principle cost drivers were outpatient visits ($9,050 2015 USD, 46%) and inpatient admissions ($6,398, 32%). Relative to controls, sarcoidosis patients had $5,190 (36%) higher total healthcare costs ($19,714 vs $14,524; p &lt;  0.001). Sarcoidosis patients also had significantly more work loss days (15.9 vs 11.3; p &lt;  0.001) and work loss costs ($3,288 vs $2,527; p &lt;  0.001) than matched controls. Sarcoidosis imposes an estimated total direct medical cost of $1.3-$8.7 billion to commercial payers, and an indirect cost of $0.2-$1.5 billion to commercial payers in work loss.&lt;br&gt;&lt;br&gt;&lt;strong&gt;CONCLUSIONS:&lt;/strong&gt; Sarcoidosis imposes a significant economic burden to payers in the first year following diagnosis.","author":[{"family":"Rice","given":"J Bradford"},{"family":"White","given":"Alan"},{"family":"Lopez","given":"Andrea"},{"family":"Conway","given":"Alexandra"},{"family":"Wagh","given":"Aneesha"},{"family":"Nelson","given":"Winnie W"},{"family":"Philbin","given":"Michael"},{"family":"Wan","given":"George J"}],"authorYearDisplayFormat":false,"citation-label":"4507677","container-title":"Journal of medical economics","container-title-short":"J Med Econ","id":"4507677","invisible":false,"issue":"10","issued":{"date-parts":[["2017","10"]]},"journalAbbreviation":"J Med Econ","page":"1048-1055","suppress-author":false,"title":"Economic burden of sarcoidosis in a commercially-insured population in the United States.","type":"article-journal","volume":"20"}]</w:instrText>
      </w:r>
      <w:r w:rsidR="00364C2E">
        <w:fldChar w:fldCharType="separate"/>
      </w:r>
      <w:r w:rsidR="00B775CB" w:rsidRPr="00B775CB">
        <w:rPr>
          <w:noProof/>
          <w:vertAlign w:val="superscript"/>
        </w:rPr>
        <w:t>3</w:t>
      </w:r>
      <w:r w:rsidR="00364C2E">
        <w:fldChar w:fldCharType="end"/>
      </w:r>
      <w:r w:rsidR="0039666F" w:rsidRPr="005A7F38">
        <w:t xml:space="preserve"> </w:t>
      </w:r>
      <w:r w:rsidR="00064B08" w:rsidRPr="005A7F38">
        <w:t xml:space="preserve">Due in large part to the heterogeneity of clinical presentation, disease course and treatment requirements, medical costs </w:t>
      </w:r>
      <w:r w:rsidR="00064B08" w:rsidRPr="005A7F38">
        <w:lastRenderedPageBreak/>
        <w:t xml:space="preserve">related to sarcoidosis vary widely. For sarcoidosis patients, the median cost of care is $18,663 and the mean cost of care was over $32,000. </w:t>
      </w:r>
      <w:r w:rsidR="00F65C45">
        <w:t xml:space="preserve"> The 20% of patients with the highest medical costs made up over 72% of the total health care costs for all patients with sarcoidosis. </w:t>
      </w:r>
      <w:r w:rsidR="00064B08" w:rsidRPr="005A7F38">
        <w:t xml:space="preserve">However, the </w:t>
      </w:r>
      <w:r w:rsidR="00907BB9" w:rsidRPr="005A7F38">
        <w:t>sickest</w:t>
      </w:r>
      <w:r w:rsidR="00064B08" w:rsidRPr="005A7F38">
        <w:t xml:space="preserve"> 5% of patients had total health care costs of over $240 million per year with a cost per patient value of  $93,000 per year.</w:t>
      </w:r>
      <w:r w:rsidR="00364C2E">
        <w:fldChar w:fldCharType="begin"/>
      </w:r>
      <w:r w:rsidR="00B775CB">
        <w:instrText>ADDIN F1000_CSL_CITATION&lt;~#@#~&gt;[{"DOI":"10.1080/13696998.2017.1351371","First":false,"Last":false,"PMID":"28678623","abstract":"&lt;strong&gt;BACKGROUND:&lt;/strong&gt; Sarcoidosis is a multi-system inflammatory disorder characterized by the presence of non-caseating granulomas in involved organs. Patients with sarcoidosis have a reduced quality-of-life and are at an increased risk for several comorbidities. Little is known about the direct and indirect cost of sarcoidosis following the initial diagnosis.&lt;br&gt;&lt;br&gt;&lt;strong&gt;AIMS:&lt;/strong&gt; To provide an estimate of the healthcare resource utilization (HCRU) and costs borne by commercial payers for sarcoidosis patients in the US.&lt;br&gt;&lt;br&gt;&lt;strong&gt;METHODS:&lt;/strong&gt; Patients with a first diagnosis of sarcoidosis between January 1, 1998 and March 31, 2015 (\"index date\") were selected from a de-identified privately-insured administrative claims database. Sarcoidosis patients were required to have continuous health plan enrollment 12 months prior to and following their index dates. Propensity-score (1:1) matching of sarcoidosis patients with non-sarcoidosis controls was carried out based on a logistic regression of baseline characteristics. Burden of HCRU and work loss (disability days and medically-related absenteeism) were compared between the matched groups over the 12-month period following the index date (\"outcome period\").&lt;br&gt;&lt;br&gt;&lt;strong&gt;RESULTS:&lt;/strong&gt; A total of 7,119 sarcoidosis patients who met the selection criteria were matched with a control. Overall, commercial payers incurred $19,714 in mean total annual healthcare costs per sarcoidosis patient. The principle cost drivers were outpatient visits ($9,050 2015 USD, 46%) and inpatient admissions ($6,398, 32%). Relative to controls, sarcoidosis patients had $5,190 (36%) higher total healthcare costs ($19,714 vs $14,524; p &lt;  0.001). Sarcoidosis patients also had significantly more work loss days (15.9 vs 11.3; p &lt;  0.001) and work loss costs ($3,288 vs $2,527; p &lt;  0.001) than matched controls. Sarcoidosis imposes an estimated total direct medical cost of $1.3-$8.7 billion to commercial payers, and an indirect cost of $0.2-$1.5 billion to commercial payers in work loss.&lt;br&gt;&lt;br&gt;&lt;strong&gt;CONCLUSIONS:&lt;/strong&gt; Sarcoidosis imposes a significant economic burden to payers in the first year following diagnosis.","author":[{"family":"Rice","given":"J Bradford"},{"family":"White","given":"Alan"},{"family":"Lopez","given":"Andrea"},{"family":"Conway","given":"Alexandra"},{"family":"Wagh","given":"Aneesha"},{"family":"Nelson","given":"Winnie W"},{"family":"Philbin","given":"Michael"},{"family":"Wan","given":"George J"}],"authorYearDisplayFormat":false,"citation-label":"4507677","container-title":"Journal of medical economics","container-title-short":"J Med Econ","id":"4507677","invisible":false,"issue":"10","issued":{"date-parts":[["2017","10"]]},"journalAbbreviation":"J Med Econ","page":"1048-1055","suppress-author":false,"title":"Economic burden of sarcoidosis in a commercially-insured population in the United States.","type":"article-journal","volume":"20"}]</w:instrText>
      </w:r>
      <w:r w:rsidR="00364C2E">
        <w:fldChar w:fldCharType="separate"/>
      </w:r>
      <w:r w:rsidR="00B775CB" w:rsidRPr="00B775CB">
        <w:rPr>
          <w:noProof/>
          <w:vertAlign w:val="superscript"/>
        </w:rPr>
        <w:t>3</w:t>
      </w:r>
      <w:r w:rsidR="00364C2E">
        <w:fldChar w:fldCharType="end"/>
      </w:r>
      <w:r w:rsidR="00064B08" w:rsidRPr="005A7F38">
        <w:t xml:space="preserve"> </w:t>
      </w:r>
      <w:r w:rsidR="00F65C45">
        <w:t>High medical cost sarcoidosis patients are complicated patients with higher rates of multi-organ involvement and higher rates of comorbidities. These high-cost patients have increased use of health care resources, primarily through inpatient admissions and specialty clinic visits and are more likely to be treated with biological therapies rather than glucocorticoid steroidal therapies. When comparing the annual total health care cost for this high cost group of patients to patients considered low cost, the mean annual total cost was over 10 times higher ($73, 345 for the high cost group compared to $7</w:t>
      </w:r>
      <w:r w:rsidR="007E13EA">
        <w:t>,</w:t>
      </w:r>
      <w:r w:rsidR="00E67EC3">
        <w:t>073 for the low-</w:t>
      </w:r>
      <w:r w:rsidR="007E13EA">
        <w:t xml:space="preserve">cost group).  </w:t>
      </w:r>
    </w:p>
    <w:p w14:paraId="3111DFA7" w14:textId="77777777" w:rsidR="00F6320A" w:rsidRDefault="0039666F" w:rsidP="00F65C45">
      <w:pPr>
        <w:pStyle w:val="Noindent"/>
        <w:ind w:firstLine="720"/>
      </w:pPr>
      <w:r w:rsidRPr="005A7F38">
        <w:t>Additionally, compared to controls</w:t>
      </w:r>
      <w:r w:rsidR="00907BB9" w:rsidRPr="005A7F38">
        <w:t>,</w:t>
      </w:r>
      <w:r w:rsidRPr="005A7F38">
        <w:t xml:space="preserve"> patients with sarcoidosis </w:t>
      </w:r>
      <w:r w:rsidR="00907BB9" w:rsidRPr="005A7F38">
        <w:t xml:space="preserve">have </w:t>
      </w:r>
      <w:r w:rsidRPr="005A7F38">
        <w:t xml:space="preserve">more work loss days (15.9 v 11.3, p&lt;0.001) and </w:t>
      </w:r>
      <w:r w:rsidR="00907BB9" w:rsidRPr="005A7F38">
        <w:t>increased</w:t>
      </w:r>
      <w:r w:rsidRPr="005A7F38">
        <w:t xml:space="preserve"> costs involved in work loss ($3,288 vs $2,527, p&lt;0.001). An overall total direct medical cost of $1.3-$8.7 billion dollars per year</w:t>
      </w:r>
      <w:r w:rsidR="00A25867" w:rsidRPr="005A7F38">
        <w:t xml:space="preserve"> was spent on health care for patients with sarcoidosis </w:t>
      </w:r>
      <w:r w:rsidRPr="005A7F38">
        <w:t>by health insurance companies. Indirect costs related to work loss days</w:t>
      </w:r>
      <w:r w:rsidR="00A25867" w:rsidRPr="005A7F38">
        <w:t xml:space="preserve"> because of sarcoidosis</w:t>
      </w:r>
      <w:r w:rsidRPr="005A7F38">
        <w:t xml:space="preserve"> totaled $0.2-$1.5 billion per year. </w:t>
      </w:r>
    </w:p>
    <w:p w14:paraId="191AB448" w14:textId="0EC61AD2" w:rsidR="008A29F7" w:rsidRPr="008A29F7" w:rsidRDefault="008A29F7" w:rsidP="008A29F7">
      <w:r>
        <w:t xml:space="preserve">Elucidating the factors underlying the pathobiology responsible for the heterogeneous </w:t>
      </w:r>
      <w:r w:rsidR="00B763F8">
        <w:t xml:space="preserve">clinical manifestations and disease course will provide opportunities for prevention and intervention efforts directed at those with identified risk factors. </w:t>
      </w:r>
      <w:r w:rsidR="00A54D77">
        <w:t xml:space="preserve">While hormonal involvement may account for a significant proportion of the sex differences seen in sarcoidosis incidence, understanding other sex related differences impacting the etiological processes that drive sarcoidosis will allow for </w:t>
      </w:r>
      <w:r w:rsidR="00C07036">
        <w:t xml:space="preserve">targeted public health programs designed to promote awareness and </w:t>
      </w:r>
      <w:r w:rsidR="00DC6EA6">
        <w:lastRenderedPageBreak/>
        <w:t xml:space="preserve">mediate risk factors. Identifying ‘omic signatures for different clinical phenotypes will create an opportunity to design research that is more precise and informative. </w:t>
      </w:r>
    </w:p>
    <w:p w14:paraId="15BDD174" w14:textId="77777777" w:rsidR="00AF478B" w:rsidRPr="005A7F38" w:rsidRDefault="00AF478B" w:rsidP="002446BB">
      <w:pPr>
        <w:pStyle w:val="Heading2"/>
        <w:rPr>
          <w:rFonts w:cs="Times New Roman"/>
        </w:rPr>
      </w:pPr>
      <w:bookmarkStart w:id="38" w:name="_Toc506540017"/>
      <w:r w:rsidRPr="005A7F38">
        <w:rPr>
          <w:rFonts w:cs="Times New Roman"/>
        </w:rPr>
        <w:t>Pathobiology</w:t>
      </w:r>
      <w:r w:rsidR="00A95B2A" w:rsidRPr="005A7F38">
        <w:rPr>
          <w:rFonts w:cs="Times New Roman"/>
        </w:rPr>
        <w:t xml:space="preserve"> OF Sarcoidosis</w:t>
      </w:r>
      <w:bookmarkEnd w:id="38"/>
    </w:p>
    <w:p w14:paraId="2E190311" w14:textId="778A016A" w:rsidR="00886EA3" w:rsidRPr="005A7F38" w:rsidRDefault="00886EA3" w:rsidP="002446BB">
      <w:pPr>
        <w:pStyle w:val="Noindent"/>
      </w:pPr>
      <w:r w:rsidRPr="005A7F38">
        <w:t>The pathobiology of sarcoidosis is uncertain</w:t>
      </w:r>
      <w:r w:rsidR="00BC1BA9" w:rsidRPr="005A7F38">
        <w:t xml:space="preserve"> due to an incomplete understanding of the etiology in addition to a lack of understanding as to how clinical manifestations, clinical outcomes and responses to therapeutic interventions are associated with genetic, environmental and immunologic factors</w:t>
      </w:r>
      <w:r w:rsidRPr="005A7F38">
        <w:t>.</w:t>
      </w:r>
      <w:r w:rsidRPr="005A7F38">
        <w:fldChar w:fldCharType="begin"/>
      </w:r>
      <w:r w:rsidR="00B775CB">
        <w:instrText>ADDIN F1000_CSL_CITATION&lt;~#@#~&gt;[{"DOI":"10.1513/AnnalsATS.201503-172OT","First":false,"Last":false,"PMCID":"PMC4627423","PMID":"26193069","abstract":"Sarcoidosis is a systemic disease characterized by noncaseating granulomatous inflammation with tremendous clinical heterogeneity and uncertain pathobiology and lacking in clinically useful biomarkers. The Genomic Research in Alpha-1 Antitrypsin Deficiency and Sarcoidosis (GRADS) study is an observational cohort study designed to explore the role of the lung microbiome and genome in these two diseases. This article describes the design and rationale for the GRADS study sarcoidosis protocol. The study addresses the hypothesis that distinct patterns in the lung microbiome are characteristic of sarcoidosis phenotypes and are reflected in changes in systemic inflammatory responses as measured by peripheral blood changes in gene transcription. The goal is to enroll 400 participants, with a minimum of 35 in each of 9 clinical phenotype subgroups prioritized by their clinical relevance to understanding of the pathobiology and clinical heterogeneity of sarcoidosis. Participants with a confirmed diagnosis of sarcoidosis undergo a baseline visit with self-administered questionnaires, chest computed tomography, pulmonary function tests, and blood and urine testing. A research or clinical bronchoscopy with a research bronchoalveolar lavage will be performed to obtain samples for genomic and microbiome analyses. Comparisons will be made by blood genomic analysis and with clinical phenotypic variables. A 6-month follow-up visit is planned to assess each participant's clinical course. By the use of an integrative approach to the analysis of the microbiome and genome in selected clinical phenotypes, the GRADS study is powerfully positioned to inform and direct studies on the pathobiology of sarcoidosis, identify diagnostic or prognostic biomarkers, and provide novel molecular phenotypes that could lead to improved personalized approaches to therapy for sarcoidosis.","author":[{"family":"Moller","given":"David R"},{"family":"Koth","given":"Laura L"},{"family":"Maier","given":"Lisa A"},{"family":"Morris","given":"Alison"},{"family":"Drake","given":"Wonder"},{"family":"Rossman","given":"Milton"},{"family":"Leader","given":"Joseph K"},{"family":"Collman","given":"Ronald G"},{"family":"Hamzeh","given":"Nabeel"},{"family":"Sweiss","given":"Nadera J"},{"family":"Zhang","given":"Yingze"},{"family":"O'Neal","given":"Scott"},{"family":"Senior","given":"Robert M"},{"family":"Becich","given":"Michael"},{"family":"Hochheiser","given":"Harry S"},{"family":"Kaminski","given":"Naftali"},{"family":"Wisniewski","given":"Stephen R"},{"family":"Gibson","given":"Kevin F"},{"family":"GRADS Sarcoidosis Study Group"}],"authorYearDisplayFormat":false,"citation-label":"1400043","container-title":"Annals of the American Thoracic Society","container-title-short":"Ann Am Thorac Soc","id":"1400043","invisible":false,"issue":"10","issued":{"date-parts":[["2015","10"]]},"journalAbbreviation":"Ann Am Thorac Soc","page":"1561-1571","suppress-author":false,"title":"Rationale and Design of the Genomic Research in Alpha-1 Antitrypsin Deficiency and Sarcoidosis (GRADS) Study. Sarcoidosis Protocol.","type":"article-journal","volume":"12"},{"DOI":"10.1513/AnnalsATS.201707-565OT","First":false,"Last":false,"PMID":"29073364","abstract":"Sarcoidosis is a multisystem disease with tremendous heterogeneity in disease manifestations, severity and clinical course that varies among different ethnic and racial groups. To better understand this disease and to improve the outcomes of patients, an NHLBI workshop was convened to assess the current state of knowledge, gaps and research needs across the clinical, genetic, environmental and immunologic arenas. We also explored to what extent the interplay of the genetic, environmental and immunologic factors could explain the different phenotypes and outcomes of sarcoidosis patients, including the chronic phenotypes that have the greatest health care burden. The potential utilization of current genetic, epigenetic and immunologic tools along with study approaches that integrate environmental exposures and precise clinical phenotyping were also explored. Finally, we made expert panel-based consensus recommendations for research approaches and priorities to improve our understanding of these factors on the health outcomes in sarcoidosis.","author":[{"family":"Moller","given":"David R"},{"family":"Rybicki","given":"Ben A"},{"family":"Hamzeh","given":"Nabeel Y"},{"family":"Montgomery","given":"Courtney G"},{"family":"Chen","given":"Edward S"},{"family":"Drake","given":"Wonder"},{"family":"Fontenot","given":"Andrew"}],"authorYearDisplayFormat":false,"citation-label":"4536488","container-title":"Annals of the American Thoracic Society","container-title-short":"Ann Am Thorac Soc","id":"4536488","invisible":false,"issued":{"date-parts":[["2017","10","26"]]},"journalAbbreviation":"Ann Am Thorac Soc","suppress-author":false,"title":"Genetic, immunological and environmental basis of sarcoidosis.","type":"article-journal"}]</w:instrText>
      </w:r>
      <w:r w:rsidRPr="005A7F38">
        <w:fldChar w:fldCharType="separate"/>
      </w:r>
      <w:r w:rsidR="00B775CB" w:rsidRPr="00B775CB">
        <w:rPr>
          <w:noProof/>
          <w:vertAlign w:val="superscript"/>
        </w:rPr>
        <w:t>9,84</w:t>
      </w:r>
      <w:r w:rsidRPr="005A7F38">
        <w:fldChar w:fldCharType="end"/>
      </w:r>
      <w:r w:rsidR="00BC1BA9" w:rsidRPr="005A7F38">
        <w:t xml:space="preserve"> </w:t>
      </w:r>
      <w:r w:rsidRPr="005A7F38">
        <w:t xml:space="preserve">Although not unique to sarcoidosis, the epithelioid granuloma is pathognomonic of the disease. </w:t>
      </w:r>
      <w:r w:rsidRPr="005A7F38">
        <w:fldChar w:fldCharType="begin"/>
      </w:r>
      <w:r w:rsidR="00B775CB">
        <w:instrText>ADDIN F1000_CSL_CITATION&lt;~#@#~&gt;[{"DOI":"10.3389/fimmu.2013.00437","First":false,"Last":false,"PMCID":"PMC3857538","PMID":"24339826","abstract":"Sarcoidosis is a granulomatous disorder of unknown cause, affecting multiple organs, but mainly the lungs. The exact order of immunological events remains obscure. Reviewing current literature, combined with careful clinical observations, we propose a model for granuloma formation in pulmonary sarcoidosis. A tight collaboration between macrophages, dendritic cells, and lymphocyte subsets, initiates the first steps toward granuloma formation, orchestrated by cytokines and chemokines. In a substantial part of pulmonary sarcoidosis patients, granuloma formation becomes an on-going process, leading to debilitating disease, and sometimes death. The immunological response, determining granuloma sustainment is not well understood. An impaired immunosuppressive function of regulatory T cells has been suggested to contribute to the exaggerated response. Interestingly, therapeutical agents commonly used in sarcoidosis, such as glucocorticosteroids and anti-TNF agents, interfere with granuloma integrity and restore the immune homeostasis in autoimmune disorders. Increasing insight into their mechanisms of action may contribute to the search for new therapeutical targets in pulmonary sarcoidosis.","author":[{"family":"Broos","given":"Caroline E"},{"family":"van Nimwegen","given":"Menno"},{"family":"Hoogsteden","given":"Henk C"},{"family":"Hendriks","given":"Rudi W"},{"family":"Kool","given":"Mirjam"},{"family":"van den Blink","given":"Bernt"}],"authorYearDisplayFormat":false,"citation-label":"4238293","container-title":"Frontiers in immunology","container-title-short":"Front Immunol","id":"4238293","invisible":false,"issued":{"date-parts":[["2013","12","10"]]},"journalAbbreviation":"Front Immunol","page":"437","suppress-author":false,"title":"Granuloma formation in pulmonary sarcoidosis.","type":"article-journal","volume":"4"}]</w:instrText>
      </w:r>
      <w:r w:rsidRPr="005A7F38">
        <w:fldChar w:fldCharType="separate"/>
      </w:r>
      <w:r w:rsidR="00B775CB" w:rsidRPr="00B775CB">
        <w:rPr>
          <w:noProof/>
          <w:vertAlign w:val="superscript"/>
        </w:rPr>
        <w:t>11</w:t>
      </w:r>
      <w:r w:rsidRPr="005A7F38">
        <w:fldChar w:fldCharType="end"/>
      </w:r>
      <w:r w:rsidRPr="005A7F38">
        <w:t xml:space="preserve"> In sarcoidosis</w:t>
      </w:r>
      <w:r w:rsidR="00AF566A" w:rsidRPr="005A7F38">
        <w:t>,</w:t>
      </w:r>
      <w:r w:rsidRPr="005A7F38">
        <w:t xml:space="preserve"> granulomas are </w:t>
      </w:r>
      <w:r w:rsidR="00907BB9" w:rsidRPr="005A7F38">
        <w:t>the</w:t>
      </w:r>
      <w:r w:rsidRPr="005A7F38">
        <w:t xml:space="preserve"> result of both a local and systemic inflammatory response with an activation of the adaptive and innate immune systems.</w:t>
      </w:r>
      <w:r w:rsidRPr="005A7F38">
        <w:fldChar w:fldCharType="begin"/>
      </w:r>
      <w:r w:rsidR="00B775CB">
        <w:instrText>ADDIN F1000_CSL_CITATION&lt;~#@#~&gt;[{"DOI":"10.1007/s12016-015-8481-z","First":false,"Last":false,"PMID":"25771769","abstract":"Since sarcoidosis was first described more than a century ago, the etiologic determinants causing this disease remain uncertain. Studies suggest that genetic, host immunologic, and environmental factors interact together to cause sarcoidosis. Immunologic characteristics of sarcoidosis include non-caseating granulomas, enhanced local expression of T helper-1 (and often Th17) cytokines and chemokines, dysfunctional regulatory T-cell responses, dysregulated Toll-like receptor signaling, and oligoclonal expansion of CD4+ T cells consistent with chronic antigenic stimulation. Multiple environmental agents have been suggested to cause sarcoidosis. Studies from several groups implicate mycobacterial or propionibacterial organisms in the etiology of sarcoidosis based on tissue analyses and immunologic responses in sarcoidosis patients. Despite these studies, there is no consensus on the nature of a microbial pathogenesis of sarcoidosis. Some groups postulate sarcoidosis is caused by an active viable replicating infection while other groups contend there is no clinical, pathologic, or microbiologic evidence for such a pathogenic mechanism. The authors posit a novel hypothesis that proposes that sarcoidosis is triggered by a hyperimmune Th1 response to pathogenic microbial and tissue antigens associated with the aberrant aggregation of serum amyloid A within granulomas, which promotes progressive chronic granulomatous inflammation in the absence of ongoing infection.","author":[{"family":"Chen","given":"Edward S"},{"family":"Moller","given":"David R"}],"authorYearDisplayFormat":false,"citation-label":"4219823","container-title":"Clinical Reviews in Allergy &amp; Immunology","container-title-short":"Clin Rev Allergy Immunol","id":"4219823","invisible":false,"issue":"1","issued":{"date-parts":[["2015","8"]]},"journalAbbreviation":"Clin Rev Allergy Immunol","page":"6-18","suppress-author":false,"title":"Etiologies of Sarcoidosis.","type":"article-journal","volume":"49"}]</w:instrText>
      </w:r>
      <w:r w:rsidRPr="005A7F38">
        <w:fldChar w:fldCharType="separate"/>
      </w:r>
      <w:r w:rsidR="00B775CB" w:rsidRPr="00B775CB">
        <w:rPr>
          <w:noProof/>
          <w:vertAlign w:val="superscript"/>
        </w:rPr>
        <w:t>5</w:t>
      </w:r>
      <w:r w:rsidRPr="005A7F38">
        <w:fldChar w:fldCharType="end"/>
      </w:r>
      <w:r w:rsidRPr="005A7F38">
        <w:t xml:space="preserve"> Granulomas are an immunologic response involving tissue macrophages, activated monocytes, fibroblasts and T and B lymphocytes.</w:t>
      </w:r>
      <w:r w:rsidRPr="005A7F38">
        <w:fldChar w:fldCharType="begin"/>
      </w:r>
      <w:r w:rsidR="00B775CB">
        <w:instrText>ADDIN F1000_CSL_CITATION&lt;~#@#~&gt;[{"DOI":"10.1007/s12016-015-8481-z","First":false,"Last":false,"PMID":"25771769","abstract":"Since sarcoidosis was first described more than a century ago, the etiologic determinants causing this disease remain uncertain. Studies suggest that genetic, host immunologic, and environmental factors interact together to cause sarcoidosis. Immunologic characteristics of sarcoidosis include non-caseating granulomas, enhanced local expression of T helper-1 (and often Th17) cytokines and chemokines, dysfunctional regulatory T-cell responses, dysregulated Toll-like receptor signaling, and oligoclonal expansion of CD4+ T cells consistent with chronic antigenic stimulation. Multiple environmental agents have been suggested to cause sarcoidosis. Studies from several groups implicate mycobacterial or propionibacterial organisms in the etiology of sarcoidosis based on tissue analyses and immunologic responses in sarcoidosis patients. Despite these studies, there is no consensus on the nature of a microbial pathogenesis of sarcoidosis. Some groups postulate sarcoidosis is caused by an active viable replicating infection while other groups contend there is no clinical, pathologic, or microbiologic evidence for such a pathogenic mechanism. The authors posit a novel hypothesis that proposes that sarcoidosis is triggered by a hyperimmune Th1 response to pathogenic microbial and tissue antigens associated with the aberrant aggregation of serum amyloid A within granulomas, which promotes progressive chronic granulomatous inflammation in the absence of ongoing infection.","author":[{"family":"Chen","given":"Edward S"},{"family":"Moller","given":"David R"}],"authorYearDisplayFormat":false,"citation-label":"4219823","container-title":"Clinical Reviews in Allergy &amp; Immunology","container-title-short":"Clin Rev Allergy Immunol","id":"4219823","invisible":false,"issue":"1","issued":{"date-parts":[["2015","8"]]},"journalAbbreviation":"Clin Rev Allergy Immunol","page":"6-18","suppress-author":false,"title":"Etiologies of Sarcoidosis.","type":"article-journal","volume":"49"}]</w:instrText>
      </w:r>
      <w:r w:rsidRPr="005A7F38">
        <w:fldChar w:fldCharType="separate"/>
      </w:r>
      <w:r w:rsidR="00B775CB" w:rsidRPr="00B775CB">
        <w:rPr>
          <w:noProof/>
          <w:vertAlign w:val="superscript"/>
        </w:rPr>
        <w:t>5</w:t>
      </w:r>
      <w:r w:rsidRPr="005A7F38">
        <w:fldChar w:fldCharType="end"/>
      </w:r>
      <w:r w:rsidRPr="005A7F38">
        <w:t xml:space="preserve"> </w:t>
      </w:r>
      <w:r w:rsidR="00AF566A" w:rsidRPr="005A7F38">
        <w:t xml:space="preserve">The granuloma consists primarily of monocytes, macrophages, </w:t>
      </w:r>
      <w:r w:rsidR="002C0E50" w:rsidRPr="005A7F38">
        <w:t>epithelioid</w:t>
      </w:r>
      <w:r w:rsidR="00AF566A" w:rsidRPr="005A7F38">
        <w:t xml:space="preserve"> cells and multinucleated giant cells well as T lymphocytes. </w:t>
      </w:r>
      <w:r w:rsidR="007A38DD" w:rsidRPr="005A7F38">
        <w:t xml:space="preserve"> </w:t>
      </w:r>
    </w:p>
    <w:p w14:paraId="1097784C" w14:textId="7C15C902" w:rsidR="00246F2F" w:rsidRPr="005A7F38" w:rsidRDefault="007A38DD" w:rsidP="002446BB">
      <w:r w:rsidRPr="005A7F38">
        <w:t>In the lung, an inflammatory cascade associated with sarcoidosis displays a polarized T helper Type 1 (Th1) response from lymphocytes and subsequent increase in production of IFN-y, IL-2, IL-12 and IL-18.</w:t>
      </w:r>
      <w:r w:rsidR="002C0E50" w:rsidRPr="005A7F38">
        <w:fldChar w:fldCharType="begin"/>
      </w:r>
      <w:r w:rsidR="00B775CB">
        <w:instrText>ADDIN F1000_CSL_CITATION&lt;~#@#~&gt;[{"DOI":"10.1016/j.lpm.2012.03.018","First":false,"Last":false,"PMID":"22595775","abstract":"Sarcoidosis is a systemic granulomatous disorder of unknown origin. Recent research uncovered underlying immunological and genetic mechanisms, which will pave the way for more effective pharmaceutical studies. At present some of this knowledge is clinically exploited to monitor therapy and expected genetic progress will allow the development of prognostic genetic patterns or molecular signatures. Moreover, it has become obvious that several etiologic agents and cofactors will exist. These will be of animate and inanimate nature and their interplay with host mechanisms discussed in this review determines disease phenotypes.&lt;br&gt;&lt;br&gt;Copyright © 2012. Published by Elsevier Masson SAS.","author":[{"family":"Müller-Quernheim","given":"Joachim"},{"family":"Prasse","given":"Antje"},{"family":"Zissel","given":"Gernot"}],"authorYearDisplayFormat":false,"citation-label":"4532877","container-title":"Presse Medicale","container-title-short":"Presse Med","id":"4532877","invisible":false,"issue":"6 Pt 2","issued":{"date-parts":[["2012","6"]]},"journalAbbreviation":"Presse Med","page":"e275-87","suppress-author":false,"title":"Pathogenesis of sarcoidosis.","type":"article-journal","volume":"41"}]</w:instrText>
      </w:r>
      <w:r w:rsidR="002C0E50" w:rsidRPr="005A7F38">
        <w:fldChar w:fldCharType="separate"/>
      </w:r>
      <w:r w:rsidR="00B775CB" w:rsidRPr="00B775CB">
        <w:rPr>
          <w:noProof/>
          <w:vertAlign w:val="superscript"/>
        </w:rPr>
        <w:t>14</w:t>
      </w:r>
      <w:r w:rsidR="002C0E50" w:rsidRPr="005A7F38">
        <w:fldChar w:fldCharType="end"/>
      </w:r>
      <w:r w:rsidR="00D60604" w:rsidRPr="005A7F38">
        <w:t xml:space="preserve"> Recruitment of additional lymphocytes and monocytes </w:t>
      </w:r>
      <w:r w:rsidR="003D71EE" w:rsidRPr="005A7F38">
        <w:t>to the lung and differentiation of macrophages into epithelioid and multinucleated giant cells is caused by chemotactic and pro</w:t>
      </w:r>
      <w:r w:rsidR="002E4B84" w:rsidRPr="005A7F38">
        <w:t>-</w:t>
      </w:r>
      <w:r w:rsidR="003D71EE" w:rsidRPr="005A7F38">
        <w:t>inflammatory effector and regulatory cytokine signals. This in turn leads to granuloma formation.</w:t>
      </w:r>
      <w:r w:rsidR="003D71EE" w:rsidRPr="005A7F38">
        <w:fldChar w:fldCharType="begin"/>
      </w:r>
      <w:r w:rsidR="00B775CB">
        <w:instrText>ADDIN F1000_CSL_CITATION&lt;~#@#~&gt;[{"DOI":"10.3389/fimmu.2013.00437","First":false,"Last":false,"PMCID":"PMC3857538","PMID":"24339826","abstract":"Sarcoidosis is a granulomatous disorder of unknown cause, affecting multiple organs, but mainly the lungs. The exact order of immunological events remains obscure. Reviewing current literature, combined with careful clinical observations, we propose a model for granuloma formation in pulmonary sarcoidosis. A tight collaboration between macrophages, dendritic cells, and lymphocyte subsets, initiates the first steps toward granuloma formation, orchestrated by cytokines and chemokines. In a substantial part of pulmonary sarcoidosis patients, granuloma formation becomes an on-going process, leading to debilitating disease, and sometimes death. The immunological response, determining granuloma sustainment is not well understood. An impaired immunosuppressive function of regulatory T cells has been suggested to contribute to the exaggerated response. Interestingly, therapeutical agents commonly used in sarcoidosis, such as glucocorticosteroids and anti-TNF agents, interfere with granuloma integrity and restore the immune homeostasis in autoimmune disorders. Increasing insight into their mechanisms of action may contribute to the search for new therapeutical targets in pulmonary sarcoidosis.","author":[{"family":"Broos","given":"Caroline E"},{"family":"van Nimwegen","given":"Menno"},{"family":"Hoogsteden","given":"Henk C"},{"family":"Hendriks","given":"Rudi W"},{"family":"Kool","given":"Mirjam"},{"family":"van den Blink","given":"Bernt"}],"authorYearDisplayFormat":false,"citation-label":"4238293","container-title":"Frontiers in immunology","container-title-short":"Front Immunol","id":"4238293","invisible":false,"issued":{"date-parts":[["2013","12","10"]]},"journalAbbreviation":"Front Immunol","page":"437","suppress-author":false,"title":"Granuloma formation in pulmonary sarcoidosis.","type":"article-journal","volume":"4"},{"DOI":"10.1513/AnnalsATS.201503-172OT","First":false,"Last":false,"PMCID":"PMC4627423","PMID":"26193069","abstract":"Sarcoidosis is a systemic disease characterized by noncaseating granulomatous inflammation with tremendous clinical heterogeneity and uncertain pathobiology and lacking in clinically useful biomarkers. The Genomic Research in Alpha-1 Antitrypsin Deficiency and Sarcoidosis (GRADS) study is an observational cohort study designed to explore the role of the lung microbiome and genome in these two diseases. This article describes the design and rationale for the GRADS study sarcoidosis protocol. The study addresses the hypothesis that distinct patterns in the lung microbiome are characteristic of sarcoidosis phenotypes and are reflected in changes in systemic inflammatory responses as measured by peripheral blood changes in gene transcription. The goal is to enroll 400 participants, with a minimum of 35 in each of 9 clinical phenotype subgroups prioritized by their clinical relevance to understanding of the pathobiology and clinical heterogeneity of sarcoidosis. Participants with a confirmed diagnosis of sarcoidosis undergo a baseline visit with self-administered questionnaires, chest computed tomography, pulmonary function tests, and blood and urine testing. A research or clinical bronchoscopy with a research bronchoalveolar lavage will be performed to obtain samples for genomic and microbiome analyses. Comparisons will be made by blood genomic analysis and with clinical phenotypic variables. A 6-month follow-up visit is planned to assess each participant's clinical course. By the use of an integrative approach to the analysis of the microbiome and genome in selected clinical phenotypes, the GRADS study is powerfully positioned to inform and direct studies on the pathobiology of sarcoidosis, identify diagnostic or prognostic biomarkers, and provide novel molecular phenotypes that could lead to improved personalized approaches to therapy for sarcoidosis.","author":[{"family":"Moller","given":"David R"},{"family":"Koth","given":"Laura L"},{"family":"Maier","given":"Lisa A"},{"family":"Morris","given":"Alison"},{"family":"Drake","given":"Wonder"},{"family":"Rossman","given":"Milton"},{"family":"Leader","given":"Joseph K"},{"family":"Collman","given":"Ronald G"},{"family":"Hamzeh","given":"Nabeel"},{"family":"Sweiss","given":"Nadera J"},{"family":"Zhang","given":"Yingze"},{"family":"O'Neal","given":"Scott"},{"family":"Senior","given":"Robert M"},{"family":"Becich","given":"Michael"},{"family":"Hochheiser","given":"Harry S"},{"family":"Kaminski","given":"Naftali"},{"family":"Wisniewski","given":"Stephen R"},{"family":"Gibson","given":"Kevin F"},{"family":"GRADS Sarcoidosis Study Group"}],"authorYearDisplayFormat":false,"citation-label":"1400043","container-title":"Annals of the American Thoracic Society","container-title-short":"Ann Am Thorac Soc","id":"1400043","invisible":false,"issue":"10","issued":{"date-parts":[["2015","10"]]},"journalAbbreviation":"Ann Am Thorac Soc","page":"1561-1571","suppress-author":false,"title":"Rationale and Design of the Genomic Research in Alpha-1 Antitrypsin Deficiency and Sarcoidosis (GRADS) Study. Sarcoidosis Protocol.","type":"article-journal","volume":"12"}]</w:instrText>
      </w:r>
      <w:r w:rsidR="003D71EE" w:rsidRPr="005A7F38">
        <w:fldChar w:fldCharType="separate"/>
      </w:r>
      <w:r w:rsidR="00B775CB" w:rsidRPr="00B775CB">
        <w:rPr>
          <w:noProof/>
          <w:vertAlign w:val="superscript"/>
        </w:rPr>
        <w:t>9,11</w:t>
      </w:r>
      <w:r w:rsidR="003D71EE" w:rsidRPr="005A7F38">
        <w:fldChar w:fldCharType="end"/>
      </w:r>
      <w:r w:rsidR="003D71EE" w:rsidRPr="005A7F38">
        <w:t xml:space="preserve"> </w:t>
      </w:r>
      <w:r w:rsidR="002E4B84" w:rsidRPr="005A7F38">
        <w:t xml:space="preserve">Additionally, oligoclonal T-cell expansion in the lungs consistent with T-cell antigen-driven inflammation is seen in sarcoidosis along with regulatory T-cell deficiency. This innate immune pathway dysregulation has been associated with a genetic susceptibility involving human leukocyte antigens (HLA) and variants in the major histocompatibility (MHC) </w:t>
      </w:r>
      <w:r w:rsidR="002E4B84" w:rsidRPr="005A7F38">
        <w:lastRenderedPageBreak/>
        <w:t>locus.</w:t>
      </w:r>
      <w:r w:rsidR="002E4B84" w:rsidRPr="005A7F38">
        <w:fldChar w:fldCharType="begin"/>
      </w:r>
      <w:r w:rsidR="00B775CB">
        <w:instrText>ADDIN F1000_CSL_CITATION&lt;~#@#~&gt;[{"DOI":"10.1186/s13059-017-1207-1","First":false,"Last":false,"PMCID":"PMC5406920","PMID":"28449694","abstract":"In the past 50 years, variants in the major histocompatibility complex (MHC) locus, also known as the human leukocyte antigen (HLA), have been reported as major risk factors for complex diseases. Recent advances, including large genetic screens, imputation, and analyses of non-additive and epistatic effects, have contributed to a better understanding of the shared and specific roles of MHC variants in different diseases. We review these advances and discuss the relationships between MHC variants involved in autoimmune and infectious diseases. Further work in this area will help to distinguish between alternative hypotheses for the role of pathogens in autoimmune disease development.","author":[{"family":"Matzaraki","given":"Vasiliki"},{"family":"Kumar","given":"Vinod"},{"family":"Wijmenga","given":"Cisca"},{"family":"Zhernakova","given":"Alexandra"}],"authorYearDisplayFormat":false,"citation-label":"3550920","container-title":"Genome Biology","container-title-short":"Genome Biol","id":"3550920","invisible":false,"issue":"1","issued":{"date-parts":[["2017","4","27"]]},"journalAbbreviation":"Genome Biol","page":"76","suppress-author":false,"title":"The MHC locus and genetic susceptibility to autoimmune and infectious diseases.","type":"article-journal","volume":"18"},{"DOI":"10.1513/pats.200607-141JG","First":false,"Last":false,"PMCID":"PMC2647608","PMID":"17202299","abstract":"Human leukocyte antigen class II allele associations and T-cell receptor beta chain bias in sarcoidosis suggest a specific disease-triggering antigen exposure in a genetically susceptible host. The cause of sarcoidosis has been elusive, but genetics provides one of the few promising avenues to further our understanding. We review the association studies and genome scans used to identify the genes involved in sarcoidosis.","author":[{"family":"Iannuzzi","given":"Michael C"},{"family":"Rybicki","given":"Benjamin A"}],"authorYearDisplayFormat":false,"citation-label":"906720","container-title":"Proceedings of the American Thoracic Society","container-title-short":"Proc Am Thorac Soc","id":"906720","invisible":false,"issue":"1","issued":{"date-parts":[["2007","1"]]},"journalAbbreviation":"Proc Am Thorac Soc","page":"108-116","suppress-author":false,"title":"Genetics of sarcoidosis: candidate genes and genome scans.","type":"article-journal","volume":"4"},{"DOI":"10.1111/tan.12326","First":false,"Last":false,"PMID":"24641503","abstract":"Genetic factors influence the risk for disease as well as the clinical picture seen in sarcoidosis and especially the genes localized to the human leukocyte antigen (HLA) region on chromosome 6 are of importance. The aim of this study was to further investigate associations between HLA-DRB1 alleles and the risk for extra-pulmonary manifestations (EPMs), i.e. engagement of the skin, superficial lymph nodes, eyes, nervous system, kidneys, hypercalcemia, parotid and salivary glands, heart, liver, spleen and bone marrow in Scandinavian sarcoidosis patients. One thousand patients with together with a group of 2000 healthy individuals, matched for sex and age. HLA-DRB1 alleles were determined for all patients and controls. Excluding erythema nodosum and ankle arthritis, we found 288 of 1000 patients to have EPMs. There were 383 patients with Löfgren's syndrome (LS), and among them EPM were relatively uncommon and diagnosed in only 31 (8.1%) of the patients. In contrast, among the 617 non-LS patients, 257 (41.6%) had EPM (P &lt;  0.0001). In LS patients, the absence of HLA-DRB1*03 substantially increased the risk factor for EPM (erythema nodosum and ankle arthritis excluded) (P &lt;  0.0001). A distinct HLA allele combination, HLA-DRB1*04/*15, was identified as a risk factor for EPM in all patients (25 of 50 with DRB1*04/15 had EPM). In conclusion, EPM are common in non-LS sarcoidosis. Furthermore, HLA-typing of sarcoidosis patients can be used in the clinic to identify patients with an increased risk for EPM.&lt;br&gt;&lt;br&gt;© 2014 John Wiley &amp; Sons A/S. Published by John Wiley &amp; Sons Ltd.","author":[{"family":"Darlington","given":"P"},{"family":"Gabrielsen","given":"A"},{"family":"Sörensson","given":"P"},{"family":"Tallstedt","given":"L"},{"family":"Padyukov","given":"L"},{"family":"Eklund","given":"A"},{"family":"Grunewald","given":"J"}],"authorYearDisplayFormat":false,"citation-label":"4336094","container-title":"Tissue Antigens","container-title-short":"Tissue Antigens","id":"4336094","invisible":false,"issue":"4","issued":{"date-parts":[["2014","4"]]},"journalAbbreviation":"Tissue Antigens","page":"267-272","suppress-author":false,"title":"HLA-alleles associated with increased risk for extra-pulmonary involvement in sarcoidosis.","type":"article-journal","volume":"83"}]</w:instrText>
      </w:r>
      <w:r w:rsidR="002E4B84" w:rsidRPr="005A7F38">
        <w:fldChar w:fldCharType="separate"/>
      </w:r>
      <w:r w:rsidR="00B775CB" w:rsidRPr="00B775CB">
        <w:rPr>
          <w:noProof/>
          <w:vertAlign w:val="superscript"/>
        </w:rPr>
        <w:t>113–115</w:t>
      </w:r>
      <w:r w:rsidR="002E4B84" w:rsidRPr="005A7F38">
        <w:fldChar w:fldCharType="end"/>
      </w:r>
      <w:r w:rsidR="002E4B84" w:rsidRPr="005A7F38">
        <w:t xml:space="preserve"> Variants in the MHC have been implicated in the varying susceptibility individuals have to infectious disease and supports the infectious etiology hypothesis.</w:t>
      </w:r>
      <w:r w:rsidR="002E4B84" w:rsidRPr="005A7F38">
        <w:fldChar w:fldCharType="begin"/>
      </w:r>
      <w:r w:rsidR="00B775CB">
        <w:instrText>ADDIN F1000_CSL_CITATION&lt;~#@#~&gt;[{"DOI":"10.1055/s-0034-1376859","First":false,"Last":false,"PMID":"25007081","abstract":"A consensus statement found in most peer-reviewed literature on sarcoidosis is that the etiology of sarcoidosis is unknown. It is timely to review whether this statement should be revised. Many infectious agents meet the basic requirements of inducing granulomatous inflammation and immunologic responses consistent with sarcoidosis including oligoclonal expansion of CD4+ T cells, polarized Th1 and possibly Th17 responses, and dysregulated regulatory T-cell function. Studies over the past decade provide increasing and complementary data to implicate a role for infectious agents in sarcoidosis etiology. These studies used different methodologies such as polymerase chain reaction and mass spectrometry to document microbial nucleic acids and proteins in sarcoidosis tissues. Multiple studies report antigen-specific immune responses to specific microbial proteins in sarcoidosis. In aggregate, these studies provide compelling evidence that mycobacteria play a major etiologic role in sarcoidosis in the United States and Europe. Studies from Japan support a role for Propionibacteria as a major etiologic agent in the country. There is controversy over how these (or other) infectious agents cause sarcoidosis. The hypothesis that chronic sarcoidosis is caused by a viable, replicating mycobacterial or other infection has no direct pathologic, microbiologic, or clinical evidence. A novel hypothesis links microbial triggers to a sarcoidosis outcome from the accumulation of aggregated proinflammatory serum amyloid A within granulomas, providing a mechanism for chronic disease in the absence of any viable tissue infection. Further studies are needed to provide more definitive evidence for these competing hypotheses before the statement that the etiology of sarcoidosis is unknown becomes obsolete.&lt;br&gt;&lt;br&gt;Thieme Medical Publishers 333 Seventh Avenue, New York, NY 10001, USA.","author":[{"family":"Chen","given":"Edward S"},{"family":"Moller","given":"David R"}],"authorYearDisplayFormat":false,"citation-label":"4508500","container-title":"Seminars in Respiratory and Critical Care Medicine","container-title-short":"Semin Respir Crit Care Med","id":"4508500","invisible":false,"issue":"3","issued":{"date-parts":[["2014","6"]]},"journalAbbreviation":"Semin Respir Crit Care Med","page":"285-295","suppress-author":false,"title":"Etiologic role of infectious agents.","type":"article-journal","volume":"35"},{"DOI":"10.1186/s13059-017-1207-1","First":false,"Last":false,"PMCID":"PMC5406920","PMID":"28449694","abstract":"In the past 50 years, variants in the major histocompatibility complex (MHC) locus, also known as the human leukocyte antigen (HLA), have been reported as major risk factors for complex diseases. Recent advances, including large genetic screens, imputation, and analyses of non-additive and epistatic effects, have contributed to a better understanding of the shared and specific roles of MHC variants in different diseases. We review these advances and discuss the relationships between MHC variants involved in autoimmune and infectious diseases. Further work in this area will help to distinguish between alternative hypotheses for the role of pathogens in autoimmune disease development.","author":[{"family":"Matzaraki","given":"Vasiliki"},{"family":"Kumar","given":"Vinod"},{"family":"Wijmenga","given":"Cisca"},{"family":"Zhernakova","given":"Alexandra"}],"authorYearDisplayFormat":false,"citation-label":"3550920","container-title":"Genome Biology","container-title-short":"Genome Biol","id":"3550920","invisible":false,"issue":"1","issued":{"date-parts":[["2017","4","27"]]},"journalAbbreviation":"Genome Biol","page":"76","suppress-author":false,"title":"The MHC locus and genetic susceptibility to autoimmune and infectious diseases.","type":"article-journal","volume":"18"}]</w:instrText>
      </w:r>
      <w:r w:rsidR="002E4B84" w:rsidRPr="005A7F38">
        <w:fldChar w:fldCharType="separate"/>
      </w:r>
      <w:r w:rsidR="00B775CB" w:rsidRPr="00B775CB">
        <w:rPr>
          <w:noProof/>
          <w:vertAlign w:val="superscript"/>
        </w:rPr>
        <w:t>113,116</w:t>
      </w:r>
      <w:r w:rsidR="002E4B84" w:rsidRPr="005A7F38">
        <w:fldChar w:fldCharType="end"/>
      </w:r>
    </w:p>
    <w:p w14:paraId="6AB999E7" w14:textId="77777777" w:rsidR="00A95B2A" w:rsidRPr="005A7F38" w:rsidRDefault="00AF478B" w:rsidP="002446BB">
      <w:pPr>
        <w:pStyle w:val="Heading3"/>
        <w:rPr>
          <w:rFonts w:cs="Times New Roman"/>
        </w:rPr>
      </w:pPr>
      <w:bookmarkStart w:id="39" w:name="_Toc506540018"/>
      <w:r w:rsidRPr="005A7F38">
        <w:rPr>
          <w:rFonts w:cs="Times New Roman"/>
        </w:rPr>
        <w:t>Etiologica</w:t>
      </w:r>
      <w:r w:rsidR="00A95B2A" w:rsidRPr="005A7F38">
        <w:rPr>
          <w:rFonts w:cs="Times New Roman"/>
        </w:rPr>
        <w:t>l Hypotheses of Sarcoidosis</w:t>
      </w:r>
      <w:bookmarkEnd w:id="39"/>
    </w:p>
    <w:p w14:paraId="6D520FE7" w14:textId="07A00E6E" w:rsidR="00063775" w:rsidRPr="005A7F38" w:rsidRDefault="00886EA3" w:rsidP="002446BB">
      <w:pPr>
        <w:pStyle w:val="Noindent"/>
      </w:pPr>
      <w:r w:rsidRPr="005A7F38">
        <w:t>The etiology of sarcoidosis is not yet elucidated, despite years of research.</w:t>
      </w:r>
      <w:r w:rsidRPr="005A7F38">
        <w:fldChar w:fldCharType="begin"/>
      </w:r>
      <w:r w:rsidR="00B775CB">
        <w:instrText>ADDIN F1000_CSL_CITATION&lt;~#@#~&gt;[{"First":false,"Last":false,"PMID":"16053022","abstract":"Sarcoidosis is a multisystem disorder of unknown cause(s). Despite the knowledge gained during the last decade regarding the pathogenetic mechanisms accounting for the onset, maintenance or evolution of the disease, its etiology is still elusive. To solve this problem, the National Heart, Lung, and Blood Institute (NHLBI) set up a multicenter study, i.e. the ACCESS study (A Case Control Etiologic Study of Sarcoidosis). The study has been designed to validate four major categories of etiological hypotheses (genetic, environmental, infectious and immune dysregulation hypotheses) and its primary endpoint is the discovery of the cause(s) of sarcoidosis. A definite etiology of sarcoidosis was not found, however, the results of ACCESS offer hypotheses for future targeted studies in the search for the cause(s) of the disease and a rich base of case and control data was established for future studies. Lessons learned from ACCESS suggest that hope for finding the etiology of sarcoidosis comes from large, collaborative studies.","author":[{"family":"Semenzato","given":"Gianpietro"}],"authorYearDisplayFormat":false,"citation-label":"4226461","container-title":"Sarcoidosis, vasculitis, and diffuse lung diseases : official journal of WASOG / World Association of Sarcoidosis and Other Granulomatous Disorders","container-title-short":"Sarcoidosis Vasc Diffuse Lung Dis","id":"4226461","invisible":false,"issue":"2","issued":{"date-parts":[["2005","6"]]},"journalAbbreviation":"Sarcoidosis Vasc Diffuse Lung Dis","page":"83-86","suppress-author":false,"title":"ACCESS: A case control etiologic study of sarcoidosis.","type":"article-journal","volume":"22"}]</w:instrText>
      </w:r>
      <w:r w:rsidRPr="005A7F38">
        <w:fldChar w:fldCharType="separate"/>
      </w:r>
      <w:r w:rsidR="00B775CB" w:rsidRPr="00B775CB">
        <w:rPr>
          <w:noProof/>
          <w:vertAlign w:val="superscript"/>
        </w:rPr>
        <w:t>49</w:t>
      </w:r>
      <w:r w:rsidRPr="005A7F38">
        <w:fldChar w:fldCharType="end"/>
      </w:r>
      <w:r w:rsidRPr="005A7F38">
        <w:t xml:space="preserve"> </w:t>
      </w:r>
      <w:r w:rsidR="00063775" w:rsidRPr="005A7F38">
        <w:t>While recent research has shed light on the immunologic basis of sarcoidosis, much remains uncertain.</w:t>
      </w:r>
      <w:r w:rsidR="00063775" w:rsidRPr="005A7F38">
        <w:fldChar w:fldCharType="begin"/>
      </w:r>
      <w:r w:rsidR="00B775CB">
        <w:instrText>ADDIN F1000_CSL_CITATION&lt;~#@#~&gt;[{"DOI":"10.1007/s12016-015-8481-z","First":false,"Last":false,"PMID":"25771769","abstract":"Since sarcoidosis was first described more than a century ago, the etiologic determinants causing this disease remain uncertain. Studies suggest that genetic, host immunologic, and environmental factors interact together to cause sarcoidosis. Immunologic characteristics of sarcoidosis include non-caseating granulomas, enhanced local expression of T helper-1 (and often Th17) cytokines and chemokines, dysfunctional regulatory T-cell responses, dysregulated Toll-like receptor signaling, and oligoclonal expansion of CD4+ T cells consistent with chronic antigenic stimulation. Multiple environmental agents have been suggested to cause sarcoidosis. Studies from several groups implicate mycobacterial or propionibacterial organisms in the etiology of sarcoidosis based on tissue analyses and immunologic responses in sarcoidosis patients. Despite these studies, there is no consensus on the nature of a microbial pathogenesis of sarcoidosis. Some groups postulate sarcoidosis is caused by an active viable replicating infection while other groups contend there is no clinical, pathologic, or microbiologic evidence for such a pathogenic mechanism. The authors posit a novel hypothesis that proposes that sarcoidosis is triggered by a hyperimmune Th1 response to pathogenic microbial and tissue antigens associated with the aberrant aggregation of serum amyloid A within granulomas, which promotes progressive chronic granulomatous inflammation in the absence of ongoing infection.","author":[{"family":"Chen","given":"Edward S"},{"family":"Moller","given":"David R"}],"authorYearDisplayFormat":false,"citation-label":"4219823","container-title":"Clinical Reviews in Allergy &amp; Immunology","container-title-short":"Clin Rev Allergy Immunol","id":"4219823","invisible":false,"issue":"1","issued":{"date-parts":[["2015","8"]]},"journalAbbreviation":"Clin Rev Allergy Immunol","page":"6-18","suppress-author":false,"title":"Etiologies of Sarcoidosis.","type":"article-journal","volume":"49"},{"DOI":"10.1513/AnnalsATS.201503-172OT","First":false,"Last":false,"PMCID":"PMC4627423","PMID":"26193069","abstract":"Sarcoidosis is a systemic disease characterized by noncaseating granulomatous inflammation with tremendous clinical heterogeneity and uncertain pathobiology and lacking in clinically useful biomarkers. The Genomic Research in Alpha-1 Antitrypsin Deficiency and Sarcoidosis (GRADS) study is an observational cohort study designed to explore the role of the lung microbiome and genome in these two diseases. This article describes the design and rationale for the GRADS study sarcoidosis protocol. The study addresses the hypothesis that distinct patterns in the lung microbiome are characteristic of sarcoidosis phenotypes and are reflected in changes in systemic inflammatory responses as measured by peripheral blood changes in gene transcription. The goal is to enroll 400 participants, with a minimum of 35 in each of 9 clinical phenotype subgroups prioritized by their clinical relevance to understanding of the pathobiology and clinical heterogeneity of sarcoidosis. Participants with a confirmed diagnosis of sarcoidosis undergo a baseline visit with self-administered questionnaires, chest computed tomography, pulmonary function tests, and blood and urine testing. A research or clinical bronchoscopy with a research bronchoalveolar lavage will be performed to obtain samples for genomic and microbiome analyses. Comparisons will be made by blood genomic analysis and with clinical phenotypic variables. A 6-month follow-up visit is planned to assess each participant's clinical course. By the use of an integrative approach to the analysis of the microbiome and genome in selected clinical phenotypes, the GRADS study is powerfully positioned to inform and direct studies on the pathobiology of sarcoidosis, identify diagnostic or prognostic biomarkers, and provide novel molecular phenotypes that could lead to improved personalized approaches to therapy for sarcoidosis.","author":[{"family":"Moller","given":"David R"},{"family":"Koth","given":"Laura L"},{"family":"Maier","given":"Lisa A"},{"family":"Morris","given":"Alison"},{"family":"Drake","given":"Wonder"},{"family":"Rossman","given":"Milton"},{"family":"Leader","given":"Joseph K"},{"family":"Collman","given":"Ronald G"},{"family":"Hamzeh","given":"Nabeel"},{"family":"Sweiss","given":"Nadera J"},{"family":"Zhang","given":"Yingze"},{"family":"O'Neal","given":"Scott"},{"family":"Senior","given":"Robert M"},{"family":"Becich","given":"Michael"},{"family":"Hochheiser","given":"Harry S"},{"family":"Kaminski","given":"Naftali"},{"family":"Wisniewski","given":"Stephen R"},{"family":"Gibson","given":"Kevin F"},{"family":"GRADS Sarcoidosis Study Group"}],"authorYearDisplayFormat":false,"citation-label":"1400043","container-title":"Annals of the American Thoracic Society","container-title-short":"Ann Am Thorac Soc","id":"1400043","invisible":false,"issue":"10","issued":{"date-parts":[["2015","10"]]},"journalAbbreviation":"Ann Am Thorac Soc","page":"1561-1571","suppress-author":false,"title":"Rationale and Design of the Genomic Research in Alpha-1 Antitrypsin Deficiency and Sarcoidosis (GRADS) Study. Sarcoidosis Protocol.","type":"article-journal","volume":"12"},{"DOI":"10.1016/j.lpm.2012.03.018","First":false,"Last":false,"PMID":"22595775","abstract":"Sarcoidosis is a systemic granulomatous disorder of unknown origin. Recent research uncovered underlying immunological and genetic mechanisms, which will pave the way for more effective pharmaceutical studies. At present some of this knowledge is clinically exploited to monitor therapy and expected genetic progress will allow the development of prognostic genetic patterns or molecular signatures. Moreover, it has become obvious that several etiologic agents and cofactors will exist. These will be of animate and inanimate nature and their interplay with host mechanisms discussed in this review determines disease phenotypes.&lt;br&gt;&lt;br&gt;Copyright © 2012. Published by Elsevier Masson SAS.","author":[{"family":"Müller-Quernheim","given":"Joachim"},{"family":"Prasse","given":"Antje"},{"family":"Zissel","given":"Gernot"}],"authorYearDisplayFormat":false,"citation-label":"4532877","container-title":"Presse Medicale","container-title-short":"Presse Med","id":"4532877","invisible":false,"issue":"6 Pt 2","issued":{"date-parts":[["2012","6"]]},"journalAbbreviation":"Presse Med","page":"e275-87","suppress-author":false,"title":"Pathogenesis of sarcoidosis.","type":"article-journal","volume":"41"}]</w:instrText>
      </w:r>
      <w:r w:rsidR="00063775" w:rsidRPr="005A7F38">
        <w:fldChar w:fldCharType="separate"/>
      </w:r>
      <w:r w:rsidR="00B775CB" w:rsidRPr="00B775CB">
        <w:rPr>
          <w:noProof/>
          <w:vertAlign w:val="superscript"/>
        </w:rPr>
        <w:t>5,9,14</w:t>
      </w:r>
      <w:r w:rsidR="00063775" w:rsidRPr="005A7F38">
        <w:fldChar w:fldCharType="end"/>
      </w:r>
      <w:r w:rsidR="00063775" w:rsidRPr="005A7F38">
        <w:t xml:space="preserve"> An  association with Th17 effector T-cell responses has been shown in recent research, but the role of these responses in disease pathogenesis or prognosis remains unclear.</w:t>
      </w:r>
      <w:r w:rsidR="00063775" w:rsidRPr="005A7F38">
        <w:fldChar w:fldCharType="begin"/>
      </w:r>
      <w:r w:rsidR="00B775CB">
        <w:instrText>ADDIN F1000_CSL_CITATION&lt;~#@#~&gt;[{"DOI":"10.1007/s10875-012-9817-6","First":false,"Last":false,"PMCID":"PMC3850764","PMID":"23073617","abstract":"&lt;strong&gt;RATIONALE:&lt;/strong&gt; Sarcoidosis is a granulomatous disease of unknown etiology. Many patients with sarcoidosis demonstrate antigen-specific immunity to mycobacterial virulence factors. Th-17 cells are crucial to the immune response in granulomatous inflammation, and have recently been shown to be present in greater numbers in the peripheral blood and bronchoalveolar lavage (BAL) fluid (BALF) of sarcoidosis patients than healthy controls. It is unclear whether Th-17 cells in sarcoidosis are specific for mycobacterial antigens, or whether they have similar functionality to control Th-17 cells.&lt;br&gt;&lt;br&gt;&lt;strong&gt;METHODS:&lt;/strong&gt; Flow cytometry was used to determine the numbers of Th-17 cells present in the peripheral blood and BALF of patients with sarcoidosis, the percentage of Th-17 cells that were specific to the mycobacterial virulence factor ESAT-6, and as well as to assess IFN-γ expression in Th-17 cells following polyclonal stimulation.&lt;br&gt;&lt;br&gt;&lt;strong&gt;RESULTS:&lt;/strong&gt; Patients with sarcoidosis had greater numbers of Th-17 cells in the peripheral blood and BALF than controls and produced significantly more extracellular IL-17A (p = 0.03 and p = 0.02, respectively). ESAT-6 specific Th-17 cells were present in both peripheral blood and BALF of sarcoidosis patients (p &lt;  0.001 and p = 0.03, respectively). After polyclonal stimulation, Th-17 cells from sarcoidosis patients produced less IFN-γ than healthy controls.&lt;br&gt;&lt;br&gt;&lt;strong&gt;CONCLUSIONS:&lt;/strong&gt; Patients with sarcoidosis have mycobacterial antigen-specific Th-17 cells peripherally and in sites of active sarcoidosis involvement. Despite the Th1 immunophenotype of sarcoidosis immunology, the Th-17 cells have reduced IFN-γ expression, compared to healthy controls. This reduction in immunity may contribute to sarcoidosis pathogenesis.","author":[{"family":"Richmond","given":"Bradley W"},{"family":"Ploetze","given":"Kristen"},{"family":"Isom","given":"Joan"},{"family":"Chambers-Harris","given":"Isfahan"},{"family":"Braun","given":"Nicole A"},{"family":"Taylor","given":"Thyneice"},{"family":"Abraham","given":"Susamma"},{"family":"Mageto","given":"Yolanda"},{"family":"Culver","given":"Dan A"},{"family":"Oswald-Richter","given":"Kyra A"},{"family":"Drake","given":"Wonder P"}],"authorYearDisplayFormat":false,"citation-label":"4532881","container-title":"Journal of Clinical Immunology","container-title-short":"J Clin Immunol","id":"4532881","invisible":false,"issue":"2","issued":{"date-parts":[["2013","2"]]},"journalAbbreviation":"J Clin Immunol","page":"446-455","suppress-author":false,"title":"Sarcoidosis Th17 cells are ESAT-6 antigen specific but demonstrate reduced IFN-γ expression.","type":"article-journal","volume":"33"},{"DOI":"10.1136/thx.2010.140319","First":false,"Last":false,"PMID":"21139119","abstract":"&lt;strong&gt;BACKGROUND AND AIMS:&lt;/strong&gt; Sarcoidosis is characterised by a compartmentalisation of CD4(+) T helper 1 (Th1) lymphocytes and activated macrophages in involved organs, including the lung. Recently, Th17 effector CD4(+) T cells have been claimed to be involved in the pathogenesis of granuloma formation. The objective of this study was to investigate the involvement of Th17 cells in the pathogenesis of sarcoidosis.&lt;br&gt;&lt;br&gt;&lt;strong&gt;METHODS:&lt;/strong&gt; Peripheral and pulmonary Th17 cells were evaluated by flow cytometry, real-time PCR, immunohistochemistry analyses and functional assays in patients with sarcoidosis in different phases of the disease and in control subjects.&lt;br&gt;&lt;br&gt;&lt;strong&gt;RESULTS:&lt;/strong&gt; Th17 cells were detected both in the peripheral blood (4.72 ± 2.27% of CD4(+) T cells) and in the bronchoalveolar lavage (BAL) (8.81 ± 2.25% of CD4(+) T lymphocytes) of patients with sarcoidosis and T cell alveolitis. Immunohistochemical analysis of lung and lymph node specimens showed that interleukin 17 (IL-17)(+)/CD4(+) T cells infiltrate sarcoid tissues surrounding the central core of the granuloma. IL-17 was expressed by macrophages infiltrating sarcoid tissue and/or forming the granuloma core (7.88 ± 2.40% of alveolar macrophages). Analysis of some lung specimens highlighted the persistence of IL-17(+)/CD4(+) T cells in relapsed patients and their absence in the recovered cases. Migratory assays demonstrated the ability of the Th17 cell to respond to the chemotactic stimulus CCL20-that is, the CCR6 ligand (74.8 ± 8.5 vs 7.6 ± 2.8 migrating BAL lymphocytes/high-powered field, with and without CCL20, respectively).&lt;br&gt;&lt;br&gt;&lt;strong&gt;CONCLUSIONS:&lt;/strong&gt; Th17 cells participate in the alveolitic/granuloma phase and also to the progression towards the fibrotic phase of the disease. The recruitment of this cell subset may be driven by CCL20 chemokine.","author":[{"family":"Facco","given":"Monica"},{"family":"Cabrelle","given":"Anna"},{"family":"Teramo","given":"Antonella"},{"family":"Olivieri","given":"Valeria"},{"family":"Gnoato","given":"Marianna"},{"family":"Teolato","given":"Sara"},{"family":"Ave","given":"Elisa"},{"family":"Gattazzo","given":"Cristina"},{"family":"Fadini","given":"Gian Paolo"},{"family":"Calabrese","given":"Fiorella"},{"family":"Semenzato","given":"Gianpietro"},{"family":"Agostini","given":"Carlo"}],"authorYearDisplayFormat":false,"citation-label":"4336083","container-title":"Thorax","container-title-short":"Thorax","id":"4336083","invisible":false,"issue":"2","issued":{"date-parts":[["2011","2"]]},"journalAbbreviation":"Thorax","page":"144-150","suppress-author":false,"title":"Sarcoidosis is a Th1/Th17 multisystem disorder.","type":"article-journal","volume":"66"},{"First":false,"Last":false,"PMCID":"PMC2766086","PMID":"19109199","abstract":"Hypersensitivity pneumonitis is an environmental lung disease characterized by a diffuse mononuclear cell infiltrate in the lung that can progress to pulmonary fibrosis with chronic exposure to an inhaled Ag. Using a well-established murine model of hypersensitivity pneumonitis, we repeatedly exposed C57BL/6 mice to Saccharopolyspora rectivirgula to investigate whether T cells are required for lung fibrosis. In the absence of alphabeta T cells, TCRbeta(-/-) mice exposed to S. rectivirgula for 4 wk had markedly decreased mononuclear infiltrates and collagen deposition in the lung compared with wild-type C57BL/6 mice. In contrast to CD8(+) T cells, adoptive transfer of CD4(+) T cells reconstituted the S. rectivirgula-induced inflammatory and fibrotic response, suggesting that the CD4(+) T cell represents the critical alphabeta T cell subset. Cytokine analysis of lung homogenates at various time points after S. rectivirgula exposure failed to identify a predominant Th1 or Th2 phenotype. Conversely, IL-17 was found in the lung at increasing concentrations with continued exposure to S. rectivirgula. Intracellular cytokine staining revealed that 14% of CD4(+) T cells from the lung of mice treated with S. rectivirgula expressed IL-17A. In the absence of IL-17 receptor signaling, Il17ra(-/-) mice had significantly decreased lung inflammation and fibrosis compared with wild-type C57BL/6 mice. These data are the first to demonstrate an important role for Th17-polarized CD4(+) T lymphocytes in the immune response directed against S. rectivirgula in this murine model of hypersensitivity pneumonitis and pulmonary fibrosis.","author":[{"family":"Simonian","given":"Philip L"},{"family":"Roark","given":"Christina L"},{"family":"Wehrmann","given":"Fabian"},{"family":"Lanham","given":"Allison K"},{"family":"Diaz del Valle","given":"Fernando"},{"family":"Born","given":"Willi K"},{"family":"O'Brien","given":"Rebecca L"},{"family":"Fontenot","given":"Andrew P"}],"authorYearDisplayFormat":false,"citation-label":"3621432","container-title":"Journal of Immunology","container-title-short":"J Immunol","id":"3621432","invisible":false,"issue":"1","issued":{"date-parts":[["2009","1","1"]]},"journalAbbreviation":"J Immunol","page":"657-665","suppress-author":false,"title":"Th17-polarized immune response in a murine model of hypersensitivity pneumonitis and lung fibrosis.","type":"article-journal","volume":"182"},{"DOI":"10.1093/rheumatology/ker316","First":false,"Last":false,"PMID":"22075064","abstract":"&lt;strong&gt;OBJECTIVE:&lt;/strong&gt; Sarcoidosis is a systemic inflammatory disorder characterized by granulomas. Although the aetiology is unknown, sarcoidosis is thought to be mediated by Th1 lymphocytes. Recently, IL-17A has been implicated in granuloma formation in various diseases, including tuberculosis. Therefore, we hypothesized that Th17 cells play a role in sarcoidosis, paralleling recent findings in autoimmune diseases such as RA. The aim of our study was to investigate the role of Th17 cells in sarcoidosis.&lt;br&gt;&lt;br&gt;&lt;strong&gt;METHODS:&lt;/strong&gt; T cells were investigated by intracellular flow cytometry and immunohistochemistry, in blood, bronchoalveolar lavages (BALs) and bronchial mucosal biopsies from a cohort of newly diagnosed sarcoidosis patients and healthy controls.&lt;br&gt;&lt;br&gt;&lt;strong&gt;RESULTS:&lt;/strong&gt; Circulating memory CD4(+) T-cell populations of sarcoidosis patients contained significantly increased proportions of IL-17A(+) cells when compared with healthy controls. Interestingly, proportions of IL-17A/IFN-γ and IL-17A/IL-4 double-producing cells were significantly increased in blood of sarcoidosis patients and were present in substantial numbers in BAL. In granuloma-containing, but not in non-granulomatous sarcoidosis biopsies, we found significantly increased numbers of IL-17A(+) T cells, located in and around granulomas throughout the lamina propria. IL-22(+) T cells were increased in the subepithelial layer.&lt;br&gt;&lt;br&gt;&lt;strong&gt;CONCLUSIONS:&lt;/strong&gt; Enhanced IL-17A expression in granulomas and the presence of IL-17A(+), IL-17A(+)IFN-γ(+) and IL-17A(+)IL-4(+)memory Th cells in the circulation and BAL indicate Th17 cell involvement in granuloma induction or maintenance in sarcoidosis. Therefore, neutralization of IL-17A activity may be a novel strategy to treat sarcoidosis.","author":[{"family":"Ten Berge","given":"Bregje"},{"family":"Paats","given":"Marthe S"},{"family":"Bergen","given":"Ingrid M"},{"family":"van den Blink","given":"Bernt"},{"family":"Hoogsteden","given":"Henk C"},{"family":"Lambrecht","given":"Bart N"},{"family":"Hendriks","given":"Rudi W"},{"family":"Kleinjan","given":"Alex"}],"authorYearDisplayFormat":false,"citation-label":"3622501","container-title":"Rheumatology (Oxford, England)","container-title-short":"Rheumatology (Oxford)","id":"3622501","invisible":false,"issue":"1","issued":{"date-parts":[["2012","1"]]},"journalAbbreviation":"Rheumatology (Oxford)","page":"37-46","suppress-author":false,"title":"Increased IL-17A expression in granulomas and in circulating memory T cells in sarcoidosis.","type":"article-journal","volume":"51"}]</w:instrText>
      </w:r>
      <w:r w:rsidR="00063775" w:rsidRPr="005A7F38">
        <w:fldChar w:fldCharType="separate"/>
      </w:r>
      <w:r w:rsidR="00B775CB" w:rsidRPr="00B775CB">
        <w:rPr>
          <w:noProof/>
          <w:vertAlign w:val="superscript"/>
        </w:rPr>
        <w:t>64,117–119</w:t>
      </w:r>
      <w:r w:rsidR="00063775" w:rsidRPr="005A7F38">
        <w:fldChar w:fldCharType="end"/>
      </w:r>
      <w:r w:rsidR="00063775" w:rsidRPr="005A7F38">
        <w:t xml:space="preserve"> Hypotheses involving occupational and environmental factors as well as infection and genetic risk factors have been explored, but a definitive cause has not been identified.</w:t>
      </w:r>
      <w:r w:rsidR="00063775" w:rsidRPr="005A7F38">
        <w:fldChar w:fldCharType="begin"/>
      </w:r>
      <w:r w:rsidR="00B775CB">
        <w:instrText>ADDIN F1000_CSL_CITATION&lt;~#@#~&gt;[{"DOI":"10.1016/j.mayocp.2016.03.004","First":false,"Last":false,"PMID":"27378039","abstract":"Sarcoidosis is a chronic granulomatous disease of unknown cause that is seen worldwide and occurs mainly in patients between the ages of 20 and 60 years. It can be difficult to diagnose because it can mimic many other diseases including lymphoproliferative disorders and granulomatous infections and because there is no specific test for diagnosis, which depends on correlation of clinicoradiologic and histopathologic features. This review will focus on recent discoveries regarding the pathogenesis of sarcoidosis, common clinical presentations, diagnostic evaluation, and indications for treatment. This review is aimed largely at general practitioners and emphasizes the importance of differentiating pulmonary sarcoidosis from its common imitators.&lt;br&gt;&lt;br&gt;Copyright © 2016 Mayo Foundation for Medical Education and Research. Published by Elsevier Inc. All rights reserved.","author":[{"family":"Carmona","given":"Eva M"},{"family":"Kalra","given":"Sanjay"},{"family":"Ryu","given":"Jay H"}],"authorYearDisplayFormat":false,"citation-label":"3390559","container-title":"Mayo Clinic Proceedings","container-title-short":"Mayo Clin Proc","id":"3390559","invisible":false,"issue":"7","issued":{"date-parts":[["2016","7"]]},"journalAbbreviation":"Mayo Clin Proc","page":"946-954","suppress-author":false,"title":"Pulmonary sarcoidosis: diagnosis and treatment.","type":"article-journal","volume":"91"}]</w:instrText>
      </w:r>
      <w:r w:rsidR="00063775" w:rsidRPr="005A7F38">
        <w:fldChar w:fldCharType="separate"/>
      </w:r>
      <w:r w:rsidR="00B775CB" w:rsidRPr="00B775CB">
        <w:rPr>
          <w:noProof/>
          <w:vertAlign w:val="superscript"/>
        </w:rPr>
        <w:t>17</w:t>
      </w:r>
      <w:r w:rsidR="00063775" w:rsidRPr="005A7F38">
        <w:fldChar w:fldCharType="end"/>
      </w:r>
      <w:r w:rsidR="00063775" w:rsidRPr="005A7F38">
        <w:t xml:space="preserve"> While both genetic susceptibility involving HLA and MHC variants and environmental triggers are thought to play a role in the pathogenesis of sarcoidosis, significant evidence for the role of a microbial agent exists.</w:t>
      </w:r>
      <w:r w:rsidR="00063775" w:rsidRPr="005A7F38">
        <w:fldChar w:fldCharType="begin"/>
      </w:r>
      <w:r w:rsidR="00B775CB">
        <w:instrText>ADDIN F1000_CSL_CITATION&lt;~#@#~&gt;[{"DOI":"10.1165/rcmb.2010-0433TR","First":false,"Last":false,"PMCID":"PMC3361363","PMID":"21659662","abstract":"Despite its recognition as a distinct granulomatous disease for over a century, the etiology of sarcoidosis remains to be defined. Since the early 1900s, infectious agents have been suspected in causing sarcoidosis. For much of this time, mycobacteria were considered a likely culprit, yet until recently, the supporting evidence has been tenuous at best. In this review, we evaluate the reported association between mycobacteria and sarcoidosis. Historically, mycobacterial infection has been investigated using histologic stains, cultures of lesional tissue or blood, and identification of bacterial nucleic acids or bacterial antigens. More recently, advances in biochemical, molecular, and immunological methods have produced a more rigorous analysis of the antigenic drivers of sarcoidosis. The result of these efforts indicates that mycobacterial products likely play a role in at least a subset of sarcoidosis cases. This information, coupled with a better understanding of genetic susceptibility to this complex disease, has therapeutic implications.","author":[{"family":"Brownell","given":"Isaac"},{"family":"Ramírez-Valle","given":"Francisco"},{"family":"Sanchez","given":"Miguel"},{"family":"Prystowsky","given":"Stephen"}],"authorYearDisplayFormat":false,"citation-label":"4508501","container-title":"American Journal of Respiratory Cell and Molecular Biology","container-title-short":"Am J Respir Cell Mol Biol","id":"4508501","invisible":false,"issue":"5","issued":{"date-parts":[["2011","11"]]},"journalAbbreviation":"Am J Respir Cell Mol Biol","page":"899-905","suppress-author":false,"title":"Evidence for mycobacteria in sarcoidosis.","type":"article-journal","volume":"45"},{"First":false,"Last":false,"PMCID":"PMC1765885","PMID":"9381427","author":[{"family":"Kon","given":"O M"},{"family":"du Bois","given":"R M"}],"authorYearDisplayFormat":false,"citation-label":"4508502","container-title":"Thorax","container-title-short":"Thorax","id":"4508502","invisible":false,"issued":{"date-parts":[["1997","8"]]},"journalAbbreviation":"Thorax","page":"S47-51","suppress-author":false,"title":"Mycobacteria and sarcoidosis.","type":"article-journal","volume":"52 Suppl 3"},{"DOI":"10.1055/s-0034-1376859","First":false,"Last":false,"PMID":"25007081","abstract":"A consensus statement found in most peer-reviewed literature on sarcoidosis is that the etiology of sarcoidosis is unknown. It is timely to review whether this statement should be revised. Many infectious agents meet the basic requirements of inducing granulomatous inflammation and immunologic responses consistent with sarcoidosis including oligoclonal expansion of CD4+ T cells, polarized Th1 and possibly Th17 responses, and dysregulated regulatory T-cell function. Studies over the past decade provide increasing and complementary data to implicate a role for infectious agents in sarcoidosis etiology. These studies used different methodologies such as polymerase chain reaction and mass spectrometry to document microbial nucleic acids and proteins in sarcoidosis tissues. Multiple studies report antigen-specific immune responses to specific microbial proteins in sarcoidosis. In aggregate, these studies provide compelling evidence that mycobacteria play a major etiologic role in sarcoidosis in the United States and Europe. Studies from Japan support a role for Propionibacteria as a major etiologic agent in the country. There is controversy over how these (or other) infectious agents cause sarcoidosis. The hypothesis that chronic sarcoidosis is caused by a viable, replicating mycobacterial or other infection has no direct pathologic, microbiologic, or clinical evidence. A novel hypothesis links microbial triggers to a sarcoidosis outcome from the accumulation of aggregated proinflammatory serum amyloid A within granulomas, providing a mechanism for chronic disease in the absence of any viable tissue infection. Further studies are needed to provide more definitive evidence for these competing hypotheses before the statement that the etiology of sarcoidosis is unknown becomes obsolete.&lt;br&gt;&lt;br&gt;Thieme Medical Publishers 333 Seventh Avenue, New York, NY 10001, USA.","author":[{"family":"Chen","given":"Edward S"},{"family":"Moller","given":"David R"}],"authorYearDisplayFormat":false,"citation-label":"4508500","container-title":"Seminars in Respiratory and Critical Care Medicine","container-title-short":"Semin Respir Crit Care Med","id":"4508500","invisible":false,"issue":"3","issued":{"date-parts":[["2014","6"]]},"journalAbbreviation":"Semin Respir Crit Care Med","page":"285-295","suppress-author":false,"title":"Etiologic role of infectious agents.","type":"article-journal","volume":"35"},{"First":false,"Last":false,"PMCID":"PMC120089","PMID":"11773116","abstract":"The cause(s) of sarcoidosis is unknown. Mycobacterium spp. are suspected in Europe and Propionibacterium spp. are suspected in Japan. The present international collaboration evaluated the possible etiological links between sarcoidosis and the suspected bacterial species. Formalin-fixed and paraffin-embedded sections of biopsy samples of lymph nodes, one from each of 108 patients with sarcoidosis and 65 patients with tuberculosis, together with 86 control samples, were collected from two institutes in Japan and three institutes in Italy, Germany, and England. Genomes of Propionibacterium acnes, Propionibacterium granulosum, Mycobacterium tuberculosis, Mycobacterium avium subsp. paratuberculosis, and Escherichia coli (as the control) were counted by quantitative real-time PCR. Either P. acnes or P. granulosum was found in all but two of the sarcoid samples. M. avium subsp. paratuberculosis was found in no sarcoid sample. M. tuberculosis was found in 0 to 9% of the sarcoid samples but in 65 to 100% of the tuberculosis samples. In sarcoid lymph nodes, the total numbers of genomes of P. acnes or P. granulosum were far more than those of M. tuberculosis. P. acnes or P. granulosum was found in 0 to 60% of the tuberculosis and control samples, but the total numbers of genomes of P. acnes or P. granulosum in such samples were less than those in sarcoid samples. Propionibacterium spp. are more likely than Mycobacteria spp. to be involved in the etiology of sarcoidosis, not only in Japanese but also in European patients with sarcoidosis.","author":[{"family":"Eishi","given":"Yoshinobu"},{"family":"Suga","given":"Moritaka"},{"family":"Ishige","given":"Ikuo"},{"family":"Kobayashi","given":"Daisuke"},{"family":"Yamada","given":"Tetsuo"},{"family":"Takemura","given":"Tamiko"},{"family":"Takizawa","given":"Touichiro"},{"family":"Koike","given":"Morio"},{"family":"Kudoh","given":"Shoji"},{"family":"Costabel","given":"Ulrich"},{"family":"Guzman","given":"Josune"},{"family":"Rizzato","given":"Gianfranco"},{"family":"Gambacorta","given":"Marcello"},{"family":"du Bois","given":"Ronald"},{"family":"Nicholson","given":"Andrew G"},{"family":"Sharma","given":"Om P"},{"family":"Ando","given":"Masayuki"}],"authorYearDisplayFormat":false,"citation-label":"4238711","container-title":"Journal of Clinical Microbiology","container-title-short":"J Clin Microbiol","id":"4238711","invisible":false,"issue":"1","issued":{"date-parts":[["2002","1"]]},"journalAbbreviation":"J Clin Microbiol","page":"198-204","suppress-author":false,"title":"Quantitative analysis of mycobacterial and propionibacterial DNA in lymph nodes of Japanese and European patients with sarcoidosis.","type":"article-journal","volume":"40"}]</w:instrText>
      </w:r>
      <w:r w:rsidR="00063775" w:rsidRPr="005A7F38">
        <w:fldChar w:fldCharType="separate"/>
      </w:r>
      <w:r w:rsidR="00B775CB" w:rsidRPr="00B775CB">
        <w:rPr>
          <w:noProof/>
          <w:vertAlign w:val="superscript"/>
        </w:rPr>
        <w:t>116,120–122</w:t>
      </w:r>
      <w:r w:rsidR="00063775" w:rsidRPr="005A7F38">
        <w:fldChar w:fldCharType="end"/>
      </w:r>
      <w:r w:rsidR="00063775" w:rsidRPr="005A7F38">
        <w:t xml:space="preserve">  In patients with chronic systemic sarcoidosis, multiple studies support a microbial cause, however, no consensus has been reached regarding the specific microbial agents or pathogenesis of the disease following exposure.</w:t>
      </w:r>
      <w:r w:rsidR="00063775" w:rsidRPr="005A7F38">
        <w:fldChar w:fldCharType="begin"/>
      </w:r>
      <w:r w:rsidR="00B775CB">
        <w:instrText>ADDIN F1000_CSL_CITATION&lt;~#@#~&gt;[{"DOI":"10.1007/s12016-015-8481-z","First":false,"Last":false,"PMID":"25771769","abstract":"Since sarcoidosis was first described more than a century ago, the etiologic determinants causing this disease remain uncertain. Studies suggest that genetic, host immunologic, and environmental factors interact together to cause sarcoidosis. Immunologic characteristics of sarcoidosis include non-caseating granulomas, enhanced local expression of T helper-1 (and often Th17) cytokines and chemokines, dysfunctional regulatory T-cell responses, dysregulated Toll-like receptor signaling, and oligoclonal expansion of CD4+ T cells consistent with chronic antigenic stimulation. Multiple environmental agents have been suggested to cause sarcoidosis. Studies from several groups implicate mycobacterial or propionibacterial organisms in the etiology of sarcoidosis based on tissue analyses and immunologic responses in sarcoidosis patients. Despite these studies, there is no consensus on the nature of a microbial pathogenesis of sarcoidosis. Some groups postulate sarcoidosis is caused by an active viable replicating infection while other groups contend there is no clinical, pathologic, or microbiologic evidence for such a pathogenic mechanism. The authors posit a novel hypothesis that proposes that sarcoidosis is triggered by a hyperimmune Th1 response to pathogenic microbial and tissue antigens associated with the aberrant aggregation of serum amyloid A within granulomas, which promotes progressive chronic granulomatous inflammation in the absence of ongoing infection.","author":[{"family":"Chen","given":"Edward S"},{"family":"Moller","given":"David R"}],"authorYearDisplayFormat":false,"citation-label":"4219823","container-title":"Clinical Reviews in Allergy &amp; Immunology","container-title-short":"Clin Rev Allergy Immunol","id":"4219823","invisible":false,"issue":"1","issued":{"date-parts":[["2015","8"]]},"journalAbbreviation":"Clin Rev Allergy Immunol","page":"6-18","suppress-author":false,"title":"Etiologies of Sarcoidosis.","type":"article-journal","volume":"49"},{"First":false,"Last":false,"PMCID":"PMC120671","PMID":"12149380","abstract":"The causes of sarcoidosis are unknown. In this study, we report the presence of Mycobacterium tuberculosis complex and Propionibacterium granulosum DNA in a significant proportion of Greek patients with sarcoidosis. Human herpesvirus 8 DNA was not detected in sarcoid tissues from Greek patients. Our findings are discussed.","author":[{"family":"Gazouli","given":"M"},{"family":"Ikonomopoulos","given":"J"},{"family":"Trigidou","given":"R"},{"family":"Foteinou","given":"M"},{"family":"Kittas","given":"C"},{"family":"Gorgoulis","given":"V"}],"authorYearDisplayFormat":false,"citation-label":"4509114","container-title":"Journal of Clinical Microbiology","container-title-short":"J Clin Microbiol","id":"4509114","invisible":false,"issue":"8","issued":{"date-parts":[["2002","8"]]},"journalAbbreviation":"J Clin Microbiol","page":"3060-3063","suppress-author":false,"title":"Assessment of mycobacterial, propionibacterial, and human herpesvirus 8 DNA in tissues of greek patients with sarcoidosis.","type":"article-journal","volume":"40"},{"First":false,"Last":false,"PMID":"15881278","abstract":"&lt;strong&gt;BACKGROUND:&lt;/strong&gt; In studies of the unknown etiology of sarcoidosis, Propionibacterium acnes (a possible agent) was found in the lungs and lymph nodes of many sarcoidosis patients and some control subjects. P. acnes might be commensal not only to the skin, conjunctivae, and intestine, but also to the lungs and lymph nodes of individuals without sarcoidosis.&lt;br&gt;&lt;br&gt;&lt;strong&gt;METHODS:&lt;/strong&gt; We cultured peripheral lung tissue and various lymph nodes obtained from patients with diseases other than sarcoidosis. DNA of 45 isolates of P. acnes from these patients, 67 isolates from normal skin, conjunctiva, and intestine, and 39 isolates from sarcoid lymph nodes were compared by random amplified polymorphic DNA analysis.&lt;br&gt;&lt;br&gt;&lt;strong&gt;RESULTS:&lt;/strong&gt; P. acnes was isolated from half of 43 lungs and 8 of 11 mediastinal lymph nodes, mostly in pure culture. P. acnes was isolated from half of 20 gastric and 3 of 12 intestinal lymph nodes; intestinal bacteria were also numerous. In general, fewer than 500 colony-forming units of P. acnes per gram tissue were isolated, but 4 lung tissue specimens, 2 of which had a few granulomas, had many more. P. acnes strains from a particular site (lung, lymph node, skin or conjunctivae, and intestine) were genetically similar, more than isolates obtained from different sites. Lymph-node isolates from subjects with and without sarcoidosis differed little.&lt;br&gt;&lt;br&gt;&lt;strong&gt;CONCLUSION:&lt;/strong&gt; These results suggest that P. acnes normally resides in peripheral lung tissue and mediastinal lymph nodes and that the strains of P. acnes isolated from sarcoid lymph nodes were not specific to sarcoidosis.","author":[{"family":"Ishige","given":"Ikuo"},{"family":"Eishi","given":"Yoshinobu"},{"family":"Takemura","given":"Tamiko"},{"family":"Kobayashi","given":"Intetsu"},{"family":"Nakata","given":"Koh"},{"family":"Tanaka","given":"Isao"},{"family":"Nagaoka","given":"Sakae"},{"family":"Iwai","given":"Kazuro"},{"family":"Watanabe","given":"Kunitomo"},{"family":"Takizawa","given":"Touichiro"},{"family":"Koike","given":"Morio"}],"authorYearDisplayFormat":false,"citation-label":"4509142","container-title":"Sarcoidosis, vasculitis, and diffuse lung diseases : official journal of WASOG / World Association of Sarcoidosis and Other Granulomatous Disorders","container-title-short":"Sarcoidosis Vasc Diffuse Lung Dis","id":"4509142","invisible":false,"issue":"1","issued":{"date-parts":[["2005","3"]]},"journalAbbreviation":"Sarcoidosis Vasc Diffuse Lung Dis","page":"33-42","suppress-author":false,"title":"Propionibacterium acnes is the most common bacterium commensal in peripheral lung tissue and mediastinal lymph nodes from subjects without sarcoidosis.","type":"article-journal","volume":"22"},{"DOI":"10.1016/S0002-9440(10)63327-5","First":false,"Last":false,"PMCID":"PMC1618559","PMID":"15277236","abstract":"Although many cases of sarcoidosis are self-limiting with spontaneous remission, uncontrolled pulmonary granulomatosis with fibrosis produces intolerable long-term respiratory symptoms in a minority of patients. Individuals with chronic pulmonary sarcoidosis require an alternative therapy to corticosteroidal treatment because of its insufficient effectiveness. Although many researchers have considered infection as the triggering factor for this disease, the mechanisms by which the candidate causative organisms induce this disorder remain unclear. We report here that extrapulmonary sensitization to Propionibacterium acnes, which is one of the candidates to date, induced pulmonary Th-1 granulomas mainly in the subpleural and peribronchovascular regions often observed in sarcoidosis. These granulomas appear to be caused by indigenous P. acnes pre-existing in the lower respiratory tract of the normal lung, which is believed to be germ-free, and by an influx of P. acnes-sensitized CD4(+) T cells from the circulation. Importantly, the eradication of indigenous P. acnes with antibiotics alleviated the granulomatous lung disease. This is the first report to present clear evidence of the contribution of an indigenous pulmonary bacterium to the formation of granulomatous lesions in the lung. We propose that treatment targeting indigenous P. acnes in the lung may be a possible remedy for pulmonary sarcoidosis.","author":[{"family":"Nishiwaki","given":"Tetsu"},{"family":"Yoneyama","given":"Hiroyuki"},{"family":"Eishi","given":"Yoshinobu"},{"family":"Matsuo","given":"Naoki"},{"family":"Tatsumi","given":"Koichiro"},{"family":"Kimura","given":"Hiroshi"},{"family":"Kuriyama","given":"Takayuki"},{"family":"Matsushima","given":"Kouji"}],"authorYearDisplayFormat":false,"citation-label":"4509143","container-title":"The American Journal of Pathology","container-title-short":"Am J Pathol","id":"4509143","invisible":false,"issue":"2","issued":{"date-parts":[["2004","8"]]},"journalAbbreviation":"Am J Pathol","page":"631-639","suppress-author":false,"title":"Indigenous pulmonary Propionibacterium acnes primes the host in the development of sarcoid-like pulmonary granulomatosis in mice.","type":"article-journal","volume":"165"},{"DOI":"10.1165/rcmb.2005-0285OC","First":false,"Last":false,"PMCID":"PMC2643288","PMID":"16645181","abstract":"Propionibacterium acnes (PA) is a gram-positive anaerobic bacterium implicated as a putative etiologic agent of sarcoidosis. To characterize the pulmonary immune response to PA, C57BL/6 and BALB/c mice were intraperitoneally sensitized and intratracheally challenged with heat-killed bacteria. C57BL/6 mice challenged with PA developed a cellular immune response characterized by elevations in Th1 cytokines/chemokines, increased numbers of lymphocytes and macrophages in lung lavage fluid, and peribronchovascular granulomatous inflammation composed of T- and B-lymphocytes and epithelioid histiocytes. T-lymphocytes in the lung lavage fluid showed a marked CD4+ cell predominance. In contrast, C57BL/6 mice challenged with Staphylococcus epidermidis (SE), another gram-positive commensal of human skin, and BALB/c mice challenged with PA, showed only a modest induction of Th1 cytokines, less pulmonary inflammation, and no granulomatous changes in the lung. Enhancement of Toll-like receptor expression was seen in PA-exposed C57BL/6 mice within 24 h after exposure, suggesting that induction of innate immunity by PA contributes to the robust, polarized Th1 immune response elicited by this bacterium. These findings suggest that PA-induced pulmonary inflammation may be a useful model for testing the contributions of both bacterial and host factors in the development, maintenance, and resolution of granulomatous inflammation in the lung.","author":[{"family":"McCaskill","given":"Joshua G"},{"family":"Chason","given":"Kelly D"},{"family":"Hua","given":"Xiaoyang"},{"family":"Neuringer","given":"Isabel P"},{"family":"Ghio","given":"Andrew J"},{"family":"Funkhouser","given":"William K"},{"family":"Tilley","given":"Stephen L"}],"authorYearDisplayFormat":false,"citation-label":"4325055","container-title":"American Journal of Respiratory Cell and Molecular Biology","container-title-short":"Am J Respir Cell Mol Biol","id":"4325055","invisible":false,"issue":"3","issued":{"date-parts":[["2006","9"]]},"journalAbbreviation":"Am J Respir Cell Mol Biol","page":"347-356","suppress-author":false,"title":"Pulmonary immune responses to Propionibacterium acnes in C57BL/6 and BALB/c mice.","type":"article-journal","volume":"35"},{"DOI":"10.1055/s-0034-1376859","First":false,"Last":false,"PMID":"25007081","abstract":"A consensus statement found in most peer-reviewed literature on sarcoidosis is that the etiology of sarcoidosis is unknown. It is timely to review whether this statement should be revised. Many infectious agents meet the basic requirements of inducing granulomatous inflammation and immunologic responses consistent with sarcoidosis including oligoclonal expansion of CD4+ T cells, polarized Th1 and possibly Th17 responses, and dysregulated regulatory T-cell function. Studies over the past decade provide increasing and complementary data to implicate a role for infectious agents in sarcoidosis etiology. These studies used different methodologies such as polymerase chain reaction and mass spectrometry to document microbial nucleic acids and proteins in sarcoidosis tissues. Multiple studies report antigen-specific immune responses to specific microbial proteins in sarcoidosis. In aggregate, these studies provide compelling evidence that mycobacteria play a major etiologic role in sarcoidosis in the United States and Europe. Studies from Japan support a role for Propionibacteria as a major etiologic agent in the country. There is controversy over how these (or other) infectious agents cause sarcoidosis. The hypothesis that chronic sarcoidosis is caused by a viable, replicating mycobacterial or other infection has no direct pathologic, microbiologic, or clinical evidence. A novel hypothesis links microbial triggers to a sarcoidosis outcome from the accumulation of aggregated proinflammatory serum amyloid A within granulomas, providing a mechanism for chronic disease in the absence of any viable tissue infection. Further studies are needed to provide more definitive evidence for these competing hypotheses before the statement that the etiology of sarcoidosis is unknown becomes obsolete.&lt;br&gt;&lt;br&gt;Thieme Medical Publishers 333 Seventh Avenue, New York, NY 10001, USA.","author":[{"family":"Chen","given":"Edward S"},{"family":"Moller","given":"David R"}],"authorYearDisplayFormat":false,"citation-label":"4508500","container-title":"Seminars in Respiratory and Critical Care Medicine","container-title-short":"Semin Respir Crit Care Med","id":"4508500","invisible":false,"issue":"3","issued":{"date-parts":[["2014","6"]]},"journalAbbreviation":"Semin Respir Crit Care Med","page":"285-295","suppress-author":false,"title":"Etiologic role of infectious agents.","type":"article-journal","volume":"35"},{"First":false,"Last":false,"PMID":"7516118","abstract":"Infection with Mycobacterium tuberculosis is a major cause of death worldwide. Identification of mycobacteria in tissue sections is usually easily achieved by acid-fast stains, but this method sometimes gives unsatisfactory results. The authors therefore compared conventional staining techniques and polymerase chain reaction (PCR) for mycobacterial DNA sequences in 24 selected tissue samples from patients with tuberculosis. In all samples, either positive or negative with acid-fast stain, mycobacterial DNA fragments were detected. In addition, tissue samples from patients with clinically proven sarcoidosis were included as controls. Surprisingly, strong signals for mycobacterial DNA were found in 2 of 15 cases. Polymerase chain reaction is a useful technique in the demonstration of mycobacterial DNA fragments in patients with clinically suspected tuberculosis who have acid fast stain-negative histology. An epithelioid granulomatous reaction in the lung, negative by acid-fast stain and positive for mycobacterial DNA by PCR, however, does not permit a diagnosis of tuberculosis, because a positive result can also be obtained in cases of sarcoidosis. In some cases of sarcoidosis, the causal agent might be either cell wall defective mycobacteria or persistent intracellular DNA from mycobacteria.","author":[{"family":"Popper","given":"H H"},{"family":"Winter","given":"E"},{"family":"Höfler","given":"G"}],"authorYearDisplayFormat":false,"citation-label":"4508503","container-title":"American Journal of Clinical Pathology","container-title-short":"Am J Clin Pathol","id":"4508503","invisible":false,"issue":"6","issued":{"date-parts":[["1994","6"]]},"journalAbbreviation":"Am J Clin Pathol","page":"738-741","suppress-author":false,"title":"DNA of Mycobacterium tuberculosis in formalin-fixed, paraffin-embedded tissue in tuberculosis and sarcoidosis detected by polymerase chain reaction.","type":"article-journal","volume":"101"},{"First":false,"Last":false,"PMCID":"PMC120089","PMID":"11773116","abstract":"The cause(s) of sarcoidosis is unknown. Mycobacterium spp. are suspected in Europe and Propionibacterium spp. are suspected in Japan. The present international collaboration evaluated the possible etiological links between sarcoidosis and the suspected bacterial species. Formalin-fixed and paraffin-embedded sections of biopsy samples of lymph nodes, one from each of 108 patients with sarcoidosis and 65 patients with tuberculosis, together with 86 control samples, were collected from two institutes in Japan and three institutes in Italy, Germany, and England. Genomes of Propionibacterium acnes, Propionibacterium granulosum, Mycobacterium tuberculosis, Mycobacterium avium subsp. paratuberculosis, and Escherichia coli (as the control) were counted by quantitative real-time PCR. Either P. acnes or P. granulosum was found in all but two of the sarcoid samples. M. avium subsp. paratuberculosis was found in no sarcoid sample. M. tuberculosis was found in 0 to 9% of the sarcoid samples but in 65 to 100% of the tuberculosis samples. In sarcoid lymph nodes, the total numbers of genomes of P. acnes or P. granulosum were far more than those of M. tuberculosis. P. acnes or P. granulosum was found in 0 to 60% of the tuberculosis and control samples, but the total numbers of genomes of P. acnes or P. granulosum in such samples were less than those in sarcoid samples. Propionibacterium spp. are more likely than Mycobacteria spp. to be involved in the etiology of sarcoidosis, not only in Japanese but also in European patients with sarcoidosis.","author":[{"family":"Eishi","given":"Yoshinobu"},{"family":"Suga","given":"Moritaka"},{"family":"Ishige","given":"Ikuo"},{"family":"Kobayashi","given":"Daisuke"},{"family":"Yamada","given":"Tetsuo"},{"family":"Takemura","given":"Tamiko"},{"family":"Takizawa","given":"Touichiro"},{"family":"Koike","given":"Morio"},{"family":"Kudoh","given":"Shoji"},{"family":"Costabel","given":"Ulrich"},{"family":"Guzman","given":"Josune"},{"family":"Rizzato","given":"Gianfranco"},{"family":"Gambacorta","given":"Marcello"},{"family":"du Bois","given":"Ronald"},{"family":"Nicholson","given":"Andrew G"},{"family":"Sharma","given":"Om P"},{"family":"Ando","given":"Masayuki"}],"authorYearDisplayFormat":false,"citation-label":"4238711","container-title":"Journal of Clinical Microbiology","container-title-short":"J Clin Microbiol","id":"4238711","invisible":false,"issue":"1","issued":{"date-parts":[["2002","1"]]},"journalAbbreviation":"J Clin Microbiol","page":"198-204","suppress-author":false,"title":"Quantitative analysis of mycobacterial and propionibacterial DNA in lymph nodes of Japanese and European patients with sarcoidosis.","type":"article-journal","volume":"40"},{"DOI":"10.1513/pats.200608-155MS","First":false,"Last":false,"PMCID":"PMC2647598","PMID":"17684291","abstract":"The etiology of sarcoidosis remains uncertain. The hallmark of sarcoidosis is the epithelioid granuloma, which serves as a necessary starting point for considering disease etiology. Any etiologic agent of sarcoidosis must also explain the typical clinical behaviors and characteristic immunopathologic features of the disease. One clinical observation that serves as a bridge to the etiology of sarcoidosis is the Kveim reaction. In this reaction, local epithelioid granulomas develop several weeks after the intradermal injection of homogenates of sarcoidosis tissue. Our group capitalized on the known properties of the Kveim reagent to search for candidate pathogenic tissue antigens in sarcoidosis without other a priori hypotheses regarding possible microbial or autoimmune etiologies. Using a limited proteomics approach based on the physicochemical properties of Kveim reagent, we detected a limited number of poorly soluble antigenic proteins in sarcoidosis tissues by protein immunoblotting, using sarcoidosis sera. Matrix-associated laser desorption/ionization-time of flight mass spectrometry identified one of these antigens to be the Mycobacterium tuberculosis catalase-peroxidase protein (mKatG). We found IgG responses to recombinant mKatG in more than 50% of patients with sarcoidosis but rarely in purified protein derivative (PPD)-negative control subjects. These findings support the conclusion that mKatG is a tissue antigen and target of the adaptive immune response in sarcoidosis, providing further evidence of a mycobacterial etiology in a subset of sarcoidosis. More generally, the approach used in these studies might be employed to discover and validate other candidate pathogenic antigens in sarcoidosis or other granulomatous disorders.","author":[{"family":"Moller","given":"David R"}],"authorYearDisplayFormat":false,"citation-label":"4238740","container-title":"Proceedings of the American Thoracic Society","container-title-short":"Proc Am Thorac Soc","id":"4238740","invisible":false,"issue":"5","issued":{"date-parts":[["2007","8","15"]]},"journalAbbreviation":"Proc Am Thorac Soc","page":"465-468","suppress-author":false,"title":"Potential etiologic agents in sarcoidosis.","type":"article-journal","volume":"4"}]</w:instrText>
      </w:r>
      <w:r w:rsidR="00063775" w:rsidRPr="005A7F38">
        <w:fldChar w:fldCharType="separate"/>
      </w:r>
      <w:r w:rsidR="00B775CB" w:rsidRPr="00B775CB">
        <w:rPr>
          <w:noProof/>
          <w:vertAlign w:val="superscript"/>
        </w:rPr>
        <w:t>5,116,122–128</w:t>
      </w:r>
      <w:r w:rsidR="00063775" w:rsidRPr="005A7F38">
        <w:fldChar w:fldCharType="end"/>
      </w:r>
      <w:r w:rsidR="00063775" w:rsidRPr="005A7F38">
        <w:t xml:space="preserve"> The role of specific organisms in etiology and pathogenesis has yet to be elucidated and remains an area requiring additional research.</w:t>
      </w:r>
      <w:r w:rsidR="00063775" w:rsidRPr="005A7F38">
        <w:fldChar w:fldCharType="begin"/>
      </w:r>
      <w:r w:rsidR="00B775CB">
        <w:instrText>ADDIN F1000_CSL_CITATION&lt;~#@#~&gt;[{"DOI":"10.1055/s-0034-1376859","First":false,"Last":false,"PMID":"25007081","abstract":"A consensus statement found in most peer-reviewed literature on sarcoidosis is that the etiology of sarcoidosis is unknown. It is timely to review whether this statement should be revised. Many infectious agents meet the basic requirements of inducing granulomatous inflammation and immunologic responses consistent with sarcoidosis including oligoclonal expansion of CD4+ T cells, polarized Th1 and possibly Th17 responses, and dysregulated regulatory T-cell function. Studies over the past decade provide increasing and complementary data to implicate a role for infectious agents in sarcoidosis etiology. These studies used different methodologies such as polymerase chain reaction and mass spectrometry to document microbial nucleic acids and proteins in sarcoidosis tissues. Multiple studies report antigen-specific immune responses to specific microbial proteins in sarcoidosis. In aggregate, these studies provide compelling evidence that mycobacteria play a major etiologic role in sarcoidosis in the United States and Europe. Studies from Japan support a role for Propionibacteria as a major etiologic agent in the country. There is controversy over how these (or other) infectious agents cause sarcoidosis. The hypothesis that chronic sarcoidosis is caused by a viable, replicating mycobacterial or other infection has no direct pathologic, microbiologic, or clinical evidence. A novel hypothesis links microbial triggers to a sarcoidosis outcome from the accumulation of aggregated proinflammatory serum amyloid A within granulomas, providing a mechanism for chronic disease in the absence of any viable tissue infection. Further studies are needed to provide more definitive evidence for these competing hypotheses before the statement that the etiology of sarcoidosis is unknown becomes obsolete.&lt;br&gt;&lt;br&gt;Thieme Medical Publishers 333 Seventh Avenue, New York, NY 10001, USA.","author":[{"family":"Chen","given":"Edward S"},{"family":"Moller","given":"David R"}],"authorYearDisplayFormat":false,"citation-label":"4508500","container-title":"Seminars in Respiratory and Critical Care Medicine","container-title-short":"Semin Respir Crit Care Med","id":"4508500","invisible":false,"issue":"3","issued":{"date-parts":[["2014","6"]]},"journalAbbreviation":"Semin Respir Crit Care Med","page":"285-295","suppress-author":false,"title":"Etiologic role of infectious agents.","type":"article-journal","volume":"35"},{"DOI":"10.1016/j.lpm.2012.03.018","First":false,"Last":false,"PMID":"22595775","abstract":"Sarcoidosis is a systemic granulomatous disorder of unknown origin. Recent research uncovered underlying immunological and genetic mechanisms, which will pave the way for more effective pharmaceutical studies. At present some of this knowledge is clinically exploited to monitor therapy and expected genetic progress will allow the development of prognostic genetic patterns or molecular signatures. Moreover, it has become obvious that several etiologic agents and cofactors will exist. These will be of animate and inanimate nature and their interplay with host mechanisms discussed in this review determines disease phenotypes.&lt;br&gt;&lt;br&gt;Copyright © 2012. Published by Elsevier Masson SAS.","author":[{"family":"Müller-Quernheim","given":"Joachim"},{"family":"Prasse","given":"Antje"},{"family":"Zissel","given":"Gernot"}],"authorYearDisplayFormat":false,"citation-label":"4532877","container-title":"Presse Medicale","container-title-short":"Presse Med","id":"4532877","invisible":false,"issue":"6 Pt 2","issued":{"date-parts":[["2012","6"]]},"journalAbbreviation":"Presse Med","page":"e275-87","suppress-author":false,"title":"Pathogenesis of sarcoidosis.","type":"article-journal","volume":"41"},{"DOI":"10.1513/AnnalsATS.201503-172OT","First":false,"Last":false,"PMCID":"PMC4627423","PMID":"26193069","abstract":"Sarcoidosis is a systemic disease characterized by noncaseating granulomatous inflammation with tremendous clinical heterogeneity and uncertain pathobiology and lacking in clinically useful biomarkers. The Genomic Research in Alpha-1 Antitrypsin Deficiency and Sarcoidosis (GRADS) study is an observational cohort study designed to explore the role of the lung microbiome and genome in these two diseases. This article describes the design and rationale for the GRADS study sarcoidosis protocol. The study addresses the hypothesis that distinct patterns in the lung microbiome are characteristic of sarcoidosis phenotypes and are reflected in changes in systemic inflammatory responses as measured by peripheral blood changes in gene transcription. The goal is to enroll 400 participants, with a minimum of 35 in each of 9 clinical phenotype subgroups prioritized by their clinical relevance to understanding of the pathobiology and clinical heterogeneity of sarcoidosis. Participants with a confirmed diagnosis of sarcoidosis undergo a baseline visit with self-administered questionnaires, chest computed tomography, pulmonary function tests, and blood and urine testing. A research or clinical bronchoscopy with a research bronchoalveolar lavage will be performed to obtain samples for genomic and microbiome analyses. Comparisons will be made by blood genomic analysis and with clinical phenotypic variables. A 6-month follow-up visit is planned to assess each participant's clinical course. By the use of an integrative approach to the analysis of the microbiome and genome in selected clinical phenotypes, the GRADS study is powerfully positioned to inform and direct studies on the pathobiology of sarcoidosis, identify diagnostic or prognostic biomarkers, and provide novel molecular phenotypes that could lead to improved personalized approaches to therapy for sarcoidosis.","author":[{"family":"Moller","given":"David R"},{"family":"Koth","given":"Laura L"},{"family":"Maier","given":"Lisa A"},{"family":"Morris","given":"Alison"},{"family":"Drake","given":"Wonder"},{"family":"Rossman","given":"Milton"},{"family":"Leader","given":"Joseph K"},{"family":"Collman","given":"Ronald G"},{"family":"Hamzeh","given":"Nabeel"},{"family":"Sweiss","given":"Nadera J"},{"family":"Zhang","given":"Yingze"},{"family":"O'Neal","given":"Scott"},{"family":"Senior","given":"Robert M"},{"family":"Becich","given":"Michael"},{"family":"Hochheiser","given":"Harry S"},{"family":"Kaminski","given":"Naftali"},{"family":"Wisniewski","given":"Stephen R"},{"family":"Gibson","given":"Kevin F"},{"family":"GRADS Sarcoidosis Study Group"}],"authorYearDisplayFormat":false,"citation-label":"1400043","container-title":"Annals of the American Thoracic Society","container-title-short":"Ann Am Thorac Soc","id":"1400043","invisible":false,"issue":"10","issued":{"date-parts":[["2015","10"]]},"journalAbbreviation":"Ann Am Thorac Soc","page":"1561-1571","suppress-author":false,"title":"Rationale and Design of the Genomic Research in Alpha-1 Antitrypsin Deficiency and Sarcoidosis (GRADS) Study. Sarcoidosis Protocol.","type":"article-journal","volume":"12"}]</w:instrText>
      </w:r>
      <w:r w:rsidR="00063775" w:rsidRPr="005A7F38">
        <w:fldChar w:fldCharType="separate"/>
      </w:r>
      <w:r w:rsidR="00B775CB" w:rsidRPr="00B775CB">
        <w:rPr>
          <w:noProof/>
          <w:vertAlign w:val="superscript"/>
        </w:rPr>
        <w:t>9,14,116</w:t>
      </w:r>
      <w:r w:rsidR="00063775" w:rsidRPr="005A7F38">
        <w:fldChar w:fldCharType="end"/>
      </w:r>
    </w:p>
    <w:p w14:paraId="0038FAB9" w14:textId="77777777" w:rsidR="009C32C5" w:rsidRPr="005A7F38" w:rsidRDefault="009C32C5" w:rsidP="002446BB">
      <w:pPr>
        <w:pStyle w:val="Heading4"/>
        <w:rPr>
          <w:rFonts w:cs="Times New Roman"/>
        </w:rPr>
      </w:pPr>
      <w:bookmarkStart w:id="40" w:name="_Toc506540019"/>
      <w:r w:rsidRPr="005A7F38">
        <w:rPr>
          <w:rFonts w:cs="Times New Roman"/>
        </w:rPr>
        <w:t>Infectious Agents in Sarcoidosis</w:t>
      </w:r>
      <w:bookmarkEnd w:id="40"/>
    </w:p>
    <w:p w14:paraId="24F72A9B" w14:textId="2CFF15AE" w:rsidR="008A0C87" w:rsidRPr="00FC46ED" w:rsidRDefault="008A0C87" w:rsidP="00004E1A">
      <w:pPr>
        <w:ind w:firstLine="0"/>
      </w:pPr>
      <w:r w:rsidRPr="005A7F38">
        <w:t>While no consensus on the role of microbial agents in sarcoidosis has been reached, mounting evidence points toward microbial involvement in the pathogenesis and phenoty</w:t>
      </w:r>
      <w:r w:rsidR="00154EBA" w:rsidRPr="005A7F38">
        <w:t>pic development of sarcoidosis with the most convincin</w:t>
      </w:r>
      <w:r w:rsidR="00FC46ED">
        <w:t>g data implicating mycobacteria or propionibacteria</w:t>
      </w:r>
      <w:r w:rsidR="00154EBA" w:rsidRPr="005A7F38">
        <w:t>.</w:t>
      </w:r>
      <w:r w:rsidR="00154EBA" w:rsidRPr="005A7F38">
        <w:fldChar w:fldCharType="begin"/>
      </w:r>
      <w:r w:rsidR="00B775CB">
        <w:instrText>ADDIN F1000_CSL_CITATION&lt;~#@#~&gt;[{"DOI":"10.1038/nrrheum.2011.93","First":false,"Last":false,"PMID":"21750528","abstract":"Sarcoidosis is an uncommon systemic inflammatory disorder characterized by noncaseating granulomatous inflammation that most commonly affects the lungs, intrathoracic lymph nodes, eyes and skin. One-third or more of patients with sarcoidosis have chronic, unremitting inflammation with progressive organ impairment. Findings of family and genetic studies indicate a genetic susceptibility to sarcoidosis, with genes in the MHC region having a dominant role. Immunologic hallmarks of the disease include highly polarized expression of cytokines produced by type 1 T helper cells and tumor necrosis factor (TNF) at sites of inflammation. Increasing evidence obtained within the past decade suggests the etiology of sarcoidosis predominantly involves microbial triggers, with the most convincing data implicating mycobacterial or propionibacterial organisms. Innate immune mechanisms, possibly involving misfolding and aggregation of serum amyloid A, might have a critical role in the pathobiology of sarcoidosis. Despite these advances, there are no clinically useful biomarkers that can assist the clinician in diagnosis, prognosis or assessment of treatment effects. Corticosteroids remain the cornerstone of therapy when organ function is threatened or progressively impaired. The role of immunosuppressive drugs and anti-TNF agents in the treatment of sarcoidosis remains uncertain, and there are no FDA-approved therapies. Meaningful progress in developing clinically useful tools and new therapies will depend on further advances in understanding the pathogenesis of sarcoidosis and its disease-specific pathways.","author":[{"family":"Chen","given":"Edward S"},{"family":"Moller","given":"David R"}],"authorYearDisplayFormat":false,"citation-label":"1069378","container-title":"Nature Reviews. Rheumatology","container-title-short":"Nat Rev Rheumatol","id":"1069378","invisible":false,"issue":"8","issued":{"date-parts":[["2011","7","12"]]},"journalAbbreviation":"Nat Rev Rheumatol","page":"457-467","suppress-author":false,"title":"Sarcoidosis--scientific progress and clinical challenges.","type":"article-journal","volume":"7"}]</w:instrText>
      </w:r>
      <w:r w:rsidR="00154EBA" w:rsidRPr="005A7F38">
        <w:fldChar w:fldCharType="separate"/>
      </w:r>
      <w:r w:rsidR="00B775CB" w:rsidRPr="00B775CB">
        <w:rPr>
          <w:noProof/>
          <w:vertAlign w:val="superscript"/>
        </w:rPr>
        <w:t>129</w:t>
      </w:r>
      <w:r w:rsidR="00154EBA" w:rsidRPr="005A7F38">
        <w:fldChar w:fldCharType="end"/>
      </w:r>
      <w:r w:rsidR="00FC46ED">
        <w:t xml:space="preserve"> Mycobacterium is a genus of both gram-positive and gram-negative bacteria known to cause </w:t>
      </w:r>
      <w:r w:rsidR="00FC46ED">
        <w:lastRenderedPageBreak/>
        <w:t>serious disease in mammals.</w:t>
      </w:r>
      <w:r w:rsidR="00FC46ED">
        <w:fldChar w:fldCharType="begin"/>
      </w:r>
      <w:r w:rsidR="00B775CB">
        <w:instrText>ADDIN F1000_CSL_CITATION&lt;~#@#~&gt;[{"First":false,"Last":false,"PMID":"12356459","abstract":"The phylogenetic position of Mycobacterium tuberculosis relative to other bacteria is controversial. Its cell wall has characteristics of both Gram-positive and Gram-negative bacteria. In the standard reference of bacterial phylogeny based on 16S ribosomal RNA sequence comparison, M. tuberculosis belongs to the high G+C Gram-positive bacteria that form a monophyletic group with the low G+C Gram-positive bacteria such as Bacillus subtilis. Some analyses indicate no particular relationship between these two groups. The availability of the complete genome sequence of M. tuberculosis allows us to reexamine this issue from genomic perspectives, as genome-based phylogenies may be more representative of the evolutionary history of whole organisms than molecular trees. In the genome tree constructed based on conserved gene content, M. tuberculosis is more related to Gram-negative than to Gram-positive bacteria as reflected by the evolutionary distance between nearest ancestral units. This conclusion may be supported by another analysis showing that M. tuberculosis shares relatively more orthologous genes for energy production and conversion with Gram-negative bacteria, in particular, Escherichia coli and Pseudomonas aeruginosa, than with Gram-positive bacteria.","author":[{"family":"Fu","given":"L M"},{"family":"Fu-Liu","given":"C S"}],"authorYearDisplayFormat":false,"citation-label":"4614800","container-title":"Tuberculosis","container-title-short":"Tuberculosis (Edinb)","id":"4614800","invisible":false,"issue":"2-3","issued":{"date-parts":[["2002"]]},"journalAbbreviation":"Tuberculosis (Edinb)","page":"85-90","suppress-author":false,"title":"Is Mycobacterium tuberculosis a closer relative to Gram-positive or Gram-negative bacterial pathogens?","type":"article-journal","volume":"82"}]</w:instrText>
      </w:r>
      <w:r w:rsidR="00FC46ED">
        <w:fldChar w:fldCharType="separate"/>
      </w:r>
      <w:r w:rsidR="00B775CB" w:rsidRPr="00B775CB">
        <w:rPr>
          <w:noProof/>
          <w:vertAlign w:val="superscript"/>
        </w:rPr>
        <w:t>130</w:t>
      </w:r>
      <w:r w:rsidR="00FC46ED">
        <w:fldChar w:fldCharType="end"/>
      </w:r>
      <w:r w:rsidR="00FC46ED">
        <w:t xml:space="preserve"> </w:t>
      </w:r>
      <w:r w:rsidR="00FC46ED" w:rsidRPr="00FC46ED">
        <w:t>Propionibacterium</w:t>
      </w:r>
      <w:r w:rsidR="00FC46ED">
        <w:rPr>
          <w:i/>
        </w:rPr>
        <w:t xml:space="preserve"> </w:t>
      </w:r>
      <w:r w:rsidR="00FC46ED">
        <w:t>is a genus of gram-positive anaerobic bacteria named for their unique ability to synthesize propionic acid.</w:t>
      </w:r>
      <w:r w:rsidR="00FC46ED">
        <w:fldChar w:fldCharType="begin"/>
      </w:r>
      <w:r w:rsidR="00B775CB">
        <w:instrText>ADDIN F1000_CSL_CITATION&lt;~#@#~&gt;[{"First":false,"Last":false,"author":[{"family":"Bhatia","given":"Ajay"},{"family":"Maisonneuve","given":"Jean-Francoise"},{"family":"Persing","given":"David H."}],"authorYearDisplayFormat":false,"citation-label":"4614806","id":"4614806","invisible":false,"issued":{"date-parts":[["2004"]]},"suppress-author":false,"title":"PROPIONIBACTERIUM ACNES AND CHRONIC DISEASES - The Infectious Etiology of Chronic Diseases - NCBI Bookshelf","type":"article-journal"}]</w:instrText>
      </w:r>
      <w:r w:rsidR="00FC46ED">
        <w:fldChar w:fldCharType="separate"/>
      </w:r>
      <w:r w:rsidR="00B775CB" w:rsidRPr="00B775CB">
        <w:rPr>
          <w:noProof/>
          <w:vertAlign w:val="superscript"/>
        </w:rPr>
        <w:t>131</w:t>
      </w:r>
      <w:r w:rsidR="00FC46ED">
        <w:fldChar w:fldCharType="end"/>
      </w:r>
      <w:r w:rsidR="00FC46ED">
        <w:t xml:space="preserve"> </w:t>
      </w:r>
    </w:p>
    <w:p w14:paraId="392A33E8" w14:textId="52C2D7F4" w:rsidR="00A32F23" w:rsidRPr="005A7F38" w:rsidRDefault="00016AE4" w:rsidP="002446BB">
      <w:r w:rsidRPr="005A7F38">
        <w:t>Clusters of sarcoidosis have been noted in neighbors, unrelated cohabitants, coworkers and o</w:t>
      </w:r>
      <w:r w:rsidR="00ED52C0" w:rsidRPr="005A7F38">
        <w:t>ther unrelated social contacts.</w:t>
      </w:r>
      <w:r w:rsidR="002E57BB" w:rsidRPr="005A7F38">
        <w:fldChar w:fldCharType="begin"/>
      </w:r>
      <w:r w:rsidR="00B775CB">
        <w:instrText>ADDIN F1000_CSL_CITATION&lt;~#@#~&gt;[{"First":false,"Last":false,"PMCID":"PMC460773","PMID":"3660300","abstract":"A case controlled study of 96 cases of sarcoidosis has been carried out in the Isle of Man. Age and sex matched controls were selected at random from the pathology and radiology records, which cover 85% of the resident population, and a second control group was drawn from a tuberculosis register. Special efforts were made to achieve a high level of ascertainment. In this study most cases occurred in young adults. It affected the sexes equally and occurred more frequently in the indigenous Manx population. Thirty eight cases (39.6%) had been in contact with the disease before diagnosis, compared with two (1.2%) of the combined controls. These contacts included members of the same household, colleagues at work, and close friends. A bias may have been introduced as patients would inevitably be more aware of the disease and be more likely to mention previous contact than the controls. Nevertheless, the evidence is considered to support the view that sarcoidosis is a communicable disease.","author":[{"family":"Parkes","given":"S A"},{"family":"Baker","given":"S B"},{"family":"Bourdillon","given":"R E"},{"family":"Murray","given":"C R"},{"family":"Rakshit","given":"M"}],"authorYearDisplayFormat":false,"citation-label":"4507207","container-title":"Thorax","container-title-short":"Thorax","id":"4507207","invisible":false,"issue":"6","issued":{"date-parts":[["1987","6"]]},"journalAbbreviation":"Thorax","page":"420-426","suppress-author":false,"title":"Epidemiology of sarcoidosis in the Isle of Man--1: A case controlled study.","type":"article-journal","volume":"42"},{"First":false,"Last":false,"PMCID":"PMC460774","PMID":"3660301","abstract":"The case-control test for space-time clustering developed by Pike and Smith was applied to 96 cases of sarcoidosis diagnosed in the Isle of Man from 1962 to 1983. There were significantly more links between cases separated by time intervals of less than 10 years and distances of less than 100 metres than between the others. Analysis of the type of links indicated that clusters consisted of pairs whose contact was by place of residence or work. More linked cases were diagnosed less than three years apart than would be expected by chance. These findings lend support to the idea that sarcoidosis is a communicable disease.","author":[{"family":"Hills","given":"S E"},{"family":"Parkes","given":"S A"},{"family":"Baker","given":"S B"}],"authorYearDisplayFormat":false,"citation-label":"4507471","container-title":"Thorax","container-title-short":"Thorax","id":"4507471","invisible":false,"issue":"6","issued":{"date-parts":[["1987","6"]]},"journalAbbreviation":"Thorax","page":"427-430","suppress-author":false,"title":"Epidemiology of sarcoidosis in the Isle of Man--2: Evidence for space-time clustering.","type":"article-journal","volume":"42"},{"First":false,"Last":false,"PMCID":"PMC460049","PMID":"4023978","abstract":"The incidence of sarcoidosis in a clearly defined island community has been determined in a seven year study. Special efforts were made to identify all cases, including those presenting to their general practitioners with only minor symptoms. A mean incidence of 14.7 per 100 000 per annum has been found in the years 1977-83 compared with an annual incidence of 3.5 per 100 000 in the preceding 15 years, when no specific attempts were made to identify sufferers from sarcoidosis. The lower figure is similar to the reported incidence in the United Kingdom and the difference is considered to be due to increased detection of cases during the study period. These findings suggest that a large proportion of cases of sarcoidosis in a general population may not be recorded in a registration system.","author":[{"family":"Parkes","given":"S A"},{"family":"Baker","given":"S B"},{"family":"Bourdillon","given":"R E"},{"family":"Murray","given":"C R"},{"family":"Rakshit","given":"M"},{"family":"Sarkies","given":"J W"},{"family":"Travers","given":"J P"},{"family":"Williams","given":"E W"}],"authorYearDisplayFormat":false,"citation-label":"4507468","container-title":"Thorax","container-title-short":"Thorax","id":"4507468","invisible":false,"issue":"4","issued":{"date-parts":[["1985","4"]]},"journalAbbreviation":"Thorax","page":"284-287","suppress-author":false,"title":"Incidence of sarcoidosis in the Isle of Man.","type":"article-journal","volume":"40"},{"First":false,"Last":false,"PMCID":"PMC461025","PMID":"3424278","author":[{"family":"Ayres","given":"J G"}],"authorYearDisplayFormat":false,"citation-label":"4507470","container-title":"Thorax","container-title-short":"Thorax","id":"4507470","invisible":false,"issue":"11","issued":{"date-parts":[["1987","11"]]},"journalAbbreviation":"Thorax","page":"911","suppress-author":false,"title":"Epidemiology of sarcoidosis in the Isle of Man.","type":"article-journal","volume":"42"}]</w:instrText>
      </w:r>
      <w:r w:rsidR="002E57BB" w:rsidRPr="005A7F38">
        <w:fldChar w:fldCharType="separate"/>
      </w:r>
      <w:r w:rsidR="00B775CB" w:rsidRPr="00B775CB">
        <w:rPr>
          <w:noProof/>
          <w:vertAlign w:val="superscript"/>
        </w:rPr>
        <w:t>46,108–110</w:t>
      </w:r>
      <w:r w:rsidR="002E57BB" w:rsidRPr="005A7F38">
        <w:fldChar w:fldCharType="end"/>
      </w:r>
      <w:r w:rsidR="00ED52C0" w:rsidRPr="005A7F38">
        <w:t xml:space="preserve"> </w:t>
      </w:r>
      <w:r w:rsidR="009B67D9" w:rsidRPr="005A7F38">
        <w:t>In a study of a relatively isolated island population, patients with sarcoidosis were more likely to have had contact with an individual who had sarcoidosis prior to their own sarcoidosis diagnosis compared to controls</w:t>
      </w:r>
      <w:r w:rsidR="0070716E" w:rsidRPr="005A7F38">
        <w:t>.</w:t>
      </w:r>
      <w:r w:rsidR="00FD5FB1" w:rsidRPr="005A7F38">
        <w:fldChar w:fldCharType="begin"/>
      </w:r>
      <w:r w:rsidR="00B775CB">
        <w:instrText>ADDIN F1000_CSL_CITATION&lt;~#@#~&gt;[{"First":false,"Last":false,"PMCID":"PMC460773","PMID":"3660300","abstract":"A case controlled study of 96 cases of sarcoidosis has been carried out in the Isle of Man. Age and sex matched controls were selected at random from the pathology and radiology records, which cover 85% of the resident population, and a second control group was drawn from a tuberculosis register. Special efforts were made to achieve a high level of ascertainment. In this study most cases occurred in young adults. It affected the sexes equally and occurred more frequently in the indigenous Manx population. Thirty eight cases (39.6%) had been in contact with the disease before diagnosis, compared with two (1.2%) of the combined controls. These contacts included members of the same household, colleagues at work, and close friends. A bias may have been introduced as patients would inevitably be more aware of the disease and be more likely to mention previous contact than the controls. Nevertheless, the evidence is considered to support the view that sarcoidosis is a communicable disease.","author":[{"family":"Parkes","given":"S A"},{"family":"Baker","given":"S B"},{"family":"Bourdillon","given":"R E"},{"family":"Murray","given":"C R"},{"family":"Rakshit","given":"M"}],"authorYearDisplayFormat":false,"citation-label":"4507207","container-title":"Thorax","container-title-short":"Thorax","id":"4507207","invisible":false,"issue":"6","issued":{"date-parts":[["1987","6"]]},"journalAbbreviation":"Thorax","page":"420-426","suppress-author":false,"title":"Epidemiology of sarcoidosis in the Isle of Man--1: A case controlled study.","type":"article-journal","volume":"42"},{"First":false,"Last":false,"PMCID":"PMC460774","PMID":"3660301","abstract":"The case-control test for space-time clustering developed by Pike and Smith was applied to 96 cases of sarcoidosis diagnosed in the Isle of Man from 1962 to 1983. There were significantly more links between cases separated by time intervals of less than 10 years and distances of less than 100 metres than between the others. Analysis of the type of links indicated that clusters consisted of pairs whose contact was by place of residence or work. More linked cases were diagnosed less than three years apart than would be expected by chance. These findings lend support to the idea that sarcoidosis is a communicable disease.","author":[{"family":"Hills","given":"S E"},{"family":"Parkes","given":"S A"},{"family":"Baker","given":"S B"}],"authorYearDisplayFormat":false,"citation-label":"4507471","container-title":"Thorax","container-title-short":"Thorax","id":"4507471","invisible":false,"issue":"6","issued":{"date-parts":[["1987","6"]]},"journalAbbreviation":"Thorax","page":"427-430","suppress-author":false,"title":"Epidemiology of sarcoidosis in the Isle of Man--2: Evidence for space-time clustering.","type":"article-journal","volume":"42"},{"First":false,"Last":false,"PMCID":"PMC460049","PMID":"4023978","abstract":"The incidence of sarcoidosis in a clearly defined island community has been determined in a seven year study. Special efforts were made to identify all cases, including those presenting to their general practitioners with only minor symptoms. A mean incidence of 14.7 per 100 000 per annum has been found in the years 1977-83 compared with an annual incidence of 3.5 per 100 000 in the preceding 15 years, when no specific attempts were made to identify sufferers from sarcoidosis. The lower figure is similar to the reported incidence in the United Kingdom and the difference is considered to be due to increased detection of cases during the study period. These findings suggest that a large proportion of cases of sarcoidosis in a general population may not be recorded in a registration system.","author":[{"family":"Parkes","given":"S A"},{"family":"Baker","given":"S B"},{"family":"Bourdillon","given":"R E"},{"family":"Murray","given":"C R"},{"family":"Rakshit","given":"M"},{"family":"Sarkies","given":"J W"},{"family":"Travers","given":"J P"},{"family":"Williams","given":"E W"}],"authorYearDisplayFormat":false,"citation-label":"4507468","container-title":"Thorax","container-title-short":"Thorax","id":"4507468","invisible":false,"issue":"4","issued":{"date-parts":[["1985","4"]]},"journalAbbreviation":"Thorax","page":"284-287","suppress-author":false,"title":"Incidence of sarcoidosis in the Isle of Man.","type":"article-journal","volume":"40"},{"First":false,"Last":false,"PMCID":"PMC461025","PMID":"3424278","author":[{"family":"Ayres","given":"J G"}],"authorYearDisplayFormat":false,"citation-label":"4507470","container-title":"Thorax","container-title-short":"Thorax","id":"4507470","invisible":false,"issue":"11","issued":{"date-parts":[["1987","11"]]},"journalAbbreviation":"Thorax","page":"911","suppress-author":false,"title":"Epidemiology of sarcoidosis in the Isle of Man.","type":"article-journal","volume":"42"}]</w:instrText>
      </w:r>
      <w:r w:rsidR="00FD5FB1" w:rsidRPr="005A7F38">
        <w:fldChar w:fldCharType="separate"/>
      </w:r>
      <w:r w:rsidR="00B775CB" w:rsidRPr="00B775CB">
        <w:rPr>
          <w:noProof/>
          <w:vertAlign w:val="superscript"/>
        </w:rPr>
        <w:t>46,108–110</w:t>
      </w:r>
      <w:r w:rsidR="00FD5FB1" w:rsidRPr="005A7F38">
        <w:fldChar w:fldCharType="end"/>
      </w:r>
      <w:r w:rsidR="00FD5FB1" w:rsidRPr="005A7F38">
        <w:t xml:space="preserve"> These findings lend support to the hypot</w:t>
      </w:r>
      <w:r w:rsidR="009D78FC" w:rsidRPr="005A7F38">
        <w:t>hesis that sarcoidosis is caused by an infectious agent.</w:t>
      </w:r>
      <w:r w:rsidR="009D78FC" w:rsidRPr="005A7F38">
        <w:fldChar w:fldCharType="begin"/>
      </w:r>
      <w:r w:rsidR="00B775CB">
        <w:instrText>ADDIN F1000_CSL_CITATION&lt;~#@#~&gt;[{"DOI":"10.1513/pats.200608-155MS","First":false,"Last":false,"PMCID":"PMC2647598","PMID":"17684291","abstract":"The etiology of sarcoidosis remains uncertain. The hallmark of sarcoidosis is the epithelioid granuloma, which serves as a necessary starting point for considering disease etiology. Any etiologic agent of sarcoidosis must also explain the typical clinical behaviors and characteristic immunopathologic features of the disease. One clinical observation that serves as a bridge to the etiology of sarcoidosis is the Kveim reaction. In this reaction, local epithelioid granulomas develop several weeks after the intradermal injection of homogenates of sarcoidosis tissue. Our group capitalized on the known properties of the Kveim reagent to search for candidate pathogenic tissue antigens in sarcoidosis without other a priori hypotheses regarding possible microbial or autoimmune etiologies. Using a limited proteomics approach based on the physicochemical properties of Kveim reagent, we detected a limited number of poorly soluble antigenic proteins in sarcoidosis tissues by protein immunoblotting, using sarcoidosis sera. Matrix-associated laser desorption/ionization-time of flight mass spectrometry identified one of these antigens to be the Mycobacterium tuberculosis catalase-peroxidase protein (mKatG). We found IgG responses to recombinant mKatG in more than 50% of patients with sarcoidosis but rarely in purified protein derivative (PPD)-negative control subjects. These findings support the conclusion that mKatG is a tissue antigen and target of the adaptive immune response in sarcoidosis, providing further evidence of a mycobacterial etiology in a subset of sarcoidosis. More generally, the approach used in these studies might be employed to discover and validate other candidate pathogenic antigens in sarcoidosis or other granulomatous disorders.","author":[{"family":"Moller","given":"David R"}],"authorYearDisplayFormat":false,"citation-label":"4238740","container-title":"Proceedings of the American Thoracic Society","container-title-short":"Proc Am Thorac Soc","id":"4238740","invisible":false,"issue":"5","issued":{"date-parts":[["2007","8","15"]]},"journalAbbreviation":"Proc Am Thorac Soc","page":"465-468","suppress-author":false,"title":"Potential etiologic agents in sarcoidosis.","type":"article-journal","volume":"4"},{"DOI":"10.1007/s12016-015-8481-z","First":false,"Last":false,"PMID":"25771769","abstract":"Since sarcoidosis was first described more than a century ago, the etiologic determinants causing this disease remain uncertain. Studies suggest that genetic, host immunologic, and environmental factors interact together to cause sarcoidosis. Immunologic characteristics of sarcoidosis include non-caseating granulomas, enhanced local expression of T helper-1 (and often Th17) cytokines and chemokines, dysfunctional regulatory T-cell responses, dysregulated Toll-like receptor signaling, and oligoclonal expansion of CD4+ T cells consistent with chronic antigenic stimulation. Multiple environmental agents have been suggested to cause sarcoidosis. Studies from several groups implicate mycobacterial or propionibacterial organisms in the etiology of sarcoidosis based on tissue analyses and immunologic responses in sarcoidosis patients. Despite these studies, there is no consensus on the nature of a microbial pathogenesis of sarcoidosis. Some groups postulate sarcoidosis is caused by an active viable replicating infection while other groups contend there is no clinical, pathologic, or microbiologic evidence for such a pathogenic mechanism. The authors posit a novel hypothesis that proposes that sarcoidosis is triggered by a hyperimmune Th1 response to pathogenic microbial and tissue antigens associated with the aberrant aggregation of serum amyloid A within granulomas, which promotes progressive chronic granulomatous inflammation in the absence of ongoing infection.","author":[{"family":"Chen","given":"Edward S"},{"family":"Moller","given":"David R"}],"authorYearDisplayFormat":false,"citation-label":"4219823","container-title":"Clinical Reviews in Allergy &amp; Immunology","container-title-short":"Clin Rev Allergy Immunol","id":"4219823","invisible":false,"issue":"1","issued":{"date-parts":[["2015","8"]]},"journalAbbreviation":"Clin Rev Allergy Immunol","page":"6-18","suppress-author":false,"title":"Etiologies of Sarcoidosis.","type":"article-journal","volume":"49"},{"First":false,"Last":false,"PMID":"10580780","abstract":"Sarcoidosis is a chronic granulomatous disorder of unknown cause, characterized by activation of T-lymphocytes and macrophages. A Case Control Etiologic Study of Sarcoidosis (ACCESS) is a multicenter study designed to determine the etiology of sarcoidosis. The study organization includes 10 Clinical Centers, a Clinical Coordinating Center, specialized Core Laboratories, a Central Specimen Repository, and a Project Office at the National Heart, Lung, and Blood Institute. In addition to etiology, ACCESS will examine the socioeconomic status and clinical course of patients with sarcoidosis. We propose to enroll 720 newly diagnosed cases of sarcoidosis and compare them to 720 age, sex, and race matched controls and follow the first 240 cases for two years. Leads to the etiology of sarcoidosis have come from diverse sources: in clinical laboratory investigations, alveolitis has been found to precede granulomatous inflammation; in case control studies, familial aggregation has been identified; and in case reports, recurrence of granulomatous inflammation has been observed after lung transplantation. We describe the rationale for the study design based on genetic, environmental, infectious, and immune dysregulation hypotheses and the methods used for selecting controls. The cause may not prove to be a single, known exposure. Interactions of exposures with genetic predispositions would have important implications for our understanding of immune responses as well as the pathogenesis of sarcoidosis.","authorYearDisplayFormat":false,"citation-label":"4444544","container-title":"Journal of Clinical Epidemiology","container-title-short":"J Clin Epidemiol","id":"4444544","invisible":false,"issue":"12","issued":{"date-parts":[["1999","12"]]},"journalAbbreviation":"J Clin Epidemiol","page":"1173-1186","suppress-author":false,"title":"Design of a case control etiologic study of sarcoidosis (ACCESS). ACCESS Research Group.","type":"article-journal","volume":"52"},{"First":false,"Last":false,"PMCID":"PMC460773","PMID":"3660300","abstract":"A case controlled study of 96 cases of sarcoidosis has been carried out in the Isle of Man. Age and sex matched controls were selected at random from the pathology and radiology records, which cover 85% of the resident population, and a second control group was drawn from a tuberculosis register. Special efforts were made to achieve a high level of ascertainment. In this study most cases occurred in young adults. It affected the sexes equally and occurred more frequently in the indigenous Manx population. Thirty eight cases (39.6%) had been in contact with the disease before diagnosis, compared with two (1.2%) of the combined controls. These contacts included members of the same household, colleagues at work, and close friends. A bias may have been introduced as patients would inevitably be more aware of the disease and be more likely to mention previous contact than the controls. Nevertheless, the evidence is considered to support the view that sarcoidosis is a communicable disease.","author":[{"family":"Parkes","given":"S A"},{"family":"Baker","given":"S B"},{"family":"Bourdillon","given":"R E"},{"family":"Murray","given":"C R"},{"family":"Rakshit","given":"M"}],"authorYearDisplayFormat":false,"citation-label":"4507207","container-title":"Thorax","container-title-short":"Thorax","id":"4507207","invisible":false,"issue":"6","issued":{"date-parts":[["1987","6"]]},"journalAbbreviation":"Thorax","page":"420-426","suppress-author":false,"title":"Epidemiology of sarcoidosis in the Isle of Man--1: A case controlled study.","type":"article-journal","volume":"42"},{"First":false,"Last":false,"PMCID":"PMC460774","PMID":"3660301","abstract":"The case-control test for space-time clustering developed by Pike and Smith was applied to 96 cases of sarcoidosis diagnosed in the Isle of Man from 1962 to 1983. There were significantly more links between cases separated by time intervals of less than 10 years and distances of less than 100 metres than between the others. Analysis of the type of links indicated that clusters consisted of pairs whose contact was by place of residence or work. More linked cases were diagnosed less than three years apart than would be expected by chance. These findings lend support to the idea that sarcoidosis is a communicable disease.","author":[{"family":"Hills","given":"S E"},{"family":"Parkes","given":"S A"},{"family":"Baker","given":"S B"}],"authorYearDisplayFormat":false,"citation-label":"4507471","container-title":"Thorax","container-title-short":"Thorax","id":"4507471","invisible":false,"issue":"6","issued":{"date-parts":[["1987","6"]]},"journalAbbreviation":"Thorax","page":"427-430","suppress-author":false,"title":"Epidemiology of sarcoidosis in the Isle of Man--2: Evidence for space-time clustering.","type":"article-journal","volume":"42"},{"First":false,"Last":false,"PMCID":"PMC460049","PMID":"4023978","abstract":"The incidence of sarcoidosis in a clearly defined island community has been determined in a seven year study. Special efforts were made to identify all cases, including those presenting to their general practitioners with only minor symptoms. A mean incidence of 14.7 per 100 000 per annum has been found in the years 1977-83 compared with an annual incidence of 3.5 per 100 000 in the preceding 15 years, when no specific attempts were made to identify sufferers from sarcoidosis. The lower figure is similar to the reported incidence in the United Kingdom and the difference is considered to be due to increased detection of cases during the study period. These findings suggest that a large proportion of cases of sarcoidosis in a general population may not be recorded in a registration system.","author":[{"family":"Parkes","given":"S A"},{"family":"Baker","given":"S B"},{"family":"Bourdillon","given":"R E"},{"family":"Murray","given":"C R"},{"family":"Rakshit","given":"M"},{"family":"Sarkies","given":"J W"},{"family":"Travers","given":"J P"},{"family":"Williams","given":"E W"}],"authorYearDisplayFormat":false,"citation-label":"4507468","container-title":"Thorax","container-title-short":"Thorax","id":"4507468","invisible":false,"issue":"4","issued":{"date-parts":[["1985","4"]]},"journalAbbreviation":"Thorax","page":"284-287","suppress-author":false,"title":"Incidence of sarcoidosis in the Isle of Man.","type":"article-journal","volume":"40"},{"First":false,"Last":false,"PMCID":"PMC461025","PMID":"3424278","author":[{"family":"Ayres","given":"J G"}],"authorYearDisplayFormat":false,"citation-label":"4507470","container-title":"Thorax","container-title-short":"Thorax","id":"4507470","invisible":false,"issue":"11","issued":{"date-parts":[["1987","11"]]},"journalAbbreviation":"Thorax","page":"911","suppress-author":false,"title":"Epidemiology of sarcoidosis in the Isle of Man.","type":"article-journal","volume":"42"}]</w:instrText>
      </w:r>
      <w:r w:rsidR="009D78FC" w:rsidRPr="005A7F38">
        <w:fldChar w:fldCharType="separate"/>
      </w:r>
      <w:r w:rsidR="00B775CB" w:rsidRPr="00B775CB">
        <w:rPr>
          <w:noProof/>
          <w:vertAlign w:val="superscript"/>
        </w:rPr>
        <w:t>5,46,85,108–110,128</w:t>
      </w:r>
      <w:r w:rsidR="009D78FC" w:rsidRPr="005A7F38">
        <w:fldChar w:fldCharType="end"/>
      </w:r>
      <w:r w:rsidR="009D78FC" w:rsidRPr="005A7F38">
        <w:t xml:space="preserve"> </w:t>
      </w:r>
      <w:r w:rsidR="00FD5FB1" w:rsidRPr="005A7F38">
        <w:t xml:space="preserve"> </w:t>
      </w:r>
      <w:r w:rsidR="00D61BE4" w:rsidRPr="005A7F38">
        <w:t>Seasonal clustering of incidence in winter and early spring may indicate that exposure to an offending antigen occurs when people are spending more time indoors in confined spaces and less time outdoors during these colder months.</w:t>
      </w:r>
      <w:r w:rsidR="00D61BE4" w:rsidRPr="005A7F38">
        <w:fldChar w:fldCharType="begin"/>
      </w:r>
      <w:r w:rsidR="00B775CB">
        <w:instrText>ADDIN F1000_CSL_CITATION&lt;~#@#~&gt;[{"First":false,"Last":false,"PMID":"9864021","abstract":"Seasonal clustering of sarcoidosis presenting with erythema nodosum (EN) has previously been reported only in the northern hemisphere. Of 59 patients presenting to a single centre in New Zealand with a new diagnosis of sarcoidosis, 21 had EN and three more had acute arthralgia without EN. These patients were compared with the rest of the cohort. The patients with EN or arthralgia alone presented exclusively between April and December, with peak clustering in the spring months of August, September and October (p&lt; 0.001, Fisher's exact test). This cohort was more likely to have a stage I chest radiograph and to be female (p&lt; 0.05), but there were no other differences between the groups. This is the first report of seasonal clustering in the southern hemisphere suggesting a common environmental trigger in the aetiology of sarcoidosis.","author":[{"family":"Wilsher","given":"M L"}],"authorYearDisplayFormat":false,"citation-label":"4507200","container-title":"The European Respiratory Journal","container-title-short":"Eur Respir J","id":"4507200","invisible":false,"issue":"5","issued":{"date-parts":[["1998","11"]]},"journalAbbreviation":"Eur Respir J","page":"1197-1199","suppress-author":false,"title":"Seasonal clustering of sarcoidosis presenting with erythema nodosum.","type":"article-journal","volume":"12"},{"First":false,"Last":false,"PMID":"3962966","abstract":"Using the unique data resources of the Rochester Epidemiology Project, a community-based study of clinically diagnosed sarcoidosis was conducted. In this population-based study, the 75 Rochester, Minnesota, residents with sarcoidosis initially diagnosed between 1946 and 1975 (incidence cohort) were followed through their comprehensive medical records in the community to January 1, 1982. The age- and sex-adjusted incidence of sarcoidosis was 6.1 per 100,000 person-years. The age-adjusted incidence of sarcoidosis was similar in males (5.9) and females (6.3), with a peak incidence in males 30 to 39 years old (18.7) and in females 40 to 49 years old (15.6). A secular increase in sarcoidosis incidence was noted in the period 1946-1975 for females, with a marked increase in the number and percentage of biopsy-documented cases. Seasonal variation in sarcoidosis incidence was minimal, with a seasonal peak of 31% of the Rochester cases being diagnosed during the spring (March-May). Survival, compared with that of the North Central United States, was unimpaired in this sarcoidosis incidence cohort.","author":[{"family":"Henke","given":"C E"},{"family":"Henke","given":"G"},{"family":"Elveback","given":"L R"},{"family":"Beard","given":"C M"},{"family":"Ballard","given":"D J"},{"family":"Kurland","given":"L T"}],"authorYearDisplayFormat":false,"citation-label":"4444541","container-title":"American Journal of Epidemiology","container-title-short":"Am J Epidemiol","id":"4444541","invisible":false,"issue":"5","issued":{"date-parts":[["1986","5"]]},"journalAbbreviation":"Am J Epidemiol","page":"840-845","suppress-author":false,"title":"The epidemiology of sarcoidosis in Rochester, Minnesota: a population-based study of incidence and survival.","type":"article-journal","volume":"123"},{"First":false,"Last":false,"PMID":"7617979","abstract":"Finland and Hokkaido resemble each other; the four season climate with cold winters and cool summers is the same as is the frequency of tuberculosis. The size of the population is almost the same. From the 1984 Japanese nationwide sarcoidosis survey we got the data from Hokkaido (288 patients) in order to compare the information with similarly collected data in Finland from 1984 (1,378 patients). The crude prevalence of sarcoidosis was 28.2 per 100,000 in Finland and 3.7 per 100,000 in Hokkaido. The annual incidence was 11.4 per 100,000 in Finland and 1.0 per 100,000 in Hokkaido. The sex distribution was similar; 63% vs 67% women in Finland and Hokkaido, respectively. At diagnosis the Hokkaidoan patients were significantly younger. In Hokkaido more cases were detected via mass X-ray survey (43% vs 34%). Among symptomatic patients eye symptoms were more frequent in Hokkaido, whereas respiratory and joint symptoms and erythema nodosum were more frequent in Finland. Bilateral hilar lymphadenopathy (BHL) was equally distributed (82% vs 84% whereas parenchymal lesions were seen more often in Finland (49% vs 25%) as well as peripheral lymphadenopathy (16% vs 8%).","author":[{"family":"Pietinalho","given":"A"},{"family":"Hiraga","given":"Y"},{"family":"Hosoda","given":"Y"},{"family":"Löfroos","given":"A B"},{"family":"Yamaguchi","given":"M"},{"family":"Selroos","given":"O"}],"authorYearDisplayFormat":false,"citation-label":"4507198","container-title":"Sarcoidosis","container-title-short":"Sarcoidosis","id":"4507198","invisible":false,"issue":"1","issued":{"date-parts":[["1995","3"]]},"journalAbbreviation":"Sarcoidosis","page":"61-67","suppress-author":false,"title":"The frequency of sarcoidosis in Finland and Hokkaido, Japan. A comparative epidemiological study.","type":"article-journal","volume":"12"},{"DOI":"10.1111/j.0954-6820.1969.tb12760.x","First":false,"Last":false,"authorYearDisplayFormat":false,"citation-label":"4507194","container-title":"Acta medica Scandinavica","container-title-short":"Acta Med Scand","id":"4507194","invisible":false,"issue":"S503","issued":{"date-parts":[["2009","4","24"]]},"journalAbbreviation":"Acta Med Scand","page":"13-21","suppress-author":false,"title":"Iii. the frequency of pulmonary sarcoidosis in finland","type":"article-journal","volume":"186"},{"First":false,"Last":false,"PMID":"2345819","abstract":"The review is based on studies from Denmark, Finland, Norway and Sweden during 1950-1982. In general sarcoidosis was slightly more frequent in females than in males, especially after 40 years of age. The majority of cases were diagnosed before 35 years; 59% had symptoms, 41% were found by chance. Radiological stage I was present in 50%, stage II in 35%, and stage III-IV in 14%. The prevalence was age dependent with maximum between 18-35 years, varying from 8-102/10(5) examined persons in Finland to 27 in Norway and 64 in Sweden. The incidence was likewise age related, being highest in 18- to 20-years-old males (57/10(5) examined persons/year); overall incidence varied from 14-15/10(5) examined persons/year in Denmark, Finland and Norway to 24 in Sweden. No definite change in incidence figures has occurred. The accumulated lifetime risk of acquiring sarcoidosis was identical in the two sexes up to 45 years of age, and then increased in females; at 65 years the risk was 1.6% in females and 1.2% in males based on the population examined.","author":[{"family":"Milman","given":"N"},{"family":"Selroos","given":"O"}],"authorYearDisplayFormat":false,"citation-label":"4506164","container-title":"Sarcoidosis","container-title-short":"Sarcoidosis","id":"4506164","invisible":false,"issue":"1","issued":{"date-parts":[["1990","3"]]},"journalAbbreviation":"Sarcoidosis","page":"50-57","suppress-author":false,"title":"Pulmonary sarcoidosis in the Nordic countries 1950-1982. Epidemiology and clinical picture.","type":"article-journal","volume":"7"}]</w:instrText>
      </w:r>
      <w:r w:rsidR="00D61BE4" w:rsidRPr="005A7F38">
        <w:fldChar w:fldCharType="separate"/>
      </w:r>
      <w:r w:rsidR="00B775CB" w:rsidRPr="00B775CB">
        <w:rPr>
          <w:noProof/>
          <w:vertAlign w:val="superscript"/>
        </w:rPr>
        <w:t>41–45</w:t>
      </w:r>
      <w:r w:rsidR="00D61BE4" w:rsidRPr="005A7F38">
        <w:fldChar w:fldCharType="end"/>
      </w:r>
    </w:p>
    <w:p w14:paraId="23162AF7" w14:textId="36F9A1A6" w:rsidR="009C32C5" w:rsidRPr="005A7F38" w:rsidRDefault="00210291" w:rsidP="002446BB">
      <w:r w:rsidRPr="005A7F38">
        <w:t xml:space="preserve">Researchers have demonstrated that granuloma formation can be induced in mice by injecting them with human sarcoidosis tissue. </w:t>
      </w:r>
      <w:r w:rsidR="00747F55" w:rsidRPr="005A7F38">
        <w:t>Healthy mice were given an injection of either control tissue homogenate or human sarcoid tissue homogenate. After 15 months, granulomas were present in the mice inoculated with the sarcoid tissue in many organs and tissues throughout their bodies but the mice inoculated with the control tissue did not develop any detectable granulomatous inflammation.</w:t>
      </w:r>
      <w:r w:rsidR="00747F55" w:rsidRPr="005A7F38">
        <w:fldChar w:fldCharType="begin"/>
      </w:r>
      <w:r w:rsidR="00B775CB">
        <w:instrText>ADDIN F1000_CSL_CITATION&lt;~#@#~&gt;[{"DOI":"10.1016/S0140-6736(76)90599-7","First":false,"Last":false,"PMID":"61441","abstract":"Mice were inoculated with human sarcoid tissue homogenates or with a first or a second passage homogenate of mouse tissue (including 0.2 mum membrane filtrates) originating from the inoculation of human sarcoid, Crohn's disease, or control tissue homogenates. Epithelioid and giant cell granulomas were present in the footpads and/or viscera of some of the mice given homogenates originating from each sarcoid or Crohn's disease tissue 15 months after inoculation but were not present in mice given control homogenates. Among mice given homogenates originating from human sarcoidosis, granulomas were present in many organs and tissues; in contrast, a pattern of selective dissemination of visceral granulomas was found among mice given homogenates originating from Crohn's disease. This differential distribution of visceral granulomas also followed the inoculation of 0.2 mum membrane filtrates. Granulomatous responses at Kveim test sites in the ear 9-17 months after inoculation of homogenatesoriginating from human sarcoidosis or Crohn's disease were confined to mice showing granulomas in footpads of viscera. The ability of the transmissible agents to induce granulomas in mice was destroyed when sarcoid or Crohn's tissues were autoclaved or when sarcoid homogenates were stored at -20degreesC for 1 week or exposed to 60Co irradiation (2.5 MR).","author":[{"family":"Mitchell","given":"D N"},{"family":"Rees","given":"R J"},{"family":"Goswami","given":"K K"}],"authorYearDisplayFormat":false,"citation-label":"4508457","container-title":"The Lancet","container-title-short":"Lancet","id":"4508457","invisible":false,"issue":"7989","issued":{"date-parts":[["1976","10","9"]]},"journalAbbreviation":"Lancet","page":"761-765","suppress-author":false,"title":"Transmissible agents from human sarcoid and Crohn's disease tissues.","type":"article-journal","volume":"2"}]</w:instrText>
      </w:r>
      <w:r w:rsidR="00747F55" w:rsidRPr="005A7F38">
        <w:fldChar w:fldCharType="separate"/>
      </w:r>
      <w:r w:rsidR="00B775CB" w:rsidRPr="00B775CB">
        <w:rPr>
          <w:noProof/>
          <w:vertAlign w:val="superscript"/>
        </w:rPr>
        <w:t>132</w:t>
      </w:r>
      <w:r w:rsidR="00747F55" w:rsidRPr="005A7F38">
        <w:fldChar w:fldCharType="end"/>
      </w:r>
      <w:r w:rsidR="00747F55" w:rsidRPr="005A7F38">
        <w:t xml:space="preserve"> </w:t>
      </w:r>
      <w:r w:rsidR="006A18F6" w:rsidRPr="005A7F38">
        <w:t>Furthermore</w:t>
      </w:r>
      <w:r w:rsidR="00747F55" w:rsidRPr="005A7F38">
        <w:t>, the evidence for a microbial agent responsible for transmission of sarcoidosis is strengthened by the fact that when human sarcoidosis tissue homogenate was autoclaved, stored at -20</w:t>
      </w:r>
      <w:r w:rsidR="00747F55" w:rsidRPr="005A7F38">
        <w:sym w:font="Symbol" w:char="F0B0"/>
      </w:r>
      <w:r w:rsidR="00747F55" w:rsidRPr="005A7F38">
        <w:t xml:space="preserve">C for </w:t>
      </w:r>
      <w:r w:rsidR="006A18F6" w:rsidRPr="005A7F38">
        <w:t>one</w:t>
      </w:r>
      <w:r w:rsidR="00747F55" w:rsidRPr="005A7F38">
        <w:t xml:space="preserve"> week or </w:t>
      </w:r>
      <w:r w:rsidR="006A18F6" w:rsidRPr="005A7F38">
        <w:t xml:space="preserve">was </w:t>
      </w:r>
      <w:r w:rsidR="00747F55" w:rsidRPr="005A7F38">
        <w:t xml:space="preserve">exposed to </w:t>
      </w:r>
      <w:r w:rsidR="00747F55" w:rsidRPr="005A7F38">
        <w:rPr>
          <w:vertAlign w:val="superscript"/>
        </w:rPr>
        <w:t>60</w:t>
      </w:r>
      <w:r w:rsidR="00747F55" w:rsidRPr="005A7F38">
        <w:t>Co irradiation, the effect of transmission was absent.</w:t>
      </w:r>
      <w:r w:rsidR="00747F55" w:rsidRPr="005A7F38">
        <w:fldChar w:fldCharType="begin"/>
      </w:r>
      <w:r w:rsidR="00B775CB">
        <w:instrText>ADDIN F1000_CSL_CITATION&lt;~#@#~&gt;[{"DOI":"10.1016/S0140-6736(76)90599-7","First":false,"Last":false,"PMID":"61441","abstract":"Mice were inoculated with human sarcoid tissue homogenates or with a first or a second passage homogenate of mouse tissue (including 0.2 mum membrane filtrates) originating from the inoculation of human sarcoid, Crohn's disease, or control tissue homogenates. Epithelioid and giant cell granulomas were present in the footpads and/or viscera of some of the mice given homogenates originating from each sarcoid or Crohn's disease tissue 15 months after inoculation but were not present in mice given control homogenates. Among mice given homogenates originating from human sarcoidosis, granulomas were present in many organs and tissues; in contrast, a pattern of selective dissemination of visceral granulomas was found among mice given homogenates originating from Crohn's disease. This differential distribution of visceral granulomas also followed the inoculation of 0.2 mum membrane filtrates. Granulomatous responses at Kveim test sites in the ear 9-17 months after inoculation of homogenatesoriginating from human sarcoidosis or Crohn's disease were confined to mice showing granulomas in footpads of viscera. The ability of the transmissible agents to induce granulomas in mice was destroyed when sarcoid or Crohn's tissues were autoclaved or when sarcoid homogenates were stored at -20degreesC for 1 week or exposed to 60Co irradiation (2.5 MR).","author":[{"family":"Mitchell","given":"D N"},{"family":"Rees","given":"R J"},{"family":"Goswami","given":"K K"}],"authorYearDisplayFormat":false,"citation-label":"4508457","container-title":"The Lancet","container-title-short":"Lancet","id":"4508457","invisible":false,"issue":"7989","issued":{"date-parts":[["1976","10","9"]]},"journalAbbreviation":"Lancet","page":"761-765","suppress-author":false,"title":"Transmissible agents from human sarcoid and Crohn's disease tissues.","type":"article-journal","volume":"2"}]</w:instrText>
      </w:r>
      <w:r w:rsidR="00747F55" w:rsidRPr="005A7F38">
        <w:fldChar w:fldCharType="separate"/>
      </w:r>
      <w:r w:rsidR="00B775CB" w:rsidRPr="00B775CB">
        <w:rPr>
          <w:noProof/>
          <w:vertAlign w:val="superscript"/>
        </w:rPr>
        <w:t>132</w:t>
      </w:r>
      <w:r w:rsidR="00747F55" w:rsidRPr="005A7F38">
        <w:fldChar w:fldCharType="end"/>
      </w:r>
      <w:r w:rsidR="00747F55" w:rsidRPr="005A7F38">
        <w:t xml:space="preserve"> However, the evidence for a microbial agent responsible for transmission of sarcoidosis is strengthened by the fact that when human sarcoidosis tissue homogenate was autoclaved, stored at -20</w:t>
      </w:r>
      <w:r w:rsidR="00747F55" w:rsidRPr="005A7F38">
        <w:sym w:font="Symbol" w:char="F0B0"/>
      </w:r>
      <w:r w:rsidR="00747F55" w:rsidRPr="005A7F38">
        <w:t xml:space="preserve">C for 1 week or were exposed to </w:t>
      </w:r>
      <w:r w:rsidR="00747F55" w:rsidRPr="005A7F38">
        <w:rPr>
          <w:vertAlign w:val="superscript"/>
        </w:rPr>
        <w:t>60</w:t>
      </w:r>
      <w:r w:rsidR="00747F55" w:rsidRPr="005A7F38">
        <w:t xml:space="preserve">Co irradiation, the effect of transmission was absent. </w:t>
      </w:r>
      <w:r w:rsidR="00747F55" w:rsidRPr="005A7F38">
        <w:fldChar w:fldCharType="begin"/>
      </w:r>
      <w:r w:rsidR="00B775CB">
        <w:instrText>ADDIN F1000_CSL_CITATION&lt;~#@#~&gt;[{"DOI":"10.1016/S0140-6736(76)90599-7","First":false,"Last":false,"PMID":"61441","abstract":"Mice were inoculated with human sarcoid tissue homogenates or with a first or a second passage homogenate of mouse tissue (including 0.2 mum membrane filtrates) originating from the inoculation of human sarcoid, Crohn's disease, or control tissue homogenates. Epithelioid and giant cell granulomas were present in the footpads and/or viscera of some of the mice given homogenates originating from each sarcoid or Crohn's disease tissue 15 months after inoculation but were not present in mice given control homogenates. Among mice given homogenates originating from human sarcoidosis, granulomas were present in many organs and tissues; in contrast, a pattern of selective dissemination of visceral granulomas was found among mice given homogenates originating from Crohn's disease. This differential distribution of visceral granulomas also followed the inoculation of 0.2 mum membrane filtrates. Granulomatous responses at Kveim test sites in the ear 9-17 months after inoculation of homogenatesoriginating from human sarcoidosis or Crohn's disease were confined to mice showing granulomas in footpads of viscera. The ability of the transmissible agents to induce granulomas in mice was destroyed when sarcoid or Crohn's tissues were autoclaved or when sarcoid homogenates were stored at -20degreesC for 1 week or exposed to 60Co irradiation (2.5 MR).","author":[{"family":"Mitchell","given":"D N"},{"family":"Rees","given":"R J"},{"family":"Goswami","given":"K K"}],"authorYearDisplayFormat":false,"citation-label":"4508457","container-title":"The Lancet","container-title-short":"Lancet","id":"4508457","invisible":false,"issue":"7989","issued":{"date-parts":[["1976","10","9"]]},"journalAbbreviation":"Lancet","page":"761-765","suppress-author":false,"title":"Transmissible agents from human sarcoid and Crohn's disease tissues.","type":"article-journal","volume":"2"}]</w:instrText>
      </w:r>
      <w:r w:rsidR="00747F55" w:rsidRPr="005A7F38">
        <w:fldChar w:fldCharType="separate"/>
      </w:r>
      <w:r w:rsidR="00B775CB" w:rsidRPr="00B775CB">
        <w:rPr>
          <w:noProof/>
          <w:vertAlign w:val="superscript"/>
        </w:rPr>
        <w:t>132</w:t>
      </w:r>
      <w:r w:rsidR="00747F55" w:rsidRPr="005A7F38">
        <w:fldChar w:fldCharType="end"/>
      </w:r>
      <w:r w:rsidR="00D61BE4" w:rsidRPr="005A7F38">
        <w:t xml:space="preserve"> The response to the Kveim-Siltzbach test, in which homogenates from sarcoid spleen or lymph nodes is injected subcutaneously, in those with </w:t>
      </w:r>
      <w:r w:rsidR="00D61BE4" w:rsidRPr="005A7F38">
        <w:lastRenderedPageBreak/>
        <w:t>sarcoidosis involves a granulomatous reaction that is indistinguishable from the development of sarcoid granulomas, providing evidence for an antigen-induced disease etiology.</w:t>
      </w:r>
      <w:r w:rsidR="00D61BE4" w:rsidRPr="005A7F38">
        <w:fldChar w:fldCharType="begin"/>
      </w:r>
      <w:r w:rsidR="00B775CB">
        <w:instrText>ADDIN F1000_CSL_CITATION&lt;~#@#~&gt;[{"DOI":"10.1513/pats.200608-155MS","First":false,"Last":false,"PMCID":"PMC2647598","PMID":"17684291","abstract":"The etiology of sarcoidosis remains uncertain. The hallmark of sarcoidosis is the epithelioid granuloma, which serves as a necessary starting point for considering disease etiology. Any etiologic agent of sarcoidosis must also explain the typical clinical behaviors and characteristic immunopathologic features of the disease. One clinical observation that serves as a bridge to the etiology of sarcoidosis is the Kveim reaction. In this reaction, local epithelioid granulomas develop several weeks after the intradermal injection of homogenates of sarcoidosis tissue. Our group capitalized on the known properties of the Kveim reagent to search for candidate pathogenic tissue antigens in sarcoidosis without other a priori hypotheses regarding possible microbial or autoimmune etiologies. Using a limited proteomics approach based on the physicochemical properties of Kveim reagent, we detected a limited number of poorly soluble antigenic proteins in sarcoidosis tissues by protein immunoblotting, using sarcoidosis sera. Matrix-associated laser desorption/ionization-time of flight mass spectrometry identified one of these antigens to be the Mycobacterium tuberculosis catalase-peroxidase protein (mKatG). We found IgG responses to recombinant mKatG in more than 50% of patients with sarcoidosis but rarely in purified protein derivative (PPD)-negative control subjects. These findings support the conclusion that mKatG is a tissue antigen and target of the adaptive immune response in sarcoidosis, providing further evidence of a mycobacterial etiology in a subset of sarcoidosis. More generally, the approach used in these studies might be employed to discover and validate other candidate pathogenic antigens in sarcoidosis or other granulomatous disorders.","author":[{"family":"Moller","given":"David R"}],"authorYearDisplayFormat":false,"citation-label":"4238740","container-title":"Proceedings of the American Thoracic Society","container-title-short":"Proc Am Thorac Soc","id":"4238740","invisible":false,"issue":"5","issued":{"date-parts":[["2007","8","15"]]},"journalAbbreviation":"Proc Am Thorac Soc","page":"465-468","suppress-author":false,"title":"Potential etiologic agents in sarcoidosis.","type":"article-journal","volume":"4"}]</w:instrText>
      </w:r>
      <w:r w:rsidR="00D61BE4" w:rsidRPr="005A7F38">
        <w:fldChar w:fldCharType="separate"/>
      </w:r>
      <w:r w:rsidR="00B775CB" w:rsidRPr="00B775CB">
        <w:rPr>
          <w:noProof/>
          <w:vertAlign w:val="superscript"/>
        </w:rPr>
        <w:t>128</w:t>
      </w:r>
      <w:r w:rsidR="00D61BE4" w:rsidRPr="005A7F38">
        <w:fldChar w:fldCharType="end"/>
      </w:r>
    </w:p>
    <w:p w14:paraId="247B1DD9" w14:textId="6799D674" w:rsidR="00D61BE4" w:rsidRPr="005A7F38" w:rsidRDefault="00747F55" w:rsidP="002446BB">
      <w:r w:rsidRPr="005A7F38">
        <w:t xml:space="preserve">There are several case reports of possible transmission of sarcoidosis via </w:t>
      </w:r>
      <w:r w:rsidR="009949B3">
        <w:t xml:space="preserve">organ or bone </w:t>
      </w:r>
      <w:r w:rsidRPr="005A7F38">
        <w:t xml:space="preserve">transplantation. In a clinical report implicating allogenic bone marrow transplantation as a possible route of transmission for sarcoidosis, a </w:t>
      </w:r>
      <w:r w:rsidR="00B57621" w:rsidRPr="005A7F38">
        <w:t>34-year-old</w:t>
      </w:r>
      <w:r w:rsidRPr="005A7F38">
        <w:t xml:space="preserve"> male received an allogenic bone marrow transplant </w:t>
      </w:r>
      <w:r w:rsidR="00393FDB" w:rsidRPr="005A7F38">
        <w:t xml:space="preserve">(BMT) </w:t>
      </w:r>
      <w:r w:rsidRPr="005A7F38">
        <w:t xml:space="preserve">for non-Hodgkins lymphoma. </w:t>
      </w:r>
      <w:r w:rsidR="00393FDB" w:rsidRPr="005A7F38">
        <w:t>Two years before donation, pulmonary sarcoidosis had been diagnosed in the donor. The donor had achieved a clinical remission from sarcoidosis after steroid therapy and had only minor radio</w:t>
      </w:r>
      <w:r w:rsidR="00B86DBD" w:rsidRPr="005A7F38">
        <w:t>graphic</w:t>
      </w:r>
      <w:r w:rsidR="00393FDB" w:rsidRPr="005A7F38">
        <w:t xml:space="preserve"> </w:t>
      </w:r>
      <w:r w:rsidR="00B86DBD" w:rsidRPr="005A7F38">
        <w:t xml:space="preserve">evidence </w:t>
      </w:r>
      <w:r w:rsidR="00393FDB" w:rsidRPr="005A7F38">
        <w:t xml:space="preserve">of disease at the time of the </w:t>
      </w:r>
      <w:r w:rsidR="00B86DBD" w:rsidRPr="005A7F38">
        <w:t>bone marrow donation</w:t>
      </w:r>
      <w:r w:rsidR="00393FDB" w:rsidRPr="005A7F38">
        <w:t xml:space="preserve">. </w:t>
      </w:r>
      <w:r w:rsidR="00B86DBD" w:rsidRPr="005A7F38">
        <w:t>Ninety</w:t>
      </w:r>
      <w:r w:rsidR="00393FDB" w:rsidRPr="005A7F38">
        <w:t xml:space="preserve"> days after the BMT, the recipient </w:t>
      </w:r>
      <w:r w:rsidR="00EA3A29" w:rsidRPr="005A7F38">
        <w:t>was diagnosed with sarcoidosis confirmed by both lung and liver biopsy. The recipient achieved a remission from sarcoidosis in 10 weeks following a change in immunosuppressive therapy.</w:t>
      </w:r>
      <w:r w:rsidR="00EA3A29" w:rsidRPr="005A7F38">
        <w:fldChar w:fldCharType="begin"/>
      </w:r>
      <w:r w:rsidR="00B775CB">
        <w:instrText>ADDIN F1000_CSL_CITATION&lt;~#@#~&gt;[{"First":false,"Last":false,"PMID":"7951107","abstract":"Allogeneic bone marrow transplantation (BMT) was performed in a 34-year-old man for non-Hodgkin's lymphoma. Two years before bone marrow harvest, pulmonary sarcoidosis was diagnosed in the donor. After steroid therapy, disease of the donor was in clinical remission with only minor radiological signs at the time of BMT. On day 90 after BMT, active sarcoidosis was diagnosed in the recipient. Besides radiologic signs and increased angiotensin converting enzyme levels, diagnosis was proved by characteristic histologic changes in lung and liver biopsies. Immunosuppressive therapy was changed from high dose cyclosporine to high dose methylprednisolone and symptoms promptly resolved within 10 weeks. This case indicates the possibility of transmission of sarcoidosis by marrow transplantation.","author":[{"family":"Heyll","given":"A"},{"family":"Meckenstock","given":"G"},{"family":"Aul","given":"C"},{"family":"Söhngen","given":"D"},{"family":"Borchard","given":"F"},{"family":"Hadding","given":"U"},{"family":"Mödder","given":"U"},{"family":"Leschke","given":"M"},{"family":"Schneider","given":"W"}],"authorYearDisplayFormat":false,"citation-label":"4508450","container-title":"Bone Marrow Transplantation","container-title-short":"Bone Marrow Transplant","id":"4508450","invisible":false,"issue":"1","issued":{"date-parts":[["1994","7"]]},"journalAbbreviation":"Bone Marrow Transplant","page":"161-164","suppress-author":false,"title":"Possible transmission of sarcoidosis via allogeneic bone marrow transplantation.","type":"article-journal","volume":"14"}]</w:instrText>
      </w:r>
      <w:r w:rsidR="00EA3A29" w:rsidRPr="005A7F38">
        <w:fldChar w:fldCharType="separate"/>
      </w:r>
      <w:r w:rsidR="00B775CB" w:rsidRPr="00B775CB">
        <w:rPr>
          <w:noProof/>
          <w:vertAlign w:val="superscript"/>
        </w:rPr>
        <w:t>133</w:t>
      </w:r>
      <w:r w:rsidR="00EA3A29" w:rsidRPr="005A7F38">
        <w:fldChar w:fldCharType="end"/>
      </w:r>
      <w:r w:rsidR="00FC73D6" w:rsidRPr="005A7F38">
        <w:t xml:space="preserve"> </w:t>
      </w:r>
      <w:r w:rsidR="004C34FF" w:rsidRPr="005A7F38">
        <w:t>Several case</w:t>
      </w:r>
      <w:r w:rsidR="00AD10A1" w:rsidRPr="005A7F38">
        <w:t xml:space="preserve"> reports document</w:t>
      </w:r>
      <w:r w:rsidR="004C34FF" w:rsidRPr="005A7F38">
        <w:t xml:space="preserve"> patients </w:t>
      </w:r>
      <w:r w:rsidR="006438EA" w:rsidRPr="005A7F38">
        <w:t xml:space="preserve">diagnosed with sarcoidosis shortly after receiving an allogenic lung </w:t>
      </w:r>
      <w:r w:rsidR="00AD10A1" w:rsidRPr="005A7F38">
        <w:t xml:space="preserve">or heart </w:t>
      </w:r>
      <w:r w:rsidR="006438EA" w:rsidRPr="005A7F38">
        <w:t xml:space="preserve">transplant or </w:t>
      </w:r>
      <w:r w:rsidR="00AD10A1" w:rsidRPr="005A7F38">
        <w:t xml:space="preserve">the </w:t>
      </w:r>
      <w:r w:rsidR="006438EA" w:rsidRPr="005A7F38">
        <w:t>recurrence of sarcoidosis in the period following their transplant.</w:t>
      </w:r>
      <w:r w:rsidR="006438EA" w:rsidRPr="005A7F38">
        <w:fldChar w:fldCharType="begin"/>
      </w:r>
      <w:r w:rsidR="00B775CB">
        <w:instrText>ADDIN F1000_CSL_CITATION&lt;~#@#~&gt;[{"DOI":"10.1378/chest.106.5.1597","First":false,"Last":false,"author":[{"family":"Martinez","given":"Fernando J."},{"family":"Orens","given":"Jonathan B."},{"family":"Deeb","given":"Michael"},{"family":"Brunsting","given":"Louis A."},{"family":"Flint","given":"Andrew"},{"family":"Lynch","given":"Joseph P."}],"authorYearDisplayFormat":false,"citation-label":"4508473","container-title":"Chest","container-title-short":"Chest","id":"4508473","invisible":false,"issue":"5","issued":{"date-parts":[["1994","11"]]},"journalAbbreviation":"Chest","page":"1597-1599","suppress-author":false,"title":"Recurrence of sarcoidosis following bilateral allogeneic lung transplantation","type":"article-journal","volume":"106"},{"DOI":"10.1148/radiology.194.3.7863002","First":false,"Last":false,"author":[{"family":"Kazerooni","given":"E A"},{"family":"Cascade","given":"P N"}],"authorYearDisplayFormat":false,"citation-label":"4508474","container-title":"Radiology","container-title-short":"Radiology","id":"4508474","invisible":false,"issue":"3","issued":{"date-parts":[["1995","3"]]},"journalAbbreviation":"Radiology","page":"913-913","suppress-author":false,"title":"Recurrent miliary sarcoidosis after lung transplantation.","type":"article-journal","volume":"194"},{"DOI":"10.1183/09031936.05.00127404","First":false,"Last":false,"PMID":"16135738","abstract":"From 1992-2004, single lung transplantation has been performed in seven patients with end-stage pulmonary sarcoidosis at the Danish National Centre for Lung Transplantation. The objective was to assess whether recurrent sarcoid granulomas in the lung graft are derived from recipient or donor immune cells. Three patients had sarcoid recurrence in the lung graft, but none had clinically overt extra-thoracic sarcoidosis. Graft sex-mismatch was present in one patient, a 52-yr-old female having a lung graft from a male donor. In order to discriminate between recipient and donor cells fluorescence in situ hybridisation (FISH), using probes for both X- and Y-chromosomes, was applied on transbronchial lung biopsies (TBB) from the lung graft containing sarcoid granulomas. The recipient's explanted lung contained multiple active sarcoid granulomas. TBB from the implanted donor lung 5 months after transplantation showed sarcoid granulomas. FISH showed that the immune cells in the granulomas were X-chromosome positive and Y-chromosome negative and, therefore, were derived from the recipient. In conclusion, the results indicate that recurrent sarcoid granulomas in the transplanted lung are derived from recipient's immune cells, having colonised the lung allograft.","author":[{"family":"Milman","given":"N"},{"family":"Andersen","given":"C B"},{"family":"Burton","given":"C M"},{"family":"Iversen","given":"M"}],"authorYearDisplayFormat":false,"citation-label":"4509087","container-title":"The European Respiratory Journal","container-title-short":"Eur Respir J","id":"4509087","invisible":false,"issue":"3","issued":{"date-parts":[["2005","9"]]},"journalAbbreviation":"Eur Respir J","page":"549-552","suppress-author":false,"title":"Recurrent sarcoid granulomas in a transplanted lung derive from recipient immune cells.","type":"article-journal","volume":"26"},{"DOI":"10.1016/0140-6736(90)93354-R","First":false,"Last":false,"author":[{"family":"Burke","given":"W M J"},{"family":"Keogh","given":"A"},{"family":"Maloney","given":"P J"},{"family":"Delprado","given":"W"},{"family":"Bryant","given":"D H"},{"family":"Spratt","given":"P"}],"authorYearDisplayFormat":false,"citation-label":"4508476","container-title":"The Lancet","container-title-short":"Lancet","id":"4508476","invisible":false,"issue":"8730-8731","issued":{"date-parts":[["1990","12"]]},"journalAbbreviation":"Lancet","page":"1579","suppress-author":false,"title":"Transmission of sarcoidosis via cardiac transplantation","type":"article-journal","volume":"336"}]</w:instrText>
      </w:r>
      <w:r w:rsidR="006438EA" w:rsidRPr="005A7F38">
        <w:fldChar w:fldCharType="separate"/>
      </w:r>
      <w:r w:rsidR="00B775CB" w:rsidRPr="00B775CB">
        <w:rPr>
          <w:noProof/>
          <w:vertAlign w:val="superscript"/>
        </w:rPr>
        <w:t>134–137</w:t>
      </w:r>
      <w:r w:rsidR="006438EA" w:rsidRPr="005A7F38">
        <w:fldChar w:fldCharType="end"/>
      </w:r>
      <w:r w:rsidR="00585875" w:rsidRPr="005A7F38">
        <w:t xml:space="preserve"> </w:t>
      </w:r>
      <w:r w:rsidR="00637095" w:rsidRPr="005A7F38">
        <w:t>Despite these associations, no studies have shown l</w:t>
      </w:r>
      <w:r w:rsidR="005A0055" w:rsidRPr="005A7F38">
        <w:t xml:space="preserve">ive replicating microorganisms </w:t>
      </w:r>
      <w:r w:rsidR="00637095" w:rsidRPr="005A7F38">
        <w:t xml:space="preserve">by direct culture or through histological staining. Potential explanations include the </w:t>
      </w:r>
      <w:r w:rsidR="004F00E8" w:rsidRPr="005A7F38">
        <w:t xml:space="preserve">possibility that the transmissible agent in the transplant cases are </w:t>
      </w:r>
      <w:r w:rsidR="00F64DAA" w:rsidRPr="005A7F38">
        <w:t>actually</w:t>
      </w:r>
      <w:r w:rsidR="004F00E8" w:rsidRPr="005A7F38">
        <w:t xml:space="preserve"> donor immune cells that contain pathogenic microbial antigens, autoantigens or misfolded </w:t>
      </w:r>
      <w:r w:rsidR="00F64DAA" w:rsidRPr="005A7F38">
        <w:t>proteins</w:t>
      </w:r>
      <w:r w:rsidR="004F00E8" w:rsidRPr="005A7F38">
        <w:t xml:space="preserve"> that cause granuloma formation</w:t>
      </w:r>
      <w:r w:rsidR="00F64DAA" w:rsidRPr="005A7F38">
        <w:t xml:space="preserve"> and that a microbial agent will become apparent with increased use of culture independent techniques.</w:t>
      </w:r>
      <w:r w:rsidR="00F64DAA" w:rsidRPr="005A7F38">
        <w:fldChar w:fldCharType="begin"/>
      </w:r>
      <w:r w:rsidR="00B775CB">
        <w:instrText>ADDIN F1000_CSL_CITATION&lt;~#@#~&gt;[{"DOI":"10.1055/s-0034-1376859","First":false,"Last":false,"PMID":"25007081","abstract":"A consensus statement found in most peer-reviewed literature on sarcoidosis is that the etiology of sarcoidosis is unknown. It is timely to review whether this statement should be revised. Many infectious agents meet the basic requirements of inducing granulomatous inflammation and immunologic responses consistent with sarcoidosis including oligoclonal expansion of CD4+ T cells, polarized Th1 and possibly Th17 responses, and dysregulated regulatory T-cell function. Studies over the past decade provide increasing and complementary data to implicate a role for infectious agents in sarcoidosis etiology. These studies used different methodologies such as polymerase chain reaction and mass spectrometry to document microbial nucleic acids and proteins in sarcoidosis tissues. Multiple studies report antigen-specific immune responses to specific microbial proteins in sarcoidosis. In aggregate, these studies provide compelling evidence that mycobacteria play a major etiologic role in sarcoidosis in the United States and Europe. Studies from Japan support a role for Propionibacteria as a major etiologic agent in the country. There is controversy over how these (or other) infectious agents cause sarcoidosis. The hypothesis that chronic sarcoidosis is caused by a viable, replicating mycobacterial or other infection has no direct pathologic, microbiologic, or clinical evidence. A novel hypothesis links microbial triggers to a sarcoidosis outcome from the accumulation of aggregated proinflammatory serum amyloid A within granulomas, providing a mechanism for chronic disease in the absence of any viable tissue infection. Further studies are needed to provide more definitive evidence for these competing hypotheses before the statement that the etiology of sarcoidosis is unknown becomes obsolete.&lt;br&gt;&lt;br&gt;Thieme Medical Publishers 333 Seventh Avenue, New York, NY 10001, USA.","author":[{"family":"Chen","given":"Edward S"},{"family":"Moller","given":"David R"}],"authorYearDisplayFormat":false,"citation-label":"4508500","container-title":"Seminars in Respiratory and Critical Care Medicine","container-title-short":"Semin Respir Crit Care Med","id":"4508500","invisible":false,"issue":"3","issued":{"date-parts":[["2014","6"]]},"journalAbbreviation":"Semin Respir Crit Care Med","page":"285-295","suppress-author":false,"title":"Etiologic role of infectious agents.","type":"article-journal","volume":"35"},{"DOI":"10.1183/09031936.05.00127404","First":false,"Last":false,"PMID":"16135738","abstract":"From 1992-2004, single lung transplantation has been performed in seven patients with end-stage pulmonary sarcoidosis at the Danish National Centre for Lung Transplantation. The objective was to assess whether recurrent sarcoid granulomas in the lung graft are derived from recipient or donor immune cells. Three patients had sarcoid recurrence in the lung graft, but none had clinically overt extra-thoracic sarcoidosis. Graft sex-mismatch was present in one patient, a 52-yr-old female having a lung graft from a male donor. In order to discriminate between recipient and donor cells fluorescence in situ hybridisation (FISH), using probes for both X- and Y-chromosomes, was applied on transbronchial lung biopsies (TBB) from the lung graft containing sarcoid granulomas. The recipient's explanted lung contained multiple active sarcoid granulomas. TBB from the implanted donor lung 5 months after transplantation showed sarcoid granulomas. FISH showed that the immune cells in the granulomas were X-chromosome positive and Y-chromosome negative and, therefore, were derived from the recipient. In conclusion, the results indicate that recurrent sarcoid granulomas in the transplanted lung are derived from recipient's immune cells, having colonised the lung allograft.","author":[{"family":"Milman","given":"N"},{"family":"Andersen","given":"C B"},{"family":"Burton","given":"C M"},{"family":"Iversen","given":"M"}],"authorYearDisplayFormat":false,"citation-label":"4509087","container-title":"The European Respiratory Journal","container-title-short":"Eur Respir J","id":"4509087","invisible":false,"issue":"3","issued":{"date-parts":[["2005","9"]]},"journalAbbreviation":"Eur Respir J","page":"549-552","suppress-author":false,"title":"Recurrent sarcoid granulomas in a transplanted lung derive from recipient immune cells.","type":"article-journal","volume":"26"}]</w:instrText>
      </w:r>
      <w:r w:rsidR="00F64DAA" w:rsidRPr="005A7F38">
        <w:fldChar w:fldCharType="separate"/>
      </w:r>
      <w:r w:rsidR="00B775CB" w:rsidRPr="00B775CB">
        <w:rPr>
          <w:noProof/>
          <w:vertAlign w:val="superscript"/>
        </w:rPr>
        <w:t>116,136</w:t>
      </w:r>
      <w:r w:rsidR="00F64DAA" w:rsidRPr="005A7F38">
        <w:fldChar w:fldCharType="end"/>
      </w:r>
    </w:p>
    <w:p w14:paraId="2234D8B0" w14:textId="6591883B" w:rsidR="00F64DAA" w:rsidRPr="005A7F38" w:rsidRDefault="00AD10A1" w:rsidP="002446BB">
      <w:r w:rsidRPr="005A7F38">
        <w:t>In further support of an infectious etiology of sarcoidosis, t</w:t>
      </w:r>
      <w:r w:rsidR="00B57621" w:rsidRPr="005A7F38">
        <w:t>here are known microbial infectious agents that can induce granulomatous inflammation that resembles that of sarcoidosis.</w:t>
      </w:r>
      <w:r w:rsidR="00B57621" w:rsidRPr="005A7F38">
        <w:fldChar w:fldCharType="begin"/>
      </w:r>
      <w:r w:rsidR="00B775CB">
        <w:instrText>ADDIN F1000_CSL_CITATION&lt;~#@#~&gt;[{"DOI":"10.1016/S0895-4356(99)00142-0","First":false,"Last":false,"abstract":"Sarcoidosis is a chronic granulomatous disorder of unknown cause, characterized by activation of T-lymphocytes and macrophages. A Case Control Etiologic Study of Sarcoidosis (ACCESS) is a multicenter study designed to determine the etiology of sarcoidosis. The study organization includes 10 Clinical Centers, a Clinical Coordinating Center, specialized Core Laboratories, a Central Specimen Repository, and a Project Office at the National Heart, Lung, and Blood Institute. In addition to etiology, ACCESS will examine the socioeconomic status and clinical course of patients with sarcoidosis. We propose to enroll 720 newly diagnosed cases of sarcoidosis and compare them to 720 age, sex, and race matched controls and follow the first 240 cases for two years.Leads to the etiology of sarcoidosis have come from diverse sources: in clinical laboratory investigations, alveolitis has been found to precede granulomatous inflammation; in case control studies, familial aggregation has been identified; and in case reports, recurrence of granulomatous inflammation has been observed after lung transplantation. We describe the rationale for the study design based on genetic, environmental, infectious, and immune dysregulation hypotheses and the methods used for selecting controls.The cause may not prove to be a single, known exposure. Interactions of exposures with genetic predispositions would have important implications for our understanding of immune responses as well as the pathogenesis of sarcoidosis.","authorYearDisplayFormat":false,"citation-label":"906317","container-title":"Journal of Clinical Epidemiology","container-title-short":"J Clin Epidemiol","id":"906317","invisible":false,"issue":"12","issued":{"date-parts":[["1999","12"]]},"journalAbbreviation":"J Clin Epidemiol","page":"1173-1186","suppress-author":false,"title":"Design of A Case Control Etiologic Study of Sarcoidosis (ACCESS)","type":"article-journal","volume":"52"}]</w:instrText>
      </w:r>
      <w:r w:rsidR="00B57621" w:rsidRPr="005A7F38">
        <w:fldChar w:fldCharType="separate"/>
      </w:r>
      <w:r w:rsidR="00B775CB" w:rsidRPr="00B775CB">
        <w:rPr>
          <w:noProof/>
          <w:vertAlign w:val="superscript"/>
        </w:rPr>
        <w:t>138</w:t>
      </w:r>
      <w:r w:rsidR="00B57621" w:rsidRPr="005A7F38">
        <w:fldChar w:fldCharType="end"/>
      </w:r>
      <w:r w:rsidR="00B57621" w:rsidRPr="005A7F38">
        <w:t xml:space="preserve"> </w:t>
      </w:r>
      <w:r w:rsidR="009949B3">
        <w:t>I</w:t>
      </w:r>
      <w:r w:rsidR="00B57621" w:rsidRPr="005A7F38">
        <w:t xml:space="preserve">t </w:t>
      </w:r>
      <w:r w:rsidRPr="005A7F38">
        <w:t>i</w:t>
      </w:r>
      <w:r w:rsidR="00C03FA9" w:rsidRPr="005A7F38">
        <w:t>s</w:t>
      </w:r>
      <w:r w:rsidR="00B57621" w:rsidRPr="005A7F38">
        <w:t xml:space="preserve"> </w:t>
      </w:r>
      <w:r w:rsidRPr="005A7F38">
        <w:t>feasible</w:t>
      </w:r>
      <w:r w:rsidR="00B57621" w:rsidRPr="005A7F38">
        <w:t xml:space="preserve"> that more than one microbial agent or a combination of microbial agents </w:t>
      </w:r>
      <w:r w:rsidR="00DE2925" w:rsidRPr="005A7F38">
        <w:t xml:space="preserve">working in concert are responsible for the induction of sarcoidosis. </w:t>
      </w:r>
      <w:r w:rsidR="00DE2925" w:rsidRPr="005A7F38">
        <w:fldChar w:fldCharType="begin"/>
      </w:r>
      <w:r w:rsidR="00B775CB">
        <w:instrText>ADDIN F1000_CSL_CITATION&lt;~#@#~&gt;[{"DOI":"10.1513/pats.200608-155MS","First":false,"Last":false,"PMCID":"PMC2647598","PMID":"17684291","abstract":"The etiology of sarcoidosis remains uncertain. The hallmark of sarcoidosis is the epithelioid granuloma, which serves as a necessary starting point for considering disease etiology. Any etiologic agent of sarcoidosis must also explain the typical clinical behaviors and characteristic immunopathologic features of the disease. One clinical observation that serves as a bridge to the etiology of sarcoidosis is the Kveim reaction. In this reaction, local epithelioid granulomas develop several weeks after the intradermal injection of homogenates of sarcoidosis tissue. Our group capitalized on the known properties of the Kveim reagent to search for candidate pathogenic tissue antigens in sarcoidosis without other a priori hypotheses regarding possible microbial or autoimmune etiologies. Using a limited proteomics approach based on the physicochemical properties of Kveim reagent, we detected a limited number of poorly soluble antigenic proteins in sarcoidosis tissues by protein immunoblotting, using sarcoidosis sera. Matrix-associated laser desorption/ionization-time of flight mass spectrometry identified one of these antigens to be the Mycobacterium tuberculosis catalase-peroxidase protein (mKatG). We found IgG responses to recombinant mKatG in more than 50% of patients with sarcoidosis but rarely in purified protein derivative (PPD)-negative control subjects. These findings support the conclusion that mKatG is a tissue antigen and target of the adaptive immune response in sarcoidosis, providing further evidence of a mycobacterial etiology in a subset of sarcoidosis. More generally, the approach used in these studies might be employed to discover and validate other candidate pathogenic antigens in sarcoidosis or other granulomatous disorders.","author":[{"family":"Moller","given":"David R"}],"authorYearDisplayFormat":false,"citation-label":"4238740","container-title":"Proceedings of the American Thoracic Society","container-title-short":"Proc Am Thorac Soc","id":"4238740","invisible":false,"issue":"5","issued":{"date-parts":[["2007","8","15"]]},"journalAbbreviation":"Proc Am Thorac Soc","page":"465-468","suppress-author":false,"title":"Potential etiologic agents in sarcoidosis.","type":"article-journal","volume":"4"},{"DOI":"10.1055/s-0034-1376859","First":false,"Last":false,"PMID":"25007081","abstract":"A consensus statement found in most peer-reviewed literature on sarcoidosis is that the etiology of sarcoidosis is unknown. It is timely to review whether this statement should be revised. Many infectious agents meet the basic requirements of inducing granulomatous inflammation and immunologic responses consistent with sarcoidosis including oligoclonal expansion of CD4+ T cells, polarized Th1 and possibly Th17 responses, and dysregulated regulatory T-cell function. Studies over the past decade provide increasing and complementary data to implicate a role for infectious agents in sarcoidosis etiology. These studies used different methodologies such as polymerase chain reaction and mass spectrometry to document microbial nucleic acids and proteins in sarcoidosis tissues. Multiple studies report antigen-specific immune responses to specific microbial proteins in sarcoidosis. In aggregate, these studies provide compelling evidence that mycobacteria play a major etiologic role in sarcoidosis in the United States and Europe. Studies from Japan support a role for Propionibacteria as a major etiologic agent in the country. There is controversy over how these (or other) infectious agents cause sarcoidosis. The hypothesis that chronic sarcoidosis is caused by a viable, replicating mycobacterial or other infection has no direct pathologic, microbiologic, or clinical evidence. A novel hypothesis links microbial triggers to a sarcoidosis outcome from the accumulation of aggregated proinflammatory serum amyloid A within granulomas, providing a mechanism for chronic disease in the absence of any viable tissue infection. Further studies are needed to provide more definitive evidence for these competing hypotheses before the statement that the etiology of sarcoidosis is unknown becomes obsolete.&lt;br&gt;&lt;br&gt;Thieme Medical Publishers 333 Seventh Avenue, New York, NY 10001, USA.","author":[{"family":"Chen","given":"Edward S"},{"family":"Moller","given":"David R"}],"authorYearDisplayFormat":false,"citation-label":"4508500","container-title":"Seminars in Respiratory and Critical Care Medicine","container-title-short":"Semin Respir Crit Care Med","id":"4508500","invisible":false,"issue":"3","issued":{"date-parts":[["2014","6"]]},"journalAbbreviation":"Semin Respir Crit Care Med","page":"285-295","suppress-author":false,"title":"Etiologic role of infectious agents.","type":"article-journal","volume":"35"},{"DOI":"10.1164/rccm.201705-0891OC","First":false,"Last":false,"PMID":"28846439","abstract":"&lt;strong&gt;RATIONALE:&lt;/strong&gt; The etiology of sarcoidosis is unknown, but microbial agents are suspected as triggers.&lt;br&gt;&lt;br&gt;&lt;strong&gt;OBJECTIVE:&lt;/strong&gt; We sought to identify bacterial, fungal or viral lineages in specimens from sarcoidosis patients enriched relative to controls using metagenomic DNA sequencing. Since DNA from environmental contamination contributes disproportionately to samples with low authentic microbial content, we developed improved methods for filtering environmental contamination.&lt;br&gt;&lt;br&gt;&lt;strong&gt;METHODS:&lt;/strong&gt; We analyzed specimens from sarcoidosis subjects (n=93), non-sarcoidosis control subjects (n=72) and various environmental controls (n=150). Sarcoidosis specimens consisted of two independent sets of formalin-fixed, paraffin-embedded lymph node biopsies, bronchoalveolar lavage (BAL), Kveim reagent, and fresh granulomatous spleen from a sarcoidosis patient. All specimens were analyzed by bacterial 16S and fungal ITS rRNA gene sequencing. In addition, BAL was analyzed by shotgun sequencing of fractions enriched for viral particles, and Kveim and spleen were subjected to whole-genome shotgun sequencing.&lt;br&gt;&lt;br&gt;&lt;strong&gt;MEASUREMENTS AND MAIN RESULTS:&lt;/strong&gt; In one tissue set, fungi in the Cladosporiaceae family were enriched in sarcoidosis compared to non-sarcoidosis tissues; in the other tissue set, we detected enrichment of several bacterial lineages in sarcoidosis, but not Cladosporiaceae. BAL showed limited enrichment of Aspergillus fungi. Several microbial lineages were detected in Kveim and spleen, including Cladosporium. No microbial lineage was enriched in more than one sample type after correction for multiple comparisons.&lt;br&gt;&lt;br&gt;&lt;strong&gt;CONCLUSIONS:&lt;/strong&gt; Metagenomic sequencing revealed enrichment of microbes in single types of sarcoidosis samples, but limited concordance across sample types. Statistical analysis accounting for environmental contamination was essential to avoiding false positives.","author":[{"family":"Clarke","given":"Erik L"},{"family":"Lauder","given":"Abigail P"},{"family":"Hofstaedter","given":"Casey E"},{"family":"Hwang","given":"Young"},{"family":"Fitzgerald","given":"Ayannah S"},{"family":"Imai","given":"Ize"},{"family":"Biernat","given":"Wojciech"},{"family":"Rękawiecki","given":"Bartłomiej"},{"family":"Majewska","given":"Hanna"},{"family":"Dubaniewicz","given":"Anna"},{"family":"Litzky","given":"Leslie A"},{"family":"Feldman","given":"Michael D"},{"family":"Bittinger","given":"Kyle"},{"family":"Rossman","given":"Milton D"},{"family":"Patterson","given":"Karen C"},{"family":"Bushman","given":"Frederic D"},{"family":"Collman","given":"Ronald G"}],"authorYearDisplayFormat":false,"citation-label":"4212339","container-title":"American Journal of Respiratory and Critical Care Medicine","container-title-short":"Am J Respir Crit Care Med","id":"4212339","invisible":false,"issued":{"date-parts":[["2017","8","28"]]},"journalAbbreviation":"Am J Respir Crit Care Med","suppress-author":false,"title":"Microbial lineages in sarcoidosis: A metagenomic analysis tailored for low microbial content samples.","type":"article-journal"},{"DOI":"10.1007/s12016-015-8481-z","First":false,"Last":false,"PMID":"25771769","abstract":"Since sarcoidosis was first described more than a century ago, the etiologic determinants causing this disease remain uncertain. Studies suggest that genetic, host immunologic, and environmental factors interact together to cause sarcoidosis. Immunologic characteristics of sarcoidosis include non-caseating granulomas, enhanced local expression of T helper-1 (and often Th17) cytokines and chemokines, dysfunctional regulatory T-cell responses, dysregulated Toll-like receptor signaling, and oligoclonal expansion of CD4+ T cells consistent with chronic antigenic stimulation. Multiple environmental agents have been suggested to cause sarcoidosis. Studies from several groups implicate mycobacterial or propionibacterial organisms in the etiology of sarcoidosis based on tissue analyses and immunologic responses in sarcoidosis patients. Despite these studies, there is no consensus on the nature of a microbial pathogenesis of sarcoidosis. Some groups postulate sarcoidosis is caused by an active viable replicating infection while other groups contend there is no clinical, pathologic, or microbiologic evidence for such a pathogenic mechanism. The authors posit a novel hypothesis that proposes that sarcoidosis is triggered by a hyperimmune Th1 response to pathogenic microbial and tissue antigens associated with the aberrant aggregation of serum amyloid A within granulomas, which promotes progressive chronic granulomatous inflammation in the absence of ongoing infection.","author":[{"family":"Chen","given":"Edward S"},{"family":"Moller","given":"David R"}],"authorYearDisplayFormat":false,"citation-label":"4219823","container-title":"Clinical Reviews in Allergy &amp; Immunology","container-title-short":"Clin Rev Allergy Immunol","id":"4219823","invisible":false,"issue":"1","issued":{"date-parts":[["2015","8"]]},"journalAbbreviation":"Clin Rev Allergy Immunol","page":"6-18","suppress-author":false,"title":"Etiologies of Sarcoidosis.","type":"article-journal","volume":"49"},{"DOI":"10.1007/s004080000104","First":false,"Last":false,"PMID":"12489022","author":[{"family":"Reynolds","given":"H Y"}],"authorYearDisplayFormat":false,"citation-label":"4451205","container-title":"Lung","container-title-short":"Lung","id":"4451205","invisible":false,"issue":"5","issued":{"date-parts":[["2002"]]},"journalAbbreviation":"Lung","page":"281-299","suppress-author":false,"title":"Sarcoidosis: impact of other illnesses on the presentation and management of multi-organ disease.","type":"article-journal","volume":"180"}]</w:instrText>
      </w:r>
      <w:r w:rsidR="00DE2925" w:rsidRPr="005A7F38">
        <w:fldChar w:fldCharType="separate"/>
      </w:r>
      <w:r w:rsidR="00B775CB" w:rsidRPr="00B775CB">
        <w:rPr>
          <w:noProof/>
          <w:vertAlign w:val="superscript"/>
        </w:rPr>
        <w:t>5,33,116,128,139</w:t>
      </w:r>
      <w:r w:rsidR="00DE2925" w:rsidRPr="005A7F38">
        <w:fldChar w:fldCharType="end"/>
      </w:r>
      <w:r w:rsidR="00BA3A0D" w:rsidRPr="005A7F38">
        <w:t xml:space="preserve"> </w:t>
      </w:r>
      <w:r w:rsidR="00D61BE4" w:rsidRPr="005A7F38">
        <w:t>The involvement of infectious agents in sarcoidosis is supported by the detection of the g</w:t>
      </w:r>
      <w:r w:rsidR="00A25867" w:rsidRPr="005A7F38">
        <w:t xml:space="preserve">enomes of </w:t>
      </w:r>
      <w:r w:rsidR="00C03FA9" w:rsidRPr="005A7F38">
        <w:t>microbes</w:t>
      </w:r>
      <w:r w:rsidR="00D61BE4" w:rsidRPr="005A7F38">
        <w:t xml:space="preserve"> within granulomas, </w:t>
      </w:r>
      <w:r w:rsidR="00D61BE4" w:rsidRPr="005A7F38">
        <w:lastRenderedPageBreak/>
        <w:t xml:space="preserve">including the genomes of </w:t>
      </w:r>
      <w:r w:rsidR="00D61BE4" w:rsidRPr="005A7F38">
        <w:rPr>
          <w:i/>
        </w:rPr>
        <w:t>Propionibacterium acnes</w:t>
      </w:r>
      <w:r w:rsidR="00D61BE4" w:rsidRPr="005A7F38">
        <w:t xml:space="preserve"> (P. acnes) and </w:t>
      </w:r>
      <w:r w:rsidR="00D61BE4" w:rsidRPr="005A7F38">
        <w:rPr>
          <w:i/>
        </w:rPr>
        <w:t>Mycobacterium tuberculosis</w:t>
      </w:r>
      <w:r w:rsidR="00D61BE4" w:rsidRPr="005A7F38">
        <w:t xml:space="preserve"> (</w:t>
      </w:r>
      <w:r w:rsidR="008F5985" w:rsidRPr="005A7F38">
        <w:t>MT</w:t>
      </w:r>
      <w:r w:rsidR="00D61BE4" w:rsidRPr="005A7F38">
        <w:t>).</w:t>
      </w:r>
      <w:r w:rsidR="00D61BE4" w:rsidRPr="005A7F38">
        <w:fldChar w:fldCharType="begin"/>
      </w:r>
      <w:r w:rsidR="00B775CB">
        <w:instrText>ADDIN F1000_CSL_CITATION&lt;~#@#~&gt;[{"First":false,"Last":false,"PMCID":"PMC120089","PMID":"11773116","abstract":"The cause(s) of sarcoidosis is unknown. Mycobacterium spp. are suspected in Europe and Propionibacterium spp. are suspected in Japan. The present international collaboration evaluated the possible etiological links between sarcoidosis and the suspected bacterial species. Formalin-fixed and paraffin-embedded sections of biopsy samples of lymph nodes, one from each of 108 patients with sarcoidosis and 65 patients with tuberculosis, together with 86 control samples, were collected from two institutes in Japan and three institutes in Italy, Germany, and England. Genomes of Propionibacterium acnes, Propionibacterium granulosum, Mycobacterium tuberculosis, Mycobacterium avium subsp. paratuberculosis, and Escherichia coli (as the control) were counted by quantitative real-time PCR. Either P. acnes or P. granulosum was found in all but two of the sarcoid samples. M. avium subsp. paratuberculosis was found in no sarcoid sample. M. tuberculosis was found in 0 to 9% of the sarcoid samples but in 65 to 100% of the tuberculosis samples. In sarcoid lymph nodes, the total numbers of genomes of P. acnes or P. granulosum were far more than those of M. tuberculosis. P. acnes or P. granulosum was found in 0 to 60% of the tuberculosis and control samples, but the total numbers of genomes of P. acnes or P. granulosum in such samples were less than those in sarcoid samples. Propionibacterium spp. are more likely than Mycobacteria spp. to be involved in the etiology of sarcoidosis, not only in Japanese but also in European patients with sarcoidosis.","author":[{"family":"Eishi","given":"Yoshinobu"},{"family":"Suga","given":"Moritaka"},{"family":"Ishige","given":"Ikuo"},{"family":"Kobayashi","given":"Daisuke"},{"family":"Yamada","given":"Tetsuo"},{"family":"Takemura","given":"Tamiko"},{"family":"Takizawa","given":"Touichiro"},{"family":"Koike","given":"Morio"},{"family":"Kudoh","given":"Shoji"},{"family":"Costabel","given":"Ulrich"},{"family":"Guzman","given":"Josune"},{"family":"Rizzato","given":"Gianfranco"},{"family":"Gambacorta","given":"Marcello"},{"family":"du Bois","given":"Ronald"},{"family":"Nicholson","given":"Andrew G"},{"family":"Sharma","given":"Om P"},{"family":"Ando","given":"Masayuki"}],"authorYearDisplayFormat":false,"citation-label":"4238711","container-title":"Journal of Clinical Microbiology","container-title-short":"J Clin Microbiol","id":"4238711","invisible":false,"issue":"1","issued":{"date-parts":[["2002","1"]]},"journalAbbreviation":"J Clin Microbiol","page":"198-204","suppress-author":false,"title":"Quantitative analysis of mycobacterial and propionibacterial DNA in lymph nodes of Japanese and European patients with sarcoidosis.","type":"article-journal","volume":"40"}]</w:instrText>
      </w:r>
      <w:r w:rsidR="00D61BE4" w:rsidRPr="005A7F38">
        <w:fldChar w:fldCharType="separate"/>
      </w:r>
      <w:r w:rsidR="00B775CB" w:rsidRPr="00B775CB">
        <w:rPr>
          <w:noProof/>
          <w:vertAlign w:val="superscript"/>
        </w:rPr>
        <w:t>122</w:t>
      </w:r>
      <w:r w:rsidR="00D61BE4" w:rsidRPr="005A7F38">
        <w:fldChar w:fldCharType="end"/>
      </w:r>
    </w:p>
    <w:p w14:paraId="60699D05" w14:textId="4AEEED3C" w:rsidR="006C45B6" w:rsidRPr="005A7F38" w:rsidRDefault="009C39BC" w:rsidP="002446BB">
      <w:r w:rsidRPr="005A7F38">
        <w:t>Due to their clinical and histological similarities, mycobacterial infection has long been hypothesized to be associated with sarcoidosis.</w:t>
      </w:r>
      <w:r w:rsidRPr="005A7F38">
        <w:fldChar w:fldCharType="begin"/>
      </w:r>
      <w:r w:rsidR="00B775CB">
        <w:instrText>ADDIN F1000_CSL_CITATION&lt;~#@#~&gt;[{"DOI":"10.1007/s12016-015-8481-z","First":false,"Last":false,"PMID":"25771769","abstract":"Since sarcoidosis was first described more than a century ago, the etiologic determinants causing this disease remain uncertain. Studies suggest that genetic, host immunologic, and environmental factors interact together to cause sarcoidosis. Immunologic characteristics of sarcoidosis include non-caseating granulomas, enhanced local expression of T helper-1 (and often Th17) cytokines and chemokines, dysfunctional regulatory T-cell responses, dysregulated Toll-like receptor signaling, and oligoclonal expansion of CD4+ T cells consistent with chronic antigenic stimulation. Multiple environmental agents have been suggested to cause sarcoidosis. Studies from several groups implicate mycobacterial or propionibacterial organisms in the etiology of sarcoidosis based on tissue analyses and immunologic responses in sarcoidosis patients. Despite these studies, there is no consensus on the nature of a microbial pathogenesis of sarcoidosis. Some groups postulate sarcoidosis is caused by an active viable replicating infection while other groups contend there is no clinical, pathologic, or microbiologic evidence for such a pathogenic mechanism. The authors posit a novel hypothesis that proposes that sarcoidosis is triggered by a hyperimmune Th1 response to pathogenic microbial and tissue antigens associated with the aberrant aggregation of serum amyloid A within granulomas, which promotes progressive chronic granulomatous inflammation in the absence of ongoing infection.","author":[{"family":"Chen","given":"Edward S"},{"family":"Moller","given":"David R"}],"authorYearDisplayFormat":false,"citation-label":"4219823","container-title":"Clinical Reviews in Allergy &amp; Immunology","container-title-short":"Clin Rev Allergy Immunol","id":"4219823","invisible":false,"issue":"1","issued":{"date-parts":[["2015","8"]]},"journalAbbreviation":"Clin Rev Allergy Immunol","page":"6-18","suppress-author":false,"title":"Etiologies of Sarcoidosis.","type":"article-journal","volume":"49"},{"DOI":"10.1165/rcmb.2010-0433TR","First":false,"Last":false,"PMCID":"PMC3361363","PMID":"21659662","abstract":"Despite its recognition as a distinct granulomatous disease for over a century, the etiology of sarcoidosis remains to be defined. Since the early 1900s, infectious agents have been suspected in causing sarcoidosis. For much of this time, mycobacteria were considered a likely culprit, yet until recently, the supporting evidence has been tenuous at best. In this review, we evaluate the reported association between mycobacteria and sarcoidosis. Historically, mycobacterial infection has been investigated using histologic stains, cultures of lesional tissue or blood, and identification of bacterial nucleic acids or bacterial antigens. More recently, advances in biochemical, molecular, and immunological methods have produced a more rigorous analysis of the antigenic drivers of sarcoidosis. The result of these efforts indicates that mycobacterial products likely play a role in at least a subset of sarcoidosis cases. This information, coupled with a better understanding of genetic susceptibility to this complex disease, has therapeutic implications.","author":[{"family":"Brownell","given":"Isaac"},{"family":"Ramírez-Valle","given":"Francisco"},{"family":"Sanchez","given":"Miguel"},{"family":"Prystowsky","given":"Stephen"}],"authorYearDisplayFormat":false,"citation-label":"4508501","container-title":"American Journal of Respiratory Cell and Molecular Biology","container-title-short":"Am J Respir Cell Mol Biol","id":"4508501","invisible":false,"issue":"5","issued":{"date-parts":[["2011","11"]]},"journalAbbreviation":"Am J Respir Cell Mol Biol","page":"899-905","suppress-author":false,"title":"Evidence for mycobacteria in sarcoidosis.","type":"article-journal","volume":"45"}]</w:instrText>
      </w:r>
      <w:r w:rsidRPr="005A7F38">
        <w:fldChar w:fldCharType="separate"/>
      </w:r>
      <w:r w:rsidR="00B775CB" w:rsidRPr="00B775CB">
        <w:rPr>
          <w:noProof/>
          <w:vertAlign w:val="superscript"/>
        </w:rPr>
        <w:t>5,120</w:t>
      </w:r>
      <w:r w:rsidRPr="005A7F38">
        <w:fldChar w:fldCharType="end"/>
      </w:r>
      <w:r w:rsidR="00637095" w:rsidRPr="005A7F38">
        <w:t xml:space="preserve"> </w:t>
      </w:r>
      <w:r w:rsidR="00F64DAA" w:rsidRPr="005A7F38">
        <w:t>Indirect evidence linking mycobacterium to sarcoidosis has included serum antibody titers to specific mycobacterial antigens as well as T-cell responses to mycobacterial antigens in patients with sarcoidosis. More direct evidence includes the presence of tuberculosteraic acid in granulomas on gas chromatogr</w:t>
      </w:r>
      <w:r w:rsidR="00EC0D00" w:rsidRPr="005A7F38">
        <w:t xml:space="preserve">aphy and mass spectrometry, the </w:t>
      </w:r>
      <w:r w:rsidR="00F64DAA" w:rsidRPr="005A7F38">
        <w:t>identification of mycobacterial proteins in granulomas on immunohistochemistry assays, mass spectrometry and protein immunoblots. Using PCR and in situ hybridization</w:t>
      </w:r>
      <w:r w:rsidR="00B54EEC" w:rsidRPr="005A7F38">
        <w:t>,</w:t>
      </w:r>
      <w:r w:rsidR="00F64DAA" w:rsidRPr="005A7F38">
        <w:t xml:space="preserve"> mycobacterial nucleic acids have been found in granulomas of patients with sarcoidosis. </w:t>
      </w:r>
      <w:r w:rsidR="00F64DAA" w:rsidRPr="005A7F38">
        <w:fldChar w:fldCharType="begin"/>
      </w:r>
      <w:r w:rsidR="00B775CB">
        <w:instrText>ADDIN F1000_CSL_CITATION&lt;~#@#~&gt;[{"DOI":"10.1513/pats.200608-155MS","First":false,"Last":false,"PMCID":"PMC2647598","PMID":"17684291","abstract":"The etiology of sarcoidosis remains uncertain. The hallmark of sarcoidosis is the epithelioid granuloma, which serves as a necessary starting point for considering disease etiology. Any etiologic agent of sarcoidosis must also explain the typical clinical behaviors and characteristic immunopathologic features of the disease. One clinical observation that serves as a bridge to the etiology of sarcoidosis is the Kveim reaction. In this reaction, local epithelioid granulomas develop several weeks after the intradermal injection of homogenates of sarcoidosis tissue. Our group capitalized on the known properties of the Kveim reagent to search for candidate pathogenic tissue antigens in sarcoidosis without other a priori hypotheses regarding possible microbial or autoimmune etiologies. Using a limited proteomics approach based on the physicochemical properties of Kveim reagent, we detected a limited number of poorly soluble antigenic proteins in sarcoidosis tissues by protein immunoblotting, using sarcoidosis sera. Matrix-associated laser desorption/ionization-time of flight mass spectrometry identified one of these antigens to be the Mycobacterium tuberculosis catalase-peroxidase protein (mKatG). We found IgG responses to recombinant mKatG in more than 50% of patients with sarcoidosis but rarely in purified protein derivative (PPD)-negative control subjects. These findings support the conclusion that mKatG is a tissue antigen and target of the adaptive immune response in sarcoidosis, providing further evidence of a mycobacterial etiology in a subset of sarcoidosis. More generally, the approach used in these studies might be employed to discover and validate other candidate pathogenic antigens in sarcoidosis or other granulomatous disorders.","author":[{"family":"Moller","given":"David R"}],"authorYearDisplayFormat":false,"citation-label":"4238740","container-title":"Proceedings of the American Thoracic Society","container-title-short":"Proc Am Thorac Soc","id":"4238740","invisible":false,"issue":"5","issued":{"date-parts":[["2007","8","15"]]},"journalAbbreviation":"Proc Am Thorac Soc","page":"465-468","suppress-author":false,"title":"Potential etiologic agents in sarcoidosis.","type":"article-journal","volume":"4"},{"DOI":"10.1007/s12016-015-8481-z","First":false,"Last":false,"PMID":"25771769","abstract":"Since sarcoidosis was first described more than a century ago, the etiologic determinants causing this disease remain uncertain. Studies suggest that genetic, host immunologic, and environmental factors interact together to cause sarcoidosis. Immunologic characteristics of sarcoidosis include non-caseating granulomas, enhanced local expression of T helper-1 (and often Th17) cytokines and chemokines, dysfunctional regulatory T-cell responses, dysregulated Toll-like receptor signaling, and oligoclonal expansion of CD4+ T cells consistent with chronic antigenic stimulation. Multiple environmental agents have been suggested to cause sarcoidosis. Studies from several groups implicate mycobacterial or propionibacterial organisms in the etiology of sarcoidosis based on tissue analyses and immunologic responses in sarcoidosis patients. Despite these studies, there is no consensus on the nature of a microbial pathogenesis of sarcoidosis. Some groups postulate sarcoidosis is caused by an active viable replicating infection while other groups contend there is no clinical, pathologic, or microbiologic evidence for such a pathogenic mechanism. The authors posit a novel hypothesis that proposes that sarcoidosis is triggered by a hyperimmune Th1 response to pathogenic microbial and tissue antigens associated with the aberrant aggregation of serum amyloid A within granulomas, which promotes progressive chronic granulomatous inflammation in the absence of ongoing infection.","author":[{"family":"Chen","given":"Edward S"},{"family":"Moller","given":"David R"}],"authorYearDisplayFormat":false,"citation-label":"4219823","container-title":"Clinical Reviews in Allergy &amp; Immunology","container-title-short":"Clin Rev Allergy Immunol","id":"4219823","invisible":false,"issue":"1","issued":{"date-parts":[["2015","8"]]},"journalAbbreviation":"Clin Rev Allergy Immunol","page":"6-18","suppress-author":false,"title":"Etiologies of Sarcoidosis.","type":"article-journal","volume":"49"},{"First":false,"Last":false,"PMID":"7516118","abstract":"Infection with Mycobacterium tuberculosis is a major cause of death worldwide. Identification of mycobacteria in tissue sections is usually easily achieved by acid-fast stains, but this method sometimes gives unsatisfactory results. The authors therefore compared conventional staining techniques and polymerase chain reaction (PCR) for mycobacterial DNA sequences in 24 selected tissue samples from patients with tuberculosis. In all samples, either positive or negative with acid-fast stain, mycobacterial DNA fragments were detected. In addition, tissue samples from patients with clinically proven sarcoidosis were included as controls. Surprisingly, strong signals for mycobacterial DNA were found in 2 of 15 cases. Polymerase chain reaction is a useful technique in the demonstration of mycobacterial DNA fragments in patients with clinically suspected tuberculosis who have acid fast stain-negative histology. An epithelioid granulomatous reaction in the lung, negative by acid-fast stain and positive for mycobacterial DNA by PCR, however, does not permit a diagnosis of tuberculosis, because a positive result can also be obtained in cases of sarcoidosis. In some cases of sarcoidosis, the causal agent might be either cell wall defective mycobacteria or persistent intracellular DNA from mycobacteria.","author":[{"family":"Popper","given":"H H"},{"family":"Winter","given":"E"},{"family":"Höfler","given":"G"}],"authorYearDisplayFormat":false,"citation-label":"4508503","container-title":"American Journal of Clinical Pathology","container-title-short":"Am J Clin Pathol","id":"4508503","invisible":false,"issue":"6","issued":{"date-parts":[["1994","6"]]},"journalAbbreviation":"Am J Clin Pathol","page":"738-741","suppress-author":false,"title":"DNA of Mycobacterium tuberculosis in formalin-fixed, paraffin-embedded tissue in tuberculosis and sarcoidosis detected by polymerase chain reaction.","type":"article-journal","volume":"101"},{"DOI":"10.1165/rcmb.2010-0433TR","First":false,"Last":false,"PMCID":"PMC3361363","PMID":"21659662","abstract":"Despite its recognition as a distinct granulomatous disease for over a century, the etiology of sarcoidosis remains to be defined. Since the early 1900s, infectious agents have been suspected in causing sarcoidosis. For much of this time, mycobacteria were considered a likely culprit, yet until recently, the supporting evidence has been tenuous at best. In this review, we evaluate the reported association between mycobacteria and sarcoidosis. Historically, mycobacterial infection has been investigated using histologic stains, cultures of lesional tissue or blood, and identification of bacterial nucleic acids or bacterial antigens. More recently, advances in biochemical, molecular, and immunological methods have produced a more rigorous analysis of the antigenic drivers of sarcoidosis. The result of these efforts indicates that mycobacterial products likely play a role in at least a subset of sarcoidosis cases. This information, coupled with a better understanding of genetic susceptibility to this complex disease, has therapeutic implications.","author":[{"family":"Brownell","given":"Isaac"},{"family":"Ramírez-Valle","given":"Francisco"},{"family":"Sanchez","given":"Miguel"},{"family":"Prystowsky","given":"Stephen"}],"authorYearDisplayFormat":false,"citation-label":"4508501","container-title":"American Journal of Respiratory Cell and Molecular Biology","container-title-short":"Am J Respir Cell Mol Biol","id":"4508501","invisible":false,"issue":"5","issued":{"date-parts":[["2011","11"]]},"journalAbbreviation":"Am J Respir Cell Mol Biol","page":"899-905","suppress-author":false,"title":"Evidence for mycobacteria in sarcoidosis.","type":"article-journal","volume":"45"}]</w:instrText>
      </w:r>
      <w:r w:rsidR="00F64DAA" w:rsidRPr="005A7F38">
        <w:fldChar w:fldCharType="separate"/>
      </w:r>
      <w:r w:rsidR="00B775CB" w:rsidRPr="00B775CB">
        <w:rPr>
          <w:noProof/>
          <w:vertAlign w:val="superscript"/>
        </w:rPr>
        <w:t>5,120,127,128</w:t>
      </w:r>
      <w:r w:rsidR="00F64DAA" w:rsidRPr="005A7F38">
        <w:fldChar w:fldCharType="end"/>
      </w:r>
      <w:r w:rsidR="00F64DAA" w:rsidRPr="005A7F38">
        <w:t xml:space="preserve"> </w:t>
      </w:r>
      <w:r w:rsidR="000B357D" w:rsidRPr="005A7F38">
        <w:t xml:space="preserve">A research group in Greece </w:t>
      </w:r>
      <w:r w:rsidR="00B54EEC" w:rsidRPr="005A7F38">
        <w:t xml:space="preserve">was </w:t>
      </w:r>
      <w:r w:rsidR="000B357D" w:rsidRPr="005A7F38">
        <w:t>able to amplify mycobacterial DNA in 72% of the sarcoidosis tissue biopsies studied.</w:t>
      </w:r>
      <w:r w:rsidR="000B357D" w:rsidRPr="005A7F38">
        <w:fldChar w:fldCharType="begin"/>
      </w:r>
      <w:r w:rsidR="00B775CB">
        <w:instrText>ADDIN F1000_CSL_CITATION&lt;~#@#~&gt;[{"First":false,"Last":false,"PMCID":"PMC120671","PMID":"12149380","abstract":"The causes of sarcoidosis are unknown. In this study, we report the presence of Mycobacterium tuberculosis complex and Propionibacterium granulosum DNA in a significant proportion of Greek patients with sarcoidosis. Human herpesvirus 8 DNA was not detected in sarcoid tissues from Greek patients. Our findings are discussed.","author":[{"family":"Gazouli","given":"M"},{"family":"Ikonomopoulos","given":"J"},{"family":"Trigidou","given":"R"},{"family":"Foteinou","given":"M"},{"family":"Kittas","given":"C"},{"family":"Gorgoulis","given":"V"}],"authorYearDisplayFormat":false,"citation-label":"4509114","container-title":"Journal of Clinical Microbiology","container-title-short":"J Clin Microbiol","id":"4509114","invisible":false,"issue":"8","issued":{"date-parts":[["2002","8"]]},"journalAbbreviation":"J Clin Microbiol","page":"3060-3063","suppress-author":false,"title":"Assessment of mycobacterial, propionibacterial, and human herpesvirus 8 DNA in tissues of greek patients with sarcoidosis.","type":"article-journal","volume":"40"}]</w:instrText>
      </w:r>
      <w:r w:rsidR="000B357D" w:rsidRPr="005A7F38">
        <w:fldChar w:fldCharType="separate"/>
      </w:r>
      <w:r w:rsidR="00B775CB" w:rsidRPr="00B775CB">
        <w:rPr>
          <w:noProof/>
          <w:vertAlign w:val="superscript"/>
        </w:rPr>
        <w:t>123</w:t>
      </w:r>
      <w:r w:rsidR="000B357D" w:rsidRPr="005A7F38">
        <w:fldChar w:fldCharType="end"/>
      </w:r>
      <w:r w:rsidR="000B357D" w:rsidRPr="005A7F38">
        <w:t xml:space="preserve"> In a Japanese study, the genome of mycobacteria were found in 100% of the tissue biopsies examined.</w:t>
      </w:r>
      <w:r w:rsidR="000B357D" w:rsidRPr="005A7F38">
        <w:fldChar w:fldCharType="begin"/>
      </w:r>
      <w:r w:rsidR="00B775CB">
        <w:instrText>ADDIN F1000_CSL_CITATION&lt;~#@#~&gt;[{"First":false,"Last":false,"PMCID":"PMC120089","PMID":"11773116","abstract":"The cause(s) of sarcoidosis is unknown. Mycobacterium spp. are suspected in Europe and Propionibacterium spp. are suspected in Japan. The present international collaboration evaluated the possible etiological links between sarcoidosis and the suspected bacterial species. Formalin-fixed and paraffin-embedded sections of biopsy samples of lymph nodes, one from each of 108 patients with sarcoidosis and 65 patients with tuberculosis, together with 86 control samples, were collected from two institutes in Japan and three institutes in Italy, Germany, and England. Genomes of Propionibacterium acnes, Propionibacterium granulosum, Mycobacterium tuberculosis, Mycobacterium avium subsp. paratuberculosis, and Escherichia coli (as the control) were counted by quantitative real-time PCR. Either P. acnes or P. granulosum was found in all but two of the sarcoid samples. M. avium subsp. paratuberculosis was found in no sarcoid sample. M. tuberculosis was found in 0 to 9% of the sarcoid samples but in 65 to 100% of the tuberculosis samples. In sarcoid lymph nodes, the total numbers of genomes of P. acnes or P. granulosum were far more than those of M. tuberculosis. P. acnes or P. granulosum was found in 0 to 60% of the tuberculosis and control samples, but the total numbers of genomes of P. acnes or P. granulosum in such samples were less than those in sarcoid samples. Propionibacterium spp. are more likely than Mycobacteria spp. to be involved in the etiology of sarcoidosis, not only in Japanese but also in European patients with sarcoidosis.","author":[{"family":"Eishi","given":"Yoshinobu"},{"family":"Suga","given":"Moritaka"},{"family":"Ishige","given":"Ikuo"},{"family":"Kobayashi","given":"Daisuke"},{"family":"Yamada","given":"Tetsuo"},{"family":"Takemura","given":"Tamiko"},{"family":"Takizawa","given":"Touichiro"},{"family":"Koike","given":"Morio"},{"family":"Kudoh","given":"Shoji"},{"family":"Costabel","given":"Ulrich"},{"family":"Guzman","given":"Josune"},{"family":"Rizzato","given":"Gianfranco"},{"family":"Gambacorta","given":"Marcello"},{"family":"du Bois","given":"Ronald"},{"family":"Nicholson","given":"Andrew G"},{"family":"Sharma","given":"Om P"},{"family":"Ando","given":"Masayuki"}],"authorYearDisplayFormat":false,"citation-label":"4238711","container-title":"Journal of Clinical Microbiology","container-title-short":"J Clin Microbiol","id":"4238711","invisible":false,"issue":"1","issued":{"date-parts":[["2002","1"]]},"journalAbbreviation":"J Clin Microbiol","page":"198-204","suppress-author":false,"title":"Quantitative analysis of mycobacterial and propionibacterial DNA in lymph nodes of Japanese and European patients with sarcoidosis.","type":"article-journal","volume":"40"}]</w:instrText>
      </w:r>
      <w:r w:rsidR="000B357D" w:rsidRPr="005A7F38">
        <w:fldChar w:fldCharType="separate"/>
      </w:r>
      <w:r w:rsidR="00B775CB" w:rsidRPr="00B775CB">
        <w:rPr>
          <w:noProof/>
          <w:vertAlign w:val="superscript"/>
        </w:rPr>
        <w:t>122</w:t>
      </w:r>
      <w:r w:rsidR="000B357D" w:rsidRPr="005A7F38">
        <w:fldChar w:fldCharType="end"/>
      </w:r>
      <w:r w:rsidR="00E96FB4" w:rsidRPr="005A7F38">
        <w:t xml:space="preserve"> The presence of DNA in the granulomatous tissue is independent of any culture data suggesting infection with mycobacteria, but rathe</w:t>
      </w:r>
      <w:r w:rsidR="005A0055" w:rsidRPr="005A7F38">
        <w:t>r suggests that mycobacteria were</w:t>
      </w:r>
      <w:r w:rsidR="00E96FB4" w:rsidRPr="005A7F38">
        <w:t xml:space="preserve"> present and were retained in the granuloma during the inflammatory cascade causing the formation of the granuloma.</w:t>
      </w:r>
      <w:r w:rsidR="000B357D" w:rsidRPr="005A7F38">
        <w:t xml:space="preserve"> In at least a subset of patients with sarcoidosis, it is likely that mycobacteria play an etiologic role.</w:t>
      </w:r>
      <w:r w:rsidR="000B357D" w:rsidRPr="005A7F38">
        <w:fldChar w:fldCharType="begin"/>
      </w:r>
      <w:r w:rsidR="00B775CB">
        <w:instrText>ADDIN F1000_CSL_CITATION&lt;~#@#~&gt;[{"First":false,"Last":false,"PMCID":"PMC120089","PMID":"11773116","abstract":"The cause(s) of sarcoidosis is unknown. Mycobacterium spp. are suspected in Europe and Propionibacterium spp. are suspected in Japan. The present international collaboration evaluated the possible etiological links between sarcoidosis and the suspected bacterial species. Formalin-fixed and paraffin-embedded sections of biopsy samples of lymph nodes, one from each of 108 patients with sarcoidosis and 65 patients with tuberculosis, together with 86 control samples, were collected from two institutes in Japan and three institutes in Italy, Germany, and England. Genomes of Propionibacterium acnes, Propionibacterium granulosum, Mycobacterium tuberculosis, Mycobacterium avium subsp. paratuberculosis, and Escherichia coli (as the control) were counted by quantitative real-time PCR. Either P. acnes or P. granulosum was found in all but two of the sarcoid samples. M. avium subsp. paratuberculosis was found in no sarcoid sample. M. tuberculosis was found in 0 to 9% of the sarcoid samples but in 65 to 100% of the tuberculosis samples. In sarcoid lymph nodes, the total numbers of genomes of P. acnes or P. granulosum were far more than those of M. tuberculosis. P. acnes or P. granulosum was found in 0 to 60% of the tuberculosis and control samples, but the total numbers of genomes of P. acnes or P. granulosum in such samples were less than those in sarcoid samples. Propionibacterium spp. are more likely than Mycobacteria spp. to be involved in the etiology of sarcoidosis, not only in Japanese but also in European patients with sarcoidosis.","author":[{"family":"Eishi","given":"Yoshinobu"},{"family":"Suga","given":"Moritaka"},{"family":"Ishige","given":"Ikuo"},{"family":"Kobayashi","given":"Daisuke"},{"family":"Yamada","given":"Tetsuo"},{"family":"Takemura","given":"Tamiko"},{"family":"Takizawa","given":"Touichiro"},{"family":"Koike","given":"Morio"},{"family":"Kudoh","given":"Shoji"},{"family":"Costabel","given":"Ulrich"},{"family":"Guzman","given":"Josune"},{"family":"Rizzato","given":"Gianfranco"},{"family":"Gambacorta","given":"Marcello"},{"family":"du Bois","given":"Ronald"},{"family":"Nicholson","given":"Andrew G"},{"family":"Sharma","given":"Om P"},{"family":"Ando","given":"Masayuki"}],"authorYearDisplayFormat":false,"citation-label":"4238711","container-title":"Journal of Clinical Microbiology","container-title-short":"J Clin Microbiol","id":"4238711","invisible":false,"issue":"1","issued":{"date-parts":[["2002","1"]]},"journalAbbreviation":"J Clin Microbiol","page":"198-204","suppress-author":false,"title":"Quantitative analysis of mycobacterial and propionibacterial DNA in lymph nodes of Japanese and European patients with sarcoidosis.","type":"article-journal","volume":"40"},{"DOI":"10.1165/rcmb.2010-0433TR","First":false,"Last":false,"PMCID":"PMC3361363","PMID":"21659662","abstract":"Despite its recognition as a distinct granulomatous disease for over a century, the etiology of sarcoidosis remains to be defined. Since the early 1900s, infectious agents have been suspected in causing sarcoidosis. For much of this time, mycobacteria were considered a likely culprit, yet until recently, the supporting evidence has been tenuous at best. In this review, we evaluate the reported association between mycobacteria and sarcoidosis. Historically, mycobacterial infection has been investigated using histologic stains, cultures of lesional tissue or blood, and identification of bacterial nucleic acids or bacterial antigens. More recently, advances in biochemical, molecular, and immunological methods have produced a more rigorous analysis of the antigenic drivers of sarcoidosis. The result of these efforts indicates that mycobacterial products likely play a role in at least a subset of sarcoidosis cases. This information, coupled with a better understanding of genetic susceptibility to this complex disease, has therapeutic implications.","author":[{"family":"Brownell","given":"Isaac"},{"family":"Ramírez-Valle","given":"Francisco"},{"family":"Sanchez","given":"Miguel"},{"family":"Prystowsky","given":"Stephen"}],"authorYearDisplayFormat":false,"citation-label":"4508501","container-title":"American Journal of Respiratory Cell and Molecular Biology","container-title-short":"Am J Respir Cell Mol Biol","id":"4508501","invisible":false,"issue":"5","issued":{"date-parts":[["2011","11"]]},"journalAbbreviation":"Am J Respir Cell Mol Biol","page":"899-905","suppress-author":false,"title":"Evidence for mycobacteria in sarcoidosis.","type":"article-journal","volume":"45"}]</w:instrText>
      </w:r>
      <w:r w:rsidR="000B357D" w:rsidRPr="005A7F38">
        <w:fldChar w:fldCharType="separate"/>
      </w:r>
      <w:r w:rsidR="00B775CB" w:rsidRPr="00B775CB">
        <w:rPr>
          <w:noProof/>
          <w:vertAlign w:val="superscript"/>
        </w:rPr>
        <w:t>120,122</w:t>
      </w:r>
      <w:r w:rsidR="000B357D" w:rsidRPr="005A7F38">
        <w:fldChar w:fldCharType="end"/>
      </w:r>
      <w:r w:rsidR="00E47341" w:rsidRPr="005A7F38">
        <w:t xml:space="preserve"> </w:t>
      </w:r>
    </w:p>
    <w:p w14:paraId="4EB9B4CA" w14:textId="2A2EBF1C" w:rsidR="00E47341" w:rsidRPr="005A7F38" w:rsidRDefault="00E47341" w:rsidP="002446BB">
      <w:r w:rsidRPr="005A7F38">
        <w:t>In order to test the etiologic hypothesis that mycobacterial infection is associated with sarcoidosis, researchers undertook a randomized placebo controlled clinical trial in patients with pulmonary and skin sarcoidosis testing anti-mycobacterial medications. Patients randomized to treatment were prescribed a</w:t>
      </w:r>
      <w:r w:rsidR="00B90603" w:rsidRPr="005A7F38">
        <w:t xml:space="preserve"> standard </w:t>
      </w:r>
      <w:r w:rsidR="008F5985" w:rsidRPr="005A7F38">
        <w:t>mycobacterial</w:t>
      </w:r>
      <w:r w:rsidRPr="005A7F38">
        <w:t xml:space="preserve"> regimen of levofloxacin, ethambutol, azithromycin and </w:t>
      </w:r>
      <w:r w:rsidR="008F5985" w:rsidRPr="005A7F38">
        <w:t>rifampin</w:t>
      </w:r>
      <w:r w:rsidRPr="005A7F38">
        <w:t xml:space="preserve"> for </w:t>
      </w:r>
      <w:r w:rsidR="00B90603" w:rsidRPr="005A7F38">
        <w:t>eight</w:t>
      </w:r>
      <w:r w:rsidRPr="005A7F38">
        <w:t xml:space="preserve"> weeks. Beneficial effects of granulomas of the skin were reported. While it has been suggested that these positive effects may be due in part to the anti-</w:t>
      </w:r>
      <w:r w:rsidRPr="005A7F38">
        <w:lastRenderedPageBreak/>
        <w:t xml:space="preserve">inflammatory properties of the antibiotics, there was still an appreciable improvement and any evidence of mycobacterial infection in granulomas that had been previously superinfected was gone. These findings may indicate that there is indeed mycobacterial involvement in sarcoidosis and that antimicrobial therapy may be an important area of discovery. </w:t>
      </w:r>
      <w:r w:rsidRPr="005A7F38">
        <w:fldChar w:fldCharType="begin"/>
      </w:r>
      <w:r w:rsidR="00B775CB">
        <w:instrText>ADDIN F1000_CSL_CITATION&lt;~#@#~&gt;[{"DOI":"10.1001/jamadermatol.2013.4646","First":false,"Last":false,"PMCID":"PMC3927541","PMID":"23863960","abstract":"&lt;strong&gt;IMPORTANCE:&lt;/strong&gt; Sarcoidosis is a chronic granulomatous disease for which there are limited therapeutic options. This is the first randomized, placebo-controlled study to demonstrate that antimycobacterial therapy reduces lesion diameter and disease severity among patients with chronic cutaneous sarcoidosis.&lt;br&gt;&lt;br&gt;&lt;strong&gt;OBJECTIVE:&lt;/strong&gt; To evaluate the safety and efficacy of once-daily antimycobacterial therapy on the resolution of chronic cutaneous sarcoidosis lesions.&lt;br&gt;&lt;br&gt;&lt;strong&gt;DESIGN AND PARTICIPANTS:&lt;/strong&gt; A randomized, placebo-controlled, single-masked trial on 30 patients with symptomatic chronic cutaneous sarcoidosis lesions deemed to require therapeutic intervention.&lt;br&gt;&lt;br&gt;&lt;strong&gt;SETTING:&lt;/strong&gt; A tertiary referral dermatology center in Nashville, Tennessee.&lt;br&gt;&lt;br&gt;&lt;strong&gt;INTERVENTIONS:&lt;/strong&gt; Participants were randomized to receive either the oral concomitant levofloxacin, ethambutol, azithromycin, and rifampin (CLEAR) regimen or a comparative placebo regimen for 8 weeks with a 180-day follow-up.&lt;br&gt;&lt;br&gt;&lt;strong&gt;MAIN OUTCOMES AND MEASURES:&lt;/strong&gt; Participants were monitored for absolute change in lesion diameter and decrease in granuloma burden, if present, on completion of therapy.&lt;br&gt;&lt;br&gt;&lt;strong&gt;OBSERVATIONS:&lt;/strong&gt; In the intention-to-treat analysis, the CLEAR-treated group had a mean (SD) decrease in lesion diameter of -8.4 (14.0) mm compared with an increase of 0.07 (3.2) mm in the placebo-treated group (P = .05). The CLEAR group had a significant reduction in granuloma burden and experienced a mean (SD) decline of -2.9 (2.5) mm in lesion severity compared with a decline of -0.6 (2.1) mm in the placebo group (P = .02).&lt;br&gt;&lt;br&gt;&lt;strong&gt;CONCLUSIONS AND RELEVANCE:&lt;/strong&gt; Antimycobacterial therapy may result in significant reductions in chronic cutaneous sarcoidosis lesion diameter compared with placebo. These observed reductions, associated with a clinically significant improvement in symptoms, were present at the 180-day follow-up period. Transcriptome analysis of sarcoidosis CD4+ T cells revealed reversal of pathways associated with disease severity and enhanced T-cell function following T-cell receptor stimulation.&lt;br&gt;&lt;br&gt;&lt;strong&gt;TRIAL REGISTRATION:&lt;/strong&gt; clinicaltrials.gov Identifier: NCT01074554.","author":[{"family":"Drake","given":"Wonder P"},{"family":"Oswald-Richter","given":"Kyra"},{"family":"Richmond","given":"Bradley W"},{"family":"Isom","given":"Joan"},{"family":"Burke","given":"Victoria E"},{"family":"Algood","given":"Holly"},{"family":"Braun","given":"Nicole"},{"family":"Taylor","given":"Thyneice"},{"family":"Pandit","given":"Kusum V"},{"family":"Aboud","given":"Caroline"},{"family":"Yu","given":"Chang"},{"family":"Kaminski","given":"Naftali"},{"family":"Boyd","given":"Alan S"},{"family":"King","given":"Lloyd E"}],"authorYearDisplayFormat":false,"citation-label":"4509132","container-title":"JAMA dermatology","container-title-short":"JAMA Dermatol","id":"4509132","invisible":false,"issue":"9","issued":{"date-parts":[["2013","9"]]},"journalAbbreviation":"JAMA Dermatol","page":"1040-1049","suppress-author":false,"title":"Oral antimycobacterial therapy in chronic cutaneous sarcoidosis: a randomized, single-masked, placebo-controlled study.","type":"article-journal","volume":"149"},{"DOI":"10.1007/s12016-015-8481-z","First":false,"Last":false,"PMID":"25771769","abstract":"Since sarcoidosis was first described more than a century ago, the etiologic determinants causing this disease remain uncertain. Studies suggest that genetic, host immunologic, and environmental factors interact together to cause sarcoidosis. Immunologic characteristics of sarcoidosis include non-caseating granulomas, enhanced local expression of T helper-1 (and often Th17) cytokines and chemokines, dysfunctional regulatory T-cell responses, dysregulated Toll-like receptor signaling, and oligoclonal expansion of CD4+ T cells consistent with chronic antigenic stimulation. Multiple environmental agents have been suggested to cause sarcoidosis. Studies from several groups implicate mycobacterial or propionibacterial organisms in the etiology of sarcoidosis based on tissue analyses and immunologic responses in sarcoidosis patients. Despite these studies, there is no consensus on the nature of a microbial pathogenesis of sarcoidosis. Some groups postulate sarcoidosis is caused by an active viable replicating infection while other groups contend there is no clinical, pathologic, or microbiologic evidence for such a pathogenic mechanism. The authors posit a novel hypothesis that proposes that sarcoidosis is triggered by a hyperimmune Th1 response to pathogenic microbial and tissue antigens associated with the aberrant aggregation of serum amyloid A within granulomas, which promotes progressive chronic granulomatous inflammation in the absence of ongoing infection.","author":[{"family":"Chen","given":"Edward S"},{"family":"Moller","given":"David R"}],"authorYearDisplayFormat":false,"citation-label":"4219823","container-title":"Clinical Reviews in Allergy &amp; Immunology","container-title-short":"Clin Rev Allergy Immunol","id":"4219823","invisible":false,"issue":"1","issued":{"date-parts":[["2015","8"]]},"journalAbbreviation":"Clin Rev Allergy Immunol","page":"6-18","suppress-author":false,"title":"Etiologies of Sarcoidosis.","type":"article-journal","volume":"49"}]</w:instrText>
      </w:r>
      <w:r w:rsidRPr="005A7F38">
        <w:fldChar w:fldCharType="separate"/>
      </w:r>
      <w:r w:rsidR="00B775CB" w:rsidRPr="00B775CB">
        <w:rPr>
          <w:noProof/>
          <w:vertAlign w:val="superscript"/>
        </w:rPr>
        <w:t>5,140</w:t>
      </w:r>
      <w:r w:rsidRPr="005A7F38">
        <w:fldChar w:fldCharType="end"/>
      </w:r>
    </w:p>
    <w:p w14:paraId="45597968" w14:textId="08A98994" w:rsidR="000B357D" w:rsidRPr="005A7F38" w:rsidRDefault="008F5985" w:rsidP="002446BB">
      <w:r w:rsidRPr="005A7F38">
        <w:t>Propionibacterium</w:t>
      </w:r>
      <w:r w:rsidR="00A76BAD" w:rsidRPr="005A7F38">
        <w:t xml:space="preserve"> acnes has</w:t>
      </w:r>
      <w:r w:rsidR="000B357D" w:rsidRPr="005A7F38">
        <w:t xml:space="preserve"> also been associated with sarcoidosis. In direct evidence for the involvement of </w:t>
      </w:r>
      <w:r w:rsidR="00A76BAD" w:rsidRPr="005A7F38">
        <w:t xml:space="preserve">P. acnes </w:t>
      </w:r>
      <w:r w:rsidR="000B357D" w:rsidRPr="005A7F38">
        <w:t xml:space="preserve">includes </w:t>
      </w:r>
      <w:r w:rsidR="006D2F70" w:rsidRPr="005A7F38">
        <w:t xml:space="preserve">increased </w:t>
      </w:r>
      <w:r w:rsidR="000B357D" w:rsidRPr="005A7F38">
        <w:t xml:space="preserve">serum antibody titers specific to propionibacterial antigens as well as </w:t>
      </w:r>
      <w:r w:rsidR="006D2F70" w:rsidRPr="005A7F38">
        <w:t xml:space="preserve">an enhanced </w:t>
      </w:r>
      <w:r w:rsidR="005A0055" w:rsidRPr="005A7F38">
        <w:t>cellular immune response</w:t>
      </w:r>
      <w:r w:rsidR="000B357D" w:rsidRPr="005A7F38">
        <w:t xml:space="preserve"> to specific propionibacterial antigens. More direct evidence includes the isolation of Propionibacterium from sarcoidosis tissues using culture based methods. Additionally, propionibacterial lipoteichoic acid and propionibacterial proteins</w:t>
      </w:r>
      <w:r w:rsidR="00552E31" w:rsidRPr="005A7F38">
        <w:t xml:space="preserve"> are</w:t>
      </w:r>
      <w:r w:rsidR="000B357D" w:rsidRPr="005A7F38">
        <w:t xml:space="preserve"> present on protein immunoblot</w:t>
      </w:r>
      <w:r w:rsidR="00D761CE" w:rsidRPr="005A7F38">
        <w:t xml:space="preserve">. Using PCR and in situ hybridization propionibacterial </w:t>
      </w:r>
      <w:r w:rsidRPr="005A7F38">
        <w:t>nucleic</w:t>
      </w:r>
      <w:r w:rsidR="00D761CE" w:rsidRPr="005A7F38">
        <w:t xml:space="preserve"> acids have been identified in tissues from sarcoidosis patients.</w:t>
      </w:r>
      <w:r w:rsidR="00D761CE" w:rsidRPr="005A7F38">
        <w:fldChar w:fldCharType="begin"/>
      </w:r>
      <w:r w:rsidR="00B775CB">
        <w:instrText>ADDIN F1000_CSL_CITATION&lt;~#@#~&gt;[{"DOI":"10.1007/s12016-015-8481-z","First":false,"Last":false,"PMID":"25771769","abstract":"Since sarcoidosis was first described more than a century ago, the etiologic determinants causing this disease remain uncertain. Studies suggest that genetic, host immunologic, and environmental factors interact together to cause sarcoidosis. Immunologic characteristics of sarcoidosis include non-caseating granulomas, enhanced local expression of T helper-1 (and often Th17) cytokines and chemokines, dysfunctional regulatory T-cell responses, dysregulated Toll-like receptor signaling, and oligoclonal expansion of CD4+ T cells consistent with chronic antigenic stimulation. Multiple environmental agents have been suggested to cause sarcoidosis. Studies from several groups implicate mycobacterial or propionibacterial organisms in the etiology of sarcoidosis based on tissue analyses and immunologic responses in sarcoidosis patients. Despite these studies, there is no consensus on the nature of a microbial pathogenesis of sarcoidosis. Some groups postulate sarcoidosis is caused by an active viable replicating infection while other groups contend there is no clinical, pathologic, or microbiologic evidence for such a pathogenic mechanism. The authors posit a novel hypothesis that proposes that sarcoidosis is triggered by a hyperimmune Th1 response to pathogenic microbial and tissue antigens associated with the aberrant aggregation of serum amyloid A within granulomas, which promotes progressive chronic granulomatous inflammation in the absence of ongoing infection.","author":[{"family":"Chen","given":"Edward S"},{"family":"Moller","given":"David R"}],"authorYearDisplayFormat":false,"citation-label":"4219823","container-title":"Clinical Reviews in Allergy &amp; Immunology","container-title-short":"Clin Rev Allergy Immunol","id":"4219823","invisible":false,"issue":"1","issued":{"date-parts":[["2015","8"]]},"journalAbbreviation":"Clin Rev Allergy Immunol","page":"6-18","suppress-author":false,"title":"Etiologies of Sarcoidosis.","type":"article-journal","volume":"49"}]</w:instrText>
      </w:r>
      <w:r w:rsidR="00D761CE" w:rsidRPr="005A7F38">
        <w:fldChar w:fldCharType="separate"/>
      </w:r>
      <w:r w:rsidR="00B775CB" w:rsidRPr="00B775CB">
        <w:rPr>
          <w:noProof/>
          <w:vertAlign w:val="superscript"/>
        </w:rPr>
        <w:t>5</w:t>
      </w:r>
      <w:r w:rsidR="00D761CE" w:rsidRPr="005A7F38">
        <w:fldChar w:fldCharType="end"/>
      </w:r>
      <w:r w:rsidR="00C06E42" w:rsidRPr="005A7F38">
        <w:t xml:space="preserve"> In a study from Japan, Propionibacterium was found in 100% of sarcoidosis tissue samples.</w:t>
      </w:r>
      <w:r w:rsidR="00540E9B" w:rsidRPr="005A7F38">
        <w:fldChar w:fldCharType="begin"/>
      </w:r>
      <w:r w:rsidR="00B775CB">
        <w:instrText>ADDIN F1000_CSL_CITATION&lt;~#@#~&gt;[{"First":false,"Last":false,"PMID":"11033841","abstract":"&lt;strong&gt;BACKGROUND AND AIM OF THE WORK:&lt;/strong&gt; The causes of sarcoidosis are unknown. Propionibacterium acnes has been isolated from sarcoid lesions, and many genomes of P. acnes or P. granulosum have been detected in all biopsy samples tested from Japanese patients with sarcoidosis. We searched for protein antigens from propionibacteria that caused immune responses in patients with sarcoidosis but not in subjects without sarcoidosis.&lt;br&gt;&lt;br&gt;&lt;strong&gt;METHODS:&lt;/strong&gt; A lambda gt11 genomic DNA expression library of P. acnes was screened with sera from patients with sarcoidosis. Antibodies to a recombinant protein from the insert recovered by the screening were measured in serum and bronchoalveolar lavage (BAL) fluid from patients with or without sarcoidosis by an immunofluorescence-based method. Peripheral blood mononuclear cells from patients with and without sarcoidosis were used to examine the lymphoproliferative response to the protein.&lt;br&gt;&lt;br&gt;&lt;strong&gt;RESULTS:&lt;/strong&gt; Of 180,000 plaques screened, two clones coded for an identical recombinant protein, termed RP35, were recognized by sera. RP35 was the C-terminal region of P. acnes trigger factor. RP35 caused sarcoidosis specific proliferation of the mononuclear cells from 9 (18%) of the 50 patients with sarcoidosis; in a similar way, purified protein derived from Mycobacterium tuberculosis evoked specific responses in 8 (38%) of 21 patients with tuberculosis. Serum levels of IgG and IgA antibodies to RP35 were high in patients with sarcoidosis and other lung diseases. In BAL fluid levels IgG or IgA antibodies were high in 7 (18%) and 15 (39%), respectively, of 38 patients with sarcoidosis, and in 2 (3%) and 2 (3%), respectively, of 63 patients with other lung diseases.&lt;br&gt;&lt;br&gt;&lt;strong&gt;CONCLUSIONS:&lt;/strong&gt; The RP35 protein from P. acnes causes a cellular immune response in some patients with sarcoidosis but not in subjects without sarcoidosis.","author":[{"family":"Ebe","given":"Y"},{"family":"Ikushima","given":"S"},{"family":"Yamaguchi","given":"T"},{"family":"Kohno","given":"K"},{"family":"Azuma","given":"A"},{"family":"Sato","given":"K"},{"family":"Ishige","given":"I"},{"family":"Usui","given":"Y"},{"family":"Takemura","given":"T"},{"family":"Eishi","given":"Y"}],"authorYearDisplayFormat":false,"citation-label":"4509144","container-title":"Sarcoidosis, vasculitis, and diffuse lung diseases : official journal of WASOG / World Association of Sarcoidosis and Other Granulomatous Disorders","container-title-short":"Sarcoidosis Vasc Diffuse Lung Dis","id":"4509144","invisible":false,"issue":"3","issued":{"date-parts":[["2000","10"]]},"journalAbbreviation":"Sarcoidosis Vasc Diffuse Lung Dis","page":"256-265","suppress-author":false,"title":"Proliferative response of peripheral blood mononuclear cells and levels of antibody to recombinant protein from Propionibacterium acnes DNA expression library in Japanese patients with sarcoidosis.","type":"article-journal","volume":"17"}]</w:instrText>
      </w:r>
      <w:r w:rsidR="00540E9B" w:rsidRPr="005A7F38">
        <w:fldChar w:fldCharType="separate"/>
      </w:r>
      <w:r w:rsidR="00B775CB" w:rsidRPr="00B775CB">
        <w:rPr>
          <w:noProof/>
          <w:vertAlign w:val="superscript"/>
        </w:rPr>
        <w:t>141</w:t>
      </w:r>
      <w:r w:rsidR="00540E9B" w:rsidRPr="005A7F38">
        <w:fldChar w:fldCharType="end"/>
      </w:r>
      <w:r w:rsidR="00C06E42" w:rsidRPr="005A7F38">
        <w:t xml:space="preserve"> </w:t>
      </w:r>
      <w:r w:rsidR="00926067" w:rsidRPr="005A7F38">
        <w:t>Extra-pulmonary sensitization to P. acnes has demonstrated an induction of pulmonary Th1 granulomas in the lung in a murine</w:t>
      </w:r>
      <w:r w:rsidR="009949B3">
        <w:t xml:space="preserve"> model used by Nishiwaki et al.</w:t>
      </w:r>
      <w:r w:rsidR="00540E9B" w:rsidRPr="005A7F38">
        <w:fldChar w:fldCharType="begin"/>
      </w:r>
      <w:r w:rsidR="00B775CB">
        <w:instrText>ADDIN F1000_CSL_CITATION&lt;~#@#~&gt;[{"DOI":"10.1016/S0002-9440(10)63327-5","First":false,"Last":false,"PMCID":"PMC1618559","PMID":"15277236","abstract":"Although many cases of sarcoidosis are self-limiting with spontaneous remission, uncontrolled pulmonary granulomatosis with fibrosis produces intolerable long-term respiratory symptoms in a minority of patients. Individuals with chronic pulmonary sarcoidosis require an alternative therapy to corticosteroidal treatment because of its insufficient effectiveness. Although many researchers have considered infection as the triggering factor for this disease, the mechanisms by which the candidate causative organisms induce this disorder remain unclear. We report here that extrapulmonary sensitization to Propionibacterium acnes, which is one of the candidates to date, induced pulmonary Th-1 granulomas mainly in the subpleural and peribronchovascular regions often observed in sarcoidosis. These granulomas appear to be caused by indigenous P. acnes pre-existing in the lower respiratory tract of the normal lung, which is believed to be germ-free, and by an influx of P. acnes-sensitized CD4(+) T cells from the circulation. Importantly, the eradication of indigenous P. acnes with antibiotics alleviated the granulomatous lung disease. This is the first report to present clear evidence of the contribution of an indigenous pulmonary bacterium to the formation of granulomatous lesions in the lung. We propose that treatment targeting indigenous P. acnes in the lung may be a possible remedy for pulmonary sarcoidosis.","author":[{"family":"Nishiwaki","given":"Tetsu"},{"family":"Yoneyama","given":"Hiroyuki"},{"family":"Eishi","given":"Yoshinobu"},{"family":"Matsuo","given":"Naoki"},{"family":"Tatsumi","given":"Koichiro"},{"family":"Kimura","given":"Hiroshi"},{"family":"Kuriyama","given":"Takayuki"},{"family":"Matsushima","given":"Kouji"}],"authorYearDisplayFormat":false,"citation-label":"4509143","container-title":"The American Journal of Pathology","container-title-short":"Am J Pathol","id":"4509143","invisible":false,"issue":"2","issued":{"date-parts":[["2004","8"]]},"journalAbbreviation":"Am J Pathol","page":"631-639","suppress-author":false,"title":"Indigenous pulmonary Propionibacterium acnes primes the host in the development of sarcoid-like pulmonary granulomatosis in mice.","type":"article-journal","volume":"165"}]</w:instrText>
      </w:r>
      <w:r w:rsidR="00540E9B" w:rsidRPr="005A7F38">
        <w:fldChar w:fldCharType="separate"/>
      </w:r>
      <w:r w:rsidR="00B775CB" w:rsidRPr="00B775CB">
        <w:rPr>
          <w:noProof/>
          <w:vertAlign w:val="superscript"/>
        </w:rPr>
        <w:t>125</w:t>
      </w:r>
      <w:r w:rsidR="00540E9B" w:rsidRPr="005A7F38">
        <w:fldChar w:fldCharType="end"/>
      </w:r>
      <w:r w:rsidR="00D33FD0" w:rsidRPr="005A7F38">
        <w:t xml:space="preserve"> </w:t>
      </w:r>
      <w:r w:rsidR="00E96FB4" w:rsidRPr="005A7F38">
        <w:t xml:space="preserve">DNA from </w:t>
      </w:r>
      <w:r w:rsidR="00D33FD0" w:rsidRPr="005A7F38">
        <w:t>P. acnes has been found in both</w:t>
      </w:r>
      <w:r w:rsidR="00552E31" w:rsidRPr="005A7F38">
        <w:t xml:space="preserve"> granuloma as well as non-granulomatous tissue from</w:t>
      </w:r>
      <w:r w:rsidR="00D33FD0" w:rsidRPr="005A7F38">
        <w:t xml:space="preserve"> lung and lymph node biopsies of patients with sarcoidosis.</w:t>
      </w:r>
      <w:r w:rsidR="00540E9B" w:rsidRPr="005A7F38">
        <w:fldChar w:fldCharType="begin"/>
      </w:r>
      <w:r w:rsidR="00B775CB">
        <w:instrText>ADDIN F1000_CSL_CITATION&lt;~#@#~&gt;[{"First":false,"Last":false,"PMCID":"PMC120089","PMID":"11773116","abstract":"The cause(s) of sarcoidosis is unknown. Mycobacterium spp. are suspected in Europe and Propionibacterium spp. are suspected in Japan. The present international collaboration evaluated the possible etiological links between sarcoidosis and the suspected bacterial species. Formalin-fixed and paraffin-embedded sections of biopsy samples of lymph nodes, one from each of 108 patients with sarcoidosis and 65 patients with tuberculosis, together with 86 control samples, were collected from two institutes in Japan and three institutes in Italy, Germany, and England. Genomes of Propionibacterium acnes, Propionibacterium granulosum, Mycobacterium tuberculosis, Mycobacterium avium subsp. paratuberculosis, and Escherichia coli (as the control) were counted by quantitative real-time PCR. Either P. acnes or P. granulosum was found in all but two of the sarcoid samples. M. avium subsp. paratuberculosis was found in no sarcoid sample. M. tuberculosis was found in 0 to 9% of the sarcoid samples but in 65 to 100% of the tuberculosis samples. In sarcoid lymph nodes, the total numbers of genomes of P. acnes or P. granulosum were far more than those of M. tuberculosis. P. acnes or P. granulosum was found in 0 to 60% of the tuberculosis and control samples, but the total numbers of genomes of P. acnes or P. granulosum in such samples were less than those in sarcoid samples. Propionibacterium spp. are more likely than Mycobacteria spp. to be involved in the etiology of sarcoidosis, not only in Japanese but also in European patients with sarcoidosis.","author":[{"family":"Eishi","given":"Yoshinobu"},{"family":"Suga","given":"Moritaka"},{"family":"Ishige","given":"Ikuo"},{"family":"Kobayashi","given":"Daisuke"},{"family":"Yamada","given":"Tetsuo"},{"family":"Takemura","given":"Tamiko"},{"family":"Takizawa","given":"Touichiro"},{"family":"Koike","given":"Morio"},{"family":"Kudoh","given":"Shoji"},{"family":"Costabel","given":"Ulrich"},{"family":"Guzman","given":"Josune"},{"family":"Rizzato","given":"Gianfranco"},{"family":"Gambacorta","given":"Marcello"},{"family":"du Bois","given":"Ronald"},{"family":"Nicholson","given":"Andrew G"},{"family":"Sharma","given":"Om P"},{"family":"Ando","given":"Masayuki"}],"authorYearDisplayFormat":false,"citation-label":"4238711","container-title":"Journal of Clinical Microbiology","container-title-short":"J Clin Microbiol","id":"4238711","invisible":false,"issue":"1","issued":{"date-parts":[["2002","1"]]},"journalAbbreviation":"J Clin Microbiol","page":"198-204","suppress-author":false,"title":"Quantitative analysis of mycobacterial and propionibacterial DNA in lymph nodes of Japanese and European patients with sarcoidosis.","type":"article-journal","volume":"40"},{"First":false,"Last":false,"PMCID":"PMC120671","PMID":"12149380","abstract":"The causes of sarcoidosis are unknown. In this study, we report the presence of Mycobacterium tuberculosis complex and Propionibacterium granulosum DNA in a significant proportion of Greek patients with sarcoidosis. Human herpesvirus 8 DNA was not detected in sarcoid tissues from Greek patients. Our findings are discussed.","author":[{"family":"Gazouli","given":"M"},{"family":"Ikonomopoulos","given":"J"},{"family":"Trigidou","given":"R"},{"family":"Foteinou","given":"M"},{"family":"Kittas","given":"C"},{"family":"Gorgoulis","given":"V"}],"authorYearDisplayFormat":false,"citation-label":"4509114","container-title":"Journal of Clinical Microbiology","container-title-short":"J Clin Microbiol","id":"4509114","invisible":false,"issue":"8","issued":{"date-parts":[["2002","8"]]},"journalAbbreviation":"J Clin Microbiol","page":"3060-3063","suppress-author":false,"title":"Assessment of mycobacterial, propionibacterial, and human herpesvirus 8 DNA in tissues of greek patients with sarcoidosis.","type":"article-journal","volume":"40"},{"First":false,"Last":false,"PMID":"15881278","abstract":"&lt;strong&gt;BACKGROUND:&lt;/strong&gt; In studies of the unknown etiology of sarcoidosis, Propionibacterium acnes (a possible agent) was found in the lungs and lymph nodes of many sarcoidosis patients and some control subjects. P. acnes might be commensal not only to the skin, conjunctivae, and intestine, but also to the lungs and lymph nodes of individuals without sarcoidosis.&lt;br&gt;&lt;br&gt;&lt;strong&gt;METHODS:&lt;/strong&gt; We cultured peripheral lung tissue and various lymph nodes obtained from patients with diseases other than sarcoidosis. DNA of 45 isolates of P. acnes from these patients, 67 isolates from normal skin, conjunctiva, and intestine, and 39 isolates from sarcoid lymph nodes were compared by random amplified polymorphic DNA analysis.&lt;br&gt;&lt;br&gt;&lt;strong&gt;RESULTS:&lt;/strong&gt; P. acnes was isolated from half of 43 lungs and 8 of 11 mediastinal lymph nodes, mostly in pure culture. P. acnes was isolated from half of 20 gastric and 3 of 12 intestinal lymph nodes; intestinal bacteria were also numerous. In general, fewer than 500 colony-forming units of P. acnes per gram tissue were isolated, but 4 lung tissue specimens, 2 of which had a few granulomas, had many more. P. acnes strains from a particular site (lung, lymph node, skin or conjunctivae, and intestine) were genetically similar, more than isolates obtained from different sites. Lymph-node isolates from subjects with and without sarcoidosis differed little.&lt;br&gt;&lt;br&gt;&lt;strong&gt;CONCLUSION:&lt;/strong&gt; These results suggest that P. acnes normally resides in peripheral lung tissue and mediastinal lymph nodes and that the strains of P. acnes isolated from sarcoid lymph nodes were not specific to sarcoidosis.","author":[{"family":"Ishige","given":"Ikuo"},{"family":"Eishi","given":"Yoshinobu"},{"family":"Takemura","given":"Tamiko"},{"family":"Kobayashi","given":"Intetsu"},{"family":"Nakata","given":"Koh"},{"family":"Tanaka","given":"Isao"},{"family":"Nagaoka","given":"Sakae"},{"family":"Iwai","given":"Kazuro"},{"family":"Watanabe","given":"Kunitomo"},{"family":"Takizawa","given":"Touichiro"},{"family":"Koike","given":"Morio"}],"authorYearDisplayFormat":false,"citation-label":"4509142","container-title":"Sarcoidosis, vasculitis, and diffuse lung diseases : official journal of WASOG / World Association of Sarcoidosis and Other Granulomatous Disorders","container-title-short":"Sarcoidosis Vasc Diffuse Lung Dis","id":"4509142","invisible":false,"issue":"1","issued":{"date-parts":[["2005","3"]]},"journalAbbreviation":"Sarcoidosis Vasc Diffuse Lung Dis","page":"33-42","suppress-author":false,"title":"Propionibacterium acnes is the most common bacterium commensal in peripheral lung tissue and mediastinal lymph nodes from subjects without sarcoidosis.","type":"article-journal","volume":"22"}]</w:instrText>
      </w:r>
      <w:r w:rsidR="00540E9B" w:rsidRPr="005A7F38">
        <w:fldChar w:fldCharType="separate"/>
      </w:r>
      <w:r w:rsidR="00B775CB" w:rsidRPr="00B775CB">
        <w:rPr>
          <w:noProof/>
          <w:vertAlign w:val="superscript"/>
        </w:rPr>
        <w:t>122–124</w:t>
      </w:r>
      <w:r w:rsidR="00540E9B" w:rsidRPr="005A7F38">
        <w:fldChar w:fldCharType="end"/>
      </w:r>
      <w:r w:rsidR="00E96FB4" w:rsidRPr="005A7F38">
        <w:t xml:space="preserve"> The presence of propionibacterial DNA in the granuloma tissue is not indicative of an active, replicating infection but rather suggests that the Propionibacterium was retained inside the granuloma formed as a result of the induction of the inflammatory cascade </w:t>
      </w:r>
      <w:r w:rsidR="00233501" w:rsidRPr="005A7F38">
        <w:t xml:space="preserve">as a reaction to the propionibacterium’s presence. </w:t>
      </w:r>
      <w:r w:rsidR="00D33FD0" w:rsidRPr="005A7F38">
        <w:t xml:space="preserve"> </w:t>
      </w:r>
      <w:r w:rsidR="00B87196" w:rsidRPr="005A7F38">
        <w:t xml:space="preserve">Using a mouse model, </w:t>
      </w:r>
      <w:r w:rsidR="00540E9B" w:rsidRPr="005A7F38">
        <w:t>researchers have shown that introducing P. acnes into the lungs causes granulomatous lung inflammation.</w:t>
      </w:r>
      <w:r w:rsidR="00540E9B" w:rsidRPr="005A7F38">
        <w:fldChar w:fldCharType="begin"/>
      </w:r>
      <w:r w:rsidR="00B775CB">
        <w:instrText>ADDIN F1000_CSL_CITATION&lt;~#@#~&gt;[{"DOI":"10.1016/S0002-9440(10)63327-5","First":false,"Last":false,"PMCID":"PMC1618559","PMID":"15277236","abstract":"Although many cases of sarcoidosis are self-limiting with spontaneous remission, uncontrolled pulmonary granulomatosis with fibrosis produces intolerable long-term respiratory symptoms in a minority of patients. Individuals with chronic pulmonary sarcoidosis require an alternative therapy to corticosteroidal treatment because of its insufficient effectiveness. Although many researchers have considered infection as the triggering factor for this disease, the mechanisms by which the candidate causative organisms induce this disorder remain unclear. We report here that extrapulmonary sensitization to Propionibacterium acnes, which is one of the candidates to date, induced pulmonary Th-1 granulomas mainly in the subpleural and peribronchovascular regions often observed in sarcoidosis. These granulomas appear to be caused by indigenous P. acnes pre-existing in the lower respiratory tract of the normal lung, which is believed to be germ-free, and by an influx of P. acnes-sensitized CD4(+) T cells from the circulation. Importantly, the eradication of indigenous P. acnes with antibiotics alleviated the granulomatous lung disease. This is the first report to present clear evidence of the contribution of an indigenous pulmonary bacterium to the formation of granulomatous lesions in the lung. We propose that treatment targeting indigenous P. acnes in the lung may be a possible remedy for pulmonary sarcoidosis.","author":[{"family":"Nishiwaki","given":"Tetsu"},{"family":"Yoneyama","given":"Hiroyuki"},{"family":"Eishi","given":"Yoshinobu"},{"family":"Matsuo","given":"Naoki"},{"family":"Tatsumi","given":"Koichiro"},{"family":"Kimura","given":"Hiroshi"},{"family":"Kuriyama","given":"Takayuki"},{"family":"Matsushima","given":"Kouji"}],"authorYearDisplayFormat":false,"citation-label":"4509143","container-title":"The American Journal of Pathology","container-title-short":"Am J Pathol","id":"4509143","invisible":false,"issue":"2","issued":{"date-parts":[["2004","8"]]},"journalAbbreviation":"Am J Pathol","page":"631-639","suppress-author":false,"title":"Indigenous pulmonary Propionibacterium acnes primes the host in the development of sarcoid-like pulmonary granulomatosis in mice.","type":"article-journal","volume":"165"}]</w:instrText>
      </w:r>
      <w:r w:rsidR="00540E9B" w:rsidRPr="005A7F38">
        <w:fldChar w:fldCharType="separate"/>
      </w:r>
      <w:r w:rsidR="00B775CB" w:rsidRPr="00B775CB">
        <w:rPr>
          <w:noProof/>
          <w:vertAlign w:val="superscript"/>
        </w:rPr>
        <w:t>125</w:t>
      </w:r>
      <w:r w:rsidR="00540E9B" w:rsidRPr="005A7F38">
        <w:fldChar w:fldCharType="end"/>
      </w:r>
      <w:r w:rsidR="00540E9B" w:rsidRPr="005A7F38">
        <w:t xml:space="preserve"> Additional animal studies have shown changes in murine Th1 immune response, pulmonary inflammation and the formation of granulomas after introduction of heat killed P. acnes directly into the lung.</w:t>
      </w:r>
      <w:r w:rsidR="00540E9B" w:rsidRPr="005A7F38">
        <w:fldChar w:fldCharType="begin"/>
      </w:r>
      <w:r w:rsidR="00B775CB">
        <w:instrText>ADDIN F1000_CSL_CITATION&lt;~#@#~&gt;[{"DOI":"10.1165/rcmb.2005-0285OC","First":false,"Last":false,"PMCID":"PMC2643288","PMID":"16645181","abstract":"Propionibacterium acnes (PA) is a gram-positive anaerobic bacterium implicated as a putative etiologic agent of sarcoidosis. To characterize the pulmonary immune response to PA, C57BL/6 and BALB/c mice were intraperitoneally sensitized and intratracheally challenged with heat-killed bacteria. C57BL/6 mice challenged with PA developed a cellular immune response characterized by elevations in Th1 cytokines/chemokines, increased numbers of lymphocytes and macrophages in lung lavage fluid, and peribronchovascular granulomatous inflammation composed of T- and B-lymphocytes and epithelioid histiocytes. T-lymphocytes in the lung lavage fluid showed a marked CD4+ cell predominance. In contrast, C57BL/6 mice challenged with Staphylococcus epidermidis (SE), another gram-positive commensal of human skin, and BALB/c mice challenged with PA, showed only a modest induction of Th1 cytokines, less pulmonary inflammation, and no granulomatous changes in the lung. Enhancement of Toll-like receptor expression was seen in PA-exposed C57BL/6 mice within 24 h after exposure, suggesting that induction of innate immunity by PA contributes to the robust, polarized Th1 immune response elicited by this bacterium. These findings suggest that PA-induced pulmonary inflammation may be a useful model for testing the contributions of both bacterial and host factors in the development, maintenance, and resolution of granulomatous inflammation in the lung.","author":[{"family":"McCaskill","given":"Joshua G"},{"family":"Chason","given":"Kelly D"},{"family":"Hua","given":"Xiaoyang"},{"family":"Neuringer","given":"Isabel P"},{"family":"Ghio","given":"Andrew J"},{"family":"Funkhouser","given":"William K"},{"family":"Tilley","given":"Stephen L"}],"authorYearDisplayFormat":false,"citation-label":"4325055","container-title":"American Journal of Respiratory Cell and Molecular Biology","container-title-short":"Am J Respir Cell Mol Biol","id":"4325055","invisible":false,"issue":"3","issued":{"date-parts":[["2006","9"]]},"journalAbbreviation":"Am J Respir Cell Mol Biol","page":"347-356","suppress-author":false,"title":"Pulmonary immune responses to Propionibacterium acnes in C57BL/6 and BALB/c mice.","type":"article-journal","volume":"35"},{"First":false,"Last":false,"PMCID":"PMC2766086","PMID":"19109199","abstract":"Hypersensitivity pneumonitis is an environmental lung disease characterized by a diffuse mononuclear cell infiltrate in the lung that can progress to pulmonary fibrosis with chronic exposure to an inhaled Ag. Using a well-established murine model of hypersensitivity pneumonitis, we repeatedly exposed C57BL/6 mice to Saccharopolyspora rectivirgula to investigate whether T cells are required for lung fibrosis. In the absence of alphabeta T cells, TCRbeta(-/-) mice exposed to S. rectivirgula for 4 wk had markedly decreased mononuclear infiltrates and collagen deposition in the lung compared with wild-type C57BL/6 mice. In contrast to CD8(+) T cells, adoptive transfer of CD4(+) T cells reconstituted the S. rectivirgula-induced inflammatory and fibrotic response, suggesting that the CD4(+) T cell represents the critical alphabeta T cell subset. Cytokine analysis of lung homogenates at various time points after S. rectivirgula exposure failed to identify a predominant Th1 or Th2 phenotype. Conversely, IL-17 was found in the lung at increasing concentrations with continued exposure to S. rectivirgula. Intracellular cytokine staining revealed that 14% of CD4(+) T cells from the lung of mice treated with S. rectivirgula expressed IL-17A. In the absence of IL-17 receptor signaling, Il17ra(-/-) mice had significantly decreased lung inflammation and fibrosis compared with wild-type C57BL/6 mice. These data are the first to demonstrate an important role for Th17-polarized CD4(+) T lymphocytes in the immune response directed against S. rectivirgula in this murine model of hypersensitivity pneumonitis and pulmonary fibrosis.","author":[{"family":"Simonian","given":"Philip L"},{"family":"Roark","given":"Christina L"},{"family":"Wehrmann","given":"Fabian"},{"family":"Lanham","given":"Allison K"},{"family":"Diaz del Valle","given":"Fernando"},{"family":"Born","given":"Willi K"},{"family":"O'Brien","given":"Rebecca L"},{"family":"Fontenot","given":"Andrew P"}],"authorYearDisplayFormat":false,"citation-label":"3621432","container-title":"Journal of Immunology","container-title-short":"J Immunol","id":"3621432","invisible":false,"issue":"1","issued":{"date-parts":[["2009","1","1"]]},"journalAbbreviation":"J Immunol","page":"657-665","suppress-author":false,"title":"Th17-polarized immune response in a murine model of hypersensitivity pneumonitis and lung fibrosis.","type":"article-journal","volume":"182"}]</w:instrText>
      </w:r>
      <w:r w:rsidR="00540E9B" w:rsidRPr="005A7F38">
        <w:fldChar w:fldCharType="separate"/>
      </w:r>
      <w:r w:rsidR="00B775CB" w:rsidRPr="00B775CB">
        <w:rPr>
          <w:noProof/>
          <w:vertAlign w:val="superscript"/>
        </w:rPr>
        <w:t>118,126</w:t>
      </w:r>
      <w:r w:rsidR="00540E9B" w:rsidRPr="005A7F38">
        <w:fldChar w:fldCharType="end"/>
      </w:r>
    </w:p>
    <w:p w14:paraId="14936453" w14:textId="0AA6AE82" w:rsidR="00ED3FD8" w:rsidRPr="005A7F38" w:rsidRDefault="00BA3A0D" w:rsidP="002446BB">
      <w:r w:rsidRPr="005A7F38">
        <w:lastRenderedPageBreak/>
        <w:t>Additionally, while granuloma formation may occur in response to an intact organi</w:t>
      </w:r>
      <w:r w:rsidR="00C35BDE" w:rsidRPr="005A7F38">
        <w:t xml:space="preserve">sm capable of infection, </w:t>
      </w:r>
      <w:r w:rsidRPr="005A7F38">
        <w:t xml:space="preserve">there is also the possibility that </w:t>
      </w:r>
      <w:r w:rsidR="00154846" w:rsidRPr="005A7F38">
        <w:t>granulomas are induced by a microbial agent product, such as the cell wall. In instances of cutaneous granulomas caused by the herpes zoster virus,</w:t>
      </w:r>
      <w:r w:rsidR="00ED3FD8" w:rsidRPr="005A7F38">
        <w:t xml:space="preserve"> polymerase chain reaction (PCR) failed to detect the varicella-zoster virus in the biopsy specimen indicating that </w:t>
      </w:r>
      <w:r w:rsidR="00154846" w:rsidRPr="005A7F38">
        <w:t xml:space="preserve">viral nucleic </w:t>
      </w:r>
      <w:r w:rsidR="00ED3FD8" w:rsidRPr="005A7F38">
        <w:t xml:space="preserve">acid is not present </w:t>
      </w:r>
      <w:r w:rsidR="00154846" w:rsidRPr="005A7F38">
        <w:t>in the granuloma.</w:t>
      </w:r>
      <w:r w:rsidR="00ED3FD8" w:rsidRPr="005A7F38">
        <w:t xml:space="preserve">  </w:t>
      </w:r>
      <w:r w:rsidR="00154846" w:rsidRPr="005A7F38">
        <w:t xml:space="preserve"> </w:t>
      </w:r>
      <w:r w:rsidR="00C35BDE" w:rsidRPr="005A7F38">
        <w:t>Research has suggested that the viral envelope glycoproteins rather than complete viral particles trigger the inflammatory process that produces granulomas.</w:t>
      </w:r>
      <w:r w:rsidR="00ED3FD8" w:rsidRPr="005A7F38">
        <w:fldChar w:fldCharType="begin"/>
      </w:r>
      <w:r w:rsidR="00B775CB">
        <w:instrText>ADDIN F1000_CSL_CITATION&lt;~#@#~&gt;[{"First":false,"Last":false,"PMID":"7864296","abstract":"Granulomatous reactions after varicella zoster virus (VZV) and herpes simplex virus (HSV) infections are rare, and their pathogenesis remains unclear. We studied by immunohistochemistry and in situ hybridization early granulomatous reactions after VZV and HSV infections. In the five cases studied, the VZV glycoproteins gp I and gp II were present in cells abutted to altered vessels, but the corresponding genome sequences were disclosed in similar locations in only one of these cases. In an immunocompromised patient with diffuse HSV eruption, HSV I antigens were present in cells of the reticular dermis, while viral nucleic acids were not evident. Immunophenotyping of the granulomas showed strong Mac 387 and CD68 positive labelings of macrophages/monocytes, without any involvement of Factor XIIIa-positive cells. These findings suggest that the major viral envelope glycoproteins, rather than complete viral particles could trigger granuloma formation following HSV and VZV skin infections.","author":[{"family":"Nikkels","given":"A F"},{"family":"Debrus","given":"S"},{"family":"Delvenne","given":"P"},{"family":"Sadzot-Delvaux","given":"C"},{"family":"Piette","given":"J"},{"family":"Rentier","given":"B"},{"family":"Piérard","given":"G E"}],"authorYearDisplayFormat":false,"citation-label":"4508512","container-title":"The American Journal of Dermatopathology","container-title-short":"Am J Dermatopathol","id":"4508512","invisible":false,"issue":"6","issued":{"date-parts":[["1994","12"]]},"journalAbbreviation":"Am J Dermatopathol","page":"588-592","suppress-author":false,"title":"Viral glycoproteins in herpesviridae granulomas.","type":"article-journal","volume":"16"},{"DOI":"10.1016/0190-9622(91)70066-B","First":false,"Last":false,"PMID":"1648109","abstract":"Granuloma annulare, sarcoidal and other granulomatous dermatitides, pseudolymphoma, lymphoplasmacytoid lymphoma, and Kaposi's sarcoma have been described as sequelae of herpes zoster. We report a new postzoster reaction, granulomatous vasculitis, that caused flat-topped papules restricted to the affected dermatome. Polymerase chain reaction failed to detect varicella-zoster virus in a biopsy specimen. These results suggest that granulomatous vasculitis occurs without persistence of the viral genome and, perhaps, is a reaction to minute amounts of viral proteins.","author":[{"family":"Langenberg","given":"A"},{"family":"Yen","given":"T S"},{"family":"LeBoit","given":"P E"}],"authorYearDisplayFormat":false,"citation-label":"4508513","container-title":"Journal of the American Academy of Dermatology","container-title-short":"J Am Acad Dermatol","id":"4508513","invisible":false,"issue":"3","issued":{"date-parts":[["1991","3"]]},"journalAbbreviation":"J Am Acad Dermatol","page":"429-433","suppress-author":false,"title":"Granulomatous vasculitis occurring after cutaneous herpes zoster despite absence of viral genome.","type":"article-journal","volume":"24"}]</w:instrText>
      </w:r>
      <w:r w:rsidR="00ED3FD8" w:rsidRPr="005A7F38">
        <w:fldChar w:fldCharType="separate"/>
      </w:r>
      <w:r w:rsidR="00B775CB" w:rsidRPr="00B775CB">
        <w:rPr>
          <w:noProof/>
          <w:vertAlign w:val="superscript"/>
        </w:rPr>
        <w:t>142,143</w:t>
      </w:r>
      <w:r w:rsidR="00ED3FD8" w:rsidRPr="005A7F38">
        <w:fldChar w:fldCharType="end"/>
      </w:r>
      <w:r w:rsidR="00ED3FD8" w:rsidRPr="005A7F38">
        <w:t xml:space="preserve"> </w:t>
      </w:r>
      <w:r w:rsidR="001B57B4" w:rsidRPr="005A7F38">
        <w:t xml:space="preserve">Again, this </w:t>
      </w:r>
      <w:r w:rsidR="00BA5EB0" w:rsidRPr="005A7F38">
        <w:t>postulates</w:t>
      </w:r>
      <w:r w:rsidR="001B57B4" w:rsidRPr="005A7F38">
        <w:t xml:space="preserve"> that</w:t>
      </w:r>
      <w:r w:rsidR="00BA5EB0" w:rsidRPr="005A7F38">
        <w:t xml:space="preserve"> the existence of granulomas, the</w:t>
      </w:r>
      <w:r w:rsidR="001B57B4" w:rsidRPr="005A7F38">
        <w:t xml:space="preserve"> </w:t>
      </w:r>
      <w:r w:rsidR="00BA5EB0" w:rsidRPr="005A7F38">
        <w:t>pathology</w:t>
      </w:r>
      <w:r w:rsidR="001B57B4" w:rsidRPr="005A7F38">
        <w:t xml:space="preserve"> </w:t>
      </w:r>
      <w:r w:rsidR="00BA5EB0" w:rsidRPr="005A7F38">
        <w:t>pathognomonic of sarcoidosis, is evidence of prior exposure to an infectious agent rather than active, ongoing infection.</w:t>
      </w:r>
    </w:p>
    <w:p w14:paraId="757C79F3" w14:textId="64218B39" w:rsidR="00016AE4" w:rsidRPr="005A7F38" w:rsidRDefault="009949B3" w:rsidP="00FB3392">
      <w:r>
        <w:t>The clinical patterns</w:t>
      </w:r>
      <w:r w:rsidR="001C01D5" w:rsidRPr="005A7F38">
        <w:t xml:space="preserve"> seen in sarcoidosis of granulomas spread throughout the body strongly implies that an etiologic agent is circulated through the blood stream at some point during the disease process. It is important to consider that an infectious agent that has previously been invisible to researchers may now come to light with the use of culture independent molecular methods</w:t>
      </w:r>
      <w:r w:rsidR="009F166B">
        <w:t xml:space="preserve"> (methods used to identify microbes without utilizing culture techniques, such as high-throughput sequencing)</w:t>
      </w:r>
      <w:r w:rsidR="001C01D5" w:rsidRPr="005A7F38">
        <w:t xml:space="preserve">. </w:t>
      </w:r>
    </w:p>
    <w:p w14:paraId="435F4927" w14:textId="2A4E8452" w:rsidR="00674BFA" w:rsidRPr="005A7F38" w:rsidRDefault="00234A4F" w:rsidP="002446BB">
      <w:r w:rsidRPr="005A7F38">
        <w:t>Drake et al in 2002, Song et al in 2005 and Oswald-Richeter et al in 2012 have all contributed molecular evidence of mycobacterial RNA, DNA and proteins in sarcoidosis tissues that are not present in non-sarcoidosis tissues taken from control patients.</w:t>
      </w:r>
      <w:r w:rsidRPr="005A7F38">
        <w:fldChar w:fldCharType="begin"/>
      </w:r>
      <w:r w:rsidR="00B775CB">
        <w:instrText>ADDIN F1000_CSL_CITATION&lt;~#@#~&gt;[{"DOI":"10.1007/s10875-012-9700-5","First":false,"Last":false,"PMCID":"PMC3526106","PMID":"22552860","abstract":"&lt;strong&gt;PURPOSE:&lt;/strong&gt; Sarcoidosis is a non-caseating granulomatous disease for which a role for infectious antigens continues to strengthen. Recent studies have reported molecular evidence of mycobacteria or propionibacteria. We assessed for immune responses against mycobacterial and propionibacterial antigens in sarcoidosis bronchoalveolar lavage (BAL) using flow cytometry, and localized signals consistent with microbial antigens with sarcoidosis specimens, using matrix-assisted laser desorption ionization imaging mass spectrometry (MALDI-IMS).&lt;br&gt;&lt;br&gt;&lt;strong&gt;METHODS:&lt;/strong&gt; BAL cells from 27 sarcoidosis, 14 PPD- controls, and 9 subjects with nontuberculosis mycobacterial (NTM) infections were analyzed for production of IFN-γ after stimulation with mycobacterial ESAT-6 and Propionibacterium acnes proteins. To complement the immunological data, MALDI-IMS was performed to localize ESAT-6 and Propionibacterium acnes signals within sarcoidosis and control specimens.&lt;br&gt;&lt;br&gt;&lt;strong&gt;RESULTS:&lt;/strong&gt; CD4+ immunologic analysis for mycobacteria was positive in 17/27 sarcoidosis subjects, compared to 2/14 PPD- subjects, and 5/9 NTM subjects (p = 0.008 and p = 0.71 respectively, Fisher's exact test). There was no significant difference for recognition of P. acnes, which occurred only in sarcoidosis subjects that also recognized ESAT-6. Similar results were also observed for the CD8+ immunologic analysis. MALDI-IMS localized signals consistent with ESAT-6 only within sites of granulomatous inflammation, whereas P. acnes signals were distributed throughout the specimen.&lt;br&gt;&lt;br&gt;&lt;strong&gt;CONCLUSIONS:&lt;/strong&gt; MALDI-IMS localizes signals consistent with ESAT-6 to sarcoidosis granulomas, whereas no specific localization of P. acnes signals is detected. Immune responses against both mycobacterial and P. acnes are present within sarcoidosis BAL, but only mycobacterial signals are distinct from disease controls. These immunologic and molecular investigations support further investigation of the microbial community within sarcoidosis granulomas.","author":[{"family":"Oswald-Richter","given":"Kyra A"},{"family":"Beachboard","given":"Dia C"},{"family":"Seeley","given":"Erin H"},{"family":"Abraham","given":"Susamma"},{"family":"Shepherd","given":"Bryan E"},{"family":"Jenkins","given":"Cathy A"},{"family":"Culver","given":"Daniel A"},{"family":"Caprioli","given":"Richard M"},{"family":"Drake","given":"Wonder P"}],"authorYearDisplayFormat":false,"citation-label":"4212568","container-title":"Journal of Clinical Immunology","container-title-short":"J Clin Immunol","id":"4212568","invisible":false,"issue":"5","issued":{"date-parts":[["2012","10"]]},"journalAbbreviation":"J Clin Immunol","page":"1129-1140","suppress-author":false,"title":"Dual analysis for mycobacteria and propionibacteria in sarcoidosis BAL.","type":"article-journal","volume":"32"},{"DOI":"10.1084/jem.20040429","First":false,"Last":false,"PMCID":"PMC2212832","PMID":"15753209","abstract":"Sarcoidosis is a disease of unknown etiology characterized by noncaseating epithelioid granulomas, oligoclonal CD4(+) T cell infiltrates, and immune complex formation. To identify pathogenic antigens relevant to immune-mediated granulomatous inflammation in sarcoidosis, we used a limited proteomics approach to detect tissue antigens that were poorly soluble in neutral detergent and resistant to protease digestion, consistent with the known biochemical properties of granuloma-inducing sarcoidosis tissue extracts. Tissue antigens with these characteristics were detected with immunoglobulin (Ig)G or F(ab')(2) fragments from the sera of sarcoidosis patients in 9 of 12 (75%) sarcoidosis tissues (150-160, 80, or 60-64 kD) but only 3 of 22 (14%) control tissues (all 62-64 kD; P = 0.0006). Matrix-assisted laser desorption/ionization time of flight mass spectrometry identified Mycobacterium tuberculosis catalase-peroxidase (mKatG) as one of these tissue antigens. Protein immunoblotting using anti-mKatG monoclonal antibodies independently confirmed the presence of mKatG in 5 of 9 (55%) sarcoidosis tissues but in none of 14 control tissues (P = 0.0037). IgG antibodies to recombinant mKatG were detected in the sera of 12 of 25 (48%) sarcoidosis patients compared with 0 of 11 (0%) purified protein derivative (PPD)(-) (P = 0.0059) and 4 of 10 (40%) PPD(+) (P = 0.7233) control subjects, suggesting that remnant mycobacterial catalase-peroxidase is one target of the adaptive immune response driving granulomatous inflammation in sarcoidosis.","author":[{"family":"Song","given":"Zhimin"},{"family":"Marzilli","given":"Lisa"},{"family":"Greenlee","given":"Brian M"},{"family":"Chen","given":"Edward S"},{"family":"Silver","given":"Richard F"},{"family":"Askin","given":"Frederic B"},{"family":"Teirstein","given":"Alvin S"},{"family":"Zhang","given":"Ying"},{"family":"Cotter","given":"Robert J"},{"family":"Moller","given":"David R"}],"authorYearDisplayFormat":false,"citation-label":"1579294","container-title":"The Journal of Experimental Medicine","container-title-short":"J Exp Med","id":"1579294","invisible":false,"issue":"5","issued":{"date-parts":[["2005","3","7"]]},"journalAbbreviation":"J Exp Med","page":"755-767","suppress-author":false,"title":"Mycobacterial catalase-peroxidase is a tissue antigen and target of the adaptive immune response in systemic sarcoidosis.","type":"article-journal","volume":"201"},{"DOI":"10.3201/eid0811.020318","First":false,"Last":false,"PMCID":"PMC2738555","PMID":"12453366","abstract":"We performed polymerase chain reaction analysis, for Mycobacterium species 16S rRNA, rpoB, and IS6110 sequences, on 25 tissue specimens from patients with sarcoidosis and on 25 control tissue specimens consisting of mediastinal or cervical lymph nodes and lung biopsies. Mycobacterium species 16S rRNA sequences were amplified from 12 (48%) rpoB sequences and from 6 (24%) of the sarcoidosis specimens. In total, 16S rRNA or rpoB sequences were amplified from 15 sarcoidosis specimens (60%) but were not detected in any of the control tissues (p=0.00002, chi square). In three specimens, the sequences resembled Mycobacterium species other than M. tuberculosis. All specimens with sequences consistent with M. tuberculosis were negative for IS6110. We provide evidence that one of a variety of Mycobacterium species, especially organisms resembling M. tuberculosis, is found in most patients with sarcoidosis.","author":[{"family":"Drake","given":"Wonder Puryear"},{"family":"Pei","given":"Zhiheng"},{"family":"Pride","given":"David T"},{"family":"Collins","given":"Robert D"},{"family":"Cover","given":"Timothy L"},{"family":"Blaser","given":"Martin J"}],"authorYearDisplayFormat":false,"citation-label":"1147583","container-title":"Emerging Infectious Diseases","container-title-short":"Emerging Infect Dis","id":"1147583","invisible":false,"issue":"11","issued":{"date-parts":[["2002","11"]]},"journalAbbreviation":"Emerging Infect Dis","page":"1334-1341","suppress-author":false,"title":"Molecular analysis of sarcoidosis tissues for mycobacterium species DNA.","type":"article-journal","volume":"8"},{"DOI":"10.1513/AnnalsATS.201503-172OT","First":false,"Last":false,"PMCID":"PMC4627423","PMID":"26193069","abstract":"Sarcoidosis is a systemic disease characterized by noncaseating granulomatous inflammation with tremendous clinical heterogeneity and uncertain pathobiology and lacking in clinically useful biomarkers. The Genomic Research in Alpha-1 Antitrypsin Deficiency and Sarcoidosis (GRADS) study is an observational cohort study designed to explore the role of the lung microbiome and genome in these two diseases. This article describes the design and rationale for the GRADS study sarcoidosis protocol. The study addresses the hypothesis that distinct patterns in the lung microbiome are characteristic of sarcoidosis phenotypes and are reflected in changes in systemic inflammatory responses as measured by peripheral blood changes in gene transcription. The goal is to enroll 400 participants, with a minimum of 35 in each of 9 clinical phenotype subgroups prioritized by their clinical relevance to understanding of the pathobiology and clinical heterogeneity of sarcoidosis. Participants with a confirmed diagnosis of sarcoidosis undergo a baseline visit with self-administered questionnaires, chest computed tomography, pulmonary function tests, and blood and urine testing. A research or clinical bronchoscopy with a research bronchoalveolar lavage will be performed to obtain samples for genomic and microbiome analyses. Comparisons will be made by blood genomic analysis and with clinical phenotypic variables. A 6-month follow-up visit is planned to assess each participant's clinical course. By the use of an integrative approach to the analysis of the microbiome and genome in selected clinical phenotypes, the GRADS study is powerfully positioned to inform and direct studies on the pathobiology of sarcoidosis, identify diagnostic or prognostic biomarkers, and provide novel molecular phenotypes that could lead to improved personalized approaches to therapy for sarcoidosis.","author":[{"family":"Moller","given":"David R"},{"family":"Koth","given":"Laura L"},{"family":"Maier","given":"Lisa A"},{"family":"Morris","given":"Alison"},{"family":"Drake","given":"Wonder"},{"family":"Rossman","given":"Milton"},{"family":"Leader","given":"Joseph K"},{"family":"Collman","given":"Ronald G"},{"family":"Hamzeh","given":"Nabeel"},{"family":"Sweiss","given":"Nadera J"},{"family":"Zhang","given":"Yingze"},{"family":"O'Neal","given":"Scott"},{"family":"Senior","given":"Robert M"},{"family":"Becich","given":"Michael"},{"family":"Hochheiser","given":"Harry S"},{"family":"Kaminski","given":"Naftali"},{"family":"Wisniewski","given":"Stephen R"},{"family":"Gibson","given":"Kevin F"},{"family":"GRADS Sarcoidosis Study Group"}],"authorYearDisplayFormat":false,"citation-label":"1400043","container-title":"Annals of the American Thoracic Society","container-title-short":"Ann Am Thorac Soc","id":"1400043","invisible":false,"issue":"10","issued":{"date-parts":[["2015","10"]]},"journalAbbreviation":"Ann Am Thorac Soc","page":"1561-1571","suppress-author":false,"title":"Rationale and Design of the Genomic Research in Alpha-1 Antitrypsin Deficiency and Sarcoidosis (GRADS) Study. Sarcoidosis Protocol.","type":"article-journal","volume":"12"}]</w:instrText>
      </w:r>
      <w:r w:rsidRPr="005A7F38">
        <w:fldChar w:fldCharType="separate"/>
      </w:r>
      <w:r w:rsidR="00B775CB" w:rsidRPr="00B775CB">
        <w:rPr>
          <w:noProof/>
          <w:vertAlign w:val="superscript"/>
        </w:rPr>
        <w:t>9,144–146</w:t>
      </w:r>
      <w:r w:rsidRPr="005A7F38">
        <w:fldChar w:fldCharType="end"/>
      </w:r>
      <w:r w:rsidRPr="005A7F38">
        <w:t xml:space="preserve"> </w:t>
      </w:r>
      <w:r w:rsidR="000B357D" w:rsidRPr="005A7F38">
        <w:t>A research group in Greece reported that they were able to amplify mycobacterial DNA in 72% of the sarcoidosis tissue biopsies studied.</w:t>
      </w:r>
      <w:r w:rsidR="000B357D" w:rsidRPr="005A7F38">
        <w:fldChar w:fldCharType="begin"/>
      </w:r>
      <w:r w:rsidR="00B775CB">
        <w:instrText>ADDIN F1000_CSL_CITATION&lt;~#@#~&gt;[{"First":false,"Last":false,"PMCID":"PMC120671","PMID":"12149380","abstract":"The causes of sarcoidosis are unknown. In this study, we report the presence of Mycobacterium tuberculosis complex and Propionibacterium granulosum DNA in a significant proportion of Greek patients with sarcoidosis. Human herpesvirus 8 DNA was not detected in sarcoid tissues from Greek patients. Our findings are discussed.","author":[{"family":"Gazouli","given":"M"},{"family":"Ikonomopoulos","given":"J"},{"family":"Trigidou","given":"R"},{"family":"Foteinou","given":"M"},{"family":"Kittas","given":"C"},{"family":"Gorgoulis","given":"V"}],"authorYearDisplayFormat":false,"citation-label":"4509114","container-title":"Journal of Clinical Microbiology","container-title-short":"J Clin Microbiol","id":"4509114","invisible":false,"issue":"8","issued":{"date-parts":[["2002","8"]]},"journalAbbreviation":"J Clin Microbiol","page":"3060-3063","suppress-author":false,"title":"Assessment of mycobacterial, propionibacterial, and human herpesvirus 8 DNA in tissues of greek patients with sarcoidosis.","type":"article-journal","volume":"40"}]</w:instrText>
      </w:r>
      <w:r w:rsidR="000B357D" w:rsidRPr="005A7F38">
        <w:fldChar w:fldCharType="separate"/>
      </w:r>
      <w:r w:rsidR="00B775CB" w:rsidRPr="00B775CB">
        <w:rPr>
          <w:noProof/>
          <w:vertAlign w:val="superscript"/>
        </w:rPr>
        <w:t>123</w:t>
      </w:r>
      <w:r w:rsidR="000B357D" w:rsidRPr="005A7F38">
        <w:fldChar w:fldCharType="end"/>
      </w:r>
      <w:r w:rsidR="000B357D" w:rsidRPr="005A7F38">
        <w:t xml:space="preserve"> In a Japanese study, the genome of mycobacteria were found in 100% of the tissue biopsies examined.</w:t>
      </w:r>
      <w:r w:rsidR="000B357D" w:rsidRPr="005A7F38">
        <w:fldChar w:fldCharType="begin"/>
      </w:r>
      <w:r w:rsidR="00B775CB">
        <w:instrText>ADDIN F1000_CSL_CITATION&lt;~#@#~&gt;[{"First":false,"Last":false,"PMCID":"PMC120089","PMID":"11773116","abstract":"The cause(s) of sarcoidosis is unknown. Mycobacterium spp. are suspected in Europe and Propionibacterium spp. are suspected in Japan. The present international collaboration evaluated the possible etiological links between sarcoidosis and the suspected bacterial species. Formalin-fixed and paraffin-embedded sections of biopsy samples of lymph nodes, one from each of 108 patients with sarcoidosis and 65 patients with tuberculosis, together with 86 control samples, were collected from two institutes in Japan and three institutes in Italy, Germany, and England. Genomes of Propionibacterium acnes, Propionibacterium granulosum, Mycobacterium tuberculosis, Mycobacterium avium subsp. paratuberculosis, and Escherichia coli (as the control) were counted by quantitative real-time PCR. Either P. acnes or P. granulosum was found in all but two of the sarcoid samples. M. avium subsp. paratuberculosis was found in no sarcoid sample. M. tuberculosis was found in 0 to 9% of the sarcoid samples but in 65 to 100% of the tuberculosis samples. In sarcoid lymph nodes, the total numbers of genomes of P. acnes or P. granulosum were far more than those of M. tuberculosis. P. acnes or P. granulosum was found in 0 to 60% of the tuberculosis and control samples, but the total numbers of genomes of P. acnes or P. granulosum in such samples were less than those in sarcoid samples. Propionibacterium spp. are more likely than Mycobacteria spp. to be involved in the etiology of sarcoidosis, not only in Japanese but also in European patients with sarcoidosis.","author":[{"family":"Eishi","given":"Yoshinobu"},{"family":"Suga","given":"Moritaka"},{"family":"Ishige","given":"Ikuo"},{"family":"Kobayashi","given":"Daisuke"},{"family":"Yamada","given":"Tetsuo"},{"family":"Takemura","given":"Tamiko"},{"family":"Takizawa","given":"Touichiro"},{"family":"Koike","given":"Morio"},{"family":"Kudoh","given":"Shoji"},{"family":"Costabel","given":"Ulrich"},{"family":"Guzman","given":"Josune"},{"family":"Rizzato","given":"Gianfranco"},{"family":"Gambacorta","given":"Marcello"},{"family":"du Bois","given":"Ronald"},{"family":"Nicholson","given":"Andrew G"},{"family":"Sharma","given":"Om P"},{"family":"Ando","given":"Masayuki"}],"authorYearDisplayFormat":false,"citation-label":"4238711","container-title":"Journal of Clinical Microbiology","container-title-short":"J Clin Microbiol","id":"4238711","invisible":false,"issue":"1","issued":{"date-parts":[["2002","1"]]},"journalAbbreviation":"J Clin Microbiol","page":"198-204","suppress-author":false,"title":"Quantitative analysis of mycobacterial and propionibacterial DNA in lymph nodes of Japanese and European patients with sarcoidosis.","type":"article-journal","volume":"40"}]</w:instrText>
      </w:r>
      <w:r w:rsidR="000B357D" w:rsidRPr="005A7F38">
        <w:fldChar w:fldCharType="separate"/>
      </w:r>
      <w:r w:rsidR="00B775CB" w:rsidRPr="00B775CB">
        <w:rPr>
          <w:noProof/>
          <w:vertAlign w:val="superscript"/>
        </w:rPr>
        <w:t>122</w:t>
      </w:r>
      <w:r w:rsidR="000B357D" w:rsidRPr="005A7F38">
        <w:fldChar w:fldCharType="end"/>
      </w:r>
      <w:r w:rsidR="000B357D" w:rsidRPr="005A7F38">
        <w:t xml:space="preserve">  </w:t>
      </w:r>
      <w:r w:rsidR="00674BFA" w:rsidRPr="005A7F38">
        <w:t>Oswald-Richter et al have reported a marked enhancement in Th1 immune responses to mycobacterial proteins in patients with sarcoidosis compared to control patients without sarcoidosis.</w:t>
      </w:r>
    </w:p>
    <w:p w14:paraId="398629F8" w14:textId="0B42ED2E" w:rsidR="006C45B6" w:rsidRPr="005A7F38" w:rsidRDefault="00674BFA" w:rsidP="002446BB">
      <w:r w:rsidRPr="005A7F38">
        <w:lastRenderedPageBreak/>
        <w:t>The mounting evidence of mycobacterial nucleic acids in sarcoid granulomas points to mycobacterium as a trigger for the immune cascade that causes granuloma formation. Oswald-Richter et al have reported a marked enhancement in Th1 immune responses to mycobacterial proteins in patients with sarcoidosis compared to control patients without sarcoidosis.</w:t>
      </w:r>
      <w:r w:rsidR="008937AA" w:rsidRPr="005A7F38">
        <w:fldChar w:fldCharType="begin"/>
      </w:r>
      <w:r w:rsidR="00B775CB">
        <w:instrText>ADDIN F1000_CSL_CITATION&lt;~#@#~&gt;[{"DOI":"10.1128/IAI.00142-09","First":false,"Last":false,"PMCID":"PMC2738026","PMID":"19596780","abstract":"Considerable evidence supports the concept that CD4(+) T cells are important in sarcoidosis pathogenesis, but the antigens responsible for the observed Th1 immunophenotype remain elusive. The epidemiologic association with bioaerosols and the presence of granulomatous inflammation support consideration of mycobacterial antigens. To explore the role of mycobacterial antigens in sarcoidosis immunopathogenesis, we assessed the immune recognition of mycobacterial antigens, the 6-kDa early secreted antigenic protein (ESAT-6) and catalase-peroxidase (KatG), by T cells derived from bronchoalveolar lavage (BAL) fluid obtained during diagnostic bronchoscopy. We report the presence of antigen-specific recognition of ESAT-6 and KatG in T cells from BAL fluid of 32/44 sarcoidosis subjects, compared to 1/27 controls (P &lt;  0.0001). CD4(+) T cells were primarily responsible for immune recognition (32/44 sarcoidosis subjects), although CD8(+) T-cell responses were observed (25/41 sarcoidosis subjects). Recognition was significantly absent from BAL fluid cells of patients with other lung diseases, including infectious granulomatous diseases. Blocking of Toll-like receptor 2 reduced the strength of the observed immune response. The presence of immune responses to mycobacterial antigens in cells from BAL fluid used for sarcoidosis diagnosis suggests a strong association between mycobacteria and sarcoidosis pathogenesis. Inhibition of immune recognition with monoclonal antibody against Toll-like receptor 2 suggests that induction of innate immunity by mycobacteria contributes to the polarized Th1 immune response.","author":[{"family":"Oswald-Richter","given":"Kyra A"},{"family":"Culver","given":"Daniel A"},{"family":"Hawkins","given":"Charlene"},{"family":"Hajizadeh","given":"Rana"},{"family":"Abraham","given":"Susamma"},{"family":"Shepherd","given":"Bryan E"},{"family":"Jenkins","given":"Cathy A"},{"family":"Judson","given":"Marc A"},{"family":"Drake","given":"Wonder P"}],"authorYearDisplayFormat":false,"citation-label":"4532914","container-title":"Infection and Immunity","container-title-short":"Infect Immun","id":"4532914","invisible":false,"issue":"9","issued":{"date-parts":[["2009","9"]]},"journalAbbreviation":"Infect Immun","page":"3740-3748","suppress-author":false,"title":"Cellular responses to mycobacterial antigens are present in bronchoalveolar lavage fluid used in the diagnosis of sarcoidosis.","type":"article-journal","volume":"77"},{"DOI":"10.1186/1465-9921-11-161","First":false,"Last":false,"PMCID":"PMC2999599","PMID":"21092305","abstract":"&lt;strong&gt;INTRODUCTION:&lt;/strong&gt; Sarcoidosis is a multisystem granulomatous disease for which the association with mycobacteria continues to strengthen. It is hypothesized that a single, poorly degradable antigen is responsible for sarcoidosis pathogenesis. Several reports from independent groups support mycobacterial antigens having a role in sarcoidosis pathogenesis. To identify other microbial targets of the adaptive immune response, we tested the ability of CD4+ and CD8+ T cells to recognize multiple mycobacterial antigens.&lt;br&gt;&lt;br&gt;&lt;strong&gt;METHODS:&lt;/strong&gt; Fifty-four subjects were enrolled in this study: 31 sarcoidosis patients, nine non-tuberculosis mycobacterial (NTM) infection controls, and 14 PPD- controls. Using flow cytometry, we assessed for Th1 immune responses to ESAT-6, katG, Ag85A, sodA, and HSP.&lt;br&gt;&lt;br&gt;&lt;strong&gt;RESULTS:&lt;/strong&gt; Alveolar T-cells from twenty-two of the 31 sarcoidosis patients produced a CD4+ response to at least one of ESAT-6, katG, Ag85A, sodA, or HSP, compared to two of 14 PPD- controls (p = 0.0008) and five of nine NTM controls (p = 0.44), while eighteen of the 31 sarcoidosis subjects tested produced a CD8+ response to at least one of the mycobacterial antigens compared to two of 14 PPD- controls (p = 0.009) and three of nine NTM controls (0.26). Not only did the BAL-derived T cells respond to multiple virulence factors, but also to multiple, distinct epitopes within a given protein. The detection of proliferation upon stimulation with the mycobacterial virulence factors demonstrates that these responses are initiated by antigen specific recognition.&lt;br&gt;&lt;br&gt;&lt;strong&gt;CONCLUSIONS:&lt;/strong&gt; Together these results reveal that antigen-specific CD4+ and CD8+ T cells responses to multiple mycobacterial epitopes are present within sites of active sarcoidosis involvement, and that these antigen-specific responses are present at the time of diagnosis.","author":[{"family":"Oswald-Richter","given":"Kyra A"},{"family":"Beachboard","given":"Dia C"},{"family":"Zhan","given":"Xiaoyan"},{"family":"Gaskill","given":"Christa F"},{"family":"Abraham","given":"Susamma"},{"family":"Jenkins","given":"Cathy"},{"family":"Culver","given":"Daniel A"},{"family":"Drake","given":"Wonder"}],"authorYearDisplayFormat":false,"citation-label":"4532913","container-title":"Respiratory Research","container-title-short":"Respir Res","id":"4532913","invisible":false,"issued":{"date-parts":[["2010","11","23"]]},"journalAbbreviation":"Respir Res","page":"161","suppress-author":false,"title":"Multiple mycobacterial antigens are targets of the adaptive immune response in pulmonary sarcoidosis.","type":"article-journal","volume":"11"},{"DOI":"10.1007/s10875-009-9311-y","First":false,"Last":false,"PMCID":"PMC2821522","PMID":"19536643","abstract":"&lt;strong&gt;INTRODUCTION:&lt;/strong&gt; Genetic associations of American sarcoidosis susceptibility implicate MHC class II allele, DRB1*1101. We previously reported immune recognition of Mycobacterium peptides from peripheral cells of 26 sarcoidosis subjects, 24 PPD- healthy volunteers, and eight with latent tuberculosis infection.&lt;br&gt;&lt;br&gt;&lt;strong&gt;MATERIALS AND METHODS:&lt;/strong&gt; In order to further link these genetic and immunologic pillars of sarcoidosis pathogenesis, we performed flow cytometry on these same subjects to identify the cells responsible for immune responses to ESAT-6 and katG peptides, followed by HLA typing to determine allelic associations with recognition.&lt;br&gt;&lt;br&gt;&lt;strong&gt;DISCUSSION AND CONCLUSION:&lt;/strong&gt; Sarcoidosis CD4+ T cells were primarily responsible for the systemic responses. Recognition was inhibited by monoclonal antibody against HLA-DR and HLA-DQ, but not HLA-DP. Immune recognition of ESAT-6 peptide NNALQNLARTISEAG was associated with possession of DRB1*1101. ESAT-6 and katG presented by antigen-presenting cells expressing DRB1*1101-induced Th-1 responses from sarcoidosis T cells, thus providing a mechanistic insight for the association of HLA DRB1*1101 with sarcoidosis, and sarcoidosis T cell interaction with microbial antigens.","author":[{"family":"Oswald-Richter","given":"Kyra"},{"family":"Sato","given":"Hiroe"},{"family":"Hajizadeh","given":"Rana"},{"family":"Shepherd","given":"Bryan E"},{"family":"Sidney","given":"John"},{"family":"Sette","given":"Alessandro"},{"family":"Newman","given":"Lee S"},{"family":"Drake","given":"Wonder Puryear"}],"authorYearDisplayFormat":false,"citation-label":"4532912","container-title":"Journal of Clinical Immunology","container-title-short":"J Clin Immunol","id":"4532912","invisible":false,"issue":"1","issued":{"date-parts":[["2010","1"]]},"journalAbbreviation":"J Clin Immunol","page":"157-166","suppress-author":false,"title":"Mycobacterial ESAT-6 and katG are recognized by sarcoidosis CD4+ T cells when presented by the American sarcoidosis susceptibility allele, DRB1*1101.","type":"article-journal","volume":"30"}]</w:instrText>
      </w:r>
      <w:r w:rsidR="008937AA" w:rsidRPr="005A7F38">
        <w:fldChar w:fldCharType="separate"/>
      </w:r>
      <w:r w:rsidR="00B775CB" w:rsidRPr="00B775CB">
        <w:rPr>
          <w:noProof/>
          <w:vertAlign w:val="superscript"/>
        </w:rPr>
        <w:t>147–149</w:t>
      </w:r>
      <w:r w:rsidR="008937AA" w:rsidRPr="005A7F38">
        <w:fldChar w:fldCharType="end"/>
      </w:r>
      <w:r w:rsidRPr="005A7F38">
        <w:t xml:space="preserve"> Chen et al found a similar increase in Th1 immune response to specific mycobacterial proteins in patients with sarcoidosis.</w:t>
      </w:r>
      <w:r w:rsidRPr="005A7F38">
        <w:fldChar w:fldCharType="begin"/>
      </w:r>
      <w:r w:rsidR="00B775CB">
        <w:instrText>ADDIN F1000_CSL_CITATION&lt;~#@#~&gt;[{"First":false,"Last":false,"PMCID":"PMC2700300","PMID":"19050300","abstract":"Sarcoidosis is a systemic granulomatous disease associated with local epithelioid granulomas, CD4(+) T cells, and Th1 cytokines. The tissue Ags that drive this granulomatous inflammation are uncertain. In this study, we used IFN-gamma-ELISPOT assays and flow cytometry to assess lung and blood T cell responses to the candidate pathogenic Ag, Mycobacterium tuberculosis catalase-peroxidase (mKatG) in patients with sarcoidosis from two centers. Despite differences in patient phenotypic, genetic, and prognostic characteristics, we report that T cell responses to mKatG were remarkably similar in these cohorts, with higher frequencies of mKatG-reactive, IFN-gamma-expressing T cells in the blood of sarcoidosis patients compared with nontuberculosis sensitized healthy controls, and (in a subset) in greater numbers than T cells reactive to purified protein derivative. In sarcoidosis, mKatG-reactive CD4(+) Th1 cells preferentially accumulated in the lung, indicating a compartmentalized response. Patients with or without Löfgren syndrome had similar frequencies of mKatG specific IFN-gamma-expressing blood T cells. Circulating mKatG-reactive T cells were found in chronic active sarcoidosis but not in patients with inactive disease. Together, these results demonstrate that T cell responses to mKatG in sarcoidosis fit a profile expected for a pathogenic Ag, supporting an immunotherapeutic approach to this disease.","author":[{"family":"Chen","given":"Edward S"},{"family":"Wahlström","given":"Jan"},{"family":"Song","given":"Zhimin"},{"family":"Willett","given":"Matthew H"},{"family":"Wikén","given":"Maria"},{"family":"Yung","given":"Rex C"},{"family":"West","given":"Erin E"},{"family":"McDyer","given":"John F"},{"family":"Zhang","given":"Ying"},{"family":"Eklund","given":"Anders"},{"family":"Grunewald","given":"Johan"},{"family":"Moller","given":"David R"}],"authorYearDisplayFormat":false,"citation-label":"4532910","container-title":"Journal of Immunology","container-title-short":"J Immunol","id":"4532910","invisible":false,"issue":"12","issued":{"date-parts":[["2008","12","15"]]},"journalAbbreviation":"J Immunol","page":"8784-8796","suppress-author":false,"title":"T cell responses to mycobacterial catalase-peroxidase profile a pathogenic antigen in systemic sarcoidosis.","type":"article-journal","volume":"181"}]</w:instrText>
      </w:r>
      <w:r w:rsidRPr="005A7F38">
        <w:fldChar w:fldCharType="separate"/>
      </w:r>
      <w:r w:rsidR="00B775CB" w:rsidRPr="00B775CB">
        <w:rPr>
          <w:noProof/>
          <w:vertAlign w:val="superscript"/>
        </w:rPr>
        <w:t>150</w:t>
      </w:r>
      <w:r w:rsidRPr="005A7F38">
        <w:fldChar w:fldCharType="end"/>
      </w:r>
      <w:r w:rsidR="00096B80" w:rsidRPr="005A7F38">
        <w:t xml:space="preserve"> </w:t>
      </w:r>
      <w:r w:rsidR="000B357D" w:rsidRPr="005A7F38">
        <w:t>In at least a subset of patients with sarcoidosis, it is likely that mycobacteria play an etiologic role.</w:t>
      </w:r>
      <w:r w:rsidR="000B357D" w:rsidRPr="005A7F38">
        <w:fldChar w:fldCharType="begin"/>
      </w:r>
      <w:r w:rsidR="00B775CB">
        <w:instrText>ADDIN F1000_CSL_CITATION&lt;~#@#~&gt;[{"First":false,"Last":false,"PMCID":"PMC120089","PMID":"11773116","abstract":"The cause(s) of sarcoidosis is unknown. Mycobacterium spp. are suspected in Europe and Propionibacterium spp. are suspected in Japan. The present international collaboration evaluated the possible etiological links between sarcoidosis and the suspected bacterial species. Formalin-fixed and paraffin-embedded sections of biopsy samples of lymph nodes, one from each of 108 patients with sarcoidosis and 65 patients with tuberculosis, together with 86 control samples, were collected from two institutes in Japan and three institutes in Italy, Germany, and England. Genomes of Propionibacterium acnes, Propionibacterium granulosum, Mycobacterium tuberculosis, Mycobacterium avium subsp. paratuberculosis, and Escherichia coli (as the control) were counted by quantitative real-time PCR. Either P. acnes or P. granulosum was found in all but two of the sarcoid samples. M. avium subsp. paratuberculosis was found in no sarcoid sample. M. tuberculosis was found in 0 to 9% of the sarcoid samples but in 65 to 100% of the tuberculosis samples. In sarcoid lymph nodes, the total numbers of genomes of P. acnes or P. granulosum were far more than those of M. tuberculosis. P. acnes or P. granulosum was found in 0 to 60% of the tuberculosis and control samples, but the total numbers of genomes of P. acnes or P. granulosum in such samples were less than those in sarcoid samples. Propionibacterium spp. are more likely than Mycobacteria spp. to be involved in the etiology of sarcoidosis, not only in Japanese but also in European patients with sarcoidosis.","author":[{"family":"Eishi","given":"Yoshinobu"},{"family":"Suga","given":"Moritaka"},{"family":"Ishige","given":"Ikuo"},{"family":"Kobayashi","given":"Daisuke"},{"family":"Yamada","given":"Tetsuo"},{"family":"Takemura","given":"Tamiko"},{"family":"Takizawa","given":"Touichiro"},{"family":"Koike","given":"Morio"},{"family":"Kudoh","given":"Shoji"},{"family":"Costabel","given":"Ulrich"},{"family":"Guzman","given":"Josune"},{"family":"Rizzato","given":"Gianfranco"},{"family":"Gambacorta","given":"Marcello"},{"family":"du Bois","given":"Ronald"},{"family":"Nicholson","given":"Andrew G"},{"family":"Sharma","given":"Om P"},{"family":"Ando","given":"Masayuki"}],"authorYearDisplayFormat":false,"citation-label":"4238711","container-title":"Journal of Clinical Microbiology","container-title-short":"J Clin Microbiol","id":"4238711","invisible":false,"issue":"1","issued":{"date-parts":[["2002","1"]]},"journalAbbreviation":"J Clin Microbiol","page":"198-204","suppress-author":false,"title":"Quantitative analysis of mycobacterial and propionibacterial DNA in lymph nodes of Japanese and European patients with sarcoidosis.","type":"article-journal","volume":"40"},{"DOI":"10.1165/rcmb.2010-0433TR","First":false,"Last":false,"PMCID":"PMC3361363","PMID":"21659662","abstract":"Despite its recognition as a distinct granulomatous disease for over a century, the etiology of sarcoidosis remains to be defined. Since the early 1900s, infectious agents have been suspected in causing sarcoidosis. For much of this time, mycobacteria were considered a likely culprit, yet until recently, the supporting evidence has been tenuous at best. In this review, we evaluate the reported association between mycobacteria and sarcoidosis. Historically, mycobacterial infection has been investigated using histologic stains, cultures of lesional tissue or blood, and identification of bacterial nucleic acids or bacterial antigens. More recently, advances in biochemical, molecular, and immunological methods have produced a more rigorous analysis of the antigenic drivers of sarcoidosis. The result of these efforts indicates that mycobacterial products likely play a role in at least a subset of sarcoidosis cases. This information, coupled with a better understanding of genetic susceptibility to this complex disease, has therapeutic implications.","author":[{"family":"Brownell","given":"Isaac"},{"family":"Ramírez-Valle","given":"Francisco"},{"family":"Sanchez","given":"Miguel"},{"family":"Prystowsky","given":"Stephen"}],"authorYearDisplayFormat":false,"citation-label":"4508501","container-title":"American Journal of Respiratory Cell and Molecular Biology","container-title-short":"Am J Respir Cell Mol Biol","id":"4508501","invisible":false,"issue":"5","issued":{"date-parts":[["2011","11"]]},"journalAbbreviation":"Am J Respir Cell Mol Biol","page":"899-905","suppress-author":false,"title":"Evidence for mycobacteria in sarcoidosis.","type":"article-journal","volume":"45"}]</w:instrText>
      </w:r>
      <w:r w:rsidR="000B357D" w:rsidRPr="005A7F38">
        <w:fldChar w:fldCharType="separate"/>
      </w:r>
      <w:r w:rsidR="00B775CB" w:rsidRPr="00B775CB">
        <w:rPr>
          <w:noProof/>
          <w:vertAlign w:val="superscript"/>
        </w:rPr>
        <w:t>120,122</w:t>
      </w:r>
      <w:r w:rsidR="000B357D" w:rsidRPr="005A7F38">
        <w:fldChar w:fldCharType="end"/>
      </w:r>
      <w:r w:rsidR="00E47341" w:rsidRPr="005A7F38">
        <w:t xml:space="preserve"> </w:t>
      </w:r>
    </w:p>
    <w:p w14:paraId="6B04EFE6" w14:textId="5DE72C8A" w:rsidR="00E47341" w:rsidRPr="005A7F38" w:rsidRDefault="00E47341" w:rsidP="002446BB">
      <w:r w:rsidRPr="005A7F38">
        <w:t xml:space="preserve">In order to test the etiologic hypothesis that mycobacterial infection is associated with sarcoidosis, researchers undertook a randomized placebo controlled clinical trial in patients with pulmonary and skin sarcoidosis testing anti-mycobacterial medications. Patients randomized to treatment were prescribed a regimen of levofloxacin, ethambutol, azithromycin and </w:t>
      </w:r>
      <w:r w:rsidR="008F5985" w:rsidRPr="005A7F38">
        <w:t>rifampin</w:t>
      </w:r>
      <w:r w:rsidRPr="005A7F38">
        <w:t xml:space="preserve"> for 8 weeks. Beneficial effects of granulomas of the skin were reported. While it has been suggested that these positive effects may be due in part to the anti-inflammatory properties of the antibiotics, there was still an appreciable improvement and any evidence of mycobacterial infection in granulomas that had been previously superinfected was gone. These findings may indicate that there is indeed mycobacterial involvement in sarcoidosis and that antimicrobial therapy may be an important area of discovery. </w:t>
      </w:r>
      <w:r w:rsidRPr="005A7F38">
        <w:fldChar w:fldCharType="begin"/>
      </w:r>
      <w:r w:rsidR="00B775CB">
        <w:instrText>ADDIN F1000_CSL_CITATION&lt;~#@#~&gt;[{"DOI":"10.1001/jamadermatol.2013.4646","First":false,"Last":false,"PMCID":"PMC3927541","PMID":"23863960","abstract":"&lt;strong&gt;IMPORTANCE:&lt;/strong&gt; Sarcoidosis is a chronic granulomatous disease for which there are limited therapeutic options. This is the first randomized, placebo-controlled study to demonstrate that antimycobacterial therapy reduces lesion diameter and disease severity among patients with chronic cutaneous sarcoidosis.&lt;br&gt;&lt;br&gt;&lt;strong&gt;OBJECTIVE:&lt;/strong&gt; To evaluate the safety and efficacy of once-daily antimycobacterial therapy on the resolution of chronic cutaneous sarcoidosis lesions.&lt;br&gt;&lt;br&gt;&lt;strong&gt;DESIGN AND PARTICIPANTS:&lt;/strong&gt; A randomized, placebo-controlled, single-masked trial on 30 patients with symptomatic chronic cutaneous sarcoidosis lesions deemed to require therapeutic intervention.&lt;br&gt;&lt;br&gt;&lt;strong&gt;SETTING:&lt;/strong&gt; A tertiary referral dermatology center in Nashville, Tennessee.&lt;br&gt;&lt;br&gt;&lt;strong&gt;INTERVENTIONS:&lt;/strong&gt; Participants were randomized to receive either the oral concomitant levofloxacin, ethambutol, azithromycin, and rifampin (CLEAR) regimen or a comparative placebo regimen for 8 weeks with a 180-day follow-up.&lt;br&gt;&lt;br&gt;&lt;strong&gt;MAIN OUTCOMES AND MEASURES:&lt;/strong&gt; Participants were monitored for absolute change in lesion diameter and decrease in granuloma burden, if present, on completion of therapy.&lt;br&gt;&lt;br&gt;&lt;strong&gt;OBSERVATIONS:&lt;/strong&gt; In the intention-to-treat analysis, the CLEAR-treated group had a mean (SD) decrease in lesion diameter of -8.4 (14.0) mm compared with an increase of 0.07 (3.2) mm in the placebo-treated group (P = .05). The CLEAR group had a significant reduction in granuloma burden and experienced a mean (SD) decline of -2.9 (2.5) mm in lesion severity compared with a decline of -0.6 (2.1) mm in the placebo group (P = .02).&lt;br&gt;&lt;br&gt;&lt;strong&gt;CONCLUSIONS AND RELEVANCE:&lt;/strong&gt; Antimycobacterial therapy may result in significant reductions in chronic cutaneous sarcoidosis lesion diameter compared with placebo. These observed reductions, associated with a clinically significant improvement in symptoms, were present at the 180-day follow-up period. Transcriptome analysis of sarcoidosis CD4+ T cells revealed reversal of pathways associated with disease severity and enhanced T-cell function following T-cell receptor stimulation.&lt;br&gt;&lt;br&gt;&lt;strong&gt;TRIAL REGISTRATION:&lt;/strong&gt; clinicaltrials.gov Identifier: NCT01074554.","author":[{"family":"Drake","given":"Wonder P"},{"family":"Oswald-Richter","given":"Kyra"},{"family":"Richmond","given":"Bradley W"},{"family":"Isom","given":"Joan"},{"family":"Burke","given":"Victoria E"},{"family":"Algood","given":"Holly"},{"family":"Braun","given":"Nicole"},{"family":"Taylor","given":"Thyneice"},{"family":"Pandit","given":"Kusum V"},{"family":"Aboud","given":"Caroline"},{"family":"Yu","given":"Chang"},{"family":"Kaminski","given":"Naftali"},{"family":"Boyd","given":"Alan S"},{"family":"King","given":"Lloyd E"}],"authorYearDisplayFormat":false,"citation-label":"4509132","container-title":"JAMA dermatology","container-title-short":"JAMA Dermatol","id":"4509132","invisible":false,"issue":"9","issued":{"date-parts":[["2013","9"]]},"journalAbbreviation":"JAMA Dermatol","page":"1040-1049","suppress-author":false,"title":"Oral antimycobacterial therapy in chronic cutaneous sarcoidosis: a randomized, single-masked, placebo-controlled study.","type":"article-journal","volume":"149"},{"DOI":"10.1007/s12016-015-8481-z","First":false,"Last":false,"PMID":"25771769","abstract":"Since sarcoidosis was first described more than a century ago, the etiologic determinants causing this disease remain uncertain. Studies suggest that genetic, host immunologic, and environmental factors interact together to cause sarcoidosis. Immunologic characteristics of sarcoidosis include non-caseating granulomas, enhanced local expression of T helper-1 (and often Th17) cytokines and chemokines, dysfunctional regulatory T-cell responses, dysregulated Toll-like receptor signaling, and oligoclonal expansion of CD4+ T cells consistent with chronic antigenic stimulation. Multiple environmental agents have been suggested to cause sarcoidosis. Studies from several groups implicate mycobacterial or propionibacterial organisms in the etiology of sarcoidosis based on tissue analyses and immunologic responses in sarcoidosis patients. Despite these studies, there is no consensus on the nature of a microbial pathogenesis of sarcoidosis. Some groups postulate sarcoidosis is caused by an active viable replicating infection while other groups contend there is no clinical, pathologic, or microbiologic evidence for such a pathogenic mechanism. The authors posit a novel hypothesis that proposes that sarcoidosis is triggered by a hyperimmune Th1 response to pathogenic microbial and tissue antigens associated with the aberrant aggregation of serum amyloid A within granulomas, which promotes progressive chronic granulomatous inflammation in the absence of ongoing infection.","author":[{"family":"Chen","given":"Edward S"},{"family":"Moller","given":"David R"}],"authorYearDisplayFormat":false,"citation-label":"4219823","container-title":"Clinical Reviews in Allergy &amp; Immunology","container-title-short":"Clin Rev Allergy Immunol","id":"4219823","invisible":false,"issue":"1","issued":{"date-parts":[["2015","8"]]},"journalAbbreviation":"Clin Rev Allergy Immunol","page":"6-18","suppress-author":false,"title":"Etiologies of Sarcoidosis.","type":"article-journal","volume":"49"}]</w:instrText>
      </w:r>
      <w:r w:rsidRPr="005A7F38">
        <w:fldChar w:fldCharType="separate"/>
      </w:r>
      <w:r w:rsidR="00B775CB" w:rsidRPr="00B775CB">
        <w:rPr>
          <w:noProof/>
          <w:vertAlign w:val="superscript"/>
        </w:rPr>
        <w:t>5,140</w:t>
      </w:r>
      <w:r w:rsidRPr="005A7F38">
        <w:fldChar w:fldCharType="end"/>
      </w:r>
    </w:p>
    <w:p w14:paraId="37743E78" w14:textId="2C62E46D" w:rsidR="00E40593" w:rsidRPr="005A7F38" w:rsidRDefault="008F5985" w:rsidP="002446BB">
      <w:r>
        <w:t>Propionibacterium</w:t>
      </w:r>
      <w:r w:rsidR="00A76BAD" w:rsidRPr="005A7F38">
        <w:t xml:space="preserve"> acnes has</w:t>
      </w:r>
      <w:r w:rsidR="000B357D" w:rsidRPr="005A7F38">
        <w:t xml:space="preserve"> also been associated with sarcoidosis.</w:t>
      </w:r>
      <w:r w:rsidR="0087044F" w:rsidRPr="005A7F38">
        <w:t xml:space="preserve"> A 2013 meta-analysis </w:t>
      </w:r>
      <w:r w:rsidR="00970D24" w:rsidRPr="005A7F38">
        <w:t xml:space="preserve">of 9 clinical studies including a total of 458 sarcoidosis cases and 438 controls </w:t>
      </w:r>
      <w:r w:rsidR="0087044F" w:rsidRPr="005A7F38">
        <w:t>investigating the role of P. acnes in sarcoidosis by Zhou et al showed</w:t>
      </w:r>
      <w:r w:rsidR="00260AC8" w:rsidRPr="005A7F38">
        <w:t xml:space="preserve"> </w:t>
      </w:r>
      <w:r w:rsidR="00970D24" w:rsidRPr="005A7F38">
        <w:t>an elevated risk of sarcoidosis associated with the presences of P.ac</w:t>
      </w:r>
      <w:r w:rsidR="00D65086" w:rsidRPr="005A7F38">
        <w:t>nes (OR=19.58, CI=13.06-29.36, p</w:t>
      </w:r>
      <w:r w:rsidR="00E30C95" w:rsidRPr="005A7F38">
        <w:t>&lt;0.01).</w:t>
      </w:r>
      <w:r w:rsidR="00E30C95" w:rsidRPr="005A7F38">
        <w:fldChar w:fldCharType="begin"/>
      </w:r>
      <w:r w:rsidR="00B775CB">
        <w:instrText>ADDIN F1000_CSL_CITATION&lt;~#@#~&gt;[{"First":false,"Last":false,"PMID":"24351617","abstract":"&lt;strong&gt;PURPOSE:&lt;/strong&gt; To evaluate the available molecular evidence on the possible role of Propionibacterium acnes (P. acnes) in the development of sarcoidosis, the meta-analysis was performed.&lt;br&gt;&lt;br&gt;&lt;strong&gt;METHODS:&lt;/strong&gt; Case-control studies from January 1980 to October 2012 on P. acnes associated with sarcoidosis were searched.Overall odds ratios (OR) and 95% confidence intervals (CI) were obtained.&lt;br&gt;&lt;br&gt;&lt;strong&gt;RESULTS:&lt;/strong&gt; Nine studies were selected, which included 458 cases and 438 controls. 359 samples from 458 patients were positive with a positive signal rate of 78.4% (33.3% to 92.3%). Significantly elevated sarcoidosis risk was associated with P. acnes (OR = 19.58, 95% CI = 13.06 - 29.36). There was no evidence of publication bias.&lt;br&gt;&lt;br&gt;&lt;strong&gt;CONCLUSIONS:&lt;/strong&gt; The present data and meta-analysis supports an association between P. acnes and some cases of sarcoidosis.","author":[{"family":"Zhou","given":"Ying"},{"family":"Hu","given":"Yang"},{"family":"Li","given":"Huiping"}],"authorYearDisplayFormat":false,"citation-label":"4532917","container-title":"Sarcoidosis, vasculitis, and diffuse lung diseases : official journal of WASOG / World Association of Sarcoidosis and Other Granulomatous Disorders","container-title-short":"Sarcoidosis Vasc Diffuse Lung Dis","id":"4532917","invisible":false,"issue":"4","issued":{"date-parts":[["2013","12","17"]]},"journalAbbreviation":"Sarcoidosis Vasc Diffuse Lung Dis","page":"262-267","suppress-author":false,"title":"Role of Propionibacterium Acnes in Sarcoidosis: A Meta-analysis.","type":"article-journal","volume":"30"}]</w:instrText>
      </w:r>
      <w:r w:rsidR="00E30C95" w:rsidRPr="005A7F38">
        <w:fldChar w:fldCharType="separate"/>
      </w:r>
      <w:r w:rsidR="00B775CB" w:rsidRPr="00B775CB">
        <w:rPr>
          <w:noProof/>
          <w:vertAlign w:val="superscript"/>
        </w:rPr>
        <w:t>151</w:t>
      </w:r>
      <w:r w:rsidR="00E30C95" w:rsidRPr="005A7F38">
        <w:fldChar w:fldCharType="end"/>
      </w:r>
      <w:r w:rsidR="00E30C95" w:rsidRPr="005A7F38">
        <w:t xml:space="preserve"> </w:t>
      </w:r>
      <w:r w:rsidR="00E40593" w:rsidRPr="005A7F38">
        <w:t>D</w:t>
      </w:r>
      <w:r w:rsidR="000B357D" w:rsidRPr="005A7F38">
        <w:t xml:space="preserve">irect evidence for the involvement of </w:t>
      </w:r>
      <w:r w:rsidR="00A76BAD" w:rsidRPr="005A7F38">
        <w:t xml:space="preserve">P. acnes </w:t>
      </w:r>
      <w:r w:rsidR="000B357D" w:rsidRPr="005A7F38">
        <w:t>includes serum antibody titers specific to propionibacterial antigens as well as specific cellular immune responses to speci</w:t>
      </w:r>
      <w:r w:rsidR="00E30C95" w:rsidRPr="005A7F38">
        <w:t xml:space="preserve">fic propionibacterial antigens as well as </w:t>
      </w:r>
      <w:r w:rsidR="000B357D" w:rsidRPr="005A7F38">
        <w:lastRenderedPageBreak/>
        <w:t xml:space="preserve">includes the isolation of Propionibacterium from sarcoidosis tissues using culture based methods. </w:t>
      </w:r>
      <w:r w:rsidR="00E40593" w:rsidRPr="005A7F38">
        <w:t>P. acnes has been the only bacterium to be isolated in culture from biopsy of sarcoidosis tissue.</w:t>
      </w:r>
      <w:r w:rsidR="00E40593" w:rsidRPr="005A7F38">
        <w:fldChar w:fldCharType="begin"/>
      </w:r>
      <w:r w:rsidR="00B775CB">
        <w:instrText>ADDIN F1000_CSL_CITATION&lt;~#@#~&gt;[{"First":false,"Last":false,"PMID":"6377763","abstract":"Isolation of Propionibacterium acnes from biopsied lymph nodes of sarcoidosis patients and from the lymph nodes or other tissues of non-sarcoidosis patients was carried out, carefully avoiding contamination by skin-resident P. acnes. Out of 40 sarcoidosis lymph nodes examined, 31 nodes (77.5%) showed a positive culture of P. acnes, while 38 of 180 (21.1%) non-sarcoidosis tissues revealed positive results, the difference being significant (p less than 0.001). Among non-sarcoidosis tissues, the intra-thoracic lymph nodes demonstrated a positive culture in low percentages, while intra-abdominal lymph nodes indicated no positive culture. The possible role of this microorganism in the etiology of sarcoidosis is discussed.","author":[{"family":"Abe","given":"C"},{"family":"Iwai","given":"K"},{"family":"Mikami","given":"R"},{"family":"Hosoda","given":"Y"}],"authorYearDisplayFormat":false,"citation-label":"4532922","container-title":"Zentralblatt fur Bakteriologie, Mikrobiologie, und Hygiene. Series A, Medical microbiology, infectious diseases, virology, parasitology","container-title-short":"Zentralbl Bakteriol Mikrobiol Hyg A","id":"4532922","invisible":false,"issue":"4","issued":{"date-parts":[["1984","4"]]},"journalAbbreviation":"Zentralbl Bakteriol Mikrobiol Hyg A","page":"541-547","suppress-author":false,"title":"Frequent isolation of Propionibacterium acnes from sarcoidosis lymph nodes.","type":"article-journal","volume":"256"}]</w:instrText>
      </w:r>
      <w:r w:rsidR="00E40593" w:rsidRPr="005A7F38">
        <w:fldChar w:fldCharType="separate"/>
      </w:r>
      <w:r w:rsidR="00B775CB" w:rsidRPr="00B775CB">
        <w:rPr>
          <w:noProof/>
          <w:vertAlign w:val="superscript"/>
        </w:rPr>
        <w:t>152</w:t>
      </w:r>
      <w:r w:rsidR="00E40593" w:rsidRPr="005A7F38">
        <w:fldChar w:fldCharType="end"/>
      </w:r>
      <w:r w:rsidR="00E40593" w:rsidRPr="005A7F38">
        <w:t xml:space="preserve"> P. acnes has been found in both lung and lymph node biopsies of patients with sarcoidosis that included tissue from granuloma as well as non-granulomatous tissue.</w:t>
      </w:r>
      <w:r w:rsidR="00E40593" w:rsidRPr="005A7F38">
        <w:fldChar w:fldCharType="begin"/>
      </w:r>
      <w:r w:rsidR="00B775CB">
        <w:instrText>ADDIN F1000_CSL_CITATION&lt;~#@#~&gt;[{"First":false,"Last":false,"PMCID":"PMC120089","PMID":"11773116","abstract":"The cause(s) of sarcoidosis is unknown. Mycobacterium spp. are suspected in Europe and Propionibacterium spp. are suspected in Japan. The present international collaboration evaluated the possible etiological links between sarcoidosis and the suspected bacterial species. Formalin-fixed and paraffin-embedded sections of biopsy samples of lymph nodes, one from each of 108 patients with sarcoidosis and 65 patients with tuberculosis, together with 86 control samples, were collected from two institutes in Japan and three institutes in Italy, Germany, and England. Genomes of Propionibacterium acnes, Propionibacterium granulosum, Mycobacterium tuberculosis, Mycobacterium avium subsp. paratuberculosis, and Escherichia coli (as the control) were counted by quantitative real-time PCR. Either P. acnes or P. granulosum was found in all but two of the sarcoid samples. M. avium subsp. paratuberculosis was found in no sarcoid sample. M. tuberculosis was found in 0 to 9% of the sarcoid samples but in 65 to 100% of the tuberculosis samples. In sarcoid lymph nodes, the total numbers of genomes of P. acnes or P. granulosum were far more than those of M. tuberculosis. P. acnes or P. granulosum was found in 0 to 60% of the tuberculosis and control samples, but the total numbers of genomes of P. acnes or P. granulosum in such samples were less than those in sarcoid samples. Propionibacterium spp. are more likely than Mycobacteria spp. to be involved in the etiology of sarcoidosis, not only in Japanese but also in European patients with sarcoidosis.","author":[{"family":"Eishi","given":"Yoshinobu"},{"family":"Suga","given":"Moritaka"},{"family":"Ishige","given":"Ikuo"},{"family":"Kobayashi","given":"Daisuke"},{"family":"Yamada","given":"Tetsuo"},{"family":"Takemura","given":"Tamiko"},{"family":"Takizawa","given":"Touichiro"},{"family":"Koike","given":"Morio"},{"family":"Kudoh","given":"Shoji"},{"family":"Costabel","given":"Ulrich"},{"family":"Guzman","given":"Josune"},{"family":"Rizzato","given":"Gianfranco"},{"family":"Gambacorta","given":"Marcello"},{"family":"du Bois","given":"Ronald"},{"family":"Nicholson","given":"Andrew G"},{"family":"Sharma","given":"Om P"},{"family":"Ando","given":"Masayuki"}],"authorYearDisplayFormat":false,"citation-label":"4238711","container-title":"Journal of Clinical Microbiology","container-title-short":"J Clin Microbiol","id":"4238711","invisible":false,"issue":"1","issued":{"date-parts":[["2002","1"]]},"journalAbbreviation":"J Clin Microbiol","page":"198-204","suppress-author":false,"title":"Quantitative analysis of mycobacterial and propionibacterial DNA in lymph nodes of Japanese and European patients with sarcoidosis.","type":"article-journal","volume":"40"},{"First":false,"Last":false,"PMCID":"PMC120671","PMID":"12149380","abstract":"The causes of sarcoidosis are unknown. In this study, we report the presence of Mycobacterium tuberculosis complex and Propionibacterium granulosum DNA in a significant proportion of Greek patients with sarcoidosis. Human herpesvirus 8 DNA was not detected in sarcoid tissues from Greek patients. Our findings are discussed.","author":[{"family":"Gazouli","given":"M"},{"family":"Ikonomopoulos","given":"J"},{"family":"Trigidou","given":"R"},{"family":"Foteinou","given":"M"},{"family":"Kittas","given":"C"},{"family":"Gorgoulis","given":"V"}],"authorYearDisplayFormat":false,"citation-label":"4509114","container-title":"Journal of Clinical Microbiology","container-title-short":"J Clin Microbiol","id":"4509114","invisible":false,"issue":"8","issued":{"date-parts":[["2002","8"]]},"journalAbbreviation":"J Clin Microbiol","page":"3060-3063","suppress-author":false,"title":"Assessment of mycobacterial, propionibacterial, and human herpesvirus 8 DNA in tissues of greek patients with sarcoidosis.","type":"article-journal","volume":"40"},{"First":false,"Last":false,"PMID":"15881278","abstract":"&lt;strong&gt;BACKGROUND:&lt;/strong&gt; In studies of the unknown etiology of sarcoidosis, Propionibacterium acnes (a possible agent) was found in the lungs and lymph nodes of many sarcoidosis patients and some control subjects. P. acnes might be commensal not only to the skin, conjunctivae, and intestine, but also to the lungs and lymph nodes of individuals without sarcoidosis.&lt;br&gt;&lt;br&gt;&lt;strong&gt;METHODS:&lt;/strong&gt; We cultured peripheral lung tissue and various lymph nodes obtained from patients with diseases other than sarcoidosis. DNA of 45 isolates of P. acnes from these patients, 67 isolates from normal skin, conjunctiva, and intestine, and 39 isolates from sarcoid lymph nodes were compared by random amplified polymorphic DNA analysis.&lt;br&gt;&lt;br&gt;&lt;strong&gt;RESULTS:&lt;/strong&gt; P. acnes was isolated from half of 43 lungs and 8 of 11 mediastinal lymph nodes, mostly in pure culture. P. acnes was isolated from half of 20 gastric and 3 of 12 intestinal lymph nodes; intestinal bacteria were also numerous. In general, fewer than 500 colony-forming units of P. acnes per gram tissue were isolated, but 4 lung tissue specimens, 2 of which had a few granulomas, had many more. P. acnes strains from a particular site (lung, lymph node, skin or conjunctivae, and intestine) were genetically similar, more than isolates obtained from different sites. Lymph-node isolates from subjects with and without sarcoidosis differed little.&lt;br&gt;&lt;br&gt;&lt;strong&gt;CONCLUSION:&lt;/strong&gt; These results suggest that P. acnes normally resides in peripheral lung tissue and mediastinal lymph nodes and that the strains of P. acnes isolated from sarcoid lymph nodes were not specific to sarcoidosis.","author":[{"family":"Ishige","given":"Ikuo"},{"family":"Eishi","given":"Yoshinobu"},{"family":"Takemura","given":"Tamiko"},{"family":"Kobayashi","given":"Intetsu"},{"family":"Nakata","given":"Koh"},{"family":"Tanaka","given":"Isao"},{"family":"Nagaoka","given":"Sakae"},{"family":"Iwai","given":"Kazuro"},{"family":"Watanabe","given":"Kunitomo"},{"family":"Takizawa","given":"Touichiro"},{"family":"Koike","given":"Morio"}],"authorYearDisplayFormat":false,"citation-label":"4509142","container-title":"Sarcoidosis, vasculitis, and diffuse lung diseases : official journal of WASOG / World Association of Sarcoidosis and Other Granulomatous Disorders","container-title-short":"Sarcoidosis Vasc Diffuse Lung Dis","id":"4509142","invisible":false,"issue":"1","issued":{"date-parts":[["2005","3"]]},"journalAbbreviation":"Sarcoidosis Vasc Diffuse Lung Dis","page":"33-42","suppress-author":false,"title":"Propionibacterium acnes is the most common bacterium commensal in peripheral lung tissue and mediastinal lymph nodes from subjects without sarcoidosis.","type":"article-journal","volume":"22"}]</w:instrText>
      </w:r>
      <w:r w:rsidR="00E40593" w:rsidRPr="005A7F38">
        <w:fldChar w:fldCharType="separate"/>
      </w:r>
      <w:r w:rsidR="00B775CB" w:rsidRPr="00B775CB">
        <w:rPr>
          <w:noProof/>
          <w:vertAlign w:val="superscript"/>
        </w:rPr>
        <w:t>122–124</w:t>
      </w:r>
      <w:r w:rsidR="00E40593" w:rsidRPr="005A7F38">
        <w:fldChar w:fldCharType="end"/>
      </w:r>
      <w:r w:rsidR="00E40593" w:rsidRPr="005A7F38">
        <w:t xml:space="preserve"> Abe et al were able to grow P. acnes in culture from lymph node biopsies confirmed as sarcoidosis in 77.5% (31 out of 40, p&lt;0.001) biopsy samples.  They found P. acnes in non-sarcoidosis biopsies in only 21.1% of control samples (38 out 180).</w:t>
      </w:r>
      <w:r w:rsidR="00E40593" w:rsidRPr="005A7F38">
        <w:fldChar w:fldCharType="begin"/>
      </w:r>
      <w:r w:rsidR="00B775CB">
        <w:instrText>ADDIN F1000_CSL_CITATION&lt;~#@#~&gt;[{"First":false,"Last":false,"PMID":"6377763","abstract":"Isolation of Propionibacterium acnes from biopsied lymph nodes of sarcoidosis patients and from the lymph nodes or other tissues of non-sarcoidosis patients was carried out, carefully avoiding contamination by skin-resident P. acnes. Out of 40 sarcoidosis lymph nodes examined, 31 nodes (77.5%) showed a positive culture of P. acnes, while 38 of 180 (21.1%) non-sarcoidosis tissues revealed positive results, the difference being significant (p less than 0.001). Among non-sarcoidosis tissues, the intra-thoracic lymph nodes demonstrated a positive culture in low percentages, while intra-abdominal lymph nodes indicated no positive culture. The possible role of this microorganism in the etiology of sarcoidosis is discussed.","author":[{"family":"Abe","given":"C"},{"family":"Iwai","given":"K"},{"family":"Mikami","given":"R"},{"family":"Hosoda","given":"Y"}],"authorYearDisplayFormat":false,"citation-label":"4532922","container-title":"Zentralblatt fur Bakteriologie, Mikrobiologie, und Hygiene. Series A, Medical microbiology, infectious diseases, virology, parasitology","container-title-short":"Zentralbl Bakteriol Mikrobiol Hyg A","id":"4532922","invisible":false,"issue":"4","issued":{"date-parts":[["1984","4"]]},"journalAbbreviation":"Zentralbl Bakteriol Mikrobiol Hyg A","page":"541-547","suppress-author":false,"title":"Frequent isolation of Propionibacterium acnes from sarcoidosis lymph nodes.","type":"article-journal","volume":"256"}]</w:instrText>
      </w:r>
      <w:r w:rsidR="00E40593" w:rsidRPr="005A7F38">
        <w:fldChar w:fldCharType="separate"/>
      </w:r>
      <w:r w:rsidR="00B775CB" w:rsidRPr="00B775CB">
        <w:rPr>
          <w:noProof/>
          <w:vertAlign w:val="superscript"/>
        </w:rPr>
        <w:t>152</w:t>
      </w:r>
      <w:r w:rsidR="00E40593" w:rsidRPr="005A7F38">
        <w:fldChar w:fldCharType="end"/>
      </w:r>
      <w:r w:rsidR="00E40593" w:rsidRPr="005A7F38">
        <w:t xml:space="preserve"> In a study from Japan, Propionibacterium was found in 100% of sarcoidosis tissue samples.</w:t>
      </w:r>
      <w:r w:rsidR="00E40593" w:rsidRPr="005A7F38">
        <w:fldChar w:fldCharType="begin"/>
      </w:r>
      <w:r w:rsidR="00B775CB">
        <w:instrText>ADDIN F1000_CSL_CITATION&lt;~#@#~&gt;[{"First":false,"Last":false,"PMID":"11033841","abstract":"&lt;strong&gt;BACKGROUND AND AIM OF THE WORK:&lt;/strong&gt; The causes of sarcoidosis are unknown. Propionibacterium acnes has been isolated from sarcoid lesions, and many genomes of P. acnes or P. granulosum have been detected in all biopsy samples tested from Japanese patients with sarcoidosis. We searched for protein antigens from propionibacteria that caused immune responses in patients with sarcoidosis but not in subjects without sarcoidosis.&lt;br&gt;&lt;br&gt;&lt;strong&gt;METHODS:&lt;/strong&gt; A lambda gt11 genomic DNA expression library of P. acnes was screened with sera from patients with sarcoidosis. Antibodies to a recombinant protein from the insert recovered by the screening were measured in serum and bronchoalveolar lavage (BAL) fluid from patients with or without sarcoidosis by an immunofluorescence-based method. Peripheral blood mononuclear cells from patients with and without sarcoidosis were used to examine the lymphoproliferative response to the protein.&lt;br&gt;&lt;br&gt;&lt;strong&gt;RESULTS:&lt;/strong&gt; Of 180,000 plaques screened, two clones coded for an identical recombinant protein, termed RP35, were recognized by sera. RP35 was the C-terminal region of P. acnes trigger factor. RP35 caused sarcoidosis specific proliferation of the mononuclear cells from 9 (18%) of the 50 patients with sarcoidosis; in a similar way, purified protein derived from Mycobacterium tuberculosis evoked specific responses in 8 (38%) of 21 patients with tuberculosis. Serum levels of IgG and IgA antibodies to RP35 were high in patients with sarcoidosis and other lung diseases. In BAL fluid levels IgG or IgA antibodies were high in 7 (18%) and 15 (39%), respectively, of 38 patients with sarcoidosis, and in 2 (3%) and 2 (3%), respectively, of 63 patients with other lung diseases.&lt;br&gt;&lt;br&gt;&lt;strong&gt;CONCLUSIONS:&lt;/strong&gt; The RP35 protein from P. acnes causes a cellular immune response in some patients with sarcoidosis but not in subjects without sarcoidosis.","author":[{"family":"Ebe","given":"Y"},{"family":"Ikushima","given":"S"},{"family":"Yamaguchi","given":"T"},{"family":"Kohno","given":"K"},{"family":"Azuma","given":"A"},{"family":"Sato","given":"K"},{"family":"Ishige","given":"I"},{"family":"Usui","given":"Y"},{"family":"Takemura","given":"T"},{"family":"Eishi","given":"Y"}],"authorYearDisplayFormat":false,"citation-label":"4509144","container-title":"Sarcoidosis, vasculitis, and diffuse lung diseases : official journal of WASOG / World Association of Sarcoidosis and Other Granulomatous Disorders","container-title-short":"Sarcoidosis Vasc Diffuse Lung Dis","id":"4509144","invisible":false,"issue":"3","issued":{"date-parts":[["2000","10"]]},"journalAbbreviation":"Sarcoidosis Vasc Diffuse Lung Dis","page":"256-265","suppress-author":false,"title":"Proliferative response of peripheral blood mononuclear cells and levels of antibody to recombinant protein from Propionibacterium acnes DNA expression library in Japanese patients with sarcoidosis.","type":"article-journal","volume":"17"}]</w:instrText>
      </w:r>
      <w:r w:rsidR="00E40593" w:rsidRPr="005A7F38">
        <w:fldChar w:fldCharType="separate"/>
      </w:r>
      <w:r w:rsidR="00B775CB" w:rsidRPr="00B775CB">
        <w:rPr>
          <w:noProof/>
          <w:vertAlign w:val="superscript"/>
        </w:rPr>
        <w:t>141</w:t>
      </w:r>
      <w:r w:rsidR="00E40593" w:rsidRPr="005A7F38">
        <w:fldChar w:fldCharType="end"/>
      </w:r>
      <w:r w:rsidR="00E40593" w:rsidRPr="005A7F38">
        <w:t xml:space="preserve"> Using PCR and in situ hybridization propionibacterial nucleic acids have been identified in tissues from sarcoidosis patients.</w:t>
      </w:r>
      <w:r w:rsidR="00E40593" w:rsidRPr="005A7F38">
        <w:fldChar w:fldCharType="begin"/>
      </w:r>
      <w:r w:rsidR="00B775CB">
        <w:instrText>ADDIN F1000_CSL_CITATION&lt;~#@#~&gt;[{"DOI":"10.1007/s12016-015-8481-z","First":false,"Last":false,"PMID":"25771769","abstract":"Since sarcoidosis was first described more than a century ago, the etiologic determinants causing this disease remain uncertain. Studies suggest that genetic, host immunologic, and environmental factors interact together to cause sarcoidosis. Immunologic characteristics of sarcoidosis include non-caseating granulomas, enhanced local expression of T helper-1 (and often Th17) cytokines and chemokines, dysfunctional regulatory T-cell responses, dysregulated Toll-like receptor signaling, and oligoclonal expansion of CD4+ T cells consistent with chronic antigenic stimulation. Multiple environmental agents have been suggested to cause sarcoidosis. Studies from several groups implicate mycobacterial or propionibacterial organisms in the etiology of sarcoidosis based on tissue analyses and immunologic responses in sarcoidosis patients. Despite these studies, there is no consensus on the nature of a microbial pathogenesis of sarcoidosis. Some groups postulate sarcoidosis is caused by an active viable replicating infection while other groups contend there is no clinical, pathologic, or microbiologic evidence for such a pathogenic mechanism. The authors posit a novel hypothesis that proposes that sarcoidosis is triggered by a hyperimmune Th1 response to pathogenic microbial and tissue antigens associated with the aberrant aggregation of serum amyloid A within granulomas, which promotes progressive chronic granulomatous inflammation in the absence of ongoing infection.","author":[{"family":"Chen","given":"Edward S"},{"family":"Moller","given":"David R"}],"authorYearDisplayFormat":false,"citation-label":"4219823","container-title":"Clinical Reviews in Allergy &amp; Immunology","container-title-short":"Clin Rev Allergy Immunol","id":"4219823","invisible":false,"issue":"1","issued":{"date-parts":[["2015","8"]]},"journalAbbreviation":"Clin Rev Allergy Immunol","page":"6-18","suppress-author":false,"title":"Etiologies of Sarcoidosis.","type":"article-journal","volume":"49"}]</w:instrText>
      </w:r>
      <w:r w:rsidR="00E40593" w:rsidRPr="005A7F38">
        <w:fldChar w:fldCharType="separate"/>
      </w:r>
      <w:r w:rsidR="00B775CB" w:rsidRPr="00B775CB">
        <w:rPr>
          <w:noProof/>
          <w:vertAlign w:val="superscript"/>
        </w:rPr>
        <w:t>5</w:t>
      </w:r>
      <w:r w:rsidR="00E40593" w:rsidRPr="005A7F38">
        <w:fldChar w:fldCharType="end"/>
      </w:r>
      <w:r w:rsidR="00E40593" w:rsidRPr="005A7F38">
        <w:t xml:space="preserve"> </w:t>
      </w:r>
      <w:r w:rsidR="000B357D" w:rsidRPr="005A7F38">
        <w:t>Additionally, propionibacterial lipoteichoic acid and propionibacterial proteins present on protein immunoblot</w:t>
      </w:r>
      <w:r w:rsidR="00D761CE" w:rsidRPr="005A7F38">
        <w:t xml:space="preserve">. Using PCR and in situ hybridization propionibacterial </w:t>
      </w:r>
      <w:r w:rsidR="00E43D1C" w:rsidRPr="005A7F38">
        <w:t>nucleic</w:t>
      </w:r>
      <w:r w:rsidR="00D761CE" w:rsidRPr="005A7F38">
        <w:t xml:space="preserve"> acids have been identified in tissues from sarcoidosis patients.</w:t>
      </w:r>
      <w:r w:rsidR="00D761CE" w:rsidRPr="005A7F38">
        <w:fldChar w:fldCharType="begin"/>
      </w:r>
      <w:r w:rsidR="00B775CB">
        <w:instrText>ADDIN F1000_CSL_CITATION&lt;~#@#~&gt;[{"DOI":"10.1007/s12016-015-8481-z","First":false,"Last":false,"PMID":"25771769","abstract":"Since sarcoidosis was first described more than a century ago, the etiologic determinants causing this disease remain uncertain. Studies suggest that genetic, host immunologic, and environmental factors interact together to cause sarcoidosis. Immunologic characteristics of sarcoidosis include non-caseating granulomas, enhanced local expression of T helper-1 (and often Th17) cytokines and chemokines, dysfunctional regulatory T-cell responses, dysregulated Toll-like receptor signaling, and oligoclonal expansion of CD4+ T cells consistent with chronic antigenic stimulation. Multiple environmental agents have been suggested to cause sarcoidosis. Studies from several groups implicate mycobacterial or propionibacterial organisms in the etiology of sarcoidosis based on tissue analyses and immunologic responses in sarcoidosis patients. Despite these studies, there is no consensus on the nature of a microbial pathogenesis of sarcoidosis. Some groups postulate sarcoidosis is caused by an active viable replicating infection while other groups contend there is no clinical, pathologic, or microbiologic evidence for such a pathogenic mechanism. The authors posit a novel hypothesis that proposes that sarcoidosis is triggered by a hyperimmune Th1 response to pathogenic microbial and tissue antigens associated with the aberrant aggregation of serum amyloid A within granulomas, which promotes progressive chronic granulomatous inflammation in the absence of ongoing infection.","author":[{"family":"Chen","given":"Edward S"},{"family":"Moller","given":"David R"}],"authorYearDisplayFormat":false,"citation-label":"4219823","container-title":"Clinical Reviews in Allergy &amp; Immunology","container-title-short":"Clin Rev Allergy Immunol","id":"4219823","invisible":false,"issue":"1","issued":{"date-parts":[["2015","8"]]},"journalAbbreviation":"Clin Rev Allergy Immunol","page":"6-18","suppress-author":false,"title":"Etiologies of Sarcoidosis.","type":"article-journal","volume":"49"}]</w:instrText>
      </w:r>
      <w:r w:rsidR="00D761CE" w:rsidRPr="005A7F38">
        <w:fldChar w:fldCharType="separate"/>
      </w:r>
      <w:r w:rsidR="00B775CB" w:rsidRPr="00B775CB">
        <w:rPr>
          <w:noProof/>
          <w:vertAlign w:val="superscript"/>
        </w:rPr>
        <w:t>5</w:t>
      </w:r>
      <w:r w:rsidR="00D761CE" w:rsidRPr="005A7F38">
        <w:fldChar w:fldCharType="end"/>
      </w:r>
      <w:r w:rsidR="00C06E42" w:rsidRPr="005A7F38">
        <w:t xml:space="preserve"> </w:t>
      </w:r>
    </w:p>
    <w:p w14:paraId="018D5B70" w14:textId="131E8B05" w:rsidR="00ED3FD8" w:rsidRPr="005A7F38" w:rsidRDefault="00B87196" w:rsidP="002446BB">
      <w:r w:rsidRPr="005A7F38">
        <w:t xml:space="preserve">Using a mouse model, </w:t>
      </w:r>
      <w:r w:rsidR="00540E9B" w:rsidRPr="005A7F38">
        <w:t>researchers have shown that introducing P. acnes into the lungs causes granulomatous lung inflammation.</w:t>
      </w:r>
      <w:r w:rsidR="00540E9B" w:rsidRPr="005A7F38">
        <w:fldChar w:fldCharType="begin"/>
      </w:r>
      <w:r w:rsidR="00B775CB">
        <w:instrText>ADDIN F1000_CSL_CITATION&lt;~#@#~&gt;[{"DOI":"10.1016/S0002-9440(10)63327-5","First":false,"Last":false,"PMCID":"PMC1618559","PMID":"15277236","abstract":"Although many cases of sarcoidosis are self-limiting with spontaneous remission, uncontrolled pulmonary granulomatosis with fibrosis produces intolerable long-term respiratory symptoms in a minority of patients. Individuals with chronic pulmonary sarcoidosis require an alternative therapy to corticosteroidal treatment because of its insufficient effectiveness. Although many researchers have considered infection as the triggering factor for this disease, the mechanisms by which the candidate causative organisms induce this disorder remain unclear. We report here that extrapulmonary sensitization to Propionibacterium acnes, which is one of the candidates to date, induced pulmonary Th-1 granulomas mainly in the subpleural and peribronchovascular regions often observed in sarcoidosis. These granulomas appear to be caused by indigenous P. acnes pre-existing in the lower respiratory tract of the normal lung, which is believed to be germ-free, and by an influx of P. acnes-sensitized CD4(+) T cells from the circulation. Importantly, the eradication of indigenous P. acnes with antibiotics alleviated the granulomatous lung disease. This is the first report to present clear evidence of the contribution of an indigenous pulmonary bacterium to the formation of granulomatous lesions in the lung. We propose that treatment targeting indigenous P. acnes in the lung may be a possible remedy for pulmonary sarcoidosis.","author":[{"family":"Nishiwaki","given":"Tetsu"},{"family":"Yoneyama","given":"Hiroyuki"},{"family":"Eishi","given":"Yoshinobu"},{"family":"Matsuo","given":"Naoki"},{"family":"Tatsumi","given":"Koichiro"},{"family":"Kimura","given":"Hiroshi"},{"family":"Kuriyama","given":"Takayuki"},{"family":"Matsushima","given":"Kouji"}],"authorYearDisplayFormat":false,"citation-label":"4509143","container-title":"The American Journal of Pathology","container-title-short":"Am J Pathol","id":"4509143","invisible":false,"issue":"2","issued":{"date-parts":[["2004","8"]]},"journalAbbreviation":"Am J Pathol","page":"631-639","suppress-author":false,"title":"Indigenous pulmonary Propionibacterium acnes primes the host in the development of sarcoid-like pulmonary granulomatosis in mice.","type":"article-journal","volume":"165"}]</w:instrText>
      </w:r>
      <w:r w:rsidR="00540E9B" w:rsidRPr="005A7F38">
        <w:fldChar w:fldCharType="separate"/>
      </w:r>
      <w:r w:rsidR="00B775CB" w:rsidRPr="00B775CB">
        <w:rPr>
          <w:noProof/>
          <w:vertAlign w:val="superscript"/>
        </w:rPr>
        <w:t>125</w:t>
      </w:r>
      <w:r w:rsidR="00540E9B" w:rsidRPr="005A7F38">
        <w:fldChar w:fldCharType="end"/>
      </w:r>
      <w:r w:rsidR="00540E9B" w:rsidRPr="005A7F38">
        <w:t xml:space="preserve"> Additional animal studies have shown changes in murine Th1 immune response, pulmonary inflammation and the formation of granulomas after introduction of heat killed P. acnes directly into the lung.</w:t>
      </w:r>
      <w:r w:rsidR="00540E9B" w:rsidRPr="005A7F38">
        <w:fldChar w:fldCharType="begin"/>
      </w:r>
      <w:r w:rsidR="00B775CB">
        <w:instrText>ADDIN F1000_CSL_CITATION&lt;~#@#~&gt;[{"DOI":"10.1165/rcmb.2005-0285OC","First":false,"Last":false,"PMCID":"PMC2643288","PMID":"16645181","abstract":"Propionibacterium acnes (PA) is a gram-positive anaerobic bacterium implicated as a putative etiologic agent of sarcoidosis. To characterize the pulmonary immune response to PA, C57BL/6 and BALB/c mice were intraperitoneally sensitized and intratracheally challenged with heat-killed bacteria. C57BL/6 mice challenged with PA developed a cellular immune response characterized by elevations in Th1 cytokines/chemokines, increased numbers of lymphocytes and macrophages in lung lavage fluid, and peribronchovascular granulomatous inflammation composed of T- and B-lymphocytes and epithelioid histiocytes. T-lymphocytes in the lung lavage fluid showed a marked CD4+ cell predominance. In contrast, C57BL/6 mice challenged with Staphylococcus epidermidis (SE), another gram-positive commensal of human skin, and BALB/c mice challenged with PA, showed only a modest induction of Th1 cytokines, less pulmonary inflammation, and no granulomatous changes in the lung. Enhancement of Toll-like receptor expression was seen in PA-exposed C57BL/6 mice within 24 h after exposure, suggesting that induction of innate immunity by PA contributes to the robust, polarized Th1 immune response elicited by this bacterium. These findings suggest that PA-induced pulmonary inflammation may be a useful model for testing the contributions of both bacterial and host factors in the development, maintenance, and resolution of granulomatous inflammation in the lung.","author":[{"family":"McCaskill","given":"Joshua G"},{"family":"Chason","given":"Kelly D"},{"family":"Hua","given":"Xiaoyang"},{"family":"Neuringer","given":"Isabel P"},{"family":"Ghio","given":"Andrew J"},{"family":"Funkhouser","given":"William K"},{"family":"Tilley","given":"Stephen L"}],"authorYearDisplayFormat":false,"citation-label":"4325055","container-title":"American Journal of Respiratory Cell and Molecular Biology","container-title-short":"Am J Respir Cell Mol Biol","id":"4325055","invisible":false,"issue":"3","issued":{"date-parts":[["2006","9"]]},"journalAbbreviation":"Am J Respir Cell Mol Biol","page":"347-356","suppress-author":false,"title":"Pulmonary immune responses to Propionibacterium acnes in C57BL/6 and BALB/c mice.","type":"article-journal","volume":"35"},{"First":false,"Last":false,"PMCID":"PMC2766086","PMID":"19109199","abstract":"Hypersensitivity pneumonitis is an environmental lung disease characterized by a diffuse mononuclear cell infiltrate in the lung that can progress to pulmonary fibrosis with chronic exposure to an inhaled Ag. Using a well-established murine model of hypersensitivity pneumonitis, we repeatedly exposed C57BL/6 mice to Saccharopolyspora rectivirgula to investigate whether T cells are required for lung fibrosis. In the absence of alphabeta T cells, TCRbeta(-/-) mice exposed to S. rectivirgula for 4 wk had markedly decreased mononuclear infiltrates and collagen deposition in the lung compared with wild-type C57BL/6 mice. In contrast to CD8(+) T cells, adoptive transfer of CD4(+) T cells reconstituted the S. rectivirgula-induced inflammatory and fibrotic response, suggesting that the CD4(+) T cell represents the critical alphabeta T cell subset. Cytokine analysis of lung homogenates at various time points after S. rectivirgula exposure failed to identify a predominant Th1 or Th2 phenotype. Conversely, IL-17 was found in the lung at increasing concentrations with continued exposure to S. rectivirgula. Intracellular cytokine staining revealed that 14% of CD4(+) T cells from the lung of mice treated with S. rectivirgula expressed IL-17A. In the absence of IL-17 receptor signaling, Il17ra(-/-) mice had significantly decreased lung inflammation and fibrosis compared with wild-type C57BL/6 mice. These data are the first to demonstrate an important role for Th17-polarized CD4(+) T lymphocytes in the immune response directed against S. rectivirgula in this murine model of hypersensitivity pneumonitis and pulmonary fibrosis.","author":[{"family":"Simonian","given":"Philip L"},{"family":"Roark","given":"Christina L"},{"family":"Wehrmann","given":"Fabian"},{"family":"Lanham","given":"Allison K"},{"family":"Diaz del Valle","given":"Fernando"},{"family":"Born","given":"Willi K"},{"family":"O'Brien","given":"Rebecca L"},{"family":"Fontenot","given":"Andrew P"}],"authorYearDisplayFormat":false,"citation-label":"3621432","container-title":"Journal of Immunology","container-title-short":"J Immunol","id":"3621432","invisible":false,"issue":"1","issued":{"date-parts":[["2009","1","1"]]},"journalAbbreviation":"J Immunol","page":"657-665","suppress-author":false,"title":"Th17-polarized immune response in a murine model of hypersensitivity pneumonitis and lung fibrosis.","type":"article-journal","volume":"182"}]</w:instrText>
      </w:r>
      <w:r w:rsidR="00540E9B" w:rsidRPr="005A7F38">
        <w:fldChar w:fldCharType="separate"/>
      </w:r>
      <w:r w:rsidR="00B775CB" w:rsidRPr="00B775CB">
        <w:rPr>
          <w:noProof/>
          <w:vertAlign w:val="superscript"/>
        </w:rPr>
        <w:t>118,126</w:t>
      </w:r>
      <w:r w:rsidR="00540E9B" w:rsidRPr="005A7F38">
        <w:fldChar w:fldCharType="end"/>
      </w:r>
      <w:r w:rsidR="00E40593" w:rsidRPr="005A7F38">
        <w:t xml:space="preserve"> A preferential cellular immune response to P.acnes trigger factor proteins in sarcoidosis has also been described.</w:t>
      </w:r>
      <w:r w:rsidR="00E40593" w:rsidRPr="005A7F38">
        <w:fldChar w:fldCharType="begin"/>
      </w:r>
      <w:r w:rsidR="00B775CB">
        <w:instrText>ADDIN F1000_CSL_CITATION&lt;~#@#~&gt;[{"DOI":"10.1016/S0002-9440(10)63327-5","First":false,"Last":false,"PMCID":"PMC1618559","PMID":"15277236","abstract":"Although many cases of sarcoidosis are self-limiting with spontaneous remission, uncontrolled pulmonary granulomatosis with fibrosis produces intolerable long-term respiratory symptoms in a minority of patients. Individuals with chronic pulmonary sarcoidosis require an alternative therapy to corticosteroidal treatment because of its insufficient effectiveness. Although many researchers have considered infection as the triggering factor for this disease, the mechanisms by which the candidate causative organisms induce this disorder remain unclear. We report here that extrapulmonary sensitization to Propionibacterium acnes, which is one of the candidates to date, induced pulmonary Th-1 granulomas mainly in the subpleural and peribronchovascular regions often observed in sarcoidosis. These granulomas appear to be caused by indigenous P. acnes pre-existing in the lower respiratory tract of the normal lung, which is believed to be germ-free, and by an influx of P. acnes-sensitized CD4(+) T cells from the circulation. Importantly, the eradication of indigenous P. acnes with antibiotics alleviated the granulomatous lung disease. This is the first report to present clear evidence of the contribution of an indigenous pulmonary bacterium to the formation of granulomatous lesions in the lung. We propose that treatment targeting indigenous P. acnes in the lung may be a possible remedy for pulmonary sarcoidosis.","author":[{"family":"Nishiwaki","given":"Tetsu"},{"family":"Yoneyama","given":"Hiroyuki"},{"family":"Eishi","given":"Yoshinobu"},{"family":"Matsuo","given":"Naoki"},{"family":"Tatsumi","given":"Koichiro"},{"family":"Kimura","given":"Hiroshi"},{"family":"Kuriyama","given":"Takayuki"},{"family":"Matsushima","given":"Kouji"}],"authorYearDisplayFormat":false,"citation-label":"4509143","container-title":"The American Journal of Pathology","container-title-short":"Am J Pathol","id":"4509143","invisible":false,"issue":"2","issued":{"date-parts":[["2004","8"]]},"journalAbbreviation":"Am J Pathol","page":"631-639","suppress-author":false,"title":"Indigenous pulmonary Propionibacterium acnes primes the host in the development of sarcoid-like pulmonary granulomatosis in mice.","type":"article-journal","volume":"165"}]</w:instrText>
      </w:r>
      <w:r w:rsidR="00E40593" w:rsidRPr="005A7F38">
        <w:fldChar w:fldCharType="separate"/>
      </w:r>
      <w:r w:rsidR="00B775CB" w:rsidRPr="00B775CB">
        <w:rPr>
          <w:noProof/>
          <w:vertAlign w:val="superscript"/>
        </w:rPr>
        <w:t>125</w:t>
      </w:r>
      <w:r w:rsidR="00E40593" w:rsidRPr="005A7F38">
        <w:fldChar w:fldCharType="end"/>
      </w:r>
    </w:p>
    <w:p w14:paraId="26F982FF" w14:textId="7BF052A0" w:rsidR="00016AE4" w:rsidRPr="005A7F38" w:rsidRDefault="009949B3" w:rsidP="002446BB">
      <w:r>
        <w:t xml:space="preserve">The clinical patterns </w:t>
      </w:r>
      <w:r w:rsidR="001C01D5" w:rsidRPr="005A7F38">
        <w:t>seen in sarcoidosis of granulomas spread throughout the body strongly implies that an etiologic agent is circulated through the blood stream at some p</w:t>
      </w:r>
      <w:r w:rsidR="00260AC8" w:rsidRPr="005A7F38">
        <w:t>oint during the disease process.</w:t>
      </w:r>
      <w:r w:rsidR="00E30C95" w:rsidRPr="005A7F38">
        <w:t xml:space="preserve"> While some researchers have postulated that an active, replicating mycobacterial or propionibacterial infection could be the cause of sarcoidosis, the evidence for the immunologic cascade seen in sarcoidosis as well as the lack of an identifiable active infection leads other scientists to hypothesize that a hyperimmune response to tissue antigens, specifically remnant </w:t>
      </w:r>
      <w:r w:rsidR="00E30C95" w:rsidRPr="005A7F38">
        <w:lastRenderedPageBreak/>
        <w:t>microbial antigens, involving Th1 is responsible for the inflammatory response seen in sarcoidosis.</w:t>
      </w:r>
      <w:r w:rsidR="00746E70" w:rsidRPr="005A7F38">
        <w:fldChar w:fldCharType="begin"/>
      </w:r>
      <w:r w:rsidR="00B775CB">
        <w:instrText>ADDIN F1000_CSL_CITATION&lt;~#@#~&gt;[{"DOI":"10.1007/s12016-015-8481-z","First":false,"Last":false,"PMID":"25771769","abstract":"Since sarcoidosis was first described more than a century ago, the etiologic determinants causing this disease remain uncertain. Studies suggest that genetic, host immunologic, and environmental factors interact together to cause sarcoidosis. Immunologic characteristics of sarcoidosis include non-caseating granulomas, enhanced local expression of T helper-1 (and often Th17) cytokines and chemokines, dysfunctional regulatory T-cell responses, dysregulated Toll-like receptor signaling, and oligoclonal expansion of CD4+ T cells consistent with chronic antigenic stimulation. Multiple environmental agents have been suggested to cause sarcoidosis. Studies from several groups implicate mycobacterial or propionibacterial organisms in the etiology of sarcoidosis based on tissue analyses and immunologic responses in sarcoidosis patients. Despite these studies, there is no consensus on the nature of a microbial pathogenesis of sarcoidosis. Some groups postulate sarcoidosis is caused by an active viable replicating infection while other groups contend there is no clinical, pathologic, or microbiologic evidence for such a pathogenic mechanism. The authors posit a novel hypothesis that proposes that sarcoidosis is triggered by a hyperimmune Th1 response to pathogenic microbial and tissue antigens associated with the aberrant aggregation of serum amyloid A within granulomas, which promotes progressive chronic granulomatous inflammation in the absence of ongoing infection.","author":[{"family":"Chen","given":"Edward S"},{"family":"Moller","given":"David R"}],"authorYearDisplayFormat":false,"citation-label":"4219823","container-title":"Clinical Reviews in Allergy &amp; Immunology","container-title-short":"Clin Rev Allergy Immunol","id":"4219823","invisible":false,"issue":"1","issued":{"date-parts":[["2015","8"]]},"journalAbbreviation":"Clin Rev Allergy Immunol","page":"6-18","suppress-author":false,"title":"Etiologies of Sarcoidosis.","type":"article-journal","volume":"49"},{"DOI":"10.1055/s-0030-1262205","First":false,"Last":false,"PMID":"20665387","abstract":"Sarcoidosis is a disease of unknown etiology, characterized pathologically by noncaseating granulomas that most commonly involve the lung, skin, lymph nodes, and eyes. Syndromes with similar pathological and immunologic features to sarcoidosis such as chronic beryllium disease, hypersensitivity pneumonitis, and tuberculosis illustrate that granulomatous diseases may or may not have an infectious etiology. Although the etiology of sarcoidosis remains unknown, recent molecular, genetic, and immunologic studies strengthen the association of sarcoidosis with infectious antigens. Currently, the strongest agents considered include PROPIONIBACTERIUM and MYCOBACTERIUM species. Independent studies report the presence of microbial nucleic acids and proteins within sarcoidosis specimens. Th-1 immune responses to mycobacterial proteins have been detected within sarcoidosis diagnostic bronchoalveolar lavage (BAL). These proteins are actively secreted by the mycobacterial SecA 2 secretion system and are important to evade the host immune system. Recent discoveries regarding MHC class II alleles provide additional insight regarding the role of microbial antigens in sarcoidosis pathogenesis. Although further investigation is warranted, the recent progress of independent laboratories, using complementary techniques, strengthens the role of microbial antigens in sarcoidosis pathogenesis. These studies lay a strong foundation toward identifying therapeutic targets.\n&lt;br&gt;\n&lt;br&gt;Copyright Thieme Medical Publishers.","author":[{"family":"Oswald-Richter","given":"Kyra A"},{"family":"Drake","given":"Wonder P"}],"authorYearDisplayFormat":false,"citation-label":"1314247","container-title":"Seminars in Respiratory and Critical Care Medicine","container-title-short":"Semin Respir Crit Care Med","id":"1314247","invisible":false,"issue":"4","issued":{"date-parts":[["2010","8"]]},"journalAbbreviation":"Semin Respir Crit Care Med","page":"375-379","suppress-author":false,"title":"The etiologic role of infectious antigens in sarcoidosis pathogenesis.","type":"article-journal","volume":"31"},{"DOI":"10.1055/s-0034-1376859","First":false,"Last":false,"PMID":"25007081","abstract":"A consensus statement found in most peer-reviewed literature on sarcoidosis is that the etiology of sarcoidosis is unknown. It is timely to review whether this statement should be revised. Many infectious agents meet the basic requirements of inducing granulomatous inflammation and immunologic responses consistent with sarcoidosis including oligoclonal expansion of CD4+ T cells, polarized Th1 and possibly Th17 responses, and dysregulated regulatory T-cell function. Studies over the past decade provide increasing and complementary data to implicate a role for infectious agents in sarcoidosis etiology. These studies used different methodologies such as polymerase chain reaction and mass spectrometry to document microbial nucleic acids and proteins in sarcoidosis tissues. Multiple studies report antigen-specific immune responses to specific microbial proteins in sarcoidosis. In aggregate, these studies provide compelling evidence that mycobacteria play a major etiologic role in sarcoidosis in the United States and Europe. Studies from Japan support a role for Propionibacteria as a major etiologic agent in the country. There is controversy over how these (or other) infectious agents cause sarcoidosis. The hypothesis that chronic sarcoidosis is caused by a viable, replicating mycobacterial or other infection has no direct pathologic, microbiologic, or clinical evidence. A novel hypothesis links microbial triggers to a sarcoidosis outcome from the accumulation of aggregated proinflammatory serum amyloid A within granulomas, providing a mechanism for chronic disease in the absence of any viable tissue infection. Further studies are needed to provide more definitive evidence for these competing hypotheses before the statement that the etiology of sarcoidosis is unknown becomes obsolete.&lt;br&gt;&lt;br&gt;Thieme Medical Publishers 333 Seventh Avenue, New York, NY 10001, USA.","author":[{"family":"Chen","given":"Edward S"},{"family":"Moller","given":"David R"}],"authorYearDisplayFormat":false,"citation-label":"4508500","container-title":"Seminars in Respiratory and Critical Care Medicine","container-title-short":"Semin Respir Crit Care Med","id":"4508500","invisible":false,"issue":"3","issued":{"date-parts":[["2014","6"]]},"journalAbbreviation":"Semin Respir Crit Care Med","page":"285-295","suppress-author":false,"title":"Etiologic role of infectious agents.","type":"article-journal","volume":"35"},{"DOI":"10.1038/nrrheum.2011.93","First":false,"Last":false,"PMID":"21750528","abstract":"Sarcoidosis is an uncommon systemic inflammatory disorder characterized by noncaseating granulomatous inflammation that most commonly affects the lungs, intrathoracic lymph nodes, eyes and skin. One-third or more of patients with sarcoidosis have chronic, unremitting inflammation with progressive organ impairment. Findings of family and genetic studies indicate a genetic susceptibility to sarcoidosis, with genes in the MHC region having a dominant role. Immunologic hallmarks of the disease include highly polarized expression of cytokines produced by type 1 T helper cells and tumor necrosis factor (TNF) at sites of inflammation. Increasing evidence obtained within the past decade suggests the etiology of sarcoidosis predominantly involves microbial triggers, with the most convincing data implicating mycobacterial or propionibacterial organisms. Innate immune mechanisms, possibly involving misfolding and aggregation of serum amyloid A, might have a critical role in the pathobiology of sarcoidosis. Despite these advances, there are no clinically useful biomarkers that can assist the clinician in diagnosis, prognosis or assessment of treatment effects. Corticosteroids remain the cornerstone of therapy when organ function is threatened or progressively impaired. The role of immunosuppressive drugs and anti-TNF agents in the treatment of sarcoidosis remains uncertain, and there are no FDA-approved therapies. Meaningful progress in developing clinically useful tools and new therapies will depend on further advances in understanding the pathogenesis of sarcoidosis and its disease-specific pathways.","author":[{"family":"Chen","given":"Edward S"},{"family":"Moller","given":"David R"}],"authorYearDisplayFormat":false,"citation-label":"1069378","container-title":"Nature Reviews. Rheumatology","container-title-short":"Nat Rev Rheumatol","id":"1069378","invisible":false,"issue":"8","issued":{"date-parts":[["2011","7","12"]]},"journalAbbreviation":"Nat Rev Rheumatol","page":"457-467","suppress-author":false,"title":"Sarcoidosis--scientific progress and clinical challenges.","type":"article-journal","volume":"7"}]</w:instrText>
      </w:r>
      <w:r w:rsidR="00746E70" w:rsidRPr="005A7F38">
        <w:fldChar w:fldCharType="separate"/>
      </w:r>
      <w:r w:rsidR="00B775CB" w:rsidRPr="00B775CB">
        <w:rPr>
          <w:noProof/>
          <w:vertAlign w:val="superscript"/>
        </w:rPr>
        <w:t>5,116,129,153</w:t>
      </w:r>
      <w:r w:rsidR="00746E70" w:rsidRPr="005A7F38">
        <w:fldChar w:fldCharType="end"/>
      </w:r>
      <w:r w:rsidR="00E30C95" w:rsidRPr="005A7F38">
        <w:t xml:space="preserve"> The latter is supported by the association of an </w:t>
      </w:r>
      <w:r w:rsidR="00746E70" w:rsidRPr="005A7F38">
        <w:t>aberrant</w:t>
      </w:r>
      <w:r w:rsidR="00E30C95" w:rsidRPr="005A7F38">
        <w:t xml:space="preserve"> innate response involving possible misfolding aggregation of serum amyloid A ins</w:t>
      </w:r>
      <w:r w:rsidR="00154EBA" w:rsidRPr="005A7F38">
        <w:t>ide granulomas with sarcoidosis and the expression of tumor necrosis factor (TNF). The role of anti-TNF pharmaceutical agents in sarcoidosis could presents an area of research that could provide a significant improvement in the treatment of sarcoidosis.</w:t>
      </w:r>
      <w:r w:rsidR="00154EBA" w:rsidRPr="005A7F38">
        <w:fldChar w:fldCharType="begin"/>
      </w:r>
      <w:r w:rsidR="00B775CB">
        <w:instrText>ADDIN F1000_CSL_CITATION&lt;~#@#~&gt;[{"DOI":"10.1038/nrrheum.2011.93","First":false,"Last":false,"PMID":"21750528","abstract":"Sarcoidosis is an uncommon systemic inflammatory disorder characterized by noncaseating granulomatous inflammation that most commonly affects the lungs, intrathoracic lymph nodes, eyes and skin. One-third or more of patients with sarcoidosis have chronic, unremitting inflammation with progressive organ impairment. Findings of family and genetic studies indicate a genetic susceptibility to sarcoidosis, with genes in the MHC region having a dominant role. Immunologic hallmarks of the disease include highly polarized expression of cytokines produced by type 1 T helper cells and tumor necrosis factor (TNF) at sites of inflammation. Increasing evidence obtained within the past decade suggests the etiology of sarcoidosis predominantly involves microbial triggers, with the most convincing data implicating mycobacterial or propionibacterial organisms. Innate immune mechanisms, possibly involving misfolding and aggregation of serum amyloid A, might have a critical role in the pathobiology of sarcoidosis. Despite these advances, there are no clinically useful biomarkers that can assist the clinician in diagnosis, prognosis or assessment of treatment effects. Corticosteroids remain the cornerstone of therapy when organ function is threatened or progressively impaired. The role of immunosuppressive drugs and anti-TNF agents in the treatment of sarcoidosis remains uncertain, and there are no FDA-approved therapies. Meaningful progress in developing clinically useful tools and new therapies will depend on further advances in understanding the pathogenesis of sarcoidosis and its disease-specific pathways.","author":[{"family":"Chen","given":"Edward S"},{"family":"Moller","given":"David R"}],"authorYearDisplayFormat":false,"citation-label":"1069378","container-title":"Nature Reviews. Rheumatology","container-title-short":"Nat Rev Rheumatol","id":"1069378","invisible":false,"issue":"8","issued":{"date-parts":[["2011","7","12"]]},"journalAbbreviation":"Nat Rev Rheumatol","page":"457-467","suppress-author":false,"title":"Sarcoidosis--scientific progress and clinical challenges.","type":"article-journal","volume":"7"}]</w:instrText>
      </w:r>
      <w:r w:rsidR="00154EBA" w:rsidRPr="005A7F38">
        <w:fldChar w:fldCharType="separate"/>
      </w:r>
      <w:r w:rsidR="00B775CB" w:rsidRPr="00B775CB">
        <w:rPr>
          <w:noProof/>
          <w:vertAlign w:val="superscript"/>
        </w:rPr>
        <w:t>129</w:t>
      </w:r>
      <w:r w:rsidR="00154EBA" w:rsidRPr="005A7F38">
        <w:fldChar w:fldCharType="end"/>
      </w:r>
      <w:r w:rsidR="00154EBA" w:rsidRPr="005A7F38">
        <w:t xml:space="preserve"> </w:t>
      </w:r>
    </w:p>
    <w:p w14:paraId="4D234A07" w14:textId="77777777" w:rsidR="00217F2B" w:rsidRPr="005A7F38" w:rsidRDefault="00217F2B" w:rsidP="002446BB">
      <w:pPr>
        <w:pStyle w:val="Heading2"/>
        <w:rPr>
          <w:rFonts w:cs="Times New Roman"/>
        </w:rPr>
      </w:pPr>
      <w:bookmarkStart w:id="41" w:name="_Toc506540020"/>
      <w:r w:rsidRPr="005A7F38">
        <w:rPr>
          <w:rFonts w:cs="Times New Roman"/>
        </w:rPr>
        <w:t>The Microbiome</w:t>
      </w:r>
      <w:bookmarkEnd w:id="41"/>
    </w:p>
    <w:p w14:paraId="5DDBC845" w14:textId="77777777" w:rsidR="00217F2B" w:rsidRPr="005A7F38" w:rsidRDefault="00217F2B" w:rsidP="002446BB">
      <w:pPr>
        <w:pStyle w:val="Heading3"/>
        <w:rPr>
          <w:rFonts w:cs="Times New Roman"/>
        </w:rPr>
      </w:pPr>
      <w:bookmarkStart w:id="42" w:name="_Toc506540021"/>
      <w:r w:rsidRPr="005A7F38">
        <w:rPr>
          <w:rFonts w:cs="Times New Roman"/>
        </w:rPr>
        <w:t>Defining the Microbiome</w:t>
      </w:r>
      <w:bookmarkEnd w:id="42"/>
    </w:p>
    <w:p w14:paraId="539ED96E" w14:textId="0430A3B2" w:rsidR="00967481" w:rsidRPr="005A7F38" w:rsidRDefault="00C36755" w:rsidP="00065C59">
      <w:pPr>
        <w:pStyle w:val="Noindent"/>
      </w:pPr>
      <w:r w:rsidRPr="005A7F38">
        <w:t>Humans ar</w:t>
      </w:r>
      <w:r w:rsidR="00967481" w:rsidRPr="005A7F38">
        <w:t>e host to an enormous variety of microbes. Every body surface, including the skin, mouth, gut and lung, contains a diverse community of microbial agents.</w:t>
      </w:r>
      <w:r w:rsidR="00967481" w:rsidRPr="005A7F38">
        <w:fldChar w:fldCharType="begin"/>
      </w:r>
      <w:r w:rsidR="00B775CB">
        <w:instrText>ADDIN F1000_CSL_CITATION&lt;~#@#~&gt;[{"DOI":"10.1371/journal.pcbi.1002808","First":false,"Last":false,"PMCID":"PMC3531975","PMID":"23300406","abstract":"Humans are essentially sterile during gestation, but during and after birth, every body surface, including the skin, mouth, and gut, becomes host to an enormous variety of microbes, bacterial, archaeal, fungal, and viral. Under normal circumstances, these microbes help us to digest our food and to maintain our immune systems, but dysfunction of the human microbiota has been linked to conditions ranging from inflammatory bowel disease to antibiotic-resistant infections. Modern high-throughput sequencing and bioinformatic tools provide a powerful means of understanding the contribution of the human microbiome to health and its potential as a target for therapeutic interventions. This chapter will first discuss the historical origins of microbiome studies and methods for determining the ecological diversity of a microbial community. Next, it will introduce shotgun sequencing technologies such as metagenomics and metatranscriptomics, the computational challenges and methods associated with these data, and how they enable microbiome analysis. Finally, it will conclude with examples of the functional genomics of the human microbiome and its influences upon health and disease.","author":[{"family":"Morgan","given":"Xochitl C"},{"family":"Huttenhower","given":"Curtis"}],"authorYearDisplayFormat":false,"citation-label":"185536","container-title":"PLoS Computational Biology","container-title-short":"PLoS Comput Biol","id":"185536","invisible":false,"issue":"12","issued":{"date-parts":[["2012","12","27"]]},"journalAbbreviation":"PLoS Comput Biol","page":"e1002808","suppress-author":false,"title":"Chapter 12: Human microbiome analysis.","type":"article-journal","volume":"8"},{"DOI":"10.1371/journal.pone.0032118","First":false,"Last":false,"PMCID":"PMC3374608","PMID":"22719823","abstract":"Analysis of human body microbial diversity is fundamental to understanding community structure, biology and ecology. The National Institutes of Health Human Microbiome Project (HMP) has provided an unprecedented opportunity to examine microbial diversity within and across body habitats and individuals through pyrosequencing-based profiling of 16 S rRNA gene sequences (16 S) from habits of the oral, skin, distal gut, and vaginal body regions from over 200 healthy individuals enabling the application of statistical techniques. In this study, two approaches were applied to elucidate the nature and extent of human microbiome diversity. First, bootstrap and parametric curve fitting techniques were evaluated to estimate the maximum number of unique taxa, S(max), and taxa discovery rate for habitats across individuals. Next, our results demonstrated that the variation of diversity within low abundant taxa across habitats and individuals was not sufficiently quantified with standard ecological diversity indices. This impact from low abundant taxa motivated us to introduce a novel rank-based diversity measure, the Tail statistic, (\"τ\"), based on the standard deviation of the rank abundance curve if made symmetric by reflection around the most abundant taxon. Due to τ's greater sensitivity to low abundant taxa, its application to diversity estimation of taxonomic units using taxonomic dependent and independent methods revealed a greater range of values recovered between individuals versus body habitats, and different patterns of diversity within habitats. The greatest range of τ values within and across individuals was found in stool, which also exhibited the most undiscovered taxa. Oral and skin habitats revealed variable diversity patterns, while vaginal habitats were consistently the least diverse. Collectively, these results demonstrate the importance, and motivate the introduction, of several visualization and analysis methods tuned specifically for next-generation sequence data, further revealing that low abundant taxa serve as an important reservoir of genetic diversity in the human microbiome.","author":[{"family":"Li","given":"Kelvin"},{"family":"Bihan","given":"Monika"},{"family":"Yooseph","given":"Shibu"},{"family":"Methé","given":"Barbara A"}],"authorYearDisplayFormat":false,"citation-label":"1986619","container-title":"Plos One","container-title-short":"PLoS ONE","id":"1986619","invisible":false,"issue":"6","issued":{"date-parts":[["2012","6","13"]]},"journalAbbreviation":"PLoS ONE","page":"e32118","suppress-author":false,"title":"Analyses of the microbial diversity across the human microbiome.","type":"article-journal","volume":"7"},{"DOI":"10.1371/journal.pone.0063139","First":false,"Last":false,"PMCID":"PMC3646044","PMID":"23671663","abstract":"Analyses of the taxonomic diversity associated with the human microbiome continue to be an area of great importance. The study of the nature and extent of the commonly shared taxa (\"core\"), versus those less prevalent, establishes a baseline for comparing healthy and diseased groups by quantifying the variation among people, across body habitats and over time. The National Institutes of Health (NIH) sponsored Human Microbiome Project (HMP) has provided an unprecedented opportunity to examine and better define what constitutes the taxonomic core within and across body habitats and individuals through pyrosequencing-based profiling of 16S rRNA gene sequences from oral, skin, distal gut (stool), and vaginal body habitats from over 200 healthy individuals. A two-parameter model is introduced to quantitatively identify the core taxonomic members of each body habitat's microbiota across the healthy cohort. Using only cutoffs for taxonomic ubiquity and abundance, core taxonomic members were identified for each of the 18 body habitats and also for the 4 higher-level body regions. Although many microbes were shared at low abundance, they exhibited a relatively continuous spread in both their abundance and ubiquity, as opposed to a more discretized separation. The numbers of core taxa members in the body regions are comparatively small and stable, reflecting the relatively high, but conserved, interpersonal variability within the cohort. Core sizes increased across the body regions in the order of: vagina, skin, stool, and oral cavity. A number of \"minor\" oral taxonomic core were also identified by their majority presence across the cohort, but with relatively low and stable abundances. A method for quantifying the difference between two cohorts was introduced and applied to samples collected on a second visit, revealing that over time, the oral, skin, and stool body regions tended to be more transient in their taxonomic structure than the vaginal body region.","author":[{"family":"Li","given":"Kelvin"},{"family":"Bihan","given":"Monika"},{"family":"Methé","given":"Barbara A"}],"authorYearDisplayFormat":false,"citation-label":"2880171","container-title":"Plos One","container-title-short":"PLoS ONE","id":"2880171","invisible":false,"issue":"5","issued":{"date-parts":[["2013","5","6"]]},"journalAbbreviation":"PLoS ONE","page":"e63139","suppress-author":false,"title":"Analyses of the stability and core taxonomic memberships of the human microbiome.","type":"article-journal","volume":"8"}]</w:instrText>
      </w:r>
      <w:r w:rsidR="00967481" w:rsidRPr="005A7F38">
        <w:fldChar w:fldCharType="separate"/>
      </w:r>
      <w:r w:rsidR="00B775CB" w:rsidRPr="00B775CB">
        <w:rPr>
          <w:noProof/>
          <w:vertAlign w:val="superscript"/>
        </w:rPr>
        <w:t>154–156</w:t>
      </w:r>
      <w:r w:rsidR="00967481" w:rsidRPr="005A7F38">
        <w:fldChar w:fldCharType="end"/>
      </w:r>
      <w:r w:rsidR="00967481" w:rsidRPr="005A7F38">
        <w:t xml:space="preserve">  </w:t>
      </w:r>
      <w:r w:rsidR="00E81AB2" w:rsidRPr="005A7F38">
        <w:t xml:space="preserve">The microbiome refers to the community of microbial agents, including bacteria, viruses, fungi and </w:t>
      </w:r>
      <w:r w:rsidR="008F5985" w:rsidRPr="005A7F38">
        <w:t>archaea</w:t>
      </w:r>
      <w:r w:rsidR="00E81AB2" w:rsidRPr="005A7F38">
        <w:t>, and their genes contained in an environment.</w:t>
      </w:r>
      <w:r w:rsidR="003B33C2" w:rsidRPr="005A7F38">
        <w:fldChar w:fldCharType="begin"/>
      </w:r>
      <w:r w:rsidR="00B775CB">
        <w:instrText>ADDIN F1000_CSL_CITATION&lt;~#@#~&gt;[{"DOI":"10.1038/nrmicro1978","First":false,"Last":false,"PMCID":"PMC2664199","PMID":"18794915","abstract":"In this Analysis we use published 16S ribosomal RNA gene sequences to compare the bacterial assemblages that are associated with humans and other mammals, metazoa and free-living microbial communities that span a range of environments. The composition of the vertebrate gut microbiota is influenced by diet, host morphology and phylogeny, and in this respect the human gut bacterial community is typical of an omnivorous primate. However, the vertebrate gut microbiota is different from free-living communities that are not associated with animal body habitats. We propose that the recently initiated international Human Microbiome Project should strive to include a broad representation of humans, as well as other mammalian and environmental samples, as comparative analyses of microbiotas and their microbiomes are a powerful way to explore the evolutionary history of the biosphere.","author":[{"family":"Ley","given":"Ruth E"},{"family":"Lozupone","given":"Catherine A"},{"family":"Hamady","given":"Micah"},{"family":"Knight","given":"Rob"},{"family":"Gordon","given":"Jeffrey I"}],"authorYearDisplayFormat":false,"citation-label":"28052","container-title":"Nature Reviews. Microbiology","container-title-short":"Nat Rev Microbiol","id":"28052","invisible":false,"issue":"10","issued":{"date-parts":[["2008"]]},"journalAbbreviation":"Nat Rev Microbiol","page":"776-788","suppress-author":false,"title":"Worlds within worlds: evolution of the vertebrate gut microbiota.","type":"article-journal","volume":"6"}]</w:instrText>
      </w:r>
      <w:r w:rsidR="003B33C2" w:rsidRPr="005A7F38">
        <w:fldChar w:fldCharType="separate"/>
      </w:r>
      <w:r w:rsidR="00B775CB" w:rsidRPr="00B775CB">
        <w:rPr>
          <w:noProof/>
          <w:vertAlign w:val="superscript"/>
        </w:rPr>
        <w:t>157</w:t>
      </w:r>
      <w:r w:rsidR="003B33C2" w:rsidRPr="005A7F38">
        <w:fldChar w:fldCharType="end"/>
      </w:r>
      <w:r w:rsidR="00065C59" w:rsidRPr="005A7F38">
        <w:t xml:space="preserve"> </w:t>
      </w:r>
      <w:r w:rsidR="00967481" w:rsidRPr="005A7F38">
        <w:t xml:space="preserve"> The human microbiome contains nearly 10 times as many cells as are in the rest of our bodies, contributes several pounds of bod</w:t>
      </w:r>
      <w:r w:rsidR="00F906A2" w:rsidRPr="005A7F38">
        <w:t>y weight and contains orders of magnitude more microbial genetic material than human genetic material.</w:t>
      </w:r>
      <w:r w:rsidR="00F906A2" w:rsidRPr="005A7F38">
        <w:fldChar w:fldCharType="begin"/>
      </w:r>
      <w:r w:rsidR="00B775CB">
        <w:instrText>ADDIN F1000_CSL_CITATION&lt;~#@#~&gt;[{"DOI":"10.1038/nature08821","First":false,"Last":false,"PMCID":"PMC3779803","PMID":"20203603","abstract":"To understand the impact of gut microbes on human health and well-being it is crucial to assess their genetic potential. Here we describe the Illumina-based metagenomic sequencing, assembly and characterization of 3.3 million non-redundant microbial genes, derived from 576.7 gigabases of sequence, from faecal samples of 124 European individuals. The gene set, approximately 150 times larger than the human gene complement, contains an overwhelming majority of the prevalent (more frequent) microbial genes of the cohort and probably includes a large proportion of the prevalent human intestinal microbial genes. The genes are largely shared among individuals of the cohort. Over 99% of the genes are bacterial, indicating that the entire cohort harbours between 1,000 and 1,150 prevalent bacterial species and each individual at least 160 such species, which are also largely shared. We define and describe the minimal gut metagenome and the minimal gut bacterial genome in terms of functions present in all individuals and most bacteria, respectively.","author":[{"family":"Qin","given":"Junjie"},{"family":"Li","given":"Ruiqiang"},{"family":"Raes","given":"Jeroen"},{"family":"Arumugam","given":"Manimozhiyan"},{"family":"Burgdorf","given":"Kristoffer Solvsten"},{"family":"Manichanh","given":"Chaysavanh"},{"family":"Nielsen","given":"Trine"},{"family":"Pons","given":"Nicolas"},{"family":"Levenez","given":"Florence"},{"family":"Yamada","given":"Takuji"},{"family":"Mende","given":"Daniel R"},{"family":"Li","given":"Junhua"},{"family":"Xu","given":"Junming"},{"family":"Li","given":"Shaochuan"},{"family":"Li","given":"Dongfang"},{"family":"Cao","given":"Jianjun"},{"family":"Wang","given":"Bo"},{"family":"Liang","given":"Huiqing"},{"family":"Zheng","given":"Huisong"},{"family":"Xie","given":"Yinlong"},{"family":"Tap","given":"Julien"},{"family":"Lepage","given":"Patricia"},{"family":"Bertalan","given":"Marcelo"},{"family":"Batto","given":"Jean-Michel"},{"family":"Hansen","given":"Torben"},{"family":"Le Paslier","given":"Denis"},{"family":"Linneberg","given":"Allan"},{"family":"Nielsen","given":"H Bjørn"},{"family":"Pelletier","given":"Eric"},{"family":"Renault","given":"Pierre"},{"family":"Sicheritz-Ponten","given":"Thomas"},{"family":"Turner","given":"Keith"},{"family":"Zhu","given":"Hongmei"},{"family":"Yu","given":"Chang"},{"family":"Li","given":"Shengting"},{"family":"Jian","given":"Min"},{"family":"Zhou","given":"Yan"},{"family":"Li","given":"Yingrui"},{"family":"Zhang","given":"Xiuqing"},{"family":"Li","given":"Songgang"},{"family":"Qin","given":"Nan"},{"family":"Yang","given":"Huanming"},{"family":"Wang","given":"Jian"},{"family":"Brunak","given":"Søren"},{"family":"Doré","given":"Joel"},{"family":"Guarner","given":"Francisco"},{"family":"Kristiansen","given":"Karsten"},{"family":"Pedersen","given":"Oluf"},{"family":"Parkhill","given":"Julian"},{"family":"Weissenbach","given":"Jean"},{"family":"MetaHIT Consortium"},{"family":"Bork","given":"Peer"},{"family":"Ehrlich","given":"S Dusko"},{"family":"Wang","given":"Jun"}],"authorYearDisplayFormat":false,"citation-label":"27662","container-title":"Nature","container-title-short":"Nature","id":"27662","invisible":false,"issue":"7285","issued":{"date-parts":[["2010","3","4"]]},"journalAbbreviation":"Nature","page":"59-65","suppress-author":false,"title":"A human gut microbial gene catalogue established by metagenomic sequencing.","type":"article-journal","volume":"464"},{"DOI":"10.1038/nature11234","First":false,"Last":false,"PMCID":"PMC3564958","PMID":"22699609","abstract":"Studies of the human microbiome have revealed that even healthy individuals differ remarkably in the microbes that occupy habitats such as the gut, skin and vagina. Much of this diversity remains unexplained, although diet, environment, host genetics and early microbial exposure have all been implicated. Accordingly, to characterize the ecology of human-associated microbial communities, the Human Microbiome Project has analysed the largest cohort and set of distinct, clinically relevant body habitats so far. We found the diversity and abundance of each habitat's signature microbes to vary widely even among healthy subjects, with strong niche specialization both within and among individuals. The project encountered an estimated 81-99% of the genera, enzyme families and community configurations occupied by the healthy Western microbiome. Metagenomic carriage of metabolic pathways was stable among individuals despite variation in community structure, and ethnic/racial background proved to be one of the strongest associations of both pathways and microbes with clinical metadata. These results thus delineate the range of structural and functional configurations normal in the microbial communities of a healthy population, enabling future characterization of the epidemiology, ecology and translational applications of the human microbiome.","author":[{"family":"Human Microbiome Project Consortium"}],"authorYearDisplayFormat":false,"citation-label":"27969","container-title":"Nature","container-title-short":"Nature","id":"27969","invisible":false,"issue":"7402","issued":{"date-parts":[["2012","6","13"]]},"journalAbbreviation":"Nature","page":"207-214","suppress-author":false,"title":"Structure, function and diversity of the healthy human microbiome.","type":"article-journal","volume":"486"}]</w:instrText>
      </w:r>
      <w:r w:rsidR="00F906A2" w:rsidRPr="005A7F38">
        <w:fldChar w:fldCharType="separate"/>
      </w:r>
      <w:r w:rsidR="00B775CB" w:rsidRPr="00B775CB">
        <w:rPr>
          <w:noProof/>
          <w:vertAlign w:val="superscript"/>
        </w:rPr>
        <w:t>158,159</w:t>
      </w:r>
      <w:r w:rsidR="00F906A2" w:rsidRPr="005A7F38">
        <w:fldChar w:fldCharType="end"/>
      </w:r>
      <w:r w:rsidR="00256F21" w:rsidRPr="005A7F38">
        <w:t xml:space="preserve"> The microbiome varies from one person to the next and from one body site to the next depending on environmental and genetic variables.</w:t>
      </w:r>
      <w:r w:rsidR="00256F21" w:rsidRPr="005A7F38">
        <w:fldChar w:fldCharType="begin"/>
      </w:r>
      <w:r w:rsidR="00B775CB">
        <w:instrText>ADDIN F1000_CSL_CITATION&lt;~#@#~&gt;[{"DOI":"10.1513/AnnalsATS.201707-567OT","First":false,"Last":false,"PMID":"29053026","abstract":"Sarcoidosis is a complex, polygenic disease of unknown cause with diverse clinical phenotypes, ranging from self-limited, asymptomatic disease to life altering symptoms and early disease-related mortality. It is unlikely that a single common environmental exposure (e.g., infection, antigen) entirely explains the disease, and numerous genetic mutations are associated with the disease. As such, it reasonable to assume, as with other phenotypically diverse diseases, that distinct genetic mechanisms and related biological biomarkers will serve to further define sarcoidosis sub-phenotypes and mechanisms and to guide personalized care. The fields of 'omics' and systems biology research are widely applied to understand polygenic and phenotypically diverse diseases, such as sarcoidosis. 'Omics' refers to technologies that allow comprehensive profiling of sets of molecules in an organism. Systems biology applies advanced computational approaches to make sense of the enormous data sets that are typically generated from 'omics platforms. The primary objectives of this manuscript are to review the available 'omics tools, assess the current status of 'omics and systems biology research in the field of sarcoidosis, and to consider how this technology could be applied to advance the mechanistic underpinning and treatment of sarcoidosis. An emphasis is be placed on leveraging these research tools to develop better treatments and biomarkers for extreme life-altering sarcoidosis phenotypes, which are overrepresented in underserved populations.","author":[{"family":"Crouser","given":"Elliott D"},{"family":"Fingerlin","given":"Tasha E"},{"family":"Yang","given":"Ivana V"},{"family":"Maier","given":"Lisa A"},{"family":"Nana-Sinkam","given":"Patrick"},{"family":"Collman","given":"Ronald G"},{"family":"Kaminski","given":"Naftali"}],"authorYearDisplayFormat":false,"citation-label":"4532573","container-title":"Annals of the American Thoracic Society","container-title-short":"Ann Am Thorac Soc","id":"4532573","invisible":false,"issued":{"date-parts":[["2017","10","20"]]},"journalAbbreviation":"Ann Am Thorac Soc","suppress-author":false,"title":"Application of 'omics' and systems biology to sarcoidosis research.","type":"article-journal"},{"DOI":"10.1038/nature11234","First":false,"Last":false,"PMCID":"PMC3564958","PMID":"22699609","abstract":"Studies of the human microbiome have revealed that even healthy individuals differ remarkably in the microbes that occupy habitats such as the gut, skin and vagina. Much of this diversity remains unexplained, although diet, environment, host genetics and early microbial exposure have all been implicated. Accordingly, to characterize the ecology of human-associated microbial communities, the Human Microbiome Project has analysed the largest cohort and set of distinct, clinically relevant body habitats so far. We found the diversity and abundance of each habitat's signature microbes to vary widely even among healthy subjects, with strong niche specialization both within and among individuals. The project encountered an estimated 81-99% of the genera, enzyme families and community configurations occupied by the healthy Western microbiome. Metagenomic carriage of metabolic pathways was stable among individuals despite variation in community structure, and ethnic/racial background proved to be one of the strongest associations of both pathways and microbes with clinical metadata. These results thus delineate the range of structural and functional configurations normal in the microbial communities of a healthy population, enabling future characterization of the epidemiology, ecology and translational applications of the human microbiome.","author":[{"family":"Human Microbiome Project Consortium"}],"authorYearDisplayFormat":false,"citation-label":"27969","container-title":"Nature","container-title-short":"Nature","id":"27969","invisible":false,"issue":"7402","issued":{"date-parts":[["2012","6","13"]]},"journalAbbreviation":"Nature","page":"207-214","suppress-author":false,"title":"Structure, function and diversity of the healthy human microbiome.","type":"article-journal","volume":"486"},{"DOI":"10.1371/journal.pone.0032118","First":false,"Last":false,"PMCID":"PMC3374608","PMID":"22719823","abstract":"Analysis of human body microbial diversity is fundamental to understanding community structure, biology and ecology. The National Institutes of Health Human Microbiome Project (HMP) has provided an unprecedented opportunity to examine microbial diversity within and across body habitats and individuals through pyrosequencing-based profiling of 16 S rRNA gene sequences (16 S) from habits of the oral, skin, distal gut, and vaginal body regions from over 200 healthy individuals enabling the application of statistical techniques. In this study, two approaches were applied to elucidate the nature and extent of human microbiome diversity. First, bootstrap and parametric curve fitting techniques were evaluated to estimate the maximum number of unique taxa, S(max), and taxa discovery rate for habitats across individuals. Next, our results demonstrated that the variation of diversity within low abundant taxa across habitats and individuals was not sufficiently quantified with standard ecological diversity indices. This impact from low abundant taxa motivated us to introduce a novel rank-based diversity measure, the Tail statistic, (\"τ\"), based on the standard deviation of the rank abundance curve if made symmetric by reflection around the most abundant taxon. Due to τ's greater sensitivity to low abundant taxa, its application to diversity estimation of taxonomic units using taxonomic dependent and independent methods revealed a greater range of values recovered between individuals versus body habitats, and different patterns of diversity within habitats. The greatest range of τ values within and across individuals was found in stool, which also exhibited the most undiscovered taxa. Oral and skin habitats revealed variable diversity patterns, while vaginal habitats were consistently the least diverse. Collectively, these results demonstrate the importance, and motivate the introduction, of several visualization and analysis methods tuned specifically for next-generation sequence data, further revealing that low abundant taxa serve as an important reservoir of genetic diversity in the human microbiome.","author":[{"family":"Li","given":"Kelvin"},{"family":"Bihan","given":"Monika"},{"family":"Yooseph","given":"Shibu"},{"family":"Methé","given":"Barbara A"}],"authorYearDisplayFormat":false,"citation-label":"1986619","container-title":"Plos One","container-title-short":"PLoS ONE","id":"1986619","invisible":false,"issue":"6","issued":{"date-parts":[["2012","6","13"]]},"journalAbbreviation":"PLoS ONE","page":"e32118","suppress-author":false,"title":"Analyses of the microbial diversity across the human microbiome.","type":"article-journal","volume":"7"},{"DOI":"10.1101/gr.096651.109","First":false,"Last":false,"PMCID":"PMC2792171","PMID":"19819907","abstract":"The Human Microbiome Project (HMP), funded as an initiative of the NIH Roadmap for Biomedical Research (http://nihroadmap.nih.gov), is a multi-component community resource. The goals of the HMP are: (1) to take advantage of new, high-throughput technologies to characterize the human microbiome more fully by studying samples from multiple body sites from each of at least 250 \"normal\" volunteers; (2) to determine whether there are associations between changes in the microbiome and health/disease by studying several different medical conditions; and (3) to provide both a standardized data resource and new technological approaches to enable such studies to be undertaken broadly in the scientific community. The ethical, legal, and social implications of such research are being systematically studied as well. The ultimate objective of the HMP is to demonstrate that there are opportunities to improve human health through monitoring or manipulation of the human microbiome. The history and implementation of this new program are described here.","author":[{"family":"NIH HMP Working Group"},{"family":"Peterson","given":"Jane"},{"family":"Garges","given":"Susan"},{"family":"Giovanni","given":"Maria"},{"family":"McInnes","given":"Pamela"},{"family":"Wang","given":"Lu"},{"family":"Schloss","given":"Jeffery A"},{"family":"Bonazzi","given":"Vivien"},{"family":"McEwen","given":"Jean E"},{"family":"Wetterstrand","given":"Kris A"},{"family":"Deal","given":"Carolyn"},{"family":"Baker","given":"Carl C"},{"family":"Di Francesco","given":"Valentina"},{"family":"Howcroft","given":"T Kevin"},{"family":"Karp","given":"Robert W"},{"family":"Lunsford","given":"R Dwayne"},{"family":"Wellington","given":"Christopher R"},{"family":"Belachew","given":"Tsegahiwot"},{"family":"Wright","given":"Michael"},{"family":"Giblin","given":"Christina"},{"family":"David","given":"Hagit"},{"family":"Mills","given":"Melody"},{"family":"Salomon","given":"Rachelle"},{"family":"Mullins","given":"Christopher"},{"family":"Akolkar","given":"Beena"},{"family":"Begg","given":"Lisa"},{"family":"Davis","given":"Cindy"},{"family":"Grandison","given":"Lindsey"},{"family":"Humble","given":"Michael"},{"family":"Khalsa","given":"Jag"},{"family":"Little","given":"A Roger"},{"family":"Peavy","given":"Hannah"},{"family":"Pontzer","given":"Carol"},{"family":"Portnoy","given":"Matthew"},{"family":"Sayre","given":"Michael H"},{"family":"Starke-Reed","given":"Pamela"},{"family":"Zakhari","given":"Samir"},{"family":"Read","given":"Jennifer"},{"family":"Watson","given":"Bracie"},{"family":"Guyer","given":"Mark"}],"authorYearDisplayFormat":false,"citation-label":"227723","container-title":"Genome Research","container-title-short":"Genome Res","id":"227723","invisible":false,"issue":"12","issued":{"date-parts":[["2009","12"]]},"journalAbbreviation":"Genome Res","page":"2317-2323","suppress-author":false,"title":"The NIH human microbiome project.","type":"article-journal","volume":"19"}]</w:instrText>
      </w:r>
      <w:r w:rsidR="00256F21" w:rsidRPr="005A7F38">
        <w:fldChar w:fldCharType="separate"/>
      </w:r>
      <w:r w:rsidR="00B775CB" w:rsidRPr="00B775CB">
        <w:rPr>
          <w:noProof/>
          <w:vertAlign w:val="superscript"/>
        </w:rPr>
        <w:t>15,155,159,160</w:t>
      </w:r>
      <w:r w:rsidR="00256F21" w:rsidRPr="005A7F38">
        <w:fldChar w:fldCharType="end"/>
      </w:r>
      <w:r w:rsidR="00F906A2" w:rsidRPr="005A7F38">
        <w:t xml:space="preserve"> </w:t>
      </w:r>
      <w:r w:rsidR="00086321" w:rsidRPr="005A7F38">
        <w:t>The microbiome has been demonstrated to be responsible for modifications in fundamental human physiology, energy acquisition, vitamin-cofactor availability</w:t>
      </w:r>
      <w:r w:rsidR="00E43D41" w:rsidRPr="005A7F38">
        <w:t>, xenobiotic metabolism and</w:t>
      </w:r>
      <w:r w:rsidR="00086321" w:rsidRPr="005A7F38">
        <w:t xml:space="preserve"> neurological development</w:t>
      </w:r>
      <w:r w:rsidR="00E43D41" w:rsidRPr="005A7F38">
        <w:t>.</w:t>
      </w:r>
      <w:r w:rsidR="00086321" w:rsidRPr="005A7F38">
        <w:t xml:space="preserve"> </w:t>
      </w:r>
      <w:r w:rsidR="00086321" w:rsidRPr="005A7F38">
        <w:fldChar w:fldCharType="begin"/>
      </w:r>
      <w:r w:rsidR="00B775CB">
        <w:instrText>ADDIN F1000_CSL_CITATION&lt;~#@#~&gt;[{"DOI":"10.1101/cshperspect.a019810","First":false,"Last":false,"PMCID":"PMC4448585","PMID":"25384764","abstract":"Fungi are fundamental to the human microbiome, the collection of microbes distributed across and within the body, and the microbiome has been shown, in total, to modify fundamental human physiology, including energy acquisition, vitamin-cofactor availability, xenobiotic metabolism, immune development and function, and even neurological development and behavior. Here, a comprehensive review of current knowledge about the mycobiome, the collective of fungi within the microbiome, highlights methods for its study, diversity between body sites, and dynamics during human development, health, and disease. Early-stage studies show interactions between the mycobiome and other microbes, with host physiology, and in pathogenic and mutualistic phenotypes. Current research portends a vital role for the mycobiome in human health and disease.&lt;br&gt;&lt;br&gt;Copyright © 2015 Cold Spring Harbor Laboratory Press; all rights reserved.","author":[{"family":"Seed","given":"Patrick C"}],"authorYearDisplayFormat":false,"citation-label":"3778596","container-title":"Cold Spring Harbor perspectives in medicine","container-title-short":"Cold Spring Harb Perspect Med","id":"3778596","invisible":false,"issue":"5","issued":{"date-parts":[["2014","11","10"]]},"journalAbbreviation":"Cold Spring Harb Perspect Med","page":"a019810","suppress-author":false,"title":"The human mycobiome.","type":"article-journal","volume":"5"}]</w:instrText>
      </w:r>
      <w:r w:rsidR="00086321" w:rsidRPr="005A7F38">
        <w:fldChar w:fldCharType="separate"/>
      </w:r>
      <w:r w:rsidR="00B775CB" w:rsidRPr="00B775CB">
        <w:rPr>
          <w:noProof/>
          <w:vertAlign w:val="superscript"/>
        </w:rPr>
        <w:t>161</w:t>
      </w:r>
      <w:r w:rsidR="00086321" w:rsidRPr="005A7F38">
        <w:fldChar w:fldCharType="end"/>
      </w:r>
      <w:r w:rsidR="00E43D41" w:rsidRPr="005A7F38">
        <w:t xml:space="preserve"> The evidence indicating that the microbiome influences the development and function of the immune system is mounting.</w:t>
      </w:r>
      <w:r w:rsidR="00E43D41" w:rsidRPr="005A7F38">
        <w:fldChar w:fldCharType="begin"/>
      </w:r>
      <w:r w:rsidR="00B775CB">
        <w:instrText>ADDIN F1000_CSL_CITATION&lt;~#@#~&gt;[{"DOI":"10.1146/annurev-med-010312-133513","First":false,"Last":false,"PMCID":"PMC3731629","PMID":"23327521","abstract":"The human microbiota is a complex assemblage of the microbes inhabiting many sites in the human body. Recent advances in technology have enabled deep sequencing and analysis of the members and structures of these communities. Two sites, the vagina and gastrointestinal tract, are highlighted to exemplify how technological advances have enhanced our knowledge of the host-microbiota system. These examples represent low- and high-complexity communities, respectively. In each example, certain community structures are identified that can be extrapolated to larger collections representing multiple individuals and potential disease or health states. One common feature is the unexpected diversity of the microbiota at any of these locations, which poses a challenge for relating the microbiota to health and disease. However, we anticipate microbiota compositional measurements could become standard clinical practice in the future and may become diagnostic for certain diseases or increased susceptibility to certain disorders. The microbiota of a number of disease states are currently being examined to identify potential correlations. In line with these predictions, it is possible that existing conditions may be resolved by altering the microbiota in a positive way.","author":[{"family":"Eloe-Fadrosh","given":"Emiley A"},{"family":"Rasko","given":"David A"}],"authorYearDisplayFormat":false,"citation-label":"342072","container-title":"Annual Review of Medicine","container-title-short":"Annu Rev Med","id":"342072","invisible":false,"issued":{"date-parts":[["2013"]]},"journalAbbreviation":"Annu Rev Med","page":"145-163","suppress-author":false,"title":"The human microbiome: from symbiosis to pathogenesis.","type":"article-journal","volume":"64"},{"DOI":"10.1038/nri3684","First":false,"Last":false,"PMCID":"PMC4332855","PMID":"24854590","abstract":"The body is host to a wide variety of microbial communities from which the immune system protects us and that are important for the normal development of the immune system and for the maintenance of healthy tissues and physiological processes. Investigators have mostly focused on the bacterial members of these communities, but fungi are increasingly being recognized to have a role in defining these communities and to interact with immune cells. In this Review, we discuss what is currently known about the makeup of fungal communities in the body and the features of the immune system that are particularly important for interacting with fungi at these sites.","author":[{"family":"Underhill","given":"David M"},{"family":"Iliev","given":"Iliyan D"}],"authorYearDisplayFormat":false,"citation-label":"2297192","container-title":"Nature Reviews. Immunology","container-title-short":"Nat Rev Immunol","id":"2297192","invisible":false,"issue":"6","issued":{"date-parts":[["2014","6"]]},"journalAbbreviation":"Nat Rev Immunol","page":"405-416","suppress-author":false,"title":"The mycobiota: interactions between commensal fungi and the host immune system.","type":"article-journal","volume":"14"}]</w:instrText>
      </w:r>
      <w:r w:rsidR="00E43D41" w:rsidRPr="005A7F38">
        <w:fldChar w:fldCharType="separate"/>
      </w:r>
      <w:r w:rsidR="00B775CB" w:rsidRPr="00B775CB">
        <w:rPr>
          <w:noProof/>
          <w:vertAlign w:val="superscript"/>
        </w:rPr>
        <w:t>162,163</w:t>
      </w:r>
      <w:r w:rsidR="00E43D41" w:rsidRPr="005A7F38">
        <w:fldChar w:fldCharType="end"/>
      </w:r>
    </w:p>
    <w:p w14:paraId="10082D0D" w14:textId="4E35345B" w:rsidR="00065C59" w:rsidRPr="005A7F38" w:rsidRDefault="00065C59" w:rsidP="00967481">
      <w:pPr>
        <w:pStyle w:val="Noindent"/>
        <w:ind w:firstLine="720"/>
      </w:pPr>
      <w:r w:rsidRPr="005A7F38">
        <w:lastRenderedPageBreak/>
        <w:t>Standard culture based microbiologic and virologic methods are only able to detect a very small proportion of the bacteria, fungi and viruses that are present in different body sites because a significant majority of these microorganisms are uncultivatable or uncharacterized.</w:t>
      </w:r>
      <w:r w:rsidRPr="005A7F38">
        <w:fldChar w:fldCharType="begin"/>
      </w:r>
      <w:r w:rsidR="00B775CB">
        <w:instrText>ADDIN F1000_CSL_CITATION&lt;~#@#~&gt;[{"DOI":"10.1513/AnnalsATS.201503-172OT","First":false,"Last":false,"PMCID":"PMC4627423","PMID":"26193069","abstract":"Sarcoidosis is a systemic disease characterized by noncaseating granulomatous inflammation with tremendous clinical heterogeneity and uncertain pathobiology and lacking in clinically useful biomarkers. The Genomic Research in Alpha-1 Antitrypsin Deficiency and Sarcoidosis (GRADS) study is an observational cohort study designed to explore the role of the lung microbiome and genome in these two diseases. This article describes the design and rationale for the GRADS study sarcoidosis protocol. The study addresses the hypothesis that distinct patterns in the lung microbiome are characteristic of sarcoidosis phenotypes and are reflected in changes in systemic inflammatory responses as measured by peripheral blood changes in gene transcription. The goal is to enroll 400 participants, with a minimum of 35 in each of 9 clinical phenotype subgroups prioritized by their clinical relevance to understanding of the pathobiology and clinical heterogeneity of sarcoidosis. Participants with a confirmed diagnosis of sarcoidosis undergo a baseline visit with self-administered questionnaires, chest computed tomography, pulmonary function tests, and blood and urine testing. A research or clinical bronchoscopy with a research bronchoalveolar lavage will be performed to obtain samples for genomic and microbiome analyses. Comparisons will be made by blood genomic analysis and with clinical phenotypic variables. A 6-month follow-up visit is planned to assess each participant's clinical course. By the use of an integrative approach to the analysis of the microbiome and genome in selected clinical phenotypes, the GRADS study is powerfully positioned to inform and direct studies on the pathobiology of sarcoidosis, identify diagnostic or prognostic biomarkers, and provide novel molecular phenotypes that could lead to improved personalized approaches to therapy for sarcoidosis.","author":[{"family":"Moller","given":"David R"},{"family":"Koth","given":"Laura L"},{"family":"Maier","given":"Lisa A"},{"family":"Morris","given":"Alison"},{"family":"Drake","given":"Wonder"},{"family":"Rossman","given":"Milton"},{"family":"Leader","given":"Joseph K"},{"family":"Collman","given":"Ronald G"},{"family":"Hamzeh","given":"Nabeel"},{"family":"Sweiss","given":"Nadera J"},{"family":"Zhang","given":"Yingze"},{"family":"O'Neal","given":"Scott"},{"family":"Senior","given":"Robert M"},{"family":"Becich","given":"Michael"},{"family":"Hochheiser","given":"Harry S"},{"family":"Kaminski","given":"Naftali"},{"family":"Wisniewski","given":"Stephen R"},{"family":"Gibson","given":"Kevin F"},{"family":"GRADS Sarcoidosis Study Group"}],"authorYearDisplayFormat":false,"citation-label":"1400043","container-title":"Annals of the American Thoracic Society","container-title-short":"Ann Am Thorac Soc","id":"1400043","invisible":false,"issue":"10","issued":{"date-parts":[["2015","10"]]},"journalAbbreviation":"Ann Am Thorac Soc","page":"1561-1571","suppress-author":false,"title":"Rationale and Design of the Genomic Research in Alpha-1 Antitrypsin Deficiency and Sarcoidosis (GRADS) Study. Sarcoidosis Protocol.","type":"article-journal","volume":"12"},{"DOI":"10.1111/lam.12539","First":false,"Last":false,"PMID":"26669281","abstract":"&lt;strong&gt;UNLABELLED:&lt;/strong&gt; We surveyed the fungal microbiota in 16 faecal samples from healthy humans with a vegetarian diet. Fungi were identified using molecular cloning, 454 pyrosequencing and a Luminex analyte-specific reagent (ASR) assay, all targeting the ITS region of the rRNA genes. Fungi were detected in each faecal sample and at least 46 distinct fungal operational taxonomic units (OTUs) were detected, from two phyla - Ascomycota and Basidiomycota. Fusarium was the most abundant genus, followed by Malassezia, Penicillium, Aspergillus and Candida. Commonly detected fungi such as Aspergillus and Penicillium, as well as known dietary fungi Agaricus bisporus and Ophiocordyceps sinensis, are presumed to be transient, allochthonous members due to their abundance in the environment or dietary associations. No single method identified the full diversity of fungi in all samples; pyrosequencing detected more distinct OTUs than the other methods, but failed to detect OTUs in some samples that were detected by cloning and/or ASR assays. ASRs were limited by the commercially available assays, but the potential to design new, optimized assays, coupled with speed and cost, makes the ASR method worthy of further study.&lt;br&gt;&lt;br&gt;&lt;strong&gt;SIGNIFICANCE AND IMPACT OF THE STUDY:&lt;/strong&gt; Fungi play a role in human gut ecology and health. The field lags immensely behind bacterial gut microbiota research, and studies continue to identify new fungi in faecal samples from healthy humans. However, many of these 'new' species are incapable of growth in the human GI tract, let alone making a meaningful contribution to the gut microbial community. Fungi actually inhabiting and impacting the gut likely constitute a small set of species, and an optimized, targeted, probe-based assay may prove to be the most sensible way of quantifying their abundances.&lt;br&gt;&lt;br&gt;© 2015 The Society for Applied Microbiology.","author":[{"family":"Suhr","given":"M J"},{"family":"Banjara","given":"N"},{"family":"Hallen-Adams","given":"H E"}],"authorYearDisplayFormat":false,"citation-label":"1595777","container-title":"Letters in Applied Microbiology","container-title-short":"Lett Appl Microbiol","id":"1595777","invisible":false,"issue":"3","issued":{"date-parts":[["2016","3"]]},"journalAbbreviation":"Lett Appl Microbiol","page":"209-215","suppress-author":false,"title":"Sequence-based methods for detecting and evaluating the human gut mycobiome.","type":"article-journal","volume":"62"}]</w:instrText>
      </w:r>
      <w:r w:rsidRPr="005A7F38">
        <w:fldChar w:fldCharType="separate"/>
      </w:r>
      <w:r w:rsidR="00B775CB" w:rsidRPr="00B775CB">
        <w:rPr>
          <w:noProof/>
          <w:vertAlign w:val="superscript"/>
        </w:rPr>
        <w:t>9,164</w:t>
      </w:r>
      <w:r w:rsidRPr="005A7F38">
        <w:fldChar w:fldCharType="end"/>
      </w:r>
      <w:r w:rsidRPr="005A7F38">
        <w:t xml:space="preserve"> T</w:t>
      </w:r>
      <w:r w:rsidR="00F520D0" w:rsidRPr="005A7F38">
        <w:t>he analysis of the genetic material recovered from an environment is referred to as metagenomics.</w:t>
      </w:r>
      <w:r w:rsidR="00B41958" w:rsidRPr="005A7F38">
        <w:t xml:space="preserve"> Metagenomic approaches utilize sequence-based methods rather than culture-based methods</w:t>
      </w:r>
      <w:r w:rsidR="002E4B1D" w:rsidRPr="005A7F38">
        <w:t xml:space="preserve"> to investigate the microbial communities of interest</w:t>
      </w:r>
      <w:r w:rsidR="00B41958" w:rsidRPr="005A7F38">
        <w:t>.</w:t>
      </w:r>
      <w:r w:rsidR="00F520D0" w:rsidRPr="005A7F38">
        <w:t xml:space="preserve"> </w:t>
      </w:r>
    </w:p>
    <w:p w14:paraId="2E620459" w14:textId="3B805E63" w:rsidR="00F622D6" w:rsidRPr="00F622D6" w:rsidRDefault="00065C59" w:rsidP="00F622D6">
      <w:pPr>
        <w:pStyle w:val="Noindent"/>
        <w:ind w:firstLine="720"/>
      </w:pPr>
      <w:r w:rsidRPr="005A7F38">
        <w:t>The use of metagenomics has provided new insight into the incredibly complex composition of the human microbiome and the microbiome of several specific body sites.</w:t>
      </w:r>
      <w:r w:rsidR="000D1307" w:rsidRPr="005A7F38">
        <w:fldChar w:fldCharType="begin"/>
      </w:r>
      <w:r w:rsidR="00B775CB">
        <w:instrText>ADDIN F1000_CSL_CITATION&lt;~#@#~&gt;[{"DOI":"10.1101/gr.096651.109","First":false,"Last":false,"PMCID":"PMC2792171","PMID":"19819907","abstract":"The Human Microbiome Project (HMP), funded as an initiative of the NIH Roadmap for Biomedical Research (http://nihroadmap.nih.gov), is a multi-component community resource. The goals of the HMP are: (1) to take advantage of new, high-throughput technologies to characterize the human microbiome more fully by studying samples from multiple body sites from each of at least 250 \"normal\" volunteers; (2) to determine whether there are associations between changes in the microbiome and health/disease by studying several different medical conditions; and (3) to provide both a standardized data resource and new technological approaches to enable such studies to be undertaken broadly in the scientific community. The ethical, legal, and social implications of such research are being systematically studied as well. The ultimate objective of the HMP is to demonstrate that there are opportunities to improve human health through monitoring or manipulation of the human microbiome. The history and implementation of this new program are described here.","author":[{"family":"NIH HMP Working Group"},{"family":"Peterson","given":"Jane"},{"family":"Garges","given":"Susan"},{"family":"Giovanni","given":"Maria"},{"family":"McInnes","given":"Pamela"},{"family":"Wang","given":"Lu"},{"family":"Schloss","given":"Jeffery A"},{"family":"Bonazzi","given":"Vivien"},{"family":"McEwen","given":"Jean E"},{"family":"Wetterstrand","given":"Kris A"},{"family":"Deal","given":"Carolyn"},{"family":"Baker","given":"Carl C"},{"family":"Di Francesco","given":"Valentina"},{"family":"Howcroft","given":"T Kevin"},{"family":"Karp","given":"Robert W"},{"family":"Lunsford","given":"R Dwayne"},{"family":"Wellington","given":"Christopher R"},{"family":"Belachew","given":"Tsegahiwot"},{"family":"Wright","given":"Michael"},{"family":"Giblin","given":"Christina"},{"family":"David","given":"Hagit"},{"family":"Mills","given":"Melody"},{"family":"Salomon","given":"Rachelle"},{"family":"Mullins","given":"Christopher"},{"family":"Akolkar","given":"Beena"},{"family":"Begg","given":"Lisa"},{"family":"Davis","given":"Cindy"},{"family":"Grandison","given":"Lindsey"},{"family":"Humble","given":"Michael"},{"family":"Khalsa","given":"Jag"},{"family":"Little","given":"A Roger"},{"family":"Peavy","given":"Hannah"},{"family":"Pontzer","given":"Carol"},{"family":"Portnoy","given":"Matthew"},{"family":"Sayre","given":"Michael H"},{"family":"Starke-Reed","given":"Pamela"},{"family":"Zakhari","given":"Samir"},{"family":"Read","given":"Jennifer"},{"family":"Watson","given":"Bracie"},{"family":"Guyer","given":"Mark"}],"authorYearDisplayFormat":false,"citation-label":"227723","container-title":"Genome Research","container-title-short":"Genome Res","id":"227723","invisible":false,"issue":"12","issued":{"date-parts":[["2009","12"]]},"journalAbbreviation":"Genome Res","page":"2317-2323","suppress-author":false,"title":"The NIH human microbiome project.","type":"article-journal","volume":"19"},{"DOI":"10.1073/pnas.0506655103","First":false,"Last":false,"PMCID":"PMC1334644","PMID":"16407106","abstract":"The microbiota of the human stomach and the influence of Helicobacter pylori colonization on its composition remain largely unknown. We characterized bacterial diversity within the human gastric mucosa by using a small subunit 16S rDNA clone library approach and analyzed 1,833 sequences generated by broad-range bacterial PCR from 23 gastric endoscopic biopsy samples. A diverse community of 128 phylotypes was identified, featuring diversity at this site greater than previously described. The majority of sequences were assigned to the Proteobacteria, Firmicutes, Actinobacteria, Bacteroidetes, and Fusobacteria phyla. Ten percent of the phylotypes were previously uncharacterized, including a Deinococcus-related organism, relatives of which have been found in extreme environments but not reported before in humans. The gastric clone libraries from 19 subjects contained H. pylori rDNA; however, only 12 of these subjects tested positive for H. pylori by conventional laboratory methods. Statistical analysis revealed a large degree of intersubject variability of the gastric ecosystem. The presence of H. pylori did not affect the composition of the gastric community. This gastric bacterial rDNA data set was significantly different from sequence collections of the human mouth and esophagus described in other studies, indicating that the human stomach may be home to a distinct microbial eco-system. The gastric microbiota may play important, as-yet-undiscovered roles in human health and disease.","author":[{"family":"Bik","given":"Elisabeth M"},{"family":"Eckburg","given":"Paul B"},{"family":"Gill","given":"Steven R"},{"family":"Nelson","given":"Karen E"},{"family":"Purdom","given":"Elizabeth A"},{"family":"Francois","given":"Fritz"},{"family":"Perez-Perez","given":"Guillermo"},{"family":"Blaser","given":"Martin J"},{"family":"Relman","given":"David A"}],"authorYearDisplayFormat":false,"citation-label":"593766","container-title":"Proceedings of the National Academy of Sciences of the United States of America","container-title-short":"Proc Natl Acad Sci U S A","id":"593766","invisible":false,"issue":"3","issued":{"date-parts":[["2006","1","17"]]},"journalAbbreviation":"Proc Natl Acad Sci U S A","page":"732-737","suppress-author":false,"title":"Molecular analysis of the bacterial microbiota in the human stomach.","type":"article-journal","volume":"103"},{"DOI":"10.1073/pnas.0607077104","First":false,"Last":false,"PMCID":"PMC1815283","PMID":"17293459","abstract":"The microbial ecology of human skin is complex, but little is known about its species composition. We examined the diversity of the skin biota from the superficial volar left and right forearms in six healthy subjects using broad-range small subunit rRNA genes (16S rDNA) PCR-based sequencing of randomly selected clones. For the initial 1,221 clones analyzed, 182 species-level operational taxonomic units (SLOTUs) belonging to eight phyla were identified, estimated as 74.0% [95% confidence interval (C.I.), approximately 64.8-77.9%] of the SLOTUs in this ecosystem; 48.0 +/- 12.2 SLOTUs were found in each subject. Three phyla (Actinobacteria, Firmicutes, and Proteobacteria) accounted for 94.6% of the clones. Most (85.3%) of the bacterial sequences corresponded to known and cultivated species, but 98 (8.0%) clones, comprising 30 phylotypes, had &lt; 97% similarity to prior database sequences. Only 6 (6.6%) of the 91 genera and 4 (2.2%) of the 182 SLOTUs, respectively, were found in all six subjects. Analysis of 817 clones obtained 8-10 months later from four subjects showed additional phyla (numbering 2), genera (numbering 28), and SLOTUs (numbering 65). Only four (3.4%) of the 119 genera (Propionibacteria, Corynebacteria, Staphylococcus, and Streptococcus) were observed in each subject tested twice, but these genera represented 54.4% of all clones. These results show that the bacterial biota in normal superficial skin is highly diverse, with few well conserved and well represented genera, but otherwise low-level interpersonal consensus.","author":[{"family":"Gao","given":"Zhan"},{"family":"Tseng","given":"Chi-hong"},{"family":"Pei","given":"Zhiheng"},{"family":"Blaser","given":"Martin J"}],"authorYearDisplayFormat":false,"citation-label":"1415362","container-title":"Proceedings of the National Academy of Sciences of the United States of America","container-title-short":"Proc Natl Acad Sci U S A","id":"1415362","invisible":false,"issue":"8","issued":{"date-parts":[["2007","2","20"]]},"journalAbbreviation":"Proc Natl Acad Sci U S A","page":"2927-2932","suppress-author":false,"title":"Molecular analysis of human forearm superficial skin bacterial biota.","type":"article-journal","volume":"104"},{"DOI":"10.1128/JB.183.12.3770-3783.2001","First":false,"Last":false,"PMCID":"PMC95255","PMID":"11371542","abstract":"The purpose of this study was to determine the bacterial diversity in the human subgingival plaque by using culture-independent molecular methods as part of an ongoing effort to obtain full 16S rRNA sequences for all cultivable and not-yet-cultivated species of human oral bacteria. Subgingival plaque was analyzed from healthy subjects and subjects with refractory periodontitis, adult periodontitis, human immunodeficiency virus periodontitis, and acute necrotizing ulcerative gingivitis. 16S ribosomal DNA (rDNA) bacterial genes from DNA isolated from subgingival plaque samples were PCR amplified with all-bacterial or selective primers and cloned into Escherichia coli. The sequences of cloned 16S rDNA inserts were used to determine species identity or closest relatives by comparison with sequences of known species. A total of 2,522 clones were analyzed. Nearly complete sequences of approximately 1,500 bases were obtained for putative new species. About 60% of the clones fell into 132 known species, 70 of which were identified from multiple subjects. About 40% of the clones were novel phylotypes. Of the 215 novel phylotypes, 75 were identified from multiple subjects. Known putative periodontal pathogens such as Porphyromonas gingivalis, Bacteroides forsythus, and Treponema denticola were identified from multiple subjects, but typically as a minor component of the plaque as seen in cultivable studies. Several phylotypes fell into two recently described phyla previously associated with extreme natural environments, for which there are no cultivable species. A number of species or phylotypes were found only in subjects with disease, and a few were found only in healthy subjects. The organisms identified only from diseased sites deserve further study as potential pathogens. Based on the sequence data in this study, the predominant subgingival microbial community consisted of 347 species or phylotypes that fall into 9 bacterial phyla. Based on the 347 species seen in our sample of 2,522 clones, we estimate that there are 68 additional unseen species, for a total estimate of 415 species in the subgingival plaque. When organisms found on other oral surfaces such as the cheek, tongue, and teeth are added to this number, the best estimate of the total species diversity in the oral cavity is approximately 500 species, as previously proposed.","author":[{"family":"Paster","given":"B J"},{"family":"Boches","given":"S K"},{"family":"Galvin","given":"J L"},{"family":"Ericson","given":"R E"},{"family":"Lau","given":"C N"},{"family":"Levanos","given":"V A"},{"family":"Sahasrabudhe","given":"A"},{"family":"Dewhirst","given":"F E"}],"authorYearDisplayFormat":false,"citation-label":"594027","container-title":"Journal of Bacteriology","container-title-short":"J Bacteriol","id":"594027","invisible":false,"issue":"12","issued":{"date-parts":[["2001","6"]]},"journalAbbreviation":"J Bacteriol","page":"3770-3783","suppress-author":false,"title":"Bacterial diversity in human subgingival plaque.","type":"article-journal","volume":"183"},{"First":false,"Last":false,"PMCID":"PMC24473","PMID":"10588742","abstract":"Molecular, sequence-based environmental surveys of microorganisms have revealed a large degree of previously uncharacterized diversity. However, nearly all studies of the human endogenous bacterial flora have relied on cultivation and biochemical characterization of the resident organisms. We used molecular methods to characterize the breadth of bacterial diversity within the human subgingival crevice by comparing 264 small subunit rDNA sequences from 21 clone libraries created with products amplified directly from subgingival plaque, with sequences obtained from bacteria that were cultivated from the same specimen, as well as with sequences available in public databases. The majority (52.5%) of the directly amplified 16S rRNA sequences were &lt; 99% identical to sequences within public databases. In contrast, only 21.4% of the sequences recovered from cultivated bacteria showed this degree of variability. The 16S rDNA sequences recovered by direct amplification were also more deeply divergent; 13.5% of the amplified sequences were more than 5% nonidentical to any known sequence, a level of dissimilarity that is often found between members of different genera. None of the cultivated sequences exhibited this degree of sequence dissimilarity. Finally, direct amplification of 16S rDNA yielded a more diverse view of the subgingival bacterial flora than did cultivation. Our data suggest that a significant proportion of the resident human bacterial flora remain poorly characterized, even within this well studied and familiar microbial environment.","author":[{"family":"Kroes","given":"I"},{"family":"Lepp","given":"P W"},{"family":"Relman","given":"D A"}],"authorYearDisplayFormat":false,"citation-label":"593953","container-title":"Proceedings of the National Academy of Sciences of the United States of America","container-title-short":"Proc Natl Acad Sci U S A","id":"593953","invisible":false,"issue":"25","issued":{"date-parts":[["1999","12","7"]]},"journalAbbreviation":"Proc Natl Acad Sci U S A","page":"14547-14552","suppress-author":false,"title":"Bacterial diversity within the human subgingival crevice.","type":"article-journal","volume":"96"},{"DOI":"10.1371/journal.pcbi.1002808","First":false,"Last":false,"PMCID":"PMC3531975","PMID":"23300406","abstract":"Humans are essentially sterile during gestation, but during and after birth, every body surface, including the skin, mouth, and gut, becomes host to an enormous variety of microbes, bacterial, archaeal, fungal, and viral. Under normal circumstances, these microbes help us to digest our food and to maintain our immune systems, but dysfunction of the human microbiota has been linked to conditions ranging from inflammatory bowel disease to antibiotic-resistant infections. Modern high-throughput sequencing and bioinformatic tools provide a powerful means of understanding the contribution of the human microbiome to health and its potential as a target for therapeutic interventions. This chapter will first discuss the historical origins of microbiome studies and methods for determining the ecological diversity of a microbial community. Next, it will introduce shotgun sequencing technologies such as metagenomics and metatranscriptomics, the computational challenges and methods associated with these data, and how they enable microbiome analysis. Finally, it will conclude with examples of the functional genomics of the human microbiome and its influences upon health and disease.","author":[{"family":"Morgan","given":"Xochitl C"},{"family":"Huttenhower","given":"Curtis"}],"authorYearDisplayFormat":false,"citation-label":"185536","container-title":"PLoS Computational Biology","container-title-short":"PLoS Comput Biol","id":"185536","invisible":false,"issue":"12","issued":{"date-parts":[["2012","12","27"]]},"journalAbbreviation":"PLoS Comput Biol","page":"e1002808","suppress-author":false,"title":"Chapter 12: Human microbiome analysis.","type":"article-journal","volume":"8"}]</w:instrText>
      </w:r>
      <w:r w:rsidR="000D1307" w:rsidRPr="005A7F38">
        <w:fldChar w:fldCharType="separate"/>
      </w:r>
      <w:r w:rsidR="00B775CB" w:rsidRPr="00B775CB">
        <w:rPr>
          <w:noProof/>
          <w:vertAlign w:val="superscript"/>
        </w:rPr>
        <w:t>154,160,165–168</w:t>
      </w:r>
      <w:r w:rsidR="000D1307" w:rsidRPr="005A7F38">
        <w:fldChar w:fldCharType="end"/>
      </w:r>
      <w:r w:rsidRPr="005A7F38">
        <w:t xml:space="preserve"> </w:t>
      </w:r>
      <w:r w:rsidR="00967481" w:rsidRPr="005A7F38">
        <w:t>Recent advances in technology have provided powerful high-throughput sequencing and bioinformatics tools that contribute to the ability to understand the contribution of the human microbiome to health and the huge potential available for therapeutic interventions targeting the microbiome.</w:t>
      </w:r>
      <w:r w:rsidR="00967481" w:rsidRPr="005A7F38">
        <w:fldChar w:fldCharType="begin"/>
      </w:r>
      <w:r w:rsidR="00B775CB">
        <w:instrText>ADDIN F1000_CSL_CITATION&lt;~#@#~&gt;[{"DOI":"10.1371/journal.pcbi.1002808","First":false,"Last":false,"PMCID":"PMC3531975","PMID":"23300406","abstract":"Humans are essentially sterile during gestation, but during and after birth, every body surface, including the skin, mouth, and gut, becomes host to an enormous variety of microbes, bacterial, archaeal, fungal, and viral. Under normal circumstances, these microbes help us to digest our food and to maintain our immune systems, but dysfunction of the human microbiota has been linked to conditions ranging from inflammatory bowel disease to antibiotic-resistant infections. Modern high-throughput sequencing and bioinformatic tools provide a powerful means of understanding the contribution of the human microbiome to health and its potential as a target for therapeutic interventions. This chapter will first discuss the historical origins of microbiome studies and methods for determining the ecological diversity of a microbial community. Next, it will introduce shotgun sequencing technologies such as metagenomics and metatranscriptomics, the computational challenges and methods associated with these data, and how they enable microbiome analysis. Finally, it will conclude with examples of the functional genomics of the human microbiome and its influences upon health and disease.","author":[{"family":"Morgan","given":"Xochitl C"},{"family":"Huttenhower","given":"Curtis"}],"authorYearDisplayFormat":false,"citation-label":"185536","container-title":"PLoS Computational Biology","container-title-short":"PLoS Comput Biol","id":"185536","invisible":false,"issue":"12","issued":{"date-parts":[["2012","12","27"]]},"journalAbbreviation":"PLoS Comput Biol","page":"e1002808","suppress-author":false,"title":"Chapter 12: Human microbiome analysis.","type":"article-journal","volume":"8"}]</w:instrText>
      </w:r>
      <w:r w:rsidR="00967481" w:rsidRPr="005A7F38">
        <w:fldChar w:fldCharType="separate"/>
      </w:r>
      <w:r w:rsidR="00B775CB" w:rsidRPr="00B775CB">
        <w:rPr>
          <w:noProof/>
          <w:vertAlign w:val="superscript"/>
        </w:rPr>
        <w:t>154</w:t>
      </w:r>
      <w:r w:rsidR="00967481" w:rsidRPr="005A7F38">
        <w:fldChar w:fldCharType="end"/>
      </w:r>
      <w:r w:rsidR="00967481" w:rsidRPr="005A7F38">
        <w:t xml:space="preserve"> </w:t>
      </w:r>
      <w:r w:rsidRPr="005A7F38">
        <w:t xml:space="preserve">This information has allowed for the formation of </w:t>
      </w:r>
      <w:r w:rsidR="00470937" w:rsidRPr="005A7F38">
        <w:t xml:space="preserve">a </w:t>
      </w:r>
      <w:r w:rsidRPr="005A7F38">
        <w:t xml:space="preserve">tentative </w:t>
      </w:r>
      <w:r w:rsidR="00470937" w:rsidRPr="005A7F38">
        <w:t>understanding</w:t>
      </w:r>
      <w:r w:rsidRPr="005A7F38">
        <w:t xml:space="preserve"> regarding the relationships between specific microbiomes and health. </w:t>
      </w:r>
      <w:r w:rsidR="00470937" w:rsidRPr="005A7F38">
        <w:t xml:space="preserve">The </w:t>
      </w:r>
      <w:r w:rsidR="006271B6" w:rsidRPr="005A7F38">
        <w:t>understanding</w:t>
      </w:r>
      <w:r w:rsidR="00470937" w:rsidRPr="005A7F38">
        <w:t xml:space="preserve"> of relationship between microbiomes of different body sites with each other as well as the relationship between different microbial agents with each other and the host immune system is rudimentary at best. Significant research into this area needed to elucidate these relationships and therapeutic int</w:t>
      </w:r>
      <w:r w:rsidR="00F622D6">
        <w:t>erventions that may be possible.</w:t>
      </w:r>
    </w:p>
    <w:p w14:paraId="500AE98D" w14:textId="77777777" w:rsidR="00E445C8" w:rsidRPr="005A7F38" w:rsidRDefault="00FF2C8D" w:rsidP="002446BB">
      <w:pPr>
        <w:pStyle w:val="Heading3"/>
        <w:rPr>
          <w:rFonts w:cs="Times New Roman"/>
        </w:rPr>
      </w:pPr>
      <w:bookmarkStart w:id="43" w:name="_Toc506540022"/>
      <w:r w:rsidRPr="005A7F38">
        <w:rPr>
          <w:rFonts w:cs="Times New Roman"/>
        </w:rPr>
        <w:t>Defining the Mycobiome</w:t>
      </w:r>
      <w:bookmarkEnd w:id="43"/>
    </w:p>
    <w:p w14:paraId="47E49206" w14:textId="751D1B78" w:rsidR="009D6B64" w:rsidRPr="009D6B64" w:rsidRDefault="00086321" w:rsidP="009D6B64">
      <w:pPr>
        <w:pStyle w:val="Noindent"/>
      </w:pPr>
      <w:r w:rsidRPr="005A7F38">
        <w:t>Mycobiome refers specifically to the fungi and their genes contained in an environment.</w:t>
      </w:r>
      <w:r w:rsidR="009B7D04" w:rsidRPr="005A7F38">
        <w:fldChar w:fldCharType="begin"/>
      </w:r>
      <w:r w:rsidR="00B775CB">
        <w:instrText>ADDIN F1000_CSL_CITATION&lt;~#@#~&gt;[{"DOI":"10.1101/cshperspect.a019810","First":false,"Last":false,"PMCID":"PMC4448585","PMID":"25384764","abstract":"Fungi are fundamental to the human microbiome, the collection of microbes distributed across and within the body, and the microbiome has been shown, in total, to modify fundamental human physiology, including energy acquisition, vitamin-cofactor availability, xenobiotic metabolism, immune development and function, and even neurological development and behavior. Here, a comprehensive review of current knowledge about the mycobiome, the collective of fungi within the microbiome, highlights methods for its study, diversity between body sites, and dynamics during human development, health, and disease. Early-stage studies show interactions between the mycobiome and other microbes, with host physiology, and in pathogenic and mutualistic phenotypes. Current research portends a vital role for the mycobiome in human health and disease.&lt;br&gt;&lt;br&gt;Copyright © 2015 Cold Spring Harbor Laboratory Press; all rights reserved.","author":[{"family":"Seed","given":"Patrick C"}],"authorYearDisplayFormat":false,"citation-label":"3778596","container-title":"Cold Spring Harbor perspectives in medicine","container-title-short":"Cold Spring Harb Perspect Med","id":"3778596","invisible":false,"issue":"5","issued":{"date-parts":[["2014","11","10"]]},"journalAbbreviation":"Cold Spring Harb Perspect Med","page":"a019810","suppress-author":false,"title":"The human mycobiome.","type":"article-journal","volume":"5"}]</w:instrText>
      </w:r>
      <w:r w:rsidR="009B7D04" w:rsidRPr="005A7F38">
        <w:fldChar w:fldCharType="separate"/>
      </w:r>
      <w:r w:rsidR="00B775CB" w:rsidRPr="00B775CB">
        <w:rPr>
          <w:noProof/>
          <w:vertAlign w:val="superscript"/>
        </w:rPr>
        <w:t>161</w:t>
      </w:r>
      <w:r w:rsidR="009B7D04" w:rsidRPr="005A7F38">
        <w:fldChar w:fldCharType="end"/>
      </w:r>
      <w:r w:rsidR="006537F1" w:rsidRPr="005A7F38">
        <w:t xml:space="preserve"> Despite the low relative abundance (&lt;0.1%) of fungi to bacteria, t</w:t>
      </w:r>
      <w:r w:rsidRPr="005A7F38">
        <w:t>he mycobiome is a fundamenta</w:t>
      </w:r>
      <w:r w:rsidR="006537F1" w:rsidRPr="005A7F38">
        <w:t>l part of the human microbiome.</w:t>
      </w:r>
      <w:r w:rsidR="009B7D04" w:rsidRPr="005A7F38">
        <w:fldChar w:fldCharType="begin"/>
      </w:r>
      <w:r w:rsidR="00B775CB">
        <w:instrText>ADDIN F1000_CSL_CITATION&lt;~#@#~&gt;[{"DOI":"10.1038/nature08821","First":false,"Last":false,"PMCID":"PMC3779803","PMID":"20203603","abstract":"To understand the impact of gut microbes on human health and well-being it is crucial to assess their genetic potential. Here we describe the Illumina-based metagenomic sequencing, assembly and characterization of 3.3 million non-redundant microbial genes, derived from 576.7 gigabases of sequence, from faecal samples of 124 European individuals. The gene set, approximately 150 times larger than the human gene complement, contains an overwhelming majority of the prevalent (more frequent) microbial genes of the cohort and probably includes a large proportion of the prevalent human intestinal microbial genes. The genes are largely shared among individuals of the cohort. Over 99% of the genes are bacterial, indicating that the entire cohort harbours between 1,000 and 1,150 prevalent bacterial species and each individual at least 160 such species, which are also largely shared. We define and describe the minimal gut metagenome and the minimal gut bacterial genome in terms of functions present in all individuals and most bacteria, respectively.","author":[{"family":"Qin","given":"Junjie"},{"family":"Li","given":"Ruiqiang"},{"family":"Raes","given":"Jeroen"},{"family":"Arumugam","given":"Manimozhiyan"},{"family":"Burgdorf","given":"Kristoffer Solvsten"},{"family":"Manichanh","given":"Chaysavanh"},{"family":"Nielsen","given":"Trine"},{"family":"Pons","given":"Nicolas"},{"family":"Levenez","given":"Florence"},{"family":"Yamada","given":"Takuji"},{"family":"Mende","given":"Daniel R"},{"family":"Li","given":"Junhua"},{"family":"Xu","given":"Junming"},{"family":"Li","given":"Shaochuan"},{"family":"Li","given":"Dongfang"},{"family":"Cao","given":"Jianjun"},{"family":"Wang","given":"Bo"},{"family":"Liang","given":"Huiqing"},{"family":"Zheng","given":"Huisong"},{"family":"Xie","given":"Yinlong"},{"family":"Tap","given":"Julien"},{"family":"Lepage","given":"Patricia"},{"family":"Bertalan","given":"Marcelo"},{"family":"Batto","given":"Jean-Michel"},{"family":"Hansen","given":"Torben"},{"family":"Le Paslier","given":"Denis"},{"family":"Linneberg","given":"Allan"},{"family":"Nielsen","given":"H Bjørn"},{"family":"Pelletier","given":"Eric"},{"family":"Renault","given":"Pierre"},{"family":"Sicheritz-Ponten","given":"Thomas"},{"family":"Turner","given":"Keith"},{"family":"Zhu","given":"Hongmei"},{"family":"Yu","given":"Chang"},{"family":"Li","given":"Shengting"},{"family":"Jian","given":"Min"},{"family":"Zhou","given":"Yan"},{"family":"Li","given":"Yingrui"},{"family":"Zhang","given":"Xiuqing"},{"family":"Li","given":"Songgang"},{"family":"Qin","given":"Nan"},{"family":"Yang","given":"Huanming"},{"family":"Wang","given":"Jian"},{"family":"Brunak","given":"Søren"},{"family":"Doré","given":"Joel"},{"family":"Guarner","given":"Francisco"},{"family":"Kristiansen","given":"Karsten"},{"family":"Pedersen","given":"Oluf"},{"family":"Parkhill","given":"Julian"},{"family":"Weissenbach","given":"Jean"},{"family":"MetaHIT Consortium"},{"family":"Bork","given":"Peer"},{"family":"Ehrlich","given":"S Dusko"},{"family":"Wang","given":"Jun"}],"authorYearDisplayFormat":false,"citation-label":"27662","container-title":"Nature","container-title-short":"Nature","id":"27662","invisible":false,"issue":"7285","issued":{"date-parts":[["2010","3","4"]]},"journalAbbreviation":"Nature","page":"59-65","suppress-author":false,"title":"A human gut microbial gene catalogue established by metagenomic sequencing.","type":"article-journal","volume":"464"}]</w:instrText>
      </w:r>
      <w:r w:rsidR="009B7D04" w:rsidRPr="005A7F38">
        <w:fldChar w:fldCharType="separate"/>
      </w:r>
      <w:r w:rsidR="00B775CB" w:rsidRPr="00B775CB">
        <w:rPr>
          <w:noProof/>
          <w:vertAlign w:val="superscript"/>
        </w:rPr>
        <w:t>158</w:t>
      </w:r>
      <w:r w:rsidR="009B7D04" w:rsidRPr="005A7F38">
        <w:fldChar w:fldCharType="end"/>
      </w:r>
      <w:r w:rsidR="009B7D04" w:rsidRPr="005A7F38">
        <w:t xml:space="preserve"> There have been extensive studies into the composition and dynamics of the bacterial communities with in the human microbiome and the association with health and </w:t>
      </w:r>
      <w:r w:rsidR="009B7D04" w:rsidRPr="005A7F38">
        <w:lastRenderedPageBreak/>
        <w:t>disease. However, the fungal communities with in the human microbiome have been largely ignored.</w:t>
      </w:r>
      <w:r w:rsidR="009B7D04" w:rsidRPr="005A7F38">
        <w:fldChar w:fldCharType="begin"/>
      </w:r>
      <w:r w:rsidR="00B775CB">
        <w:instrText>ADDIN F1000_CSL_CITATION&lt;~#@#~&gt;[{"DOI":"10.1101/cshperspect.a019810","First":false,"Last":false,"PMCID":"PMC4448585","PMID":"25384764","abstract":"Fungi are fundamental to the human microbiome, the collection of microbes distributed across and within the body, and the microbiome has been shown, in total, to modify fundamental human physiology, including energy acquisition, vitamin-cofactor availability, xenobiotic metabolism, immune development and function, and even neurological development and behavior. Here, a comprehensive review of current knowledge about the mycobiome, the collective of fungi within the microbiome, highlights methods for its study, diversity between body sites, and dynamics during human development, health, and disease. Early-stage studies show interactions between the mycobiome and other microbes, with host physiology, and in pathogenic and mutualistic phenotypes. Current research portends a vital role for the mycobiome in human health and disease.&lt;br&gt;&lt;br&gt;Copyright © 2015 Cold Spring Harbor Laboratory Press; all rights reserved.","author":[{"family":"Seed","given":"Patrick C"}],"authorYearDisplayFormat":false,"citation-label":"3778596","container-title":"Cold Spring Harbor perspectives in medicine","container-title-short":"Cold Spring Harb Perspect Med","id":"3778596","invisible":false,"issue":"5","issued":{"date-parts":[["2014","11","10"]]},"journalAbbreviation":"Cold Spring Harb Perspect Med","page":"a019810","suppress-author":false,"title":"The human mycobiome.","type":"article-journal","volume":"5"},{"DOI":"10.3389/fmicb.2017.01432","First":false,"Last":false,"PMCID":"PMC5534473","PMID":"28824566","abstract":"The human gut is host to a diverse range of fungal species, collectively referred to as the gut \"mycobiome\". The gut mycobiome is emerging as an area of considerable research interest due to the potential roles of these fungi in human health and disease. However, there is no consensus as to what the best or most suitable methodologies available are with respect to characterizing the human gut mycobiome. The aim of this study is to provide a comparative analysis of several previously published mycobiome-specific culture-dependent and -independent methodologies, including choice of culture media, incubation conditions (aerobic versus anaerobic), DNA extraction method, primer set and freezing of fecal samples to assess their relative merits and suitability for gut mycobiome analysis. There was no significant effect of media type or aeration on culture-dependent results. However, freezing was found to have a significant effect on fungal viability, with significantly lower fungal numbers recovered from frozen samples. DNA extraction method had a significant effect on DNA yield and quality. However, freezing and extraction method did not have any impact on either α or β diversity. There was also considerable variation in the ability of different fungal-specific primer sets to generate PCR products for subsequent sequence analysis. Through this investigation two DNA extraction methods and one primer set was identified which facilitated the analysis of the mycobiome for all samples in this study. Ultimately, a diverse range of fungal species were recovered using both approaches, with Candida and Saccharomyces identified as the most common fungal species recovered using culture-dependent and culture-independent methods, respectively. As has been apparent from ecological surveys of the bacterial fraction of the gut microbiota, the use of different methodologies can also impact on our understanding of gut mycobiome composition and therefore requires careful consideration. Future research into the gut mycobiome needs to adopt a common strategy to minimize potentially confounding effects of methodological choice and to facilitate comparative analysis of datasets.","author":[{"family":"Huseyin","given":"Chloe E"},{"family":"Rubio","given":"Raul Cabrera"},{"family":"O'Sullivan","given":"Orla"},{"family":"Cotter","given":"Paul D"},{"family":"Scanlan","given":"Pauline D"}],"authorYearDisplayFormat":false,"citation-label":"4081574","container-title":"Frontiers in microbiology","container-title-short":"Front Microbiol","id":"4081574","invisible":false,"issued":{"date-parts":[["2017","7","31"]]},"journalAbbreviation":"Front Microbiol","page":"1432","suppress-author":false,"title":"The fungal frontier: A comparative analysis of methods used in the study of the human gut mycobiome.","type":"article-journal","volume":"8"},{"DOI":"10.1093/femsre/fuw047","First":false,"Last":false,"PMID":"28430946","abstract":"The human body is home to a complex and diverse microbial ecosystem that plays a central role in host health. This includes a diversity of fungal species that is collectively referred to as our 'mycobiome'. Although research into the mycobiome is still in its infancy, its potential role in human disease is increasingly recognised. Here we review the existing literature available on the human mycobiota with an emphasis on the gut mycobiome, including how fungi interact with the human host and other microbes. In doing so, we provide a comprehensive critique of the methodologies available to research the human mycobiota as well as highlighting the latest research findings from mycological surveys of different groups of interest including infants, obese and inflammatory bowel disease cohorts. This in turn provides new insights and directions for future studies in this burgeoning research area.&lt;br&gt;&lt;br&gt;© FEMS 2017. All rights reserved. For permissions, please e-mail: journals.permissions@oup.com.","author":[{"family":"Huseyin","given":"Chloe E"},{"family":"O'Toole","given":"Paul W"},{"family":"Cotter","given":"Paul D"},{"family":"Scanlan","given":"Pauline D"}],"authorYearDisplayFormat":false,"citation-label":"4081575","container-title":"FEMS Microbiology Reviews","container-title-short":"FEMS Microbiol Rev","id":"4081575","invisible":false,"issue":"4","issued":{"date-parts":[["2017","7","1"]]},"journalAbbreviation":"FEMS Microbiol Rev","page":"479-511","suppress-author":false,"title":"Forgotten fungi-the gut mycobiome in human health and disease.","type":"article-journal","volume":"41"}]</w:instrText>
      </w:r>
      <w:r w:rsidR="009B7D04" w:rsidRPr="005A7F38">
        <w:fldChar w:fldCharType="separate"/>
      </w:r>
      <w:r w:rsidR="00B775CB" w:rsidRPr="00B775CB">
        <w:rPr>
          <w:noProof/>
          <w:vertAlign w:val="superscript"/>
        </w:rPr>
        <w:t>161,169,170</w:t>
      </w:r>
      <w:r w:rsidR="009B7D04" w:rsidRPr="005A7F38">
        <w:fldChar w:fldCharType="end"/>
      </w:r>
      <w:r w:rsidR="009B7D04" w:rsidRPr="005A7F38">
        <w:t xml:space="preserve"> Although there is a remarkable association between fungi and infectious diseases and allergies, the diversity and dynamics of the mycobiome are not well understood.</w:t>
      </w:r>
      <w:r w:rsidR="009B7D04" w:rsidRPr="005A7F38">
        <w:fldChar w:fldCharType="begin"/>
      </w:r>
      <w:r w:rsidR="00B775CB">
        <w:instrText>ADDIN F1000_CSL_CITATION&lt;~#@#~&gt;[{"First":false,"ISBN":"0963117211","Last":false,"PMID":"21413276","author":[{"family":"Walsh","given":"Thomas J."},{"family":"Dixon","given":"Dennis M."}],"authorYearDisplayFormat":false,"citation-label":"1488180","container-title":"Medical Microbiology","edition":"4th","editor":[{"family":"Baron","given":"Samuel"}],"id":"1488180","invisible":false,"issued":{"date-parts":[["1996"]]},"publisher":"University of Texas Medical Branch at Galveston","publisher-place":"Galveston (TX)","suppress-author":false,"title":"Spectrum of Mycoses","type":"chapter"}]</w:instrText>
      </w:r>
      <w:r w:rsidR="009B7D04" w:rsidRPr="005A7F38">
        <w:fldChar w:fldCharType="separate"/>
      </w:r>
      <w:r w:rsidR="00B775CB" w:rsidRPr="00B775CB">
        <w:rPr>
          <w:noProof/>
          <w:vertAlign w:val="superscript"/>
        </w:rPr>
        <w:t>171</w:t>
      </w:r>
      <w:r w:rsidR="009B7D04" w:rsidRPr="005A7F38">
        <w:fldChar w:fldCharType="end"/>
      </w:r>
      <w:r w:rsidR="009B7D04" w:rsidRPr="005A7F38">
        <w:t xml:space="preserve"> The role of the mycobiome in maintaining microbial community structure, metabolic function and immune priming and modulation are unexplored. The relationship and interaction between fungi and the bacteria and viruses at a body site is a source of significant questions. </w:t>
      </w:r>
    </w:p>
    <w:p w14:paraId="3F30F822" w14:textId="77777777" w:rsidR="00217F2B" w:rsidRPr="005A7F38" w:rsidRDefault="00217F2B" w:rsidP="006271B6">
      <w:pPr>
        <w:pStyle w:val="Heading3"/>
        <w:rPr>
          <w:rFonts w:cs="Times New Roman"/>
        </w:rPr>
      </w:pPr>
      <w:bookmarkStart w:id="44" w:name="_Toc506540023"/>
      <w:r w:rsidRPr="005A7F38">
        <w:rPr>
          <w:rFonts w:cs="Times New Roman"/>
        </w:rPr>
        <w:t>Role of the Microbiome in Sarcoidosis</w:t>
      </w:r>
      <w:bookmarkEnd w:id="44"/>
    </w:p>
    <w:p w14:paraId="54ABF7FB" w14:textId="17CD79A0" w:rsidR="00481908" w:rsidRPr="005A7F38" w:rsidRDefault="00481908" w:rsidP="00481908">
      <w:pPr>
        <w:pStyle w:val="Noindent"/>
      </w:pPr>
      <w:r w:rsidRPr="005A7F38">
        <w:t>Previously thought to be sterile, the lung is host to a diverse microbiome.</w:t>
      </w:r>
      <w:r w:rsidRPr="005A7F38">
        <w:fldChar w:fldCharType="begin"/>
      </w:r>
      <w:r w:rsidR="00B775CB">
        <w:instrText>ADDIN F1000_CSL_CITATION&lt;~#@#~&gt;[{"DOI":"10.1513/AnnalsATS.201402-052PL","First":false,"Last":false,"PMCID":"PMC4200574","PMID":"25148429","abstract":"Investigation of the human microbiome has become an important field of research facilitated by advances in sequencing technologies. The lung, which is one of the latest body sites being explored for the characterization of human-associated microbial communities, has a microbiome that is suspected to play a substantial role in health and disease. In this review, we provide an overview of the basics of microbiome studies. Challenges in the study of the lung microbiome are highlighted, and further attention is called to the optimization and standardization of methodologies to explore the role of the lung microbiome in health and disease. We also provide examples of lung microbial communities associated with disease or infection status and discuss the role of fungal species in the lung. Finally, we review studies demonstrating that the environmental microbiome can influence lung health and disease, such as the finding that the diversity of microbial exposure correlates inversely with the development of childhood asthma.","author":[{"family":"Cui","given":"Lijia"},{"family":"Morris","given":"Alison"},{"family":"Huang","given":"Laurence"},{"family":"Beck","given":"James M"},{"family":"Twigg","given":"Homer L"},{"family":"von Mutius","given":"Erika"},{"family":"Ghedin","given":"Elodie"}],"authorYearDisplayFormat":false,"citation-label":"586797","container-title":"Annals of the American Thoracic Society","container-title-short":"Ann Am Thorac Soc","id":"586797","invisible":false,"issued":{"date-parts":[["2014","8"]]},"journalAbbreviation":"Ann Am Thorac Soc","page":"S227-32","suppress-author":false,"title":"The microbiome and the lung.","type":"article-journal","volume":"11 Suppl 4"},{"DOI":"10.1164/rccm.201303-0488WS","First":false,"Last":false,"PMCID":"PMC5155250","PMID":"23614695","abstract":"Study of the human lung microbiome in the context of pulmonary health and disease is an area of emerging research interest that is being driven by several contributing factors. These factors include increased recognition of the diversity of human-associated microbiota, their roles in health and in diseases associated with chronic inflammation, and advancements in technologies and tools that have facilitated such discoveries about the microbiota in organ systems outside of the lung. Therefore, the overarching goals of lung microbiome research are: to identify and characterize microbial populations associated with the respiratory tract and lungs; to understand their roles in lung health and disease; and, we hope, to allow the development of improved approaches for diagnosing and treating chronic respiratory diseases in which the microbiome has a role. Recent studies of the lung microbiome have yielded a number of interesting findings but also highlighted questions and challenges for researchers and clinicians. In December 2011, the National Heart, Lung, and Blood Institute convened a workshop to identify key issues and areas for further attention or development to advance research on the lung microbiome. Current knowledge and the state of research on the lung and related areas of human microbiome investigation were reviewed and discussed.","author":[{"family":"Huang","given":"Yvonne J"},{"family":"Charlson","given":"Emily S"},{"family":"Collman","given":"Ronald G"},{"family":"Colombini-Hatch","given":"Sandra"},{"family":"Martinez","given":"Fernando D"},{"family":"Senior","given":"Robert M"}],"authorYearDisplayFormat":false,"citation-label":"926618","container-title":"American Journal of Respiratory and Critical Care Medicine","container-title-short":"Am J Respir Crit Care Med","id":"926618","invisible":false,"issue":"12","issued":{"date-parts":[["2013","6","15"]]},"journalAbbreviation":"Am J Respir Crit Care Med","page":"1382-1387","suppress-author":false,"title":"The role of the lung microbiome in health and disease. A National Heart, Lung, and Blood Institute workshop report.","type":"article-journal","volume":"187"},{"DOI":"10.3389/fmicb.2015.00089","First":false,"Last":false,"PMCID":"PMC4327734","PMID":"25762987","abstract":"The lung microbiome, which is believed to be stable or at least transient in healthy people, is now considered as a poly-microorganism component contributing to disease pathogenesis. Most research studies on the respiratory microbiome have focused on bacteria and their impact on lung health, but there is evidence that other non-bacterial organisms, comprising the viruses (virome) and fungi (mycobiome), are also likely to play an important role in healthy people as well as in patients. In the last few years, the lung mycobiome (previously named the fungal microbiota or microbiome) has drawn closer attention. There is growing evidence that the lung mycobiome has a significant impact on clinical outcome of chronic respiratory diseases (CRD) such as asthma, chronic obstructive pulmonary disease, cystic fibrosis, and bronchiectasis. Thanks to advances in culture independent methods, especially next generation sequencing, a number of fungi not detected by culture methods have been molecularly identified in human lungs. It has been shown that the structure and diversity of the lung mycobiome vary in different populations (healthy and different diseased individuals) which could play a role in CRD. Moreover, the link between lung mycobiome and different biomes of other body sites, especially the gut, has also been unraveled. By interacting with the bacteriome and/or virome, the respiratory mycobiome appears to be a cofactor in inflammation and in the host immune response, and therefore may contribute to the decline of the lung function and the disease progression. In this review, we report the recent limited explorations of the human respiratory mycobiome, and discuss the mycobiome's connections with other local microbial communities, as well as the relationships with the different biomes of other body sites. These studies suggest several outlooks for this understudied emerging field, which will certainly call for a renewal of our understanding of pulmonary diseases.","author":[{"family":"Nguyen","given":"Linh D N"},{"family":"Viscogliosi","given":"Eric"},{"family":"Delhaes","given":"Laurence"}],"authorYearDisplayFormat":false,"citation-label":"1004277","container-title":"Frontiers in microbiology","container-title-short":"Front Microbiol","id":"1004277","invisible":false,"issued":{"date-parts":[["2015","2","13"]]},"journalAbbreviation":"Front Microbiol","page":"89","suppress-author":false,"title":"The lung mycobiome: an emerging field of the human respiratory microbiome.","type":"article-journal","volume":"6"}]</w:instrText>
      </w:r>
      <w:r w:rsidRPr="005A7F38">
        <w:fldChar w:fldCharType="separate"/>
      </w:r>
      <w:r w:rsidR="00B775CB" w:rsidRPr="00B775CB">
        <w:rPr>
          <w:noProof/>
          <w:vertAlign w:val="superscript"/>
        </w:rPr>
        <w:t>172–174</w:t>
      </w:r>
      <w:r w:rsidRPr="005A7F38">
        <w:fldChar w:fldCharType="end"/>
      </w:r>
      <w:r w:rsidRPr="005A7F38">
        <w:t xml:space="preserve"> Due in part to the difficulty in sampling the microbiome of the lung compared to the gut, there is much less research into the microbiome of the lung.</w:t>
      </w:r>
      <w:r w:rsidRPr="005A7F38">
        <w:fldChar w:fldCharType="begin"/>
      </w:r>
      <w:r w:rsidR="00B775CB">
        <w:instrText>ADDIN F1000_CSL_CITATION&lt;~#@#~&gt;[{"DOI":"10.3389/fmicb.2015.00089","First":false,"Last":false,"PMCID":"PMC4327734","PMID":"25762987","abstract":"The lung microbiome, which is believed to be stable or at least transient in healthy people, is now considered as a poly-microorganism component contributing to disease pathogenesis. Most research studies on the respiratory microbiome have focused on bacteria and their impact on lung health, but there is evidence that other non-bacterial organisms, comprising the viruses (virome) and fungi (mycobiome), are also likely to play an important role in healthy people as well as in patients. In the last few years, the lung mycobiome (previously named the fungal microbiota or microbiome) has drawn closer attention. There is growing evidence that the lung mycobiome has a significant impact on clinical outcome of chronic respiratory diseases (CRD) such as asthma, chronic obstructive pulmonary disease, cystic fibrosis, and bronchiectasis. Thanks to advances in culture independent methods, especially next generation sequencing, a number of fungi not detected by culture methods have been molecularly identified in human lungs. It has been shown that the structure and diversity of the lung mycobiome vary in different populations (healthy and different diseased individuals) which could play a role in CRD. Moreover, the link between lung mycobiome and different biomes of other body sites, especially the gut, has also been unraveled. By interacting with the bacteriome and/or virome, the respiratory mycobiome appears to be a cofactor in inflammation and in the host immune response, and therefore may contribute to the decline of the lung function and the disease progression. In this review, we report the recent limited explorations of the human respiratory mycobiome, and discuss the mycobiome's connections with other local microbial communities, as well as the relationships with the different biomes of other body sites. These studies suggest several outlooks for this understudied emerging field, which will certainly call for a renewal of our understanding of pulmonary diseases.","author":[{"family":"Nguyen","given":"Linh D N"},{"family":"Viscogliosi","given":"Eric"},{"family":"Delhaes","given":"Laurence"}],"authorYearDisplayFormat":false,"citation-label":"1004277","container-title":"Frontiers in microbiology","container-title-short":"Front Microbiol","id":"1004277","invisible":false,"issued":{"date-parts":[["2015","2","13"]]},"journalAbbreviation":"Front Microbiol","page":"89","suppress-author":false,"title":"The lung mycobiome: an emerging field of the human respiratory microbiome.","type":"article-journal","volume":"6"},{"DOI":"10.1164/rccm.201303-0488WS","First":false,"Last":false,"PMCID":"PMC5155250","PMID":"23614695","abstract":"Study of the human lung microbiome in the context of pulmonary health and disease is an area of emerging research interest that is being driven by several contributing factors. These factors include increased recognition of the diversity of human-associated microbiota, their roles in health and in diseases associated with chronic inflammation, and advancements in technologies and tools that have facilitated such discoveries about the microbiota in organ systems outside of the lung. Therefore, the overarching goals of lung microbiome research are: to identify and characterize microbial populations associated with the respiratory tract and lungs; to understand their roles in lung health and disease; and, we hope, to allow the development of improved approaches for diagnosing and treating chronic respiratory diseases in which the microbiome has a role. Recent studies of the lung microbiome have yielded a number of interesting findings but also highlighted questions and challenges for researchers and clinicians. In December 2011, the National Heart, Lung, and Blood Institute convened a workshop to identify key issues and areas for further attention or development to advance research on the lung microbiome. Current knowledge and the state of research on the lung and related areas of human microbiome investigation were reviewed and discussed.","author":[{"family":"Huang","given":"Yvonne J"},{"family":"Charlson","given":"Emily S"},{"family":"Collman","given":"Ronald G"},{"family":"Colombini-Hatch","given":"Sandra"},{"family":"Martinez","given":"Fernando D"},{"family":"Senior","given":"Robert M"}],"authorYearDisplayFormat":false,"citation-label":"926618","container-title":"American Journal of Respiratory and Critical Care Medicine","container-title-short":"Am J Respir Crit Care Med","id":"926618","invisible":false,"issue":"12","issued":{"date-parts":[["2013","6","15"]]},"journalAbbreviation":"Am J Respir Crit Care Med","page":"1382-1387","suppress-author":false,"title":"The role of the lung microbiome in health and disease. A National Heart, Lung, and Blood Institute workshop report.","type":"article-journal","volume":"187"},{"DOI":"10.1513/AnnalsATS.201402-052PL","First":false,"Last":false,"PMCID":"PMC4200574","PMID":"25148429","abstract":"Investigation of the human microbiome has become an important field of research facilitated by advances in sequencing technologies. The lung, which is one of the latest body sites being explored for the characterization of human-associated microbial communities, has a microbiome that is suspected to play a substantial role in health and disease. In this review, we provide an overview of the basics of microbiome studies. Challenges in the study of the lung microbiome are highlighted, and further attention is called to the optimization and standardization of methodologies to explore the role of the lung microbiome in health and disease. We also provide examples of lung microbial communities associated with disease or infection status and discuss the role of fungal species in the lung. Finally, we review studies demonstrating that the environmental microbiome can influence lung health and disease, such as the finding that the diversity of microbial exposure correlates inversely with the development of childhood asthma.","author":[{"family":"Cui","given":"Lijia"},{"family":"Morris","given":"Alison"},{"family":"Huang","given":"Laurence"},{"family":"Beck","given":"James M"},{"family":"Twigg","given":"Homer L"},{"family":"von Mutius","given":"Erika"},{"family":"Ghedin","given":"Elodie"}],"authorYearDisplayFormat":false,"citation-label":"586797","container-title":"Annals of the American Thoracic Society","container-title-short":"Ann Am Thorac Soc","id":"586797","invisible":false,"issued":{"date-parts":[["2014","8"]]},"journalAbbreviation":"Ann Am Thorac Soc","page":"S227-32","suppress-author":false,"title":"The microbiome and the lung.","type":"article-journal","volume":"11 Suppl 4"}]</w:instrText>
      </w:r>
      <w:r w:rsidRPr="005A7F38">
        <w:fldChar w:fldCharType="separate"/>
      </w:r>
      <w:r w:rsidR="00B775CB" w:rsidRPr="00B775CB">
        <w:rPr>
          <w:noProof/>
          <w:vertAlign w:val="superscript"/>
        </w:rPr>
        <w:t>172–174</w:t>
      </w:r>
      <w:r w:rsidRPr="005A7F38">
        <w:fldChar w:fldCharType="end"/>
      </w:r>
      <w:r w:rsidRPr="005A7F38">
        <w:t xml:space="preserve"> Additionally, there is significant difficulty in determining the true lung microbiome versus organisms that carried over</w:t>
      </w:r>
      <w:r w:rsidR="00E43D41" w:rsidRPr="005A7F38">
        <w:t xml:space="preserve"> from the mouth by the bronchos</w:t>
      </w:r>
      <w:r w:rsidRPr="005A7F38">
        <w:t>cope. BAL samples are very low biomass and easily susceptible to environmental contamination as well.</w:t>
      </w:r>
      <w:r w:rsidRPr="005A7F38">
        <w:fldChar w:fldCharType="begin"/>
      </w:r>
      <w:r w:rsidR="00B775CB">
        <w:instrText>ADDIN F1000_CSL_CITATION&lt;~#@#~&gt;[{"DOI":"10.1513/AnnalsATS.201503-172OT","First":false,"Last":false,"PMCID":"PMC4627423","PMID":"26193069","abstract":"Sarcoidosis is a systemic disease characterized by noncaseating granulomatous inflammation with tremendous clinical heterogeneity and uncertain pathobiology and lacking in clinically useful biomarkers. The Genomic Research in Alpha-1 Antitrypsin Deficiency and Sarcoidosis (GRADS) study is an observational cohort study designed to explore the role of the lung microbiome and genome in these two diseases. This article describes the design and rationale for the GRADS study sarcoidosis protocol. The study addresses the hypothesis that distinct patterns in the lung microbiome are characteristic of sarcoidosis phenotypes and are reflected in changes in systemic inflammatory responses as measured by peripheral blood changes in gene transcription. The goal is to enroll 400 participants, with a minimum of 35 in each of 9 clinical phenotype subgroups prioritized by their clinical relevance to understanding of the pathobiology and clinical heterogeneity of sarcoidosis. Participants with a confirmed diagnosis of sarcoidosis undergo a baseline visit with self-administered questionnaires, chest computed tomography, pulmonary function tests, and blood and urine testing. A research or clinical bronchoscopy with a research bronchoalveolar lavage will be performed to obtain samples for genomic and microbiome analyses. Comparisons will be made by blood genomic analysis and with clinical phenotypic variables. A 6-month follow-up visit is planned to assess each participant's clinical course. By the use of an integrative approach to the analysis of the microbiome and genome in selected clinical phenotypes, the GRADS study is powerfully positioned to inform and direct studies on the pathobiology of sarcoidosis, identify diagnostic or prognostic biomarkers, and provide novel molecular phenotypes that could lead to improved personalized approaches to therapy for sarcoidosis.","author":[{"family":"Moller","given":"David R"},{"family":"Koth","given":"Laura L"},{"family":"Maier","given":"Lisa A"},{"family":"Morris","given":"Alison"},{"family":"Drake","given":"Wonder"},{"family":"Rossman","given":"Milton"},{"family":"Leader","given":"Joseph K"},{"family":"Collman","given":"Ronald G"},{"family":"Hamzeh","given":"Nabeel"},{"family":"Sweiss","given":"Nadera J"},{"family":"Zhang","given":"Yingze"},{"family":"O'Neal","given":"Scott"},{"family":"Senior","given":"Robert M"},{"family":"Becich","given":"Michael"},{"family":"Hochheiser","given":"Harry S"},{"family":"Kaminski","given":"Naftali"},{"family":"Wisniewski","given":"Stephen R"},{"family":"Gibson","given":"Kevin F"},{"family":"GRADS Sarcoidosis Study Group"}],"authorYearDisplayFormat":false,"citation-label":"1400043","container-title":"Annals of the American Thoracic Society","container-title-short":"Ann Am Thorac Soc","id":"1400043","invisible":false,"issue":"10","issued":{"date-parts":[["2015","10"]]},"journalAbbreviation":"Ann Am Thorac Soc","page":"1561-1571","suppress-author":false,"title":"Rationale and Design of the Genomic Research in Alpha-1 Antitrypsin Deficiency and Sarcoidosis (GRADS) Study. Sarcoidosis Protocol.","type":"article-journal","volume":"12"}]</w:instrText>
      </w:r>
      <w:r w:rsidRPr="005A7F38">
        <w:fldChar w:fldCharType="separate"/>
      </w:r>
      <w:r w:rsidR="00B775CB" w:rsidRPr="00B775CB">
        <w:rPr>
          <w:noProof/>
          <w:vertAlign w:val="superscript"/>
        </w:rPr>
        <w:t>9</w:t>
      </w:r>
      <w:r w:rsidRPr="005A7F38">
        <w:fldChar w:fldCharType="end"/>
      </w:r>
      <w:r w:rsidRPr="005A7F38">
        <w:t xml:space="preserve"> Recent research has supported the concept that the lung microbiome is altered in lung diseases including COPD, asthma and cystic fibrosis, however there is very little research into the role of the microbiome and sarcoidosis.</w:t>
      </w:r>
      <w:r w:rsidRPr="005A7F38">
        <w:fldChar w:fldCharType="begin"/>
      </w:r>
      <w:r w:rsidR="00B775CB">
        <w:instrText>ADDIN F1000_CSL_CITATION&lt;~#@#~&gt;[{"DOI":"10.1128/JCM.02187-06","First":false,"Last":false,"PMCID":"PMC1933106","PMID":"17409203","abstract":"Management of airway infections caused by Pseudomonas aeruginosa is a serious clinical challenge, but little is known about the microbial ecology of airway infections in intubated patients. We analyzed bacterial diversity in endotracheal aspirates obtained from intubated patients colonized by P. aeruginosa by using 16S rRNA clone libraries and microarrays (PhyloChip) to determine changes in bacterial community compositions during antibiotic treatment. Bacterial 16S rRNA genes were absent from aspirates obtained from patients briefly intubated for elective surgery but were detected by PCR in samples from all patients intubated for longer periods. Sequencing of 16S rRNA clone libraries demonstrated the presence of many orally, nasally, and gastrointestinally associated bacteria, including known pathogens, in the lungs of patients colonized with P. aeruginosa. PhyloChip analysis detected the same organisms and many additional bacterial groups present at low abundance that were not detected in clone libraries. For each patient, both culture-independent methods showed that bacterial diversity decreased following the administration of antibiotics, and communities became dominated by a pulmonary pathogen. P. aeruginosa became the dominant species in six of seven patients studied, despite treatment of five of these six with antibiotics to which it was sensitive in vitro. Our data demonstrate that the loss of bacterial diversity under antibiotic selection is highly associated with the development of pneumonia in ventilated patients colonized with P. aeruginosa. Interestingly, PhyloChip analysis demonstrated reciprocal changes in abundance between P. aeruginosa and the class Bacilli, suggesting that these groups may compete for a similar ecological niche and suggesting possible mechanisms through which the loss of microbial diversity may directly contribute to pathogen selection and persistence.","author":[{"family":"Flanagan","given":"J L"},{"family":"Brodie","given":"E L"},{"family":"Weng","given":"L"},{"family":"Lynch","given":"S V"},{"family":"Garcia","given":"O"},{"family":"Brown","given":"R"},{"family":"Hugenholtz","given":"P"},{"family":"DeSantis","given":"T Z"},{"family":"Andersen","given":"G L"},{"family":"Wiener-Kronish","given":"J P"},{"family":"Bristow","given":"J"}],"authorYearDisplayFormat":false,"citation-label":"918149","container-title":"Journal of Clinical Microbiology","container-title-short":"J Clin Microbiol","id":"918149","invisible":false,"issue":"6","issued":{"date-parts":[["2007","6"]]},"journalAbbreviation":"J Clin Microbiol","page":"1954-1962","suppress-author":false,"title":"Loss of bacterial diversity during antibiotic treatment of intubated patients colonized with Pseudomonas aeruginosa.","type":"article-journal","volume":"45"},{"DOI":"10.1128/JCM.01963-06","First":false,"Last":false,"PMCID":"PMC1865865","PMID":"17301280","abstract":"Trauma intensive care unit (TICU) patients requiring mechanical respiratory support frequently develop ventilator-associated pneumonia (VAP). Oral and oropharyngeal bacteria are believed to be responsible for many cases of VAP, but definitive evidence of this relationship is lacking. Earlier studies used conventional culture-based methods for identification of bacterial pathogens, but these methods are insufficient, as some bacteria may be uncultivable or difficult to grow. The purpose of this study was to use a culture-independent molecular approach to analyze and compare the bacterial species colonizing the oral cavity and the lungs of TICU patients who developed VAP. Bacterial samples were acquired from the dorsal tongue and bronchoalveolar lavage fluid of 16 patients. Bacterial DNA was extracted, and the 16S rRNA genes were PCR amplified, cloned into Escherichia coli, and sequenced. The sequencing data revealed the following: (i) a wide diversity of bacterial species in both the oral and pulmonary sites, some of them novel; (ii) known and putative respiratory pathogens colonizing both the oral cavity and lungs of 14 patients; and (iii) a number of bacterial pathogens (e.g., Dialister pneumosintes, Haemophilus segnis, Gemella morbillorum, and Pseudomonas fluorescens) in lung samples that had not been reported previously at this site when culture-based methods were used. Our data indicate that the dorsal surface of the tongue serves as a potential reservoir for bacterial species involved in VAP. Furthermore, it is clear that the diversity of bacterial pathogens for VAP is far more complex than the current literature suggests.","author":[{"family":"Bahrani-Mougeot","given":"Farah K"},{"family":"Paster","given":"Bruce J"},{"family":"Coleman","given":"Shirley"},{"family":"Barbuto","given":"Sara"},{"family":"Brennan","given":"Michael T"},{"family":"Noll","given":"Jenene"},{"family":"Kennedy","given":"Thomas"},{"family":"Fox","given":"Philip C"},{"family":"Lockhart","given":"Peter B"}],"authorYearDisplayFormat":false,"citation-label":"919088","container-title":"Journal of Clinical Microbiology","container-title-short":"J Clin Microbiol","id":"919088","invisible":false,"issue":"5","issued":{"date-parts":[["2007","5"]]},"journalAbbreviation":"J Clin Microbiol","page":"1588-1593","suppress-author":false,"title":"Molecular analysis of oral and respiratory bacterial species associated with ventilator-associated pneumonia.","type":"article-journal","volume":"45"},{"DOI":"10.1371/journal.pone.0002908","First":false,"Last":false,"PMCID":"PMC2483419","PMID":"18682840","abstract":"&lt;strong&gt;BACKGROUND:&lt;/strong&gt; There is strong evidence that culture-based methods detect only a small proportion of bacteria present in the respiratory tracts of cystic fibrosis (CF) patients.&lt;br&gt;&lt;br&gt;&lt;strong&gt;METHODOLOGY/PRINCIPAL FINDINGS:&lt;/strong&gt; Standard microbiological culture and phenotypic identification of bacteria in sputa from CF patients have been compared to molecular methods by the use of 16S rDNA amplification, cloning and sequencing. Twenty-five sputa from CF patients were cultured that yield 33 isolates (13 species) known to be pathogens during CF. For molecular cloning, 760 clones were sequenced (7.2+/-3.9 species/sputum), and 53 different bacterial species were identified including 16 species of anaerobes (30%). Discrepancies between culture and molecular data were numerous and demonstrate that accurate identification remains challenging. New or emerging bacteria not or rarely reported in CF patients were detected including Dolosigranulum pigrum, Dialister pneumosintes, and Inquilinus limosus.&lt;br&gt;&lt;br&gt;&lt;strong&gt;CONCLUSIONS/SIGNIFICANCE:&lt;/strong&gt; Our results demonstrate the complex microbial community in sputa from CF patients, especially anaerobic bacteria that are probably an underestimated cause of CF lung pathology. Metagenomic analysis is urgently needed to better understand those complex communities in CF pulmonary infections.","author":[{"family":"Bittar","given":"Fadi"},{"family":"Richet","given":"Hervé"},{"family":"Dubus","given":"Jean-Christophe"},{"family":"Reynaud-Gaubert","given":"Martine"},{"family":"Stremler","given":"Nathalie"},{"family":"Sarles","given":"Jacques"},{"family":"Raoult","given":"Didier"},{"family":"Rolain","given":"Jean-Marc"}],"authorYearDisplayFormat":false,"citation-label":"3004391","container-title":"Plos One","container-title-short":"PLoS ONE","id":"3004391","invisible":false,"issue":"8","issued":{"date-parts":[["2008","8","6"]]},"journalAbbreviation":"PLoS ONE","page":"e2908","suppress-author":false,"title":"Molecular detection of multiple emerging pathogens in sputa from cystic fibrosis patients.","type":"article-journal","volume":"3"},{"DOI":"10.1086/520816","First":false,"Last":false,"PMID":"17703411","abstract":"&lt;strong&gt;BACKGROUND:&lt;/strong&gt; Between 50% and 80% of asthma exacerbations are associated with viral respiratory tract infections (RTIs), yet the influence of viral pathogen diversity on asthma outcomes is poorly understood because of the limited scope and throughput of conventional viral detection methods.&lt;br&gt;&lt;br&gt;&lt;strong&gt;METHODS:&lt;/strong&gt; We investigated the capability of the Virochip, a DNA microarray-based viral detection platform, to characterize viral diversity in RTIs in adults with and without asthma.&lt;br&gt;&lt;br&gt;&lt;strong&gt;RESULTS:&lt;/strong&gt; The Virochip detected viruses in a higher proportion of samples (65%) than did culture isolation (17%) while exhibiting high concordance (98%) with and comparable sensitivity (97%) and specificity (98%) to pathogen-specific polymerase chain reaction. A similar spectrum of viruses was identified in the RTIs of each patient subgroup; however, unexpected diversity among human coronaviruses (HCoVs) and human rhinoviruses (HRVs) was revealed. All but one of the HCoVs corresponded to the newly recognized HCoV-NL63 and HCoV-HKU1 viruses, and &gt;20 different serotypes of HRVs were detected, including a set of 5 divergent isolates that formed a distinct genetic subgroup.&lt;br&gt;&lt;br&gt;&lt;strong&gt;CONCLUSIONS:&lt;/strong&gt; The Virochip can detect both known and novel variants of viral pathogens present in RTIs. Given the diversity detected here, larger-scale studies will be necessary to determine whether particular substrains of viruses confer an elevated risk of asthma exacerbation.","author":[{"family":"Kistler","given":"Amy"},{"family":"Avila","given":"Pedro C"},{"family":"Rouskin","given":"Silvi"},{"family":"Wang","given":"David"},{"family":"Ward","given":"Theresa"},{"family":"Yagi","given":"Shigeo"},{"family":"Schnurr","given":"David"},{"family":"Ganem","given":"Don"},{"family":"DeRisi","given":"Joseph L"},{"family":"Boushey","given":"Homer A"}],"authorYearDisplayFormat":false,"citation-label":"4536262","container-title":"The Journal of Infectious Diseases","container-title-short":"J Infect Dis","id":"4536262","invisible":false,"issue":"6","issued":{"date-parts":[["2007","9","15"]]},"journalAbbreviation":"J Infect Dis","page":"817-825","suppress-author":false,"title":"Pan-viral screening of respiratory tract infections in adults with and without asthma reveals unexpected human coronavirus and human rhinovirus diversity.","type":"article-journal","volume":"196"},{"DOI":"10.1371/journal.pone.0008578","First":false,"Last":false,"PMCID":"PMC2798952","PMID":"20052417","abstract":"&lt;strong&gt;BACKGROUND:&lt;/strong&gt; A rich microbial environment in infancy protects against asthma [1], [2] and infections precipitate asthma exacerbations [3]. We compared the airway microbiota at three levels in adult patients with asthma, the related condition of COPD, and controls. We also studied bronchial lavage from asthmatic children and controls.&lt;br&gt;&lt;br&gt;&lt;strong&gt;PRINCIPAL FINDINGS:&lt;/strong&gt; We identified 5,054 16S rRNA bacterial sequences from 43 subjects, detecting &gt;70% of species present. The bronchial tree was not sterile, and contained a mean of 2,000 bacterial genomes per cm(2) surface sampled. Pathogenic Proteobacteria, particularly Haemophilus spp., were much more frequent in bronchi of adult asthmatics or patients with COPD than controls. We found similar highly significant increases in Proteobacteria in asthmatic children. Conversely, Bacteroidetes, particularly Prevotella spp., were more frequent in controls than adult or child asthmatics or COPD patients.&lt;br&gt;&lt;br&gt;&lt;strong&gt;SIGNIFICANCE:&lt;/strong&gt; The results show the bronchial tree to contain a characteristic microbiota, and suggest that this microbiota is disturbed in asthmatic airways.","author":[{"family":"Hilty","given":"Markus"},{"family":"Burke","given":"Conor"},{"family":"Pedro","given":"Helder"},{"family":"Cardenas","given":"Paul"},{"family":"Bush","given":"Andy"},{"family":"Bossley","given":"Cara"},{"family":"Davies","given":"Jane"},{"family":"Ervine","given":"Aaron"},{"family":"Poulter","given":"Len"},{"family":"Pachter","given":"Lior"},{"family":"Moffatt","given":"Miriam F"},{"family":"Cookson","given":"William O C"}],"authorYearDisplayFormat":false,"citation-label":"25653","container-title":"Plos One","container-title-short":"PLoS ONE","id":"25653","invisible":false,"issue":"1","issued":{"date-parts":[["2010","1","5"]]},"journalAbbreviation":"PLoS ONE","page":"e8578","suppress-author":false,"title":"Disordered microbial communities in asthmatic airways.","type":"article-journal","volume":"5"},{"DOI":"10.1371/journal.pone.0016384","First":false,"Last":false,"PMCID":"PMC3043049","PMID":"21364979","abstract":"Although culture-independent techniques have shown that the lungs are not sterile, little is known about the lung microbiome in chronic obstructive pulmonary disease (COPD). We used pyrosequencing of 16S amplicons to analyze the lung microbiome in two ways: first, using bronchoalveolar lavage (BAL) to sample the distal bronchi and air-spaces; and second, by examining multiple discrete tissue sites in the lungs of six subjects removed at the time of transplantation. We performed BAL on three never-smokers (NS) with normal spirometry, seven smokers with normal spirometry (\"healthy smokers\", HS), and four subjects with COPD (CS). Bacterial 16 s sequences were found in all subjects, without significant quantitative differences between groups. Both taxonomy-based and taxonomy-independent approaches disclosed heterogeneity in the bacterial communities between HS subjects that was similar to that seen in healthy NS and two mild COPD patients. The moderate and severe COPD patients had very limited community diversity, which was also noted in 28% of the healthy subjects. Both approaches revealed extensive membership overlap between the bacterial communities of the three study groups. No genera were common within a group but unique across groups. Our data suggests the existence of a core pulmonary bacterial microbiome that includes Pseudomonas, Streptococcus, Prevotella, Fusobacterium, Haemophilus, Veillonella, and Porphyromonas. Most strikingly, there were significant micro-anatomic differences in bacterial communities within the same lung of subjects with advanced COPD. These studies are further demonstration of the pulmonary microbiome and highlight global and micro-anatomic changes in these bacterial communities in severe COPD patients.","author":[{"family":"Erb-Downward","given":"John R"},{"family":"Thompson","given":"Deborah L"},{"family":"Han","given":"Meilan K"},{"family":"Freeman","given":"Christine M"},{"family":"McCloskey","given":"Lisa"},{"family":"Schmidt","given":"Lindsay A"},{"family":"Young","given":"Vincent B"},{"family":"Toews","given":"Galen B"},{"family":"Curtis","given":"Jeffrey L"},{"family":"Sundaram","given":"Baskaran"},{"family":"Martinez","given":"Fernando J"},{"family":"Huffnagle","given":"Gary B"}],"authorYearDisplayFormat":false,"citation-label":"304442","container-title":"Plos One","container-title-short":"PLoS ONE","id":"304442","invisible":false,"issue":"2","issued":{"date-parts":[["2011","2","22"]]},"journalAbbreviation":"PLoS ONE","page":"e16384","suppress-author":false,"title":"Analysis of the lung microbiome in the \"healthy\" smoker and in COPD.","type":"article-journal","volume":"6"}]</w:instrText>
      </w:r>
      <w:r w:rsidRPr="005A7F38">
        <w:fldChar w:fldCharType="separate"/>
      </w:r>
      <w:r w:rsidR="00B775CB" w:rsidRPr="00B775CB">
        <w:rPr>
          <w:noProof/>
          <w:vertAlign w:val="superscript"/>
        </w:rPr>
        <w:t>175–180</w:t>
      </w:r>
      <w:r w:rsidRPr="005A7F38">
        <w:fldChar w:fldCharType="end"/>
      </w:r>
    </w:p>
    <w:p w14:paraId="64554AE6" w14:textId="075E6E60" w:rsidR="00506496" w:rsidRPr="005A7F38" w:rsidRDefault="00E43D41" w:rsidP="00506496">
      <w:r w:rsidRPr="005A7F38">
        <w:t>To date, little is known about the role of the microbiome in the pathogenesis of sarcoidosis.</w:t>
      </w:r>
      <w:r w:rsidRPr="005A7F38">
        <w:fldChar w:fldCharType="begin"/>
      </w:r>
      <w:r w:rsidR="00B775CB">
        <w:instrText>ADDIN F1000_CSL_CITATION&lt;~#@#~&gt;[{"DOI":"10.1513/AnnalsATS.201707-567OT","First":false,"Last":false,"PMID":"29053026","abstract":"Sarcoidosis is a complex, polygenic disease of unknown cause with diverse clinical phenotypes, ranging from self-limited, asymptomatic disease to life altering symptoms and early disease-related mortality. It is unlikely that a single common environmental exposure (e.g., infection, antigen) entirely explains the disease, and numerous genetic mutations are associated with the disease. As such, it reasonable to assume, as with other phenotypically diverse diseases, that distinct genetic mechanisms and related biological biomarkers will serve to further define sarcoidosis sub-phenotypes and mechanisms and to guide personalized care. The fields of 'omics' and systems biology research are widely applied to understand polygenic and phenotypically diverse diseases, such as sarcoidosis. 'Omics' refers to technologies that allow comprehensive profiling of sets of molecules in an organism. Systems biology applies advanced computational approaches to make sense of the enormous data sets that are typically generated from 'omics platforms. The primary objectives of this manuscript are to review the available 'omics tools, assess the current status of 'omics and systems biology research in the field of sarcoidosis, and to consider how this technology could be applied to advance the mechanistic underpinning and treatment of sarcoidosis. An emphasis is be placed on leveraging these research tools to develop better treatments and biomarkers for extreme life-altering sarcoidosis phenotypes, which are overrepresented in underserved populations.","author":[{"family":"Crouser","given":"Elliott D"},{"family":"Fingerlin","given":"Tasha E"},{"family":"Yang","given":"Ivana V"},{"family":"Maier","given":"Lisa A"},{"family":"Nana-Sinkam","given":"Patrick"},{"family":"Collman","given":"Ronald G"},{"family":"Kaminski","given":"Naftali"}],"authorYearDisplayFormat":false,"citation-label":"4532573","container-title":"Annals of the American Thoracic Society","container-title-short":"Ann Am Thorac Soc","id":"4532573","invisible":false,"issued":{"date-parts":[["2017","10","20"]]},"journalAbbreviation":"Ann Am Thorac Soc","suppress-author":false,"title":"Application of 'omics' and systems biology to sarcoidosis research.","type":"article-journal"}]</w:instrText>
      </w:r>
      <w:r w:rsidRPr="005A7F38">
        <w:fldChar w:fldCharType="separate"/>
      </w:r>
      <w:r w:rsidR="00B775CB" w:rsidRPr="00B775CB">
        <w:rPr>
          <w:noProof/>
          <w:vertAlign w:val="superscript"/>
        </w:rPr>
        <w:t>15</w:t>
      </w:r>
      <w:r w:rsidRPr="005A7F38">
        <w:fldChar w:fldCharType="end"/>
      </w:r>
      <w:r w:rsidRPr="005A7F38">
        <w:t xml:space="preserve"> Understanding that changes in the microbiome impact host immunity, it is likely that such perturbations of the microbiome will contribute to the formation of granulomas by presenting offending antigens or by modifying the function of the immune cells and/or triggering an inflammatory cascade.</w:t>
      </w:r>
      <w:r w:rsidRPr="005A7F38">
        <w:fldChar w:fldCharType="begin"/>
      </w:r>
      <w:r w:rsidR="00B775CB">
        <w:instrText>ADDIN F1000_CSL_CITATION&lt;~#@#~&gt;[{"DOI":"10.3389/fimmu.2013.00437","First":false,"Last":false,"PMCID":"PMC3857538","PMID":"24339826","abstract":"Sarcoidosis is a granulomatous disorder of unknown cause, affecting multiple organs, but mainly the lungs. The exact order of immunological events remains obscure. Reviewing current literature, combined with careful clinical observations, we propose a model for granuloma formation in pulmonary sarcoidosis. A tight collaboration between macrophages, dendritic cells, and lymphocyte subsets, initiates the first steps toward granuloma formation, orchestrated by cytokines and chemokines. In a substantial part of pulmonary sarcoidosis patients, granuloma formation becomes an on-going process, leading to debilitating disease, and sometimes death. The immunological response, determining granuloma sustainment is not well understood. An impaired immunosuppressive function of regulatory T cells has been suggested to contribute to the exaggerated response. Interestingly, therapeutical agents commonly used in sarcoidosis, such as glucocorticosteroids and anti-TNF agents, interfere with granuloma integrity and restore the immune homeostasis in autoimmune disorders. Increasing insight into their mechanisms of action may contribute to the search for new therapeutical targets in pulmonary sarcoidosis.","author":[{"family":"Broos","given":"Caroline E"},{"family":"van Nimwegen","given":"Menno"},{"family":"Hoogsteden","given":"Henk C"},{"family":"Hendriks","given":"Rudi W"},{"family":"Kool","given":"Mirjam"},{"family":"van den Blink","given":"Bernt"}],"authorYearDisplayFormat":false,"citation-label":"4238293","container-title":"Frontiers in immunology","container-title-short":"Front Immunol","id":"4238293","invisible":false,"issued":{"date-parts":[["2013","12","10"]]},"journalAbbreviation":"Front Immunol","page":"437","suppress-author":false,"title":"Granuloma formation in pulmonary sarcoidosis.","type":"article-journal","volume":"4"},{"DOI":"10.1513/AnnalsATS.201707-567OT","First":false,"Last":false,"PMID":"29053026","abstract":"Sarcoidosis is a complex, polygenic disease of unknown cause with diverse clinical phenotypes, ranging from self-limited, asymptomatic disease to life altering symptoms and early disease-related mortality. It is unlikely that a single common environmental exposure (e.g., infection, antigen) entirely explains the disease, and numerous genetic mutations are associated with the disease. As such, it reasonable to assume, as with other phenotypically diverse diseases, that distinct genetic mechanisms and related biological biomarkers will serve to further define sarcoidosis sub-phenotypes and mechanisms and to guide personalized care. The fields of 'omics' and systems biology research are widely applied to understand polygenic and phenotypically diverse diseases, such as sarcoidosis. 'Omics' refers to technologies that allow comprehensive profiling of sets of molecules in an organism. Systems biology applies advanced computational approaches to make sense of the enormous data sets that are typically generated from 'omics platforms. The primary objectives of this manuscript are to review the available 'omics tools, assess the current status of 'omics and systems biology research in the field of sarcoidosis, and to consider how this technology could be applied to advance the mechanistic underpinning and treatment of sarcoidosis. An emphasis is be placed on leveraging these research tools to develop better treatments and biomarkers for extreme life-altering sarcoidosis phenotypes, which are overrepresented in underserved populations.","author":[{"family":"Crouser","given":"Elliott D"},{"family":"Fingerlin","given":"Tasha E"},{"family":"Yang","given":"Ivana V"},{"family":"Maier","given":"Lisa A"},{"family":"Nana-Sinkam","given":"Patrick"},{"family":"Collman","given":"Ronald G"},{"family":"Kaminski","given":"Naftali"}],"authorYearDisplayFormat":false,"citation-label":"4532573","container-title":"Annals of the American Thoracic Society","container-title-short":"Ann Am Thorac Soc","id":"4532573","invisible":false,"issued":{"date-parts":[["2017","10","20"]]},"journalAbbreviation":"Ann Am Thorac Soc","suppress-author":false,"title":"Application of 'omics' and systems biology to sarcoidosis research.","type":"article-journal"}]</w:instrText>
      </w:r>
      <w:r w:rsidRPr="005A7F38">
        <w:fldChar w:fldCharType="separate"/>
      </w:r>
      <w:r w:rsidR="00B775CB" w:rsidRPr="00B775CB">
        <w:rPr>
          <w:noProof/>
          <w:vertAlign w:val="superscript"/>
        </w:rPr>
        <w:t>11,15</w:t>
      </w:r>
      <w:r w:rsidRPr="005A7F38">
        <w:fldChar w:fldCharType="end"/>
      </w:r>
      <w:r w:rsidRPr="005A7F38">
        <w:t xml:space="preserve"> </w:t>
      </w:r>
      <w:r w:rsidR="00506496" w:rsidRPr="005A7F38">
        <w:t xml:space="preserve">While the relationship is as of yet unclear in sarcoidosis, recent animal studies have found an association between the gut microbiome and aberrant systemic inflammatory responses. Scher and Abramson describe the use of a germ free, or gnotobiotic, mouse model to </w:t>
      </w:r>
      <w:r w:rsidR="00506496" w:rsidRPr="005A7F38">
        <w:lastRenderedPageBreak/>
        <w:t>study inflammatory arthritis. IL-1 receptor antagonist knockout (Il1rn</w:t>
      </w:r>
      <w:r w:rsidR="00506496" w:rsidRPr="005A7F38">
        <w:rPr>
          <w:vertAlign w:val="superscript"/>
        </w:rPr>
        <w:t>-/-</w:t>
      </w:r>
      <w:r w:rsidR="00506496" w:rsidRPr="005A7F38">
        <w:t xml:space="preserve">) mice spontaneously develop arthritis. When raised in a germfree environment, the </w:t>
      </w:r>
      <w:r w:rsidR="008F5985" w:rsidRPr="005A7F38">
        <w:t>gnotobiotic</w:t>
      </w:r>
      <w:r w:rsidR="00506496" w:rsidRPr="005A7F38">
        <w:t xml:space="preserve"> Il1rn</w:t>
      </w:r>
      <w:r w:rsidR="00506496" w:rsidRPr="005A7F38">
        <w:rPr>
          <w:vertAlign w:val="superscript"/>
        </w:rPr>
        <w:t>-/-</w:t>
      </w:r>
      <w:r w:rsidR="00506496" w:rsidRPr="005A7F38">
        <w:t xml:space="preserve"> mice did not develop the expected autoimmune T-cell-mediated arthritis.</w:t>
      </w:r>
      <w:r w:rsidR="00506496" w:rsidRPr="005A7F38">
        <w:fldChar w:fldCharType="begin"/>
      </w:r>
      <w:r w:rsidR="00B775CB">
        <w:instrText>ADDIN F1000_CSL_CITATION&lt;~#@#~&gt;[{"DOI":"10.1038/nrrheum.2011.121","First":false,"Last":false,"PMCID":"PMC3275101","PMID":"21862983","abstract":"Humans are not (and have never been) alone. From the moment we are born, millions of micro-organisms populate our bodies and coexist with us rather peacefully for the rest of our lives. This microbiome represents the totality of micro-organisms (and their genomes) that we necessarily acquire from the environment. Micro-organisms living in or on us have evolved to extract the energy they require to survive, and in exchange they support the physiological, metabolic and immune capacities that have contributed to our evolutionary success. Although currently categorized as an autoimmune disorder and regarded as a complex genetic disease, the ultimate cause of rheumatoid arthritis (RA) remains elusive. It seems that interplay between predisposing genetic factors and environmental triggers is required for disease manifestation. New insights from DNA sequence-based analyses of gut microbial communities and a renewed interest in mucosal immunology suggest that the microbiome represents an important environmental factor that can influence autoimmune disease manifestation. This Review summarizes the historical clues that suggest a possible role for the microbiota in the pathogenesis of RA, and will focus on new technologies that might provide scientific evidence to support this hypothesis.","author":[{"family":"Scher","given":"Jose U"},{"family":"Abramson","given":"Steven B"}],"authorYearDisplayFormat":false,"citation-label":"165534","container-title":"Nature Reviews. Rheumatology","container-title-short":"Nat Rev Rheumatol","id":"165534","invisible":false,"issue":"10","issued":{"date-parts":[["2011","8","23"]]},"journalAbbreviation":"Nat Rev Rheumatol","page":"569-578","suppress-author":false,"title":"The microbiome and rheumatoid arthritis.","type":"article-journal","volume":"7"}]</w:instrText>
      </w:r>
      <w:r w:rsidR="00506496" w:rsidRPr="005A7F38">
        <w:fldChar w:fldCharType="separate"/>
      </w:r>
      <w:r w:rsidR="00B775CB" w:rsidRPr="00B775CB">
        <w:rPr>
          <w:noProof/>
          <w:vertAlign w:val="superscript"/>
        </w:rPr>
        <w:t>181</w:t>
      </w:r>
      <w:r w:rsidR="00506496" w:rsidRPr="005A7F38">
        <w:fldChar w:fldCharType="end"/>
      </w:r>
      <w:r w:rsidR="00506496" w:rsidRPr="005A7F38">
        <w:t xml:space="preserve"> Dysbiosis, or the perturbation of the microbiome from its healthy state, has been associated with  autoimmune diseases, inflammatory and irritable bowel diseases, allergies, neurodevelopmental disorders, cancer and cardiovascular disease.</w:t>
      </w:r>
      <w:r w:rsidR="00506496" w:rsidRPr="005A7F38">
        <w:fldChar w:fldCharType="begin"/>
      </w:r>
      <w:r w:rsidR="00B775CB">
        <w:instrText>ADDIN F1000_CSL_CITATION&lt;~#@#~&gt;[{"DOI":"10.3748/wjg.v21.i3.803","First":false,"Last":false,"PMCID":"PMC4299332","PMID":"25624713","abstract":"There are more than 1000 microbial species living in the complex human intestine. The gut microbial community plays an important role in protecting the host against pathogenic microbes, modulating immunity, regulating metabolic processes, and is even regarded as an endocrine organ. However, traditional culture methods are very limited for identifying microbes. With the application of molecular biologic technology in the field of the intestinal microbiome, especially metagenomic sequencing of the next-generation sequencing technology, progress has been made in the study of the human intestinal microbiome. Metagenomics can be used to study intestinal microbiome diversity and dysbiosis, as well as its relationship to health and disease. Moreover, functional metagenomics can identify novel functional genes, microbial pathways, antibiotic resistance genes, functional dysbiosis of the intestinal microbiome, and determine interactions and co-evolution between microbiota and host, though there are still some limitations. Metatranscriptomics, metaproteomics and metabolomics represent enormous complements to the understanding of the human gut microbiome. This review aims to demonstrate that metagenomics can be a powerful tool in studying the human gut microbiome with encouraging prospects. The limitations of metagenomics to be overcome are also discussed. Metatranscriptomics, metaproteomics and metabolomics in relation to the study of the human gut microbiome are also briefly discussed.","author":[{"family":"Wang","given":"Wei-Lin"},{"family":"Xu","given":"Shao-Yan"},{"family":"Ren","given":"Zhi-Gang"},{"family":"Tao","given":"Liang"},{"family":"Jiang","given":"Jian-Wen"},{"family":"Zheng","given":"Shu-Sen"}],"authorYearDisplayFormat":false,"citation-label":"1072040","container-title":"World Journal of Gastroenterology","container-title-short":"World J Gastroenterol","id":"1072040","invisible":false,"issue":"3","issued":{"date-parts":[["2015","1","21"]]},"journalAbbreviation":"World J Gastroenterol","page":"803-814","suppress-author":false,"title":"Application of metagenomics in the human gut microbiome.","type":"article-journal","volume":"21"},{"DOI":"10.1016/j.immuni.2013.08.013","First":false,"Last":false,"PMCID":"PMC3822899","PMID":"23973225","abstract":"Gender bias and the role of sex hormones in autoimmune diseases are well established. In specific pathogen-free nonobese diabetic (NOD) mice, females have 1.3-4.4 times higher incidence of type 1 diabetes (T1D). Germ-free (GF) mice lost the gender bias (female-to-male ratio 1.1-1.2). Gut microbiota differed in males and females, a trend reversed by male castration, confirming that androgens influence gut microbiota. Colonization of GF NOD mice with defined microbiota revealed that some, but not all, lineages overrepresented in male mice supported a gender bias in T1D. Although protection of males did not correlate with blood androgen concentration, hormone-supported expansion of selected microbial lineages may work as a positive-feedback mechanism contributing to the sexual dimorphism of autoimmune diseases. Gene-expression analysis suggested pathways involved in protection of males from T1D by microbiota. Our results favor a two-signal model of gender bias, in which hormones and microbes together trigger protective pathways.&lt;br&gt;&lt;br&gt;Copyright © 2013 Elsevier Inc. All rights reserved.","author":[{"family":"Yurkovetskiy","given":"Leonid"},{"family":"Burrows","given":"Michael"},{"family":"Khan","given":"Aly A"},{"family":"Graham","given":"Laura"},{"family":"Volchkov","given":"Pavel"},{"family":"Becker","given":"Lev"},{"family":"Antonopoulos","given":"Dionysios"},{"family":"Umesaki","given":"Yoshinori"},{"family":"Chervonsky","given":"Alexander V"}],"authorYearDisplayFormat":false,"citation-label":"163714","container-title":"Immunity","container-title-short":"Immunity","id":"163714","invisible":false,"issue":"2","issued":{"date-parts":[["2013","8","22"]]},"journalAbbreviation":"Immunity","page":"400-412","suppress-author":false,"title":"Gender bias in autoimmunity is influenced by microbiota.","type":"article-journal","volume":"39"},{"DOI":"10.1038/nrrheum.2011.121","First":false,"Last":false,"PMCID":"PMC3275101","PMID":"21862983","abstract":"Humans are not (and have never been) alone. From the moment we are born, millions of micro-organisms populate our bodies and coexist with us rather peacefully for the rest of our lives. This microbiome represents the totality of micro-organisms (and their genomes) that we necessarily acquire from the environment. Micro-organisms living in or on us have evolved to extract the energy they require to survive, and in exchange they support the physiological, metabolic and immune capacities that have contributed to our evolutionary success. Although currently categorized as an autoimmune disorder and regarded as a complex genetic disease, the ultimate cause of rheumatoid arthritis (RA) remains elusive. It seems that interplay between predisposing genetic factors and environmental triggers is required for disease manifestation. New insights from DNA sequence-based analyses of gut microbial communities and a renewed interest in mucosal immunology suggest that the microbiome represents an important environmental factor that can influence autoimmune disease manifestation. This Review summarizes the historical clues that suggest a possible role for the microbiota in the pathogenesis of RA, and will focus on new technologies that might provide scientific evidence to support this hypothesis.","author":[{"family":"Scher","given":"Jose U"},{"family":"Abramson","given":"Steven B"}],"authorYearDisplayFormat":false,"citation-label":"165534","container-title":"Nature Reviews. Rheumatology","container-title-short":"Nat Rev Rheumatol","id":"165534","invisible":false,"issue":"10","issued":{"date-parts":[["2011","8","23"]]},"journalAbbreviation":"Nat Rev Rheumatol","page":"569-578","suppress-author":false,"title":"The microbiome and rheumatoid arthritis.","type":"article-journal","volume":"7"},{"DOI":"10.4161/viru.27864","First":false,"Last":false,"PMCID":"PMC3979869","PMID":"24429972","abstract":"The term microbiome refers to the genetic material of the catalog of microbial taxa associated with humans. As in all ecosystems, the microbiota reaches a dynamic equilibrium in the human body, which can be altered by environmental factors and external stimuli. Metagenomics is a relatively new field of study of microbial genomes within diverse environmental samples, which is of increasing importance in microbiology. The introduction of this ecological perception of microbiology is the key to achieving real knowledge about the influence of the microbiota in human health and disease. The aim of this review is to summarize the link between the human microbiota (focusing on the intestinal, vaginal, skin, and airway body sites) and health from this ecological point of view, highlighting the contribution of metagenomics in the advance of this field.","author":[{"family":"Martín","given":"Rebeca"},{"family":"Miquel","given":"Sylvie"},{"family":"Langella","given":"Philippe"},{"family":"Bermúdez-Humarán","given":"Luis G"}],"authorYearDisplayFormat":false,"citation-label":"3744477","container-title":"Virulence","container-title-short":"Virulence","id":"3744477","invisible":false,"issue":"3","issued":{"date-parts":[["2014","4","1"]]},"journalAbbreviation":"Virulence","page":"413-423","suppress-author":false,"title":"The role of metagenomics in understanding the human microbiome in health and disease.","type":"article-journal","volume":"5"}]</w:instrText>
      </w:r>
      <w:r w:rsidR="00506496" w:rsidRPr="005A7F38">
        <w:fldChar w:fldCharType="separate"/>
      </w:r>
      <w:r w:rsidR="00B775CB" w:rsidRPr="00B775CB">
        <w:rPr>
          <w:noProof/>
          <w:vertAlign w:val="superscript"/>
        </w:rPr>
        <w:t>181–184</w:t>
      </w:r>
      <w:r w:rsidR="00506496" w:rsidRPr="005A7F38">
        <w:fldChar w:fldCharType="end"/>
      </w:r>
    </w:p>
    <w:p w14:paraId="72020185" w14:textId="7179C972" w:rsidR="00F622D6" w:rsidRDefault="00481908" w:rsidP="00F622D6">
      <w:r w:rsidRPr="005A7F38">
        <w:t xml:space="preserve">The nature of the inflammatory response in sarcoidosis suggests that infectious agents play a significant role in sarcoidosis, however, no culture-based studies have directly proven an infectious pathogenesis. The metagenomics approach is not subject to the limitations of traditional culture-based methods and provides the capacity to improve understanding of the complexity of the microbiome in sarcoidosis patients, in the lung and at other body sites. </w:t>
      </w:r>
    </w:p>
    <w:p w14:paraId="6832094E" w14:textId="75A556B1" w:rsidR="00F622D6" w:rsidRPr="00876C26" w:rsidRDefault="00F622D6" w:rsidP="00F622D6">
      <w:r>
        <w:t>This analysis examines the mycobiome of the gut in patients with sarcoidosis.</w:t>
      </w:r>
      <w:r w:rsidR="009C3B40">
        <w:t xml:space="preserve"> The gut mycobiome has been linked to many inflammatory conditions and has been shown to play a role in the maturation of the systemic immune system.</w:t>
      </w:r>
      <w:r w:rsidR="009C3B40">
        <w:fldChar w:fldCharType="begin"/>
      </w:r>
      <w:r w:rsidR="00B775CB">
        <w:instrText>ADDIN F1000_CSL_CITATION&lt;~#@#~&gt;[{"DOI":"10.3390/ijms18020330","First":false,"Last":false,"PMCID":"PMC5343866","PMID":"28165395","abstract":"The advent of sequencing technology has endowed us with the capacity to study microbes constituting the human commensal community that were previously non-culturable. Much of the initial works have concentrated on the bacterial flora constituting the gut microbiome, since specimens are readily accessible in health and disease. Less, however, is understood of the \"silent population\"-the fungal species, also known as the mycobiome. Living in symbiosis with bacteria as commensals in our body, it is perceivable that the mycobiome exerts an inadvertent influence on the microbiome. We review here the recent knowledge gained from study of the interaction between the mycobiome and microbiome in health and disease susceptibility, immunity, and consequences from antimicrobial treatment.","author":[{"family":"Sam","given":"Qi Hui"},{"family":"Chang","given":"Matthew Wook"},{"family":"Chai","given":"Louis Yi Ann"}],"authorYearDisplayFormat":false,"citation-label":"4074668","container-title":"International Journal of Molecular Sciences","container-title-short":"Int J Mol Sci","id":"4074668","invisible":false,"issue":"2","issued":{"date-parts":[["2017","2","4"]]},"journalAbbreviation":"Int J Mol Sci","suppress-author":false,"title":"The Fungal Mycobiome and Its Interaction with Gut Bacteria in the Host.","type":"article-journal","volume":"18"}]</w:instrText>
      </w:r>
      <w:r w:rsidR="009C3B40">
        <w:fldChar w:fldCharType="separate"/>
      </w:r>
      <w:r w:rsidR="00B775CB" w:rsidRPr="00B775CB">
        <w:rPr>
          <w:noProof/>
          <w:vertAlign w:val="superscript"/>
        </w:rPr>
        <w:t>185</w:t>
      </w:r>
      <w:r w:rsidR="009C3B40">
        <w:fldChar w:fldCharType="end"/>
      </w:r>
      <w:r>
        <w:t xml:space="preserve"> </w:t>
      </w:r>
      <w:r w:rsidR="009C6F14">
        <w:t>Previous research by Geamanu et al in 2016 describes differences in gut microbiota in patients with sarcoidosis</w:t>
      </w:r>
      <w:r w:rsidR="00D34690">
        <w:t xml:space="preserve"> and used metabolomics profiling to identify changes</w:t>
      </w:r>
      <w:r w:rsidR="00F31DF0">
        <w:t xml:space="preserve"> in </w:t>
      </w:r>
      <w:r w:rsidR="00074E9A">
        <w:t>energy production and metabolism of immune modulators such as homocysteine that impact many p</w:t>
      </w:r>
      <w:r w:rsidR="009C3B40">
        <w:t>athways directly responsible for systemic inflammatory responses.</w:t>
      </w:r>
      <w:r w:rsidR="009C3B40">
        <w:fldChar w:fldCharType="begin"/>
      </w:r>
      <w:r w:rsidR="00B775CB">
        <w:instrText>ADDIN F1000_CSL_CITATION&lt;~#@#~&gt;[{"DOI":"10.1007/s11306-015-0932-2","First":false,"Last":false,"PMCID":"PMC4960975","PMID":"27489531","abstract":"Sarcoidosis is a systemic granulomatous disease of unknown etiology. Granulomatous inflammation in sarcoidosis may affect multiple organs, including the lungs, skin, CNS, and the eyes, leading to severe morbidity and mortality. The underlying mechanisms for sustained inflammation in sarcoidosis are unknown. We hypothesized that metabolic changes play a critical role in perpetuation of inflammation in sarcoidosis. 1H nuclear magnetic resonance (NMR)-based untargeted metabolomic analysis was used to identify circulating molecules in serum to discriminate sarcoidosis patients from healthy controls. Principal component analyses (PCA) were performed to identify different metabolic markers and explore the changes of associated biochemical pathways. Using Chenomx 7.6 NMR Suite software, we identified and quantified metabolites responsible for such separation in the PCA models. Quantitative analysis showed that the levels of metabolites, such as 3-hydroxybutyrate, acetoacetate, carnitine, cystine, homocysteine, pyruvate, and trimethylamine N-oxide were significantly increased in sarcoidosis patients. Interestingly, succinate, a major intermediate metabolite involved in the tricyclic acid cycle was significantly decreased in sarcoidosis patients. Application of integrative pathway analyses identified deregulation of butanoate, ketone bodies, citric cycle metabolisms, and transmethylation. This may be used for development of new drugs or nutritional modification.","author":[{"family":"Geamanu","given":"Andreea"},{"family":"Gupta","given":"Smiti V"},{"family":"Bauerfeld","given":"Christian"},{"family":"Samavati","given":"Lobelia"}],"authorYearDisplayFormat":false,"citation-label":"2336868","container-title":"Metabolomics : Official journal of the Metabolomic Society","container-title-short":"Metabolomics","id":"2336868","invisible":false,"issued":{"date-parts":[["2016","2"]]},"journalAbbreviation":"Metabolomics","suppress-author":false,"title":"Metabolomics connects aberrant bioenergetic, transmethylation, and gut microbiota in sarcoidosis.","type":"article-journal","volume":"12"}]</w:instrText>
      </w:r>
      <w:r w:rsidR="009C3B40">
        <w:fldChar w:fldCharType="separate"/>
      </w:r>
      <w:r w:rsidR="00B775CB" w:rsidRPr="00B775CB">
        <w:rPr>
          <w:noProof/>
          <w:vertAlign w:val="superscript"/>
        </w:rPr>
        <w:t>186</w:t>
      </w:r>
      <w:r w:rsidR="009C3B40">
        <w:fldChar w:fldCharType="end"/>
      </w:r>
      <w:r w:rsidR="009C3B40">
        <w:t xml:space="preserve"> Gut microbiota may influence immune responses in other parts of the body as well.</w:t>
      </w:r>
      <w:r w:rsidR="004D62DF">
        <w:t xml:space="preserve"> Wheeler et al used a murine model with induced colitis to demonstrate that oral anti</w:t>
      </w:r>
      <w:r w:rsidR="006B7304">
        <w:t>-</w:t>
      </w:r>
      <w:r w:rsidR="004D62DF">
        <w:t>fu</w:t>
      </w:r>
      <w:r w:rsidR="00E416A2">
        <w:t>n</w:t>
      </w:r>
      <w:r w:rsidR="004D62DF">
        <w:t>gal drugs lead to an altered gut mycobiota and resulted in allergic airway disease.</w:t>
      </w:r>
      <w:r w:rsidR="00876C26">
        <w:fldChar w:fldCharType="begin"/>
      </w:r>
      <w:r w:rsidR="00B775CB">
        <w:instrText>ADDIN F1000_CSL_CITATION&lt;~#@#~&gt;[{"DOI":"10.1136/gutjnl-2015-310746","First":false,"Last":false,"PMCID":"PMC5532459","PMID":"26843508","abstract":"&lt;strong&gt;OBJECTIVE:&lt;/strong&gt; The bacterial intestinal microbiota plays major roles in human physiology and IBDs. Although some data suggest a role of the fungal microbiota in IBD pathogenesis, the available data are scarce. The aim of our study was to characterise the faecal fungal microbiota in patients with IBD.&lt;br&gt;&lt;br&gt;&lt;strong&gt;DESIGN:&lt;/strong&gt; Bacterial and fungal composition of the faecal microbiota of 235 patients with IBD and 38 healthy subjects (HS) was determined using 16S and ITS2 sequencing, respectively. The obtained sequences were analysed using the Qiime pipeline to assess composition and diversity. Bacterial and fungal taxa associated with clinical parameters were identified using multivariate association with linear models. Correlation between bacterial and fungal microbiota was investigated using Spearman's test and distance correlation.&lt;br&gt;&lt;br&gt;&lt;strong&gt;RESULTS:&lt;/strong&gt; We observed that fungal microbiota is skewed in IBD, with an increased Basidiomycota/Ascomycota ratio, a decreased proportion of Saccharomyces cerevisiae and an increased proportion of Candida albicans compared with HS. We also identified disease-specific alterations in diversity, indicating that a Crohn's disease-specific gut environment may favour fungi at the expense of bacteria. The concomitant analysis of bacterial and fungal microbiota showed a dense and homogenous correlation network in HS but a dramatically unbalanced network in IBD, suggesting the existence of disease-specific inter-kingdom alterations.&lt;br&gt;&lt;br&gt;&lt;strong&gt;CONCLUSIONS:&lt;/strong&gt; Besides bacterial dysbiosis, our study identifies a distinct fungal microbiota dysbiosis in IBD characterised by alterations in biodiversity and composition. Moreover, we unravel here disease-specific inter-kingdom network alterations in IBD, suggesting that, beyond bacteria, fungi might also play a role in IBD pathogenesis.&lt;br&gt;&lt;br&gt;Published by the BMJ Publishing Group Limited. For permission to use (where not already granted under a licence) please go to http://www.bmj.com/company/products-services/rights-and-licensing/.","author":[{"family":"Sokol","given":"Harry"},{"family":"Leducq","given":"Valentin"},{"family":"Aschard","given":"Hugues"},{"family":"Pham","given":"Hang-Phuong"},{"family":"Jegou","given":"Sarah"},{"family":"Landman","given":"Cecilia"},{"family":"Cohen","given":"David"},{"family":"Liguori","given":"Giuseppina"},{"family":"Bourrier","given":"Anne"},{"family":"Nion-Larmurier","given":"Isabelle"},{"family":"Cosnes","given":"Jacques"},{"family":"Seksik","given":"Philippe"},{"family":"Langella","given":"Philippe"},{"family":"Skurnik","given":"David"},{"family":"Richard","given":"Mathias L"},{"family":"Beaugerie","given":"Laurent"}],"authorYearDisplayFormat":false,"citation-label":"1349437","container-title":"Gut","container-title-short":"Gut","id":"1349437","invisible":false,"issue":"6","issued":{"date-parts":[["2017","6"]]},"journalAbbreviation":"Gut","page":"1039-1048","suppress-author":false,"title":"Fungal microbiota dysbiosis in IBD.","type":"article-journal","volume":"66"}]</w:instrText>
      </w:r>
      <w:r w:rsidR="00876C26">
        <w:fldChar w:fldCharType="separate"/>
      </w:r>
      <w:r w:rsidR="00B775CB" w:rsidRPr="00B775CB">
        <w:rPr>
          <w:noProof/>
          <w:vertAlign w:val="superscript"/>
        </w:rPr>
        <w:t>187</w:t>
      </w:r>
      <w:r w:rsidR="00876C26">
        <w:fldChar w:fldCharType="end"/>
      </w:r>
      <w:r w:rsidR="004D62DF">
        <w:t xml:space="preserve"> McAleer et al used a murine model to demonstrate the influence of gut microbiota on pulmonary immune responses. Mice were give vancomycin in their drinking water for 30 days and gut dysbiosis was noted. McAleer et al found that the mice then had significant decreases in IL-17 and IL-22 levels along </w:t>
      </w:r>
      <w:r w:rsidR="004D62DF">
        <w:lastRenderedPageBreak/>
        <w:t xml:space="preserve">with elevated IL-4 levels in their lungs after exposure to </w:t>
      </w:r>
      <w:r w:rsidR="004D62DF">
        <w:rPr>
          <w:i/>
        </w:rPr>
        <w:t>Aspergillus fumigatus.</w:t>
      </w:r>
      <w:r w:rsidR="004D62DF">
        <w:rPr>
          <w:i/>
        </w:rPr>
        <w:fldChar w:fldCharType="begin"/>
      </w:r>
      <w:r w:rsidR="00B775CB">
        <w:rPr>
          <w:i/>
        </w:rPr>
        <w:instrText>ADDIN F1000_CSL_CITATION&lt;~#@#~&gt;[{"DOI":"10.4049/jimmunol.1502566","First":false,"Last":false,"PMCID":"PMC4912941","PMID":"27217583","abstract":"Commensal microbiota are critical for the development of local immune responses. In this article, we show that gut microbiota can regulate CD4 T cell polarization during pulmonary fungal infections. Vancomycin drinking water significantly decreased lung Th17 cell numbers during acute infection, demonstrating that Gram-positive commensals contribute to systemic inflammation. We next tested a role for RegIIIγ, an IL-22-inducible antimicrobial protein with specificity for Gram-positive bacteria. Following infection, increased accumulation of Th17 cells in the lungs of RegIIIγ(-/-) and Il22(-/-) mice was associated with intestinal segmented filamentous bacteria (SFB) colonization. Although gastrointestinal delivery of rRegIIIγ decreased lung inflammatory gene expression and protected Il22(-/-) mice from weight loss during infection, it had no direct effect on SFB colonization, fungal clearance, or lung Th17 immunity. We further show that vancomycin only decreased lung IL-17 production in mice colonized with SFB. To determine the link between gut microbiota and lung immunity, serum-transfer experiments revealed that IL-1R ligands increase the accumulation of lung Th17 cells. These data suggest that intestinal microbiota, including SFB, can regulate pulmonary adaptive immune responses.&lt;br&gt;&lt;br&gt;Copyright © 2016 by The American Association of Immunologists, Inc.","author":[{"family":"McAleer","given":"Jeremy P"},{"family":"Nguyen","given":"Nikki L H"},{"family":"Chen","given":"Kong"},{"family":"Kumar","given":"Pawan"},{"family":"Ricks","given":"David M"},{"family":"Binnie","given":"Matthew"},{"family":"Armentrout","given":"Rachel A"},{"family":"Pociask","given":"Derek A"},{"family":"Hein","given":"Aaron"},{"family":"Yu","given":"Amy"},{"family":"Vikram","given":"Amit"},{"family":"Bibby","given":"Kyle"},{"family":"Umesaki","given":"Yoshinori"},{"family":"Rivera","given":"Amariliz"},{"family":"Sheppard","given":"Dean"},{"family":"Ouyang","given":"Wenjun"},{"family":"Hooper","given":"Lora V"},{"family":"Kolls","given":"Jay K"}],"authorYearDisplayFormat":false,"citation-label":"2279632","container-title":"Journal of Immunology","container-title-short":"J Immunol","id":"2279632","invisible":false,"issue":"1","issued":{"date-parts":[["2016","7","1"]]},"journalAbbreviation":"J Immunol","page":"97-107","suppress-author":false,"title":"Pulmonary th17 antifungal immunity is regulated by the gut microbiome.","type":"article-journal","volume":"197"}]</w:instrText>
      </w:r>
      <w:r w:rsidR="004D62DF">
        <w:rPr>
          <w:i/>
        </w:rPr>
        <w:fldChar w:fldCharType="separate"/>
      </w:r>
      <w:r w:rsidR="00B775CB" w:rsidRPr="00B775CB">
        <w:rPr>
          <w:noProof/>
          <w:vertAlign w:val="superscript"/>
        </w:rPr>
        <w:t>188</w:t>
      </w:r>
      <w:r w:rsidR="004D62DF">
        <w:rPr>
          <w:i/>
        </w:rPr>
        <w:fldChar w:fldCharType="end"/>
      </w:r>
      <w:r w:rsidR="00876C26">
        <w:t xml:space="preserve"> Analyzing the gut mycobiome will allow us to identify patterns in fungal communities that may play a significant role in the inflammatory pathways fueling sarcoidosis. The gut microbiome is much less invasive to study and therefore presents its self as a potential low risk prognostic biomarker for the clinical manifestations and disease course in sarcoidosis.</w:t>
      </w:r>
    </w:p>
    <w:p w14:paraId="76729548" w14:textId="77777777" w:rsidR="00217F2B" w:rsidRPr="005A7F38" w:rsidRDefault="00217F2B" w:rsidP="002446BB">
      <w:pPr>
        <w:pStyle w:val="Heading4"/>
        <w:rPr>
          <w:rFonts w:cs="Times New Roman"/>
        </w:rPr>
      </w:pPr>
      <w:bookmarkStart w:id="45" w:name="_Toc506540024"/>
      <w:r w:rsidRPr="005A7F38">
        <w:rPr>
          <w:rFonts w:cs="Times New Roman"/>
        </w:rPr>
        <w:t>Gaps in Current Knowledge Regarding the Microbiome and Sarcoidosis</w:t>
      </w:r>
      <w:bookmarkEnd w:id="45"/>
    </w:p>
    <w:p w14:paraId="24D5E90A" w14:textId="072A37F7" w:rsidR="007E7F70" w:rsidRPr="005A7F38" w:rsidRDefault="00EC151A" w:rsidP="00004E1A">
      <w:pPr>
        <w:ind w:firstLine="0"/>
      </w:pPr>
      <w:r w:rsidRPr="005A7F38">
        <w:t>In 2013, Garzoni et al examined the bacterial community in the lung of a very small sample (n=7) of sarcoidosis patients.</w:t>
      </w:r>
      <w:r w:rsidRPr="005A7F38">
        <w:fldChar w:fldCharType="begin"/>
      </w:r>
      <w:r w:rsidR="00B775CB">
        <w:instrText>ADDIN F1000_CSL_CITATION&lt;~#@#~&gt;[{"DOI":"10.1136/thoraxjnl-2012-202917","First":false,"Last":false,"PMCID":"PMC3841796","PMID":"23945167","abstract":"&lt;strong&gt;BACKGROUND:&lt;/strong&gt; Molecular methods based on phylogenetic differences in the 16S rRNA gene are able to characterise the microbiota of the respiratory tract in health and disease.&lt;br&gt;&lt;br&gt;&lt;strong&gt;OBJECTIVES:&lt;/strong&gt; Our goals were (1) to characterise bacterial communities in lower and upper airways of patients with interstitial lung disease (ILD) and (2) to compare the results with the microbiota of patients with Pneumocystis pneumonia (PCP) and normal controls.&lt;br&gt;&lt;br&gt;&lt;strong&gt;METHODS:&lt;/strong&gt; We examined the upper and lower respiratory tract of 18 patients with ILD of whom 5, 6, and 7 had idiopathic interstitial pneumonia (IIP), non-IIP and sarcoidosis, respectively. In addition, six immune-compromised patients with PCP and nine healthy subjects were included as controls. Exclusion criteria were recent bacterial/viral respiratory tract infection, HIV-positivity and subjects receiving antibiotic therapy. Bronchoalveolar lavage fluid and oropharyngeal swabs were simultaneously collected, and microbiota was characterised by ultra-deep 16S rRNA gene sequencing.&lt;br&gt;&lt;br&gt;&lt;strong&gt;RESULTS:&lt;/strong&gt; The microbiota in lower airways of the majority of patients (30; 90%) primarily consisted of Prevotellaceae, Streptococcaceae and Acidaminococcaceae. α and β diversity measurements revealed no significant differences in airway microbiota composition between the five different groups of patients. Comparison of bacterial populations in upper and lower respiratory tract showed significant topographical discontinuities for 7 (23%) individuals.&lt;br&gt;&lt;br&gt;&lt;strong&gt;CONCLUSIONS:&lt;/strong&gt; IIP, non-IIP and sarcoidosis are not associated with disordered airway microbiota and a pathogenic role of commensals in the disease process is therefore unlikely. Nevertheless, molecular analysis of the topographical microbiota continuity along the respiratory tract may provide additional information to assist management of individual patients.","author":[{"family":"Garzoni","given":"Christian"},{"family":"Brugger","given":"Silvio D"},{"family":"Qi","given":"Weihong"},{"family":"Wasmer","given":"Sarah"},{"family":"Cusini","given":"Alexia"},{"family":"Dumont","given":"Philippe"},{"family":"Gorgievski-Hrisoho","given":"Meri"},{"family":"Mühlemann","given":"Kathrin"},{"family":"von Garnier","given":"Christophe"},{"family":"Hilty","given":"Markus"}],"authorYearDisplayFormat":false,"citation-label":"616554","container-title":"Thorax","container-title-short":"Thorax","id":"616554","invisible":false,"issue":"12","issued":{"date-parts":[["2013","12"]]},"journalAbbreviation":"Thorax","page":"1150-1156","suppress-author":false,"title":"Microbial communities in the respiratory tract of patients with interstitial lung disease.","type":"article-journal","volume":"68"}]</w:instrText>
      </w:r>
      <w:r w:rsidRPr="005A7F38">
        <w:fldChar w:fldCharType="separate"/>
      </w:r>
      <w:r w:rsidR="00B775CB" w:rsidRPr="00B775CB">
        <w:rPr>
          <w:noProof/>
          <w:vertAlign w:val="superscript"/>
        </w:rPr>
        <w:t>189</w:t>
      </w:r>
      <w:r w:rsidRPr="005A7F38">
        <w:fldChar w:fldCharType="end"/>
      </w:r>
      <w:r w:rsidRPr="005A7F38">
        <w:t xml:space="preserve"> They sought to compare the bacterial community in the lung of patients with sarcoidosis to patients with idiopathic interstitial pneumonia (IIP) (n=5), non-idiopathic interstitial pneumonia (non-IIP) (n=6), patients with Pneumocystis pneumonia (PCP) (n=6) and normal controls (n=9). Garzoni et al reported no significant differences in abundance and diversity of bacteria between the 5 different groups, however, the very small number of participants likely does not provide the sample size needed to make a comparison of this nature.</w:t>
      </w:r>
      <w:r w:rsidRPr="005A7F38">
        <w:fldChar w:fldCharType="begin"/>
      </w:r>
      <w:r w:rsidR="00B775CB">
        <w:instrText>ADDIN F1000_CSL_CITATION&lt;~#@#~&gt;[{"DOI":"10.1136/thoraxjnl-2012-202917","First":false,"Last":false,"PMCID":"PMC3841796","PMID":"23945167","abstract":"&lt;strong&gt;BACKGROUND:&lt;/strong&gt; Molecular methods based on phylogenetic differences in the 16S rRNA gene are able to characterise the microbiota of the respiratory tract in health and disease.&lt;br&gt;&lt;br&gt;&lt;strong&gt;OBJECTIVES:&lt;/strong&gt; Our goals were (1) to characterise bacterial communities in lower and upper airways of patients with interstitial lung disease (ILD) and (2) to compare the results with the microbiota of patients with Pneumocystis pneumonia (PCP) and normal controls.&lt;br&gt;&lt;br&gt;&lt;strong&gt;METHODS:&lt;/strong&gt; We examined the upper and lower respiratory tract of 18 patients with ILD of whom 5, 6, and 7 had idiopathic interstitial pneumonia (IIP), non-IIP and sarcoidosis, respectively. In addition, six immune-compromised patients with PCP and nine healthy subjects were included as controls. Exclusion criteria were recent bacterial/viral respiratory tract infection, HIV-positivity and subjects receiving antibiotic therapy. Bronchoalveolar lavage fluid and oropharyngeal swabs were simultaneously collected, and microbiota was characterised by ultra-deep 16S rRNA gene sequencing.&lt;br&gt;&lt;br&gt;&lt;strong&gt;RESULTS:&lt;/strong&gt; The microbiota in lower airways of the majority of patients (30; 90%) primarily consisted of Prevotellaceae, Streptococcaceae and Acidaminococcaceae. α and β diversity measurements revealed no significant differences in airway microbiota composition between the five different groups of patients. Comparison of bacterial populations in upper and lower respiratory tract showed significant topographical discontinuities for 7 (23%) individuals.&lt;br&gt;&lt;br&gt;&lt;strong&gt;CONCLUSIONS:&lt;/strong&gt; IIP, non-IIP and sarcoidosis are not associated with disordered airway microbiota and a pathogenic role of commensals in the disease process is therefore unlikely. Nevertheless, molecular analysis of the topographical microbiota continuity along the respiratory tract may provide additional information to assist management of individual patients.","author":[{"family":"Garzoni","given":"Christian"},{"family":"Brugger","given":"Silvio D"},{"family":"Qi","given":"Weihong"},{"family":"Wasmer","given":"Sarah"},{"family":"Cusini","given":"Alexia"},{"family":"Dumont","given":"Philippe"},{"family":"Gorgievski-Hrisoho","given":"Meri"},{"family":"Mühlemann","given":"Kathrin"},{"family":"von Garnier","given":"Christophe"},{"family":"Hilty","given":"Markus"}],"authorYearDisplayFormat":false,"citation-label":"616554","container-title":"Thorax","container-title-short":"Thorax","id":"616554","invisible":false,"issue":"12","issued":{"date-parts":[["2013","12"]]},"journalAbbreviation":"Thorax","page":"1150-1156","suppress-author":false,"title":"Microbial communities in the respiratory tract of patients with interstitial lung disease.","type":"article-journal","volume":"68"}]</w:instrText>
      </w:r>
      <w:r w:rsidRPr="005A7F38">
        <w:fldChar w:fldCharType="separate"/>
      </w:r>
      <w:r w:rsidR="00B775CB" w:rsidRPr="00B775CB">
        <w:rPr>
          <w:noProof/>
          <w:vertAlign w:val="superscript"/>
        </w:rPr>
        <w:t>189</w:t>
      </w:r>
      <w:r w:rsidRPr="005A7F38">
        <w:fldChar w:fldCharType="end"/>
      </w:r>
      <w:r w:rsidRPr="005A7F38">
        <w:t xml:space="preserve"> Larger studies of the microbiome of patients with sarcoidosis, such as the </w:t>
      </w:r>
      <w:r w:rsidR="00051970" w:rsidRPr="005A7F38">
        <w:t>GRADS</w:t>
      </w:r>
      <w:r w:rsidRPr="005A7F38">
        <w:t xml:space="preserve"> study, will provide a more accurate description of the microbial communities of those with sarcoidosis. Additional insight into the relationship between bacteria and fungi and the impact on immune function will be available from studies of larger sarcoidosis patient populations.</w:t>
      </w:r>
      <w:r w:rsidRPr="005A7F38">
        <w:fldChar w:fldCharType="begin"/>
      </w:r>
      <w:r w:rsidR="00B775CB">
        <w:instrText>ADDIN F1000_CSL_CITATION&lt;~#@#~&gt;[{"DOI":"10.1513/AnnalsATS.201503-172OT","First":false,"Last":false,"PMCID":"PMC4627423","PMID":"26193069","abstract":"Sarcoidosis is a systemic disease characterized by noncaseating granulomatous inflammation with tremendous clinical heterogeneity and uncertain pathobiology and lacking in clinically useful biomarkers. The Genomic Research in Alpha-1 Antitrypsin Deficiency and Sarcoidosis (GRADS) study is an observational cohort study designed to explore the role of the lung microbiome and genome in these two diseases. This article describes the design and rationale for the GRADS study sarcoidosis protocol. The study addresses the hypothesis that distinct patterns in the lung microbiome are characteristic of sarcoidosis phenotypes and are reflected in changes in systemic inflammatory responses as measured by peripheral blood changes in gene transcription. The goal is to enroll 400 participants, with a minimum of 35 in each of 9 clinical phenotype subgroups prioritized by their clinical relevance to understanding of the pathobiology and clinical heterogeneity of sarcoidosis. Participants with a confirmed diagnosis of sarcoidosis undergo a baseline visit with self-administered questionnaires, chest computed tomography, pulmonary function tests, and blood and urine testing. A research or clinical bronchoscopy with a research bronchoalveolar lavage will be performed to obtain samples for genomic and microbiome analyses. Comparisons will be made by blood genomic analysis and with clinical phenotypic variables. A 6-month follow-up visit is planned to assess each participant's clinical course. By the use of an integrative approach to the analysis of the microbiome and genome in selected clinical phenotypes, the GRADS study is powerfully positioned to inform and direct studies on the pathobiology of sarcoidosis, identify diagnostic or prognostic biomarkers, and provide novel molecular phenotypes that could lead to improved personalized approaches to therapy for sarcoidosis.","author":[{"family":"Moller","given":"David R"},{"family":"Koth","given":"Laura L"},{"family":"Maier","given":"Lisa A"},{"family":"Morris","given":"Alison"},{"family":"Drake","given":"Wonder"},{"family":"Rossman","given":"Milton"},{"family":"Leader","given":"Joseph K"},{"family":"Collman","given":"Ronald G"},{"family":"Hamzeh","given":"Nabeel"},{"family":"Sweiss","given":"Nadera J"},{"family":"Zhang","given":"Yingze"},{"family":"O'Neal","given":"Scott"},{"family":"Senior","given":"Robert M"},{"family":"Becich","given":"Michael"},{"family":"Hochheiser","given":"Harry S"},{"family":"Kaminski","given":"Naftali"},{"family":"Wisniewski","given":"Stephen R"},{"family":"Gibson","given":"Kevin F"},{"family":"GRADS Sarcoidosis Study Group"}],"authorYearDisplayFormat":false,"citation-label":"1400043","container-title":"Annals of the American Thoracic Society","container-title-short":"Ann Am Thorac Soc","id":"1400043","invisible":false,"issue":"10","issued":{"date-parts":[["2015","10"]]},"journalAbbreviation":"Ann Am Thorac Soc","page":"1561-1571","suppress-author":false,"title":"Rationale and Design of the Genomic Research in Alpha-1 Antitrypsin Deficiency and Sarcoidosis (GRADS) Study. Sarcoidosis Protocol.","type":"article-journal","volume":"12"}]</w:instrText>
      </w:r>
      <w:r w:rsidRPr="005A7F38">
        <w:fldChar w:fldCharType="separate"/>
      </w:r>
      <w:r w:rsidR="00B775CB" w:rsidRPr="00B775CB">
        <w:rPr>
          <w:noProof/>
          <w:vertAlign w:val="superscript"/>
        </w:rPr>
        <w:t>9</w:t>
      </w:r>
      <w:r w:rsidRPr="005A7F38">
        <w:fldChar w:fldCharType="end"/>
      </w:r>
    </w:p>
    <w:p w14:paraId="3D59DE1A" w14:textId="32683421" w:rsidR="00BC1BA9" w:rsidRPr="005A7F38" w:rsidRDefault="00EC151A" w:rsidP="006672DD">
      <w:r w:rsidRPr="005A7F38">
        <w:t>As described previously, research suggests that the microbiome and genomic network interactions, such as those between bacteria and fungi, likely play critical roles in disease pathogenesis, disease course and clinical phenotype. However, the current state of knowled</w:t>
      </w:r>
      <w:r w:rsidR="00BC1BA9" w:rsidRPr="005A7F38">
        <w:t xml:space="preserve">ge in these areas is paltry and determinants of disease heterogeneity in sarcoidosis remain poorly understood. A more complete understanding of the biologic pathways responsible for the pathogenesis and clinical heterogeneity of sarcoidosis is needed in order to improve health and </w:t>
      </w:r>
      <w:r w:rsidR="00BC1BA9" w:rsidRPr="005A7F38">
        <w:lastRenderedPageBreak/>
        <w:t>outcomes for patients with sarcoidosis, in particular, those that suffer the most severe manifestations.</w:t>
      </w:r>
      <w:r w:rsidR="00BC1BA9" w:rsidRPr="005A7F38">
        <w:fldChar w:fldCharType="begin"/>
      </w:r>
      <w:r w:rsidR="00B775CB">
        <w:instrText>ADDIN F1000_CSL_CITATION&lt;~#@#~&gt;[{"DOI":"10.1513/AnnalsATS.201707-565OT","First":false,"Last":false,"PMID":"29073364","abstract":"Sarcoidosis is a multisystem disease with tremendous heterogeneity in disease manifestations, severity and clinical course that varies among different ethnic and racial groups. To better understand this disease and to improve the outcomes of patients, an NHLBI workshop was convened to assess the current state of knowledge, gaps and research needs across the clinical, genetic, environmental and immunologic arenas. We also explored to what extent the interplay of the genetic, environmental and immunologic factors could explain the different phenotypes and outcomes of sarcoidosis patients, including the chronic phenotypes that have the greatest health care burden. The potential utilization of current genetic, epigenetic and immunologic tools along with study approaches that integrate environmental exposures and precise clinical phenotyping were also explored. Finally, we made expert panel-based consensus recommendations for research approaches and priorities to improve our understanding of these factors on the health outcomes in sarcoidosis.","author":[{"family":"Moller","given":"David R"},{"family":"Rybicki","given":"Ben A"},{"family":"Hamzeh","given":"Nabeel Y"},{"family":"Montgomery","given":"Courtney G"},{"family":"Chen","given":"Edward S"},{"family":"Drake","given":"Wonder"},{"family":"Fontenot","given":"Andrew"}],"authorYearDisplayFormat":false,"citation-label":"4536488","container-title":"Annals of the American Thoracic Society","container-title-short":"Ann Am Thorac Soc","id":"4536488","invisible":false,"issued":{"date-parts":[["2017","10","26"]]},"journalAbbreviation":"Ann Am Thorac Soc","suppress-author":false,"title":"Genetic, immunological and environmental basis of sarcoidosis.","type":"article-journal"}]</w:instrText>
      </w:r>
      <w:r w:rsidR="00BC1BA9" w:rsidRPr="005A7F38">
        <w:fldChar w:fldCharType="separate"/>
      </w:r>
      <w:r w:rsidR="00B775CB" w:rsidRPr="00B775CB">
        <w:rPr>
          <w:noProof/>
          <w:vertAlign w:val="superscript"/>
        </w:rPr>
        <w:t>84</w:t>
      </w:r>
      <w:r w:rsidR="00BC1BA9" w:rsidRPr="005A7F38">
        <w:fldChar w:fldCharType="end"/>
      </w:r>
    </w:p>
    <w:p w14:paraId="3637EF56" w14:textId="2C2C029E" w:rsidR="00AF478B" w:rsidRPr="005A7F38" w:rsidRDefault="00EC151A" w:rsidP="00BB35BC">
      <w:r w:rsidRPr="005A7F38">
        <w:t xml:space="preserve">Significant questions remain unanswered: How does the microbiome contribute to the diverse phenotypes seen in sarcoidosis? Does the microbiome of the different body sites, including the gut, lung and skin, contribute to the pathogenesis and phenotypical differences of sarcoidosis? What are the interactions between the microbiome and the host immune response networks that contribute to pathogenesis and clinical outcome? Are there different microbiome signatures associated with phenotype or outcome? What role does the genomic network interactions between bacteria, viruses and fungi play in pathogenesis and differing clinical phenotypes and outcomes? </w:t>
      </w:r>
      <w:r w:rsidR="006672DD" w:rsidRPr="005A7F38">
        <w:t xml:space="preserve">What is the role of the mycobiome in the pathogenesis, phenotypical differences and clinical outcomes? Are there specific mycobiome signatures associated with differing phenotypes of sarcoidosis? </w:t>
      </w:r>
    </w:p>
    <w:p w14:paraId="1AE5958E" w14:textId="77777777" w:rsidR="00B917F0" w:rsidRPr="005A7F38" w:rsidRDefault="00A95B2A" w:rsidP="002446BB">
      <w:pPr>
        <w:pStyle w:val="Heading1"/>
        <w:rPr>
          <w:rFonts w:cs="Times New Roman"/>
        </w:rPr>
      </w:pPr>
      <w:bookmarkStart w:id="46" w:name="_Toc506540025"/>
      <w:bookmarkEnd w:id="27"/>
      <w:bookmarkEnd w:id="28"/>
      <w:r w:rsidRPr="005A7F38">
        <w:rPr>
          <w:rFonts w:cs="Times New Roman"/>
        </w:rPr>
        <w:lastRenderedPageBreak/>
        <w:t>objectives</w:t>
      </w:r>
      <w:bookmarkEnd w:id="46"/>
    </w:p>
    <w:p w14:paraId="74A71DDB" w14:textId="77777777" w:rsidR="00737386" w:rsidRPr="005A7F38" w:rsidRDefault="00737386" w:rsidP="002446BB">
      <w:pPr>
        <w:pStyle w:val="Heading2"/>
        <w:rPr>
          <w:rFonts w:cs="Times New Roman"/>
        </w:rPr>
      </w:pPr>
      <w:bookmarkStart w:id="47" w:name="_Toc506540026"/>
      <w:r w:rsidRPr="005A7F38">
        <w:rPr>
          <w:rFonts w:cs="Times New Roman"/>
        </w:rPr>
        <w:t xml:space="preserve">OBjectives of the </w:t>
      </w:r>
      <w:r w:rsidR="0016589F" w:rsidRPr="005A7F38">
        <w:rPr>
          <w:rFonts w:cs="Times New Roman"/>
        </w:rPr>
        <w:t xml:space="preserve">Overall </w:t>
      </w:r>
      <w:r w:rsidR="00051970" w:rsidRPr="005A7F38">
        <w:rPr>
          <w:rFonts w:cs="Times New Roman"/>
        </w:rPr>
        <w:t>GRADS</w:t>
      </w:r>
      <w:r w:rsidRPr="005A7F38">
        <w:rPr>
          <w:rFonts w:cs="Times New Roman"/>
        </w:rPr>
        <w:t xml:space="preserve"> STUDy</w:t>
      </w:r>
      <w:bookmarkEnd w:id="47"/>
    </w:p>
    <w:p w14:paraId="4A316061" w14:textId="3A9EB698" w:rsidR="00E538B9" w:rsidRPr="005A7F38" w:rsidRDefault="00C83B09" w:rsidP="00004E1A">
      <w:pPr>
        <w:ind w:firstLine="0"/>
        <w:rPr>
          <w:color w:val="000000"/>
        </w:rPr>
      </w:pPr>
      <w:r w:rsidRPr="005A7F38">
        <w:t>The analysis presented here includes a subset of participants from the Genomic Research in Alpha-1 Antitrypsin Deficiency and Sarcoidosis (</w:t>
      </w:r>
      <w:r w:rsidR="00051970" w:rsidRPr="005A7F38">
        <w:t>GRADS</w:t>
      </w:r>
      <w:r w:rsidRPr="005A7F38">
        <w:t>) study</w:t>
      </w:r>
      <w:r w:rsidR="00D57500" w:rsidRPr="005A7F38">
        <w:t xml:space="preserve"> (NCT01831739)</w:t>
      </w:r>
      <w:r w:rsidRPr="005A7F38">
        <w:t>.</w:t>
      </w:r>
      <w:r w:rsidR="002A2E1F" w:rsidRPr="005A7F38">
        <w:fldChar w:fldCharType="begin"/>
      </w:r>
      <w:r w:rsidR="00B775CB">
        <w:instrText>ADDIN F1000_CSL_CITATION&lt;~#@#~&gt;[{"First":false,"Last":false,"URL":"https://clinicaltrials.gov/ct2/show/NCT01831739?term=GRADS&amp;draw=1&amp;rank=1","accessed":{"date-parts":[["2017","11","21"]]},"authorYearDisplayFormat":false,"citation-label":"4523283","id":"4523283","invisible":false,"issued":{"date-parts":[[]]},"suppress-author":false,"title":"Genomic Research in Sarcoidosis - Full Text View - ClinicalTrials.gov","type":"webpage"}]</w:instrText>
      </w:r>
      <w:r w:rsidR="002A2E1F" w:rsidRPr="005A7F38">
        <w:fldChar w:fldCharType="separate"/>
      </w:r>
      <w:r w:rsidR="00B775CB" w:rsidRPr="00B775CB">
        <w:rPr>
          <w:noProof/>
          <w:vertAlign w:val="superscript"/>
        </w:rPr>
        <w:t>190</w:t>
      </w:r>
      <w:r w:rsidR="002A2E1F" w:rsidRPr="005A7F38">
        <w:fldChar w:fldCharType="end"/>
      </w:r>
      <w:r w:rsidRPr="005A7F38">
        <w:t xml:space="preserve"> The </w:t>
      </w:r>
      <w:r w:rsidR="00051970" w:rsidRPr="005A7F38">
        <w:t>GRADS</w:t>
      </w:r>
      <w:r w:rsidRPr="005A7F38">
        <w:t xml:space="preserve"> study included </w:t>
      </w:r>
      <w:r w:rsidR="00D16615" w:rsidRPr="005A7F38">
        <w:t xml:space="preserve">cohort studies of </w:t>
      </w:r>
      <w:r w:rsidRPr="005A7F38">
        <w:t xml:space="preserve">two distinct populations, patients with sarcoidosis and patients with a genetic condition the predisposes them to early onset pulmonary emphysema and airway obstruction similar to that of chronic obstructive pulmonary disease (COPD) caused by a </w:t>
      </w:r>
      <w:r w:rsidR="00BA5EB0" w:rsidRPr="005A7F38">
        <w:t xml:space="preserve">genetic </w:t>
      </w:r>
      <w:r w:rsidRPr="005A7F38">
        <w:t>deficiency in the protein Alpha-1 Antitrypsin Deficiency (AATD, Alpha1).</w:t>
      </w:r>
      <w:r w:rsidR="002A2E1F" w:rsidRPr="005A7F38">
        <w:fldChar w:fldCharType="begin"/>
      </w:r>
      <w:r w:rsidR="00B775CB">
        <w:instrText>ADDIN F1000_CSL_CITATION&lt;~#@#~&gt;[{"DOI":"10.1513/AnnalsATS.201503-143OC","First":false,"Last":false,"PMCID":"PMC4627425","PMID":"26153726","abstract":"Severe deficiency of alpha-1 antitrypsin has a highly variable clinical presentation. The Genomic Research in Alpha-1 Antitrypsin Deficiency and Sarcoidosis α1 Study is a prospective, multicenter, cross-sectional study of adults older than age 35 years with PiZZ or PiMZ alpha-1 antitrypsin genotypes. It is designed to better understand if microbial factors influence this heterogeneity. Clinical symptoms, pulmonary function testing, computed chest tomography, exercise capacity, and bronchoalveolar lavage (BAL) will be used to define chronic obstructive pulmonary disease (COPD) phenotypes that can be studied with an integrated systems biology approach that includes plasma proteomics; mouth, BAL, and stool microbiome and virome analysis; and blood microRNA and blood mononuclear cell RNA and DNA profiling. We will rely on global genome, transcriptome, proteome, and metabolome datasets. Matched cohorts of PiZZ participants on or off alpha-1 antitrypsin augmentation therapy, PiMZ participants not on augmentation therapy, and control participants from the Subpopulations and Intermediate Outcome Measures in COPD Study who match on FEV1 and age will be compared. In the primary analysis, we will determine if the PiZZ individuals on augmentation therapy have a difference in lower respiratory tract microbes identified compared with matched PiZZ individuals who are not on augmentation therapy. By characterizing the microbiome in alpha-1 antitrypsin deficiency (AATD), we hope to define new phenotypes of COPD that explain some of the diversity of clinical presentations. As a unique genetic cause of COPD, AATD may inform typical COPD pathogenesis, and better understanding of it may illuminate the complex interplay between environment and genetics. Although the biologic approaches are hypothesis generating, the results may lead to development of novel biomarkers, better understanding of COPD phenotypes, and development of novel diagnostic and therapeutic trials in AATD and COPD. Clinical trial registered with www.clinicaltrials.gov (NCT01832220).","author":[{"family":"Strange","given":"Charlie"},{"family":"Senior","given":"Robert M"},{"family":"Sciurba","given":"Frank"},{"family":"O'Neal","given":"Scott"},{"family":"Morris","given":"Alison"},{"family":"Wisniewski","given":"Stephen R"},{"family":"Bowler","given":"Russell"},{"family":"Hochheiser","given":"Harry S"},{"family":"Becich","given":"Michael J"},{"family":"Zhang","given":"Yingze"},{"family":"Leader","given":"Joseph K"},{"family":"Methé","given":"Barbara A"},{"family":"Kaminski","given":"Naftali"},{"family":"Sandhaus","given":"Robert A"},{"family":"GRADS Alpha-1 Study Group"}],"authorYearDisplayFormat":false,"citation-label":"1400044","container-title":"Annals of the American Thoracic Society","container-title-short":"Ann Am Thorac Soc","id":"1400044","invisible":false,"issue":"10","issued":{"date-parts":[["2015","10"]]},"journalAbbreviation":"Ann Am Thorac Soc","page":"1551-1560","suppress-author":false,"title":"Rationale and Design of the Genomic Research in Alpha-1 Antitrypsin Deficiency and Sarcoidosis Study. Alpha-1 Protocol.","type":"article-journal","volume":"12"},{"DOI":"10.1513/AnnalsATS.201503-172OT","First":false,"Last":false,"PMCID":"PMC4627423","PMID":"26193069","abstract":"Sarcoidosis is a systemic disease characterized by noncaseating granulomatous inflammation with tremendous clinical heterogeneity and uncertain pathobiology and lacking in clinically useful biomarkers. The Genomic Research in Alpha-1 Antitrypsin Deficiency and Sarcoidosis (GRADS) study is an observational cohort study designed to explore the role of the lung microbiome and genome in these two diseases. This article describes the design and rationale for the GRADS study sarcoidosis protocol. The study addresses the hypothesis that distinct patterns in the lung microbiome are characteristic of sarcoidosis phenotypes and are reflected in changes in systemic inflammatory responses as measured by peripheral blood changes in gene transcription. The goal is to enroll 400 participants, with a minimum of 35 in each of 9 clinical phenotype subgroups prioritized by their clinical relevance to understanding of the pathobiology and clinical heterogeneity of sarcoidosis. Participants with a confirmed diagnosis of sarcoidosis undergo a baseline visit with self-administered questionnaires, chest computed tomography, pulmonary function tests, and blood and urine testing. A research or clinical bronchoscopy with a research bronchoalveolar lavage will be performed to obtain samples for genomic and microbiome analyses. Comparisons will be made by blood genomic analysis and with clinical phenotypic variables. A 6-month follow-up visit is planned to assess each participant's clinical course. By the use of an integrative approach to the analysis of the microbiome and genome in selected clinical phenotypes, the GRADS study is powerfully positioned to inform and direct studies on the pathobiology of sarcoidosis, identify diagnostic or prognostic biomarkers, and provide novel molecular phenotypes that could lead to improved personalized approaches to therapy for sarcoidosis.","author":[{"family":"Moller","given":"David R"},{"family":"Koth","given":"Laura L"},{"family":"Maier","given":"Lisa A"},{"family":"Morris","given":"Alison"},{"family":"Drake","given":"Wonder"},{"family":"Rossman","given":"Milton"},{"family":"Leader","given":"Joseph K"},{"family":"Collman","given":"Ronald G"},{"family":"Hamzeh","given":"Nabeel"},{"family":"Sweiss","given":"Nadera J"},{"family":"Zhang","given":"Yingze"},{"family":"O'Neal","given":"Scott"},{"family":"Senior","given":"Robert M"},{"family":"Becich","given":"Michael"},{"family":"Hochheiser","given":"Harry S"},{"family":"Kaminski","given":"Naftali"},{"family":"Wisniewski","given":"Stephen R"},{"family":"Gibson","given":"Kevin F"},{"family":"GRADS Sarcoidosis Study Group"}],"authorYearDisplayFormat":false,"citation-label":"1400043","container-title":"Annals of the American Thoracic Society","container-title-short":"Ann Am Thorac Soc","id":"1400043","invisible":false,"issue":"10","issued":{"date-parts":[["2015","10"]]},"journalAbbreviation":"Ann Am Thorac Soc","page":"1561-1571","suppress-author":false,"title":"Rationale and Design of the Genomic Research in Alpha-1 Antitrypsin Deficiency and Sarcoidosis (GRADS) Study. Sarcoidosis Protocol.","type":"article-journal","volume":"12"}]</w:instrText>
      </w:r>
      <w:r w:rsidR="002A2E1F" w:rsidRPr="005A7F38">
        <w:fldChar w:fldCharType="separate"/>
      </w:r>
      <w:r w:rsidR="00B775CB" w:rsidRPr="00B775CB">
        <w:rPr>
          <w:noProof/>
          <w:vertAlign w:val="superscript"/>
        </w:rPr>
        <w:t>9,191</w:t>
      </w:r>
      <w:r w:rsidR="002A2E1F" w:rsidRPr="005A7F38">
        <w:fldChar w:fldCharType="end"/>
      </w:r>
      <w:r w:rsidRPr="005A7F38">
        <w:t xml:space="preserve"> Both sarcoidosis and AATD are diseases of chronic pulmonary dysfunction and act as a comparison group for each other in this case-control study in which each disease group acts as both case and control.  In studying the sarcoidosis cohort in the </w:t>
      </w:r>
      <w:r w:rsidR="00051970" w:rsidRPr="005A7F38">
        <w:t>GRADS</w:t>
      </w:r>
      <w:r w:rsidRPr="005A7F38">
        <w:t xml:space="preserve"> study, the objective is to determine if distinct patterns in the microbiome are characteristic of sarcoidosis phenotypes and reflect changes in sys</w:t>
      </w:r>
      <w:r w:rsidR="00E93061" w:rsidRPr="005A7F38">
        <w:t>temic inflammatory responses.</w:t>
      </w:r>
      <w:r w:rsidR="002A2E1F" w:rsidRPr="005A7F38">
        <w:fldChar w:fldCharType="begin"/>
      </w:r>
      <w:r w:rsidR="00B775CB">
        <w:instrText>ADDIN F1000_CSL_CITATION&lt;~#@#~&gt;[{"DOI":"10.1513/AnnalsATS.201503-172OT","First":false,"Last":false,"PMCID":"PMC4627423","PMID":"26193069","abstract":"Sarcoidosis is a systemic disease characterized by noncaseating granulomatous inflammation with tremendous clinical heterogeneity and uncertain pathobiology and lacking in clinically useful biomarkers. The Genomic Research in Alpha-1 Antitrypsin Deficiency and Sarcoidosis (GRADS) study is an observational cohort study designed to explore the role of the lung microbiome and genome in these two diseases. This article describes the design and rationale for the GRADS study sarcoidosis protocol. The study addresses the hypothesis that distinct patterns in the lung microbiome are characteristic of sarcoidosis phenotypes and are reflected in changes in systemic inflammatory responses as measured by peripheral blood changes in gene transcription. The goal is to enroll 400 participants, with a minimum of 35 in each of 9 clinical phenotype subgroups prioritized by their clinical relevance to understanding of the pathobiology and clinical heterogeneity of sarcoidosis. Participants with a confirmed diagnosis of sarcoidosis undergo a baseline visit with self-administered questionnaires, chest computed tomography, pulmonary function tests, and blood and urine testing. A research or clinical bronchoscopy with a research bronchoalveolar lavage will be performed to obtain samples for genomic and microbiome analyses. Comparisons will be made by blood genomic analysis and with clinical phenotypic variables. A 6-month follow-up visit is planned to assess each participant's clinical course. By the use of an integrative approach to the analysis of the microbiome and genome in selected clinical phenotypes, the GRADS study is powerfully positioned to inform and direct studies on the pathobiology of sarcoidosis, identify diagnostic or prognostic biomarkers, and provide novel molecular phenotypes that could lead to improved personalized approaches to therapy for sarcoidosis.","author":[{"family":"Moller","given":"David R"},{"family":"Koth","given":"Laura L"},{"family":"Maier","given":"Lisa A"},{"family":"Morris","given":"Alison"},{"family":"Drake","given":"Wonder"},{"family":"Rossman","given":"Milton"},{"family":"Leader","given":"Joseph K"},{"family":"Collman","given":"Ronald G"},{"family":"Hamzeh","given":"Nabeel"},{"family":"Sweiss","given":"Nadera J"},{"family":"Zhang","given":"Yingze"},{"family":"O'Neal","given":"Scott"},{"family":"Senior","given":"Robert M"},{"family":"Becich","given":"Michael"},{"family":"Hochheiser","given":"Harry S"},{"family":"Kaminski","given":"Naftali"},{"family":"Wisniewski","given":"Stephen R"},{"family":"Gibson","given":"Kevin F"},{"family":"GRADS Sarcoidosis Study Group"}],"authorYearDisplayFormat":false,"citation-label":"1400043","container-title":"Annals of the American Thoracic Society","container-title-short":"Ann Am Thorac Soc","id":"1400043","invisible":false,"issue":"10","issued":{"date-parts":[["2015","10"]]},"journalAbbreviation":"Ann Am Thorac Soc","page":"1561-1571","suppress-author":false,"title":"Rationale and Design of the Genomic Research in Alpha-1 Antitrypsin Deficiency and Sarcoidosis (GRADS) Study. Sarcoidosis Protocol.","type":"article-journal","volume":"12"},{"First":false,"Last":false,"URL":"https://clinicaltrials.gov/ct2/show/NCT01831739?term=GRADS&amp;draw=1&amp;rank=1","accessed":{"date-parts":[["2017","11","21"]]},"authorYearDisplayFormat":false,"citation-label":"4523283","id":"4523283","invisible":false,"issued":{"date-parts":[[]]},"suppress-author":false,"title":"Genomic Research in Sarcoidosis - Full Text View - ClinicalTrials.gov","type":"webpage"}]</w:instrText>
      </w:r>
      <w:r w:rsidR="002A2E1F" w:rsidRPr="005A7F38">
        <w:fldChar w:fldCharType="separate"/>
      </w:r>
      <w:r w:rsidR="00B775CB" w:rsidRPr="00B775CB">
        <w:rPr>
          <w:noProof/>
          <w:vertAlign w:val="superscript"/>
        </w:rPr>
        <w:t>9,190</w:t>
      </w:r>
      <w:r w:rsidR="002A2E1F" w:rsidRPr="005A7F38">
        <w:fldChar w:fldCharType="end"/>
      </w:r>
      <w:r w:rsidR="00737386" w:rsidRPr="005A7F38">
        <w:t xml:space="preserve"> The </w:t>
      </w:r>
      <w:r w:rsidR="00051970" w:rsidRPr="005A7F38">
        <w:t>GRADS</w:t>
      </w:r>
      <w:r w:rsidR="00737386" w:rsidRPr="005A7F38">
        <w:t xml:space="preserve"> study aimed</w:t>
      </w:r>
      <w:r w:rsidR="006C2002" w:rsidRPr="005A7F38">
        <w:t xml:space="preserve"> to identify peripheral blood mononuclear cell (PBMC) gene expression patterns that characterize distinct sarcoidosis phenotypes, to correlated mRNA and microRNA expression patterns in organs with sarcoidosis involvement with changes in the microbiome clinical parameters and PBMC gene expression patterns</w:t>
      </w:r>
      <w:r w:rsidR="00E538B9" w:rsidRPr="005A7F38">
        <w:t>.</w:t>
      </w:r>
      <w:r w:rsidR="002A2E1F" w:rsidRPr="005A7F38">
        <w:fldChar w:fldCharType="begin"/>
      </w:r>
      <w:r w:rsidR="00B775CB">
        <w:instrText>ADDIN F1000_CSL_CITATION&lt;~#@#~&gt;[{"DOI":"10.1513/AnnalsATS.201503-172OT","First":false,"Last":false,"PMCID":"PMC4627423","PMID":"26193069","abstract":"Sarcoidosis is a systemic disease characterized by noncaseating granulomatous inflammation with tremendous clinical heterogeneity and uncertain pathobiology and lacking in clinically useful biomarkers. The Genomic Research in Alpha-1 Antitrypsin Deficiency and Sarcoidosis (GRADS) study is an observational cohort study designed to explore the role of the lung microbiome and genome in these two diseases. This article describes the design and rationale for the GRADS study sarcoidosis protocol. The study addresses the hypothesis that distinct patterns in the lung microbiome are characteristic of sarcoidosis phenotypes and are reflected in changes in systemic inflammatory responses as measured by peripheral blood changes in gene transcription. The goal is to enroll 400 participants, with a minimum of 35 in each of 9 clinical phenotype subgroups prioritized by their clinical relevance to understanding of the pathobiology and clinical heterogeneity of sarcoidosis. Participants with a confirmed diagnosis of sarcoidosis undergo a baseline visit with self-administered questionnaires, chest computed tomography, pulmonary function tests, and blood and urine testing. A research or clinical bronchoscopy with a research bronchoalveolar lavage will be performed to obtain samples for genomic and microbiome analyses. Comparisons will be made by blood genomic analysis and with clinical phenotypic variables. A 6-month follow-up visit is planned to assess each participant's clinical course. By the use of an integrative approach to the analysis of the microbiome and genome in selected clinical phenotypes, the GRADS study is powerfully positioned to inform and direct studies on the pathobiology of sarcoidosis, identify diagnostic or prognostic biomarkers, and provide novel molecular phenotypes that could lead to improved personalized approaches to therapy for sarcoidosis.","author":[{"family":"Moller","given":"David R"},{"family":"Koth","given":"Laura L"},{"family":"Maier","given":"Lisa A"},{"family":"Morris","given":"Alison"},{"family":"Drake","given":"Wonder"},{"family":"Rossman","given":"Milton"},{"family":"Leader","given":"Joseph K"},{"family":"Collman","given":"Ronald G"},{"family":"Hamzeh","given":"Nabeel"},{"family":"Sweiss","given":"Nadera J"},{"family":"Zhang","given":"Yingze"},{"family":"O'Neal","given":"Scott"},{"family":"Senior","given":"Robert M"},{"family":"Becich","given":"Michael"},{"family":"Hochheiser","given":"Harry S"},{"family":"Kaminski","given":"Naftali"},{"family":"Wisniewski","given":"Stephen R"},{"family":"Gibson","given":"Kevin F"},{"family":"GRADS Sarcoidosis Study Group"}],"authorYearDisplayFormat":false,"citation-label":"1400043","container-title":"Annals of the American Thoracic Society","container-title-short":"Ann Am Thorac Soc","id":"1400043","invisible":false,"issue":"10","issued":{"date-parts":[["2015","10"]]},"journalAbbreviation":"Ann Am Thorac Soc","page":"1561-1571","suppress-author":false,"title":"Rationale and Design of the Genomic Research in Alpha-1 Antitrypsin Deficiency and Sarcoidosis (GRADS) Study. Sarcoidosis Protocol.","type":"article-journal","volume":"12"}]</w:instrText>
      </w:r>
      <w:r w:rsidR="002A2E1F" w:rsidRPr="005A7F38">
        <w:fldChar w:fldCharType="separate"/>
      </w:r>
      <w:r w:rsidR="00B775CB" w:rsidRPr="00B775CB">
        <w:rPr>
          <w:noProof/>
          <w:vertAlign w:val="superscript"/>
        </w:rPr>
        <w:t>9</w:t>
      </w:r>
      <w:r w:rsidR="002A2E1F" w:rsidRPr="005A7F38">
        <w:fldChar w:fldCharType="end"/>
      </w:r>
      <w:r w:rsidR="00E538B9" w:rsidRPr="005A7F38">
        <w:t xml:space="preserve"> Markers for disease phenotyp</w:t>
      </w:r>
      <w:r w:rsidR="00737386" w:rsidRPr="005A7F38">
        <w:t>es, severity and outcome will be</w:t>
      </w:r>
      <w:r w:rsidR="00E538B9" w:rsidRPr="005A7F38">
        <w:t xml:space="preserve"> </w:t>
      </w:r>
      <w:r w:rsidR="00463232" w:rsidRPr="005A7F38">
        <w:t>identified</w:t>
      </w:r>
      <w:r w:rsidR="00E538B9" w:rsidRPr="005A7F38">
        <w:t xml:space="preserve"> by focusing on PBMCs. Mechanistic insight will be provided through analysis of </w:t>
      </w:r>
      <w:r w:rsidR="00C03FA9" w:rsidRPr="005A7F38">
        <w:t>t</w:t>
      </w:r>
      <w:r w:rsidR="00E538B9" w:rsidRPr="005A7F38">
        <w:t>ranscriptomes (mRNA, microRNA).</w:t>
      </w:r>
      <w:r w:rsidR="002A2E1F" w:rsidRPr="005A7F38">
        <w:fldChar w:fldCharType="begin"/>
      </w:r>
      <w:r w:rsidR="00B775CB">
        <w:instrText>ADDIN F1000_CSL_CITATION&lt;~#@#~&gt;[{"DOI":"10.1513/AnnalsATS.201503-172OT","First":false,"Last":false,"PMCID":"PMC4627423","PMID":"26193069","abstract":"Sarcoidosis is a systemic disease characterized by noncaseating granulomatous inflammation with tremendous clinical heterogeneity and uncertain pathobiology and lacking in clinically useful biomarkers. The Genomic Research in Alpha-1 Antitrypsin Deficiency and Sarcoidosis (GRADS) study is an observational cohort study designed to explore the role of the lung microbiome and genome in these two diseases. This article describes the design and rationale for the GRADS study sarcoidosis protocol. The study addresses the hypothesis that distinct patterns in the lung microbiome are characteristic of sarcoidosis phenotypes and are reflected in changes in systemic inflammatory responses as measured by peripheral blood changes in gene transcription. The goal is to enroll 400 participants, with a minimum of 35 in each of 9 clinical phenotype subgroups prioritized by their clinical relevance to understanding of the pathobiology and clinical heterogeneity of sarcoidosis. Participants with a confirmed diagnosis of sarcoidosis undergo a baseline visit with self-administered questionnaires, chest computed tomography, pulmonary function tests, and blood and urine testing. A research or clinical bronchoscopy with a research bronchoalveolar lavage will be performed to obtain samples for genomic and microbiome analyses. Comparisons will be made by blood genomic analysis and with clinical phenotypic variables. A 6-month follow-up visit is planned to assess each participant's clinical course. By the use of an integrative approach to the analysis of the microbiome and genome in selected clinical phenotypes, the GRADS study is powerfully positioned to inform and direct studies on the pathobiology of sarcoidosis, identify diagnostic or prognostic biomarkers, and provide novel molecular phenotypes that could lead to improved personalized approaches to therapy for sarcoidosis.","author":[{"family":"Moller","given":"David R"},{"family":"Koth","given":"Laura L"},{"family":"Maier","given":"Lisa A"},{"family":"Morris","given":"Alison"},{"family":"Drake","given":"Wonder"},{"family":"Rossman","given":"Milton"},{"family":"Leader","given":"Joseph K"},{"family":"Collman","given":"Ronald G"},{"family":"Hamzeh","given":"Nabeel"},{"family":"Sweiss","given":"Nadera J"},{"family":"Zhang","given":"Yingze"},{"family":"O'Neal","given":"Scott"},{"family":"Senior","given":"Robert M"},{"family":"Becich","given":"Michael"},{"family":"Hochheiser","given":"Harry S"},{"family":"Kaminski","given":"Naftali"},{"family":"Wisniewski","given":"Stephen R"},{"family":"Gibson","given":"Kevin F"},{"family":"GRADS Sarcoidosis Study Group"}],"authorYearDisplayFormat":false,"citation-label":"1400043","container-title":"Annals of the American Thoracic Society","container-title-short":"Ann Am Thorac Soc","id":"1400043","invisible":false,"issue":"10","issued":{"date-parts":[["2015","10"]]},"journalAbbreviation":"Ann Am Thorac Soc","page":"1561-1571","suppress-author":false,"title":"Rationale and Design of the Genomic Research in Alpha-1 Antitrypsin Deficiency and Sarcoidosis (GRADS) Study. Sarcoidosis Protocol.","type":"article-journal","volume":"12"},{"First":false,"Last":false,"URL":"https://clinicaltrials.gov/ct2/show/NCT01831739?term=GRADS&amp;draw=1&amp;rank=1","accessed":{"date-parts":[["2017","11","21"]]},"authorYearDisplayFormat":false,"citation-label":"4523283","id":"4523283","invisible":false,"issued":{"date-parts":[[]]},"suppress-author":false,"title":"Genomic Research in Sarcoidosis - Full Text View - ClinicalTrials.gov","type":"webpage"}]</w:instrText>
      </w:r>
      <w:r w:rsidR="002A2E1F" w:rsidRPr="005A7F38">
        <w:fldChar w:fldCharType="separate"/>
      </w:r>
      <w:r w:rsidR="00B775CB" w:rsidRPr="00B775CB">
        <w:rPr>
          <w:noProof/>
          <w:vertAlign w:val="superscript"/>
        </w:rPr>
        <w:t>9,190</w:t>
      </w:r>
      <w:r w:rsidR="002A2E1F" w:rsidRPr="005A7F38">
        <w:fldChar w:fldCharType="end"/>
      </w:r>
      <w:r w:rsidR="00E538B9" w:rsidRPr="005A7F38">
        <w:t xml:space="preserve"> Add</w:t>
      </w:r>
      <w:r w:rsidR="00737386" w:rsidRPr="005A7F38">
        <w:t xml:space="preserve">itionally, the </w:t>
      </w:r>
      <w:r w:rsidR="00051970" w:rsidRPr="005A7F38">
        <w:t>GRADS</w:t>
      </w:r>
      <w:r w:rsidR="00737386" w:rsidRPr="005A7F38">
        <w:t xml:space="preserve"> study sought</w:t>
      </w:r>
      <w:r w:rsidR="00E538B9" w:rsidRPr="005A7F38">
        <w:t xml:space="preserve"> to integrate clinical, transcriptomic and microbiome data to identify novel molecular phenotypes in sarcoidosis as well as to determine if patterns in the lung microbiome are associated with sarcoidosis severity and clinical phenotypes. </w:t>
      </w:r>
      <w:r w:rsidR="00EF2714" w:rsidRPr="005A7F38">
        <w:lastRenderedPageBreak/>
        <w:t>Utilizing high throughput screening to analyze the microbiome of lung, mouth and gut will potentially identify patterns in microbial communities that determine disease activity and clinical response to therapeutic intervention.</w:t>
      </w:r>
      <w:r w:rsidR="002C1362" w:rsidRPr="005A7F38">
        <w:t xml:space="preserve"> The </w:t>
      </w:r>
      <w:r w:rsidR="00051970" w:rsidRPr="005A7F38">
        <w:t>GRADS</w:t>
      </w:r>
      <w:r w:rsidR="002C1362" w:rsidRPr="005A7F38">
        <w:t xml:space="preserve"> study was supported with funding by the National Institutes of Health Grants U01 HL112707, U01 HL112694, U01 HL112695, U01 HL112696, U01 HL112702, U01 HL112708, U01 HL112711, U01 HL112712, UL1 RR029882, UL1 RR025780, R01 HL110883, and R01 HL114587; Clinical and Translational Science Institute Grant U54 9 UL1 TR000005; and Centers for Disease Control and Prevention National Mesothelioma Virtual Bank for Translational Research Grant 5 U24 OH009077.</w:t>
      </w:r>
      <w:r w:rsidR="002C1362" w:rsidRPr="005A7F38">
        <w:rPr>
          <w:color w:val="000000"/>
        </w:rPr>
        <w:t xml:space="preserve"> </w:t>
      </w:r>
    </w:p>
    <w:p w14:paraId="634B52F6" w14:textId="77777777" w:rsidR="00737386" w:rsidRPr="005A7F38" w:rsidRDefault="00737386" w:rsidP="002446BB">
      <w:pPr>
        <w:pStyle w:val="Heading2"/>
        <w:rPr>
          <w:rFonts w:cs="Times New Roman"/>
        </w:rPr>
      </w:pPr>
      <w:bookmarkStart w:id="48" w:name="_Toc506540027"/>
      <w:r w:rsidRPr="005A7F38">
        <w:rPr>
          <w:rFonts w:cs="Times New Roman"/>
        </w:rPr>
        <w:t>Objectives of the current analysis</w:t>
      </w:r>
      <w:bookmarkEnd w:id="48"/>
    </w:p>
    <w:p w14:paraId="5BBA8C85" w14:textId="5A1A2823" w:rsidR="00C83B09" w:rsidRPr="005A7F38" w:rsidRDefault="00E538B9" w:rsidP="002446BB">
      <w:pPr>
        <w:pStyle w:val="Noindent"/>
      </w:pPr>
      <w:r w:rsidRPr="005A7F38">
        <w:t>The analysis presented here aims to describe a subset of patients with both sarcoidosis and AATD and to examine differences in resi</w:t>
      </w:r>
      <w:r w:rsidR="0031140E" w:rsidRPr="005A7F38">
        <w:t xml:space="preserve">dential, occupational, chemical and personal </w:t>
      </w:r>
      <w:r w:rsidRPr="005A7F38">
        <w:t>exposures and to characterize the gut fungal microbiome, the mycobiome, of partic</w:t>
      </w:r>
      <w:r w:rsidR="00A56C83" w:rsidRPr="005A7F38">
        <w:t>ipants with both disease types. In studying the mycobiome of sarcoidosis cases, the objective is to determine if distinct patterns in the microbiome are characteristic of sarcoidosis phenotypes.</w:t>
      </w:r>
      <w:r w:rsidR="00A56C83" w:rsidRPr="005A7F38">
        <w:fldChar w:fldCharType="begin"/>
      </w:r>
      <w:r w:rsidR="00B775CB">
        <w:instrText>ADDIN F1000_CSL_CITATION&lt;~#@#~&gt;[{"DOI":"10.1513/AnnalsATS.201503-172OT","First":false,"Last":false,"PMCID":"PMC4627423","PMID":"26193069","abstract":"Sarcoidosis is a systemic disease characterized by noncaseating granulomatous inflammation with tremendous clinical heterogeneity and uncertain pathobiology and lacking in clinically useful biomarkers. The Genomic Research in Alpha-1 Antitrypsin Deficiency and Sarcoidosis (GRADS) study is an observational cohort study designed to explore the role of the lung microbiome and genome in these two diseases. This article describes the design and rationale for the GRADS study sarcoidosis protocol. The study addresses the hypothesis that distinct patterns in the lung microbiome are characteristic of sarcoidosis phenotypes and are reflected in changes in systemic inflammatory responses as measured by peripheral blood changes in gene transcription. The goal is to enroll 400 participants, with a minimum of 35 in each of 9 clinical phenotype subgroups prioritized by their clinical relevance to understanding of the pathobiology and clinical heterogeneity of sarcoidosis. Participants with a confirmed diagnosis of sarcoidosis undergo a baseline visit with self-administered questionnaires, chest computed tomography, pulmonary function tests, and blood and urine testing. A research or clinical bronchoscopy with a research bronchoalveolar lavage will be performed to obtain samples for genomic and microbiome analyses. Comparisons will be made by blood genomic analysis and with clinical phenotypic variables. A 6-month follow-up visit is planned to assess each participant's clinical course. By the use of an integrative approach to the analysis of the microbiome and genome in selected clinical phenotypes, the GRADS study is powerfully positioned to inform and direct studies on the pathobiology of sarcoidosis, identify diagnostic or prognostic biomarkers, and provide novel molecular phenotypes that could lead to improved personalized approaches to therapy for sarcoidosis.","author":[{"family":"Moller","given":"David R"},{"family":"Koth","given":"Laura L"},{"family":"Maier","given":"Lisa A"},{"family":"Morris","given":"Alison"},{"family":"Drake","given":"Wonder"},{"family":"Rossman","given":"Milton"},{"family":"Leader","given":"Joseph K"},{"family":"Collman","given":"Ronald G"},{"family":"Hamzeh","given":"Nabeel"},{"family":"Sweiss","given":"Nadera J"},{"family":"Zhang","given":"Yingze"},{"family":"O'Neal","given":"Scott"},{"family":"Senior","given":"Robert M"},{"family":"Becich","given":"Michael"},{"family":"Hochheiser","given":"Harry S"},{"family":"Kaminski","given":"Naftali"},{"family":"Wisniewski","given":"Stephen R"},{"family":"Gibson","given":"Kevin F"},{"family":"GRADS Sarcoidosis Study Group"}],"authorYearDisplayFormat":false,"citation-label":"1400043","container-title":"Annals of the American Thoracic Society","container-title-short":"Ann Am Thorac Soc","id":"1400043","invisible":false,"issue":"10","issued":{"date-parts":[["2015","10"]]},"journalAbbreviation":"Ann Am Thorac Soc","page":"1561-1571","suppress-author":false,"title":"Rationale and Design of the Genomic Research in Alpha-1 Antitrypsin Deficiency and Sarcoidosis (GRADS) Study. Sarcoidosis Protocol.","type":"article-journal","volume":"12"},{"First":false,"Last":false,"URL":"https://clinicaltrials.gov/ct2/show/NCT01831739?term=GRADS&amp;draw=1&amp;rank=1","accessed":{"date-parts":[["2017","11","21"]]},"authorYearDisplayFormat":false,"citation-label":"4523283","id":"4523283","invisible":false,"issued":{"date-parts":[[]]},"suppress-author":false,"title":"Genomic Research in Sarcoidosis - Full Text View - ClinicalTrials.gov","type":"webpage"}]</w:instrText>
      </w:r>
      <w:r w:rsidR="00A56C83" w:rsidRPr="005A7F38">
        <w:fldChar w:fldCharType="separate"/>
      </w:r>
      <w:r w:rsidR="00B775CB" w:rsidRPr="00B775CB">
        <w:rPr>
          <w:noProof/>
          <w:vertAlign w:val="superscript"/>
        </w:rPr>
        <w:t>9,190</w:t>
      </w:r>
      <w:r w:rsidR="00A56C83" w:rsidRPr="005A7F38">
        <w:fldChar w:fldCharType="end"/>
      </w:r>
      <w:r w:rsidR="006672DD" w:rsidRPr="005A7F38">
        <w:t xml:space="preserve"> Comparisons of the abundance and diversity of the gut mycobiome will be made between the phenotypic groups to identify differences or mycobiome signatures specific to groups.</w:t>
      </w:r>
    </w:p>
    <w:p w14:paraId="1EADAC66" w14:textId="77777777" w:rsidR="00B917F0" w:rsidRPr="005A7F38" w:rsidRDefault="00217F2B" w:rsidP="002446BB">
      <w:pPr>
        <w:pStyle w:val="Heading1"/>
        <w:rPr>
          <w:rFonts w:cs="Times New Roman"/>
        </w:rPr>
      </w:pPr>
      <w:bookmarkStart w:id="49" w:name="_Toc506540028"/>
      <w:r w:rsidRPr="005A7F38">
        <w:rPr>
          <w:rFonts w:cs="Times New Roman"/>
        </w:rPr>
        <w:lastRenderedPageBreak/>
        <w:t>Methods</w:t>
      </w:r>
      <w:bookmarkEnd w:id="49"/>
    </w:p>
    <w:p w14:paraId="42757841" w14:textId="3C06D9FE" w:rsidR="00AE7074" w:rsidRPr="008B1BF9" w:rsidRDefault="003C1C39" w:rsidP="008B1BF9">
      <w:pPr>
        <w:pStyle w:val="Heading2"/>
        <w:rPr>
          <w:rFonts w:cs="Times New Roman"/>
        </w:rPr>
      </w:pPr>
      <w:bookmarkStart w:id="50" w:name="_Toc506540029"/>
      <w:r w:rsidRPr="005A7F38">
        <w:rPr>
          <w:rFonts w:cs="Times New Roman"/>
        </w:rPr>
        <w:t>Case Control study of environmental and Personal risk factors in sarcoidosis</w:t>
      </w:r>
      <w:r w:rsidR="00A61AAA">
        <w:rPr>
          <w:rFonts w:cs="Times New Roman"/>
        </w:rPr>
        <w:t xml:space="preserve">: </w:t>
      </w:r>
      <w:r w:rsidR="005E0955">
        <w:rPr>
          <w:rFonts w:cs="Times New Roman"/>
        </w:rPr>
        <w:t>A PILOT case control Study</w:t>
      </w:r>
      <w:bookmarkEnd w:id="50"/>
    </w:p>
    <w:p w14:paraId="06ECF5B9" w14:textId="24476A32" w:rsidR="00F8682E" w:rsidRDefault="00F8682E" w:rsidP="00733ED7">
      <w:pPr>
        <w:pStyle w:val="Heading3"/>
        <w:rPr>
          <w:rFonts w:cs="Times New Roman"/>
        </w:rPr>
      </w:pPr>
      <w:bookmarkStart w:id="51" w:name="_Toc506540030"/>
      <w:r>
        <w:rPr>
          <w:rFonts w:cs="Times New Roman"/>
        </w:rPr>
        <w:t>Data Sources</w:t>
      </w:r>
      <w:bookmarkEnd w:id="51"/>
    </w:p>
    <w:p w14:paraId="630C1FBA" w14:textId="19203527" w:rsidR="008B1BF9" w:rsidRPr="008B1BF9" w:rsidRDefault="008B1BF9" w:rsidP="008B1BF9">
      <w:pPr>
        <w:pStyle w:val="Noindent"/>
      </w:pPr>
      <w:r>
        <w:t xml:space="preserve">I had the opportunity through the recently completed study of Sarcoidosis and AATD, the GRADS study, </w:t>
      </w:r>
      <w:r w:rsidRPr="005A7F38">
        <w:t xml:space="preserve">to </w:t>
      </w:r>
      <w:r>
        <w:t xml:space="preserve">analyze data on </w:t>
      </w:r>
      <w:r w:rsidRPr="005A7F38">
        <w:t>personal, occupational and environme</w:t>
      </w:r>
      <w:r>
        <w:t>ntal factors for sarcoidosis i</w:t>
      </w:r>
      <w:r w:rsidR="001A55BB">
        <w:t>n a subset of 96 patients previously randomly selected for microbiome analysis</w:t>
      </w:r>
      <w:r>
        <w:t>. The University of Pittsburgh functioned as both a clinical site under the direction of Dr. Kevin Gibson and as one of the Genomic and Informatics centers under the leadership of Dr. Naftali Kaminski. Design of GRADS sarcoidosis study is presented in Moller et al’s “Rationale and Design of Genomic Research in Alpha-1 Antitrypsin Deficiency and Sarcoidosis (GRADS) Study. Sarcoidosis Protocol” published in the Annals of the American Thoracic Society in October of 2015.</w:t>
      </w:r>
    </w:p>
    <w:p w14:paraId="4B9B6A3C" w14:textId="36F1EB42" w:rsidR="00F8682E" w:rsidRPr="00F8682E" w:rsidRDefault="00F8682E" w:rsidP="008B1BF9">
      <w:pPr>
        <w:pStyle w:val="Noindent"/>
        <w:ind w:firstLine="720"/>
      </w:pPr>
      <w:r>
        <w:t xml:space="preserve">This was a pilot analysis of data from the GRADS study, described at greater length below. Here we report on cases with sarcoidosis and controls with AATD at a single baseline time point. </w:t>
      </w:r>
      <w:r w:rsidR="008B1BF9" w:rsidRPr="005A7F38">
        <w:t xml:space="preserve">58 cases of documented sarcoidosis and 38 controls with AATD were included. </w:t>
      </w:r>
      <w:r>
        <w:t>Clinical diagnosis was based on the medical record, radiographic images, and in the case of AATD, genotype. The focus of this analysis was sociodemographic, health related and environmental risk f</w:t>
      </w:r>
      <w:r w:rsidR="008B1BF9">
        <w:t>actors for sarcoidosis. The sample of cases and controls were randomly selected. We compared the sample of participants included in this analysis to the overall GRADS study sample.</w:t>
      </w:r>
    </w:p>
    <w:p w14:paraId="1FCB0DBF" w14:textId="5EB4F918" w:rsidR="00733ED7" w:rsidRPr="00785F8C" w:rsidRDefault="00733ED7" w:rsidP="00785F8C">
      <w:pPr>
        <w:pStyle w:val="Heading3"/>
        <w:rPr>
          <w:rFonts w:cs="Times New Roman"/>
        </w:rPr>
      </w:pPr>
      <w:bookmarkStart w:id="52" w:name="_Toc506540031"/>
      <w:r w:rsidRPr="00785F8C">
        <w:rPr>
          <w:rFonts w:cs="Times New Roman"/>
        </w:rPr>
        <w:lastRenderedPageBreak/>
        <w:t>Data Collection</w:t>
      </w:r>
      <w:bookmarkEnd w:id="52"/>
    </w:p>
    <w:p w14:paraId="7223DDDB" w14:textId="7BDA2F94" w:rsidR="00785F8C" w:rsidRDefault="00785F8C" w:rsidP="00F8682E">
      <w:pPr>
        <w:ind w:firstLine="0"/>
      </w:pPr>
      <w:r>
        <w:t xml:space="preserve">Sociodemographic data including age, sex, race, income level, education and occupation were collected. We also collected information on smoking status, occupation, occupational exposure and environmental exposures including residential exposures such as pet ownership. </w:t>
      </w:r>
      <w:r w:rsidR="00973B94" w:rsidRPr="005A7F38">
        <w:t>Medical history including history of infectious disease, medication use and sarcoidosis organ involvement were included.</w:t>
      </w:r>
    </w:p>
    <w:p w14:paraId="30934A3B" w14:textId="3AA600C9" w:rsidR="00733ED7" w:rsidRPr="005A7F38" w:rsidRDefault="00785F8C" w:rsidP="00973B94">
      <w:pPr>
        <w:ind w:firstLine="0"/>
      </w:pPr>
      <w:r>
        <w:tab/>
        <w:t xml:space="preserve">Age was examined as a continuous variable. Race was categorized as White, Back, Asian/Pacific Islander/Native Hawaiian, American Indian/Native Alaskan, more than one race and unknown. </w:t>
      </w:r>
      <w:r w:rsidR="000A4E07" w:rsidRPr="005A7F38">
        <w:t>Case and control participants completed the same exposure</w:t>
      </w:r>
      <w:r>
        <w:t xml:space="preserve"> questionnaire (Appendix A)</w:t>
      </w:r>
      <w:r w:rsidR="000A4E07" w:rsidRPr="005A7F38">
        <w:t xml:space="preserve">. </w:t>
      </w:r>
      <w:r w:rsidR="00973B94">
        <w:t>The</w:t>
      </w:r>
      <w:r>
        <w:t xml:space="preserve"> questionnaire a</w:t>
      </w:r>
      <w:r w:rsidR="00973B94">
        <w:t xml:space="preserve">sked participants if they were a) currently exposed to; started before diagnosis b) currently exposed to; started after diagnosis c) not exposed currently; ended before diagnosis d) not exposed currently; ended after diagnosis e) never exposed. </w:t>
      </w:r>
      <w:r w:rsidR="00921A1B">
        <w:t xml:space="preserve">In this </w:t>
      </w:r>
      <w:r w:rsidR="00973B94">
        <w:t>sample size</w:t>
      </w:r>
      <w:r w:rsidR="00A37988">
        <w:t>,</w:t>
      </w:r>
      <w:r w:rsidR="00973B94">
        <w:t xml:space="preserve"> there were small numbers of reported exposures. In order to</w:t>
      </w:r>
      <w:r w:rsidR="00A37988">
        <w:t xml:space="preserve"> provide some statistical relevance, </w:t>
      </w:r>
      <w:r w:rsidR="00973B94">
        <w:t xml:space="preserve">these responses were </w:t>
      </w:r>
      <w:r w:rsidR="00A37988">
        <w:t xml:space="preserve">examined in an ever versus never fashion. Additionally, exposure variables were examined by considering an exposure before diagnosis versus no exposure or exposure after diagnosis. </w:t>
      </w:r>
      <w:r w:rsidR="00973B94">
        <w:t xml:space="preserve"> </w:t>
      </w:r>
    </w:p>
    <w:p w14:paraId="1D937F58" w14:textId="77777777" w:rsidR="00733ED7" w:rsidRPr="005A7F38" w:rsidRDefault="00733ED7" w:rsidP="00733ED7">
      <w:pPr>
        <w:pStyle w:val="Heading3"/>
        <w:rPr>
          <w:rFonts w:cs="Times New Roman"/>
        </w:rPr>
      </w:pPr>
      <w:bookmarkStart w:id="53" w:name="_Toc506540032"/>
      <w:r w:rsidRPr="005A7F38">
        <w:rPr>
          <w:rFonts w:cs="Times New Roman"/>
        </w:rPr>
        <w:t>Statistical Methods</w:t>
      </w:r>
      <w:bookmarkEnd w:id="53"/>
    </w:p>
    <w:p w14:paraId="3E891881" w14:textId="1D833AE1" w:rsidR="00733ED7" w:rsidRPr="005A7F38" w:rsidRDefault="00733ED7" w:rsidP="00733ED7">
      <w:pPr>
        <w:pStyle w:val="Noindent"/>
      </w:pPr>
      <w:r w:rsidRPr="005A7F38">
        <w:t>Descriptive statistical analysis</w:t>
      </w:r>
      <w:r w:rsidR="00890809" w:rsidRPr="005A7F38">
        <w:t xml:space="preserve"> was performed and comparisons between case and controls were made</w:t>
      </w:r>
      <w:r w:rsidRPr="005A7F38">
        <w:t xml:space="preserve"> using</w:t>
      </w:r>
      <w:r w:rsidR="00890809" w:rsidRPr="005A7F38">
        <w:t xml:space="preserve"> a Chi Square Test or</w:t>
      </w:r>
      <w:r w:rsidRPr="005A7F38">
        <w:t xml:space="preserve"> Fisher’s Exact Test</w:t>
      </w:r>
      <w:r w:rsidR="00890809" w:rsidRPr="005A7F38">
        <w:t xml:space="preserve"> where appropriate. A</w:t>
      </w:r>
      <w:r w:rsidR="00044DF6" w:rsidRPr="005A7F38">
        <w:t>n odds ratio was computed</w:t>
      </w:r>
      <w:r w:rsidRPr="005A7F38">
        <w:t xml:space="preserve"> for all environmental, occupational, animal and personal exposure variables included.</w:t>
      </w:r>
      <w:r w:rsidR="00EA6F65" w:rsidRPr="005A7F38">
        <w:fldChar w:fldCharType="begin"/>
      </w:r>
      <w:r w:rsidR="00B775CB">
        <w:instrText>ADDIN F1000_CSL_CITATION&lt;~#@#~&gt;[{"First":false,"Last":false,"URL":"http://www.biostathandbook.com/fishers.html","accessed":{"date-parts":[["2017","11","27"]]},"authorYearDisplayFormat":false,"citation-label":"4536024","id":"4536024","invisible":false,"issued":{"date-parts":[[]]},"suppress-author":false,"title":"Fisher's exact test of independence - Handbook of Biological Statistics","type":"webpage"}]</w:instrText>
      </w:r>
      <w:r w:rsidR="00EA6F65" w:rsidRPr="005A7F38">
        <w:fldChar w:fldCharType="separate"/>
      </w:r>
      <w:r w:rsidR="00B775CB" w:rsidRPr="00B775CB">
        <w:rPr>
          <w:noProof/>
          <w:vertAlign w:val="superscript"/>
        </w:rPr>
        <w:t>192</w:t>
      </w:r>
      <w:r w:rsidR="00EA6F65" w:rsidRPr="005A7F38">
        <w:fldChar w:fldCharType="end"/>
      </w:r>
      <w:r w:rsidRPr="005A7F38">
        <w:t xml:space="preserve"> </w:t>
      </w:r>
      <w:r w:rsidR="00A37988">
        <w:t>Exposures were also examined using a logistic reg</w:t>
      </w:r>
      <w:r w:rsidR="00605293">
        <w:t>ression model</w:t>
      </w:r>
      <w:r w:rsidR="001A55BB">
        <w:t xml:space="preserve"> with case/control (1/0) as the </w:t>
      </w:r>
      <w:r w:rsidR="001A55BB">
        <w:lastRenderedPageBreak/>
        <w:t>dependent variable and</w:t>
      </w:r>
      <w:r w:rsidR="00605293">
        <w:t xml:space="preserve"> adjusting for age</w:t>
      </w:r>
      <w:r w:rsidR="006959B7">
        <w:t>,</w:t>
      </w:r>
      <w:r w:rsidR="004B31E1">
        <w:t xml:space="preserve"> educational level and </w:t>
      </w:r>
      <w:r w:rsidR="00A37988">
        <w:t>smoking status</w:t>
      </w:r>
      <w:r w:rsidR="00EF7B65">
        <w:t xml:space="preserve"> (ever versus never)</w:t>
      </w:r>
      <w:r w:rsidR="00BE0F07">
        <w:t xml:space="preserve">. </w:t>
      </w:r>
      <w:r w:rsidR="009E16F1">
        <w:t xml:space="preserve"> We utilized a stepwise method of model building. Covariates were chosen based on previous research indicating their role as possible confounders. </w:t>
      </w:r>
      <w:r w:rsidR="00BE0F07">
        <w:t xml:space="preserve">We used the Hosmer-Lemeshow goodness of fit test for logistic regression and obtained a p-value of 0.1430 which </w:t>
      </w:r>
      <w:r w:rsidR="00B775CB">
        <w:t>may indicate</w:t>
      </w:r>
      <w:r w:rsidR="00BE0F07">
        <w:t xml:space="preserve"> an adequate fit of the model to the data.</w:t>
      </w:r>
      <w:r w:rsidR="00B775CB">
        <w:fldChar w:fldCharType="begin"/>
      </w:r>
      <w:r w:rsidR="00B775CB">
        <w:instrText>ADDIN F1000_CSL_CITATION&lt;~#@#~&gt;[{"DOI":"10.1093/oxfordjournals.aje.a113284","First":false,"Last":false,"author":[{"family":"Lemeshow","given":"STANLEY"},{"family":"Hosmer","given":"DAVID W."}],"authorYearDisplayFormat":false,"citation-label":"4614935","container-title":"American Journal of Epidemiology","container-title-short":"Am J Epidemiol","id":"4614935","invisible":false,"issue":"1","issued":{"date-parts":[["1982","1"]]},"journalAbbreviation":"Am J Epidemiol","page":"92-106","suppress-author":false,"title":"A review of goodness of fit statistics for use in the development of logistic regression models1","type":"article-journal","volume":"115"}]</w:instrText>
      </w:r>
      <w:r w:rsidR="00B775CB">
        <w:fldChar w:fldCharType="separate"/>
      </w:r>
      <w:r w:rsidR="00B775CB" w:rsidRPr="00B775CB">
        <w:rPr>
          <w:noProof/>
          <w:vertAlign w:val="superscript"/>
        </w:rPr>
        <w:t>193</w:t>
      </w:r>
      <w:r w:rsidR="00B775CB">
        <w:fldChar w:fldCharType="end"/>
      </w:r>
      <w:r w:rsidR="00BE0F07">
        <w:t xml:space="preserve"> </w:t>
      </w:r>
      <w:r w:rsidRPr="005A7F38">
        <w:t xml:space="preserve">Statistical analysis was performed using SAS </w:t>
      </w:r>
      <w:r w:rsidR="008B2494" w:rsidRPr="005A7F38">
        <w:t>Studio</w:t>
      </w:r>
      <w:r w:rsidR="00EA6F65" w:rsidRPr="005A7F38">
        <w:rPr>
          <w:vertAlign w:val="superscript"/>
        </w:rPr>
        <w:t>®</w:t>
      </w:r>
      <w:r w:rsidR="008B2494" w:rsidRPr="005A7F38">
        <w:t>.</w:t>
      </w:r>
      <w:r w:rsidR="00EA6F65" w:rsidRPr="005A7F38">
        <w:fldChar w:fldCharType="begin"/>
      </w:r>
      <w:r w:rsidR="00B775CB">
        <w:instrText>ADDIN F1000_CSL_CITATION&lt;~#@#~&gt;[{"First":false,"Last":false,"URL":"https://odamid.oda.sas.com/SASStudio/main?locale=en_US&amp;zone=GMT-05%253A00&amp;https%3A%2F%2Fodamid.oda.sas.com%2FSASStudio%2Findex=","accessed":{"date-parts":[["2017","11","27"]]},"authorYearDisplayFormat":false,"citation-label":"4536023","id":"4536023","invisible":false,"issued":{"date-parts":[[]]},"suppress-author":false,"title":"SAS Studio","type":"webpage"}]</w:instrText>
      </w:r>
      <w:r w:rsidR="00EA6F65" w:rsidRPr="005A7F38">
        <w:fldChar w:fldCharType="separate"/>
      </w:r>
      <w:r w:rsidR="00B775CB" w:rsidRPr="00B775CB">
        <w:rPr>
          <w:noProof/>
          <w:vertAlign w:val="superscript"/>
        </w:rPr>
        <w:t>194</w:t>
      </w:r>
      <w:r w:rsidR="00EA6F65" w:rsidRPr="005A7F38">
        <w:fldChar w:fldCharType="end"/>
      </w:r>
      <w:r w:rsidR="00A33DA0" w:rsidRPr="005A7F38">
        <w:t xml:space="preserve"> </w:t>
      </w:r>
    </w:p>
    <w:p w14:paraId="2C7DD5EB" w14:textId="77777777" w:rsidR="00733ED7" w:rsidRPr="005A7F38" w:rsidRDefault="00733ED7" w:rsidP="00733ED7">
      <w:pPr>
        <w:pStyle w:val="Heading3"/>
        <w:rPr>
          <w:rFonts w:cs="Times New Roman"/>
        </w:rPr>
      </w:pPr>
      <w:bookmarkStart w:id="54" w:name="_Toc506540033"/>
      <w:r w:rsidRPr="005A7F38">
        <w:rPr>
          <w:rFonts w:cs="Times New Roman"/>
        </w:rPr>
        <w:t>Microbiome Analysis</w:t>
      </w:r>
      <w:bookmarkEnd w:id="54"/>
    </w:p>
    <w:p w14:paraId="72847607" w14:textId="425F8EA6" w:rsidR="0044589C" w:rsidRPr="005A7F38" w:rsidRDefault="00F8682E" w:rsidP="00F8682E">
      <w:pPr>
        <w:ind w:firstLine="0"/>
      </w:pPr>
      <w:r>
        <w:t xml:space="preserve">Mycobiome analyses were carried out as a part of the GRADS project and the samples utilized in the present represent a random subset of the larger GRADS study population. </w:t>
      </w:r>
      <w:r w:rsidRPr="005A7F38">
        <w:t xml:space="preserve">Stool samples were collected from both cases and controls at the initial visit. Stool samples were stored at -80ºC. </w:t>
      </w:r>
      <w:r w:rsidR="008B2494" w:rsidRPr="005A7F38">
        <w:t>DNA was extracted from raw stool samples</w:t>
      </w:r>
      <w:r w:rsidR="003B79D4" w:rsidRPr="005A7F38">
        <w:t xml:space="preserve"> and reagent controls</w:t>
      </w:r>
      <w:r w:rsidR="004E4130" w:rsidRPr="005A7F38">
        <w:t xml:space="preserve"> using the PowerSoil DNA</w:t>
      </w:r>
      <w:r w:rsidR="00EA6F65" w:rsidRPr="005A7F38">
        <w:t xml:space="preserve"> Isolation</w:t>
      </w:r>
      <w:r w:rsidR="004E4130" w:rsidRPr="005A7F38">
        <w:t xml:space="preserve"> kit </w:t>
      </w:r>
      <w:r w:rsidR="008B2494" w:rsidRPr="005A7F38">
        <w:t>(Qiagen)</w:t>
      </w:r>
      <w:r w:rsidR="00EA6F65" w:rsidRPr="005A7F38">
        <w:t xml:space="preserve"> according to the manufacturer</w:t>
      </w:r>
      <w:r w:rsidR="00740BF6" w:rsidRPr="005A7F38">
        <w:t>’</w:t>
      </w:r>
      <w:r w:rsidR="00EA6F65" w:rsidRPr="005A7F38">
        <w:t>s protocol</w:t>
      </w:r>
      <w:r w:rsidR="00FB1453" w:rsidRPr="005A7F38">
        <w:t>. DNA was amplified using polymerase chain reaction (PCR) and primers designed to target the internal transcribed spacer. Sequencing was completed using Illumina’s MiSeq platform.</w:t>
      </w:r>
      <w:r w:rsidR="002E69F8" w:rsidRPr="005A7F38">
        <w:fldChar w:fldCharType="begin"/>
      </w:r>
      <w:r w:rsidR="00B775CB">
        <w:instrText>ADDIN F1000_CSL_CITATION&lt;~#@#~&gt;[{"DOI":"10.1038/ismej.2012.8","First":false,"Last":false,"PMCID":"PMC3400413","PMID":"22402401","abstract":"DNA sequencing continues to decrease in cost with the Illumina HiSeq2000 generating up to 600 Gb of paired-end 100 base reads in a ten-day run. Here we present a protocol for community amplicon sequencing on the HiSeq2000 and MiSeq Illumina platforms, and apply that protocol to sequence 24 microbial communities from host-associated and free-living environments. A critical question as more sequencing platforms become available is whether biological conclusions derived on one platform are consistent with what would be derived on a different platform. We show that the protocol developed for these instruments successfully recaptures known biological results, and additionally that biological conclusions are consistent across sequencing platforms (the HiSeq2000 versus the MiSeq) and across the sequenced regions of amplicons.","author":[{"family":"Caporaso","given":"J Gregory"},{"family":"Lauber","given":"Christian L"},{"family":"Walters","given":"William A"},{"family":"Berg-Lyons","given":"Donna"},{"family":"Huntley","given":"James"},{"family":"Fierer","given":"Noah"},{"family":"Owens","given":"Sarah M"},{"family":"Betley","given":"Jason"},{"family":"Fraser","given":"Louise"},{"family":"Bauer","given":"Markus"},{"family":"Gormley","given":"Niall"},{"family":"Gilbert","given":"Jack A"},{"family":"Smith","given":"Geoff"},{"family":"Knight","given":"Rob"}],"authorYearDisplayFormat":false,"citation-label":"427817","container-title":"The ISME Journal","container-title-short":"ISME J","id":"427817","invisible":false,"issue":"8","issued":{"date-parts":[["2012","8"]]},"journalAbbreviation":"ISME J","page":"1621-1624","suppress-author":false,"title":"Ultra-high-throughput microbial community analysis on the Illumina HiSeq and MiSeq platforms.","type":"article-journal","volume":"6"}]</w:instrText>
      </w:r>
      <w:r w:rsidR="002E69F8" w:rsidRPr="005A7F38">
        <w:fldChar w:fldCharType="separate"/>
      </w:r>
      <w:r w:rsidR="00B775CB" w:rsidRPr="00B775CB">
        <w:rPr>
          <w:noProof/>
          <w:vertAlign w:val="superscript"/>
        </w:rPr>
        <w:t>195</w:t>
      </w:r>
      <w:r w:rsidR="002E69F8" w:rsidRPr="005A7F38">
        <w:fldChar w:fldCharType="end"/>
      </w:r>
    </w:p>
    <w:p w14:paraId="5EB0ECB1" w14:textId="0F5AF604" w:rsidR="005212B7" w:rsidRPr="005A7F38" w:rsidRDefault="0044589C" w:rsidP="0044589C">
      <w:pPr>
        <w:pStyle w:val="Noindent"/>
        <w:ind w:firstLine="720"/>
      </w:pPr>
      <w:r w:rsidRPr="005A7F38">
        <w:t xml:space="preserve">Comparisons between the 9 clinical phenotype groups described below were made as well as comparisons that included 4 groups: treated, untreated, multi-organ involvement and cardiac involvement using pairwise comparison tests. </w:t>
      </w:r>
      <w:r w:rsidR="00FB1453" w:rsidRPr="005A7F38">
        <w:t xml:space="preserve"> </w:t>
      </w:r>
      <w:r w:rsidR="006860B7" w:rsidRPr="005A7F38">
        <w:t xml:space="preserve">Non-parametric </w:t>
      </w:r>
      <w:r w:rsidR="000C747A" w:rsidRPr="005A7F38">
        <w:t>statistical</w:t>
      </w:r>
      <w:r w:rsidR="006860B7" w:rsidRPr="005A7F38">
        <w:t xml:space="preserve"> tests, </w:t>
      </w:r>
      <w:r w:rsidR="00415655" w:rsidRPr="005A7F38">
        <w:t>including</w:t>
      </w:r>
      <w:r w:rsidR="006860B7" w:rsidRPr="005A7F38">
        <w:t xml:space="preserve"> the</w:t>
      </w:r>
      <w:r w:rsidR="00415655" w:rsidRPr="005A7F38">
        <w:t xml:space="preserve"> permutational multivariate analysis of variance (PERMANOVA), were performed using </w:t>
      </w:r>
      <w:r w:rsidR="006860B7" w:rsidRPr="005A7F38">
        <w:t>the R platform.</w:t>
      </w:r>
      <w:r w:rsidR="00686C86" w:rsidRPr="005A7F38">
        <w:fldChar w:fldCharType="begin"/>
      </w:r>
      <w:r w:rsidR="00B775CB">
        <w:instrText>ADDIN F1000_CSL_CITATION&lt;~#@#~&gt;[{"DOI":"10.1890/12-2010.1","First":false,"Last":false,"author":[{"family":"Anderson","given":"Marti J."},{"family":"Walsh","given":"Daniel C. I."}],"authorYearDisplayFormat":false,"citation-label":"2887281","container-title":"Ecological Monographs","container-title-short":"Ecological Monographs","id":"2887281","invisible":false,"issue":"4","issued":{"date-parts":[["2013","11"]]},"journalAbbreviation":"Ecological Monographs","page":"557-574","suppress-author":false,"title":"PERMANOVA, ANOSIM, and the Mantel test in the face of heterogeneous dispersions: What null hypothesis are you testing?","type":"article-journal","volume":"83"},{"First":false,"Last":false,"URL":"https://www.gbif.org/tool/81287/r-a-language-and-environment-for-statistical-computing","accessed":{"date-parts":[["2017","11","27"]]},"authorYearDisplayFormat":false,"citation-label":"4536020","id":"4536020","invisible":false,"issued":{"date-parts":[[]]},"suppress-author":false,"title":"R: a language and environment for statistical computing","type":"webpage"}]</w:instrText>
      </w:r>
      <w:r w:rsidR="00686C86" w:rsidRPr="005A7F38">
        <w:fldChar w:fldCharType="separate"/>
      </w:r>
      <w:r w:rsidR="00B775CB" w:rsidRPr="00B775CB">
        <w:rPr>
          <w:noProof/>
          <w:vertAlign w:val="superscript"/>
        </w:rPr>
        <w:t>196,197</w:t>
      </w:r>
      <w:r w:rsidR="00686C86" w:rsidRPr="005A7F38">
        <w:fldChar w:fldCharType="end"/>
      </w:r>
      <w:r w:rsidR="00902BE4" w:rsidRPr="005A7F38">
        <w:t xml:space="preserve"> Taxonomic </w:t>
      </w:r>
      <w:r w:rsidR="00453BB9" w:rsidRPr="005A7F38">
        <w:t>characterizations</w:t>
      </w:r>
      <w:r w:rsidR="00902BE4" w:rsidRPr="005A7F38">
        <w:t xml:space="preserve"> </w:t>
      </w:r>
      <w:r w:rsidR="006860B7" w:rsidRPr="005A7F38">
        <w:t>were performed using Qiime.</w:t>
      </w:r>
      <w:r w:rsidR="00686C86" w:rsidRPr="005A7F38">
        <w:fldChar w:fldCharType="begin"/>
      </w:r>
      <w:r w:rsidR="00B775CB">
        <w:instrText>ADDIN F1000_CSL_CITATION&lt;~#@#~&gt;[{"DOI":"10.1038/nmeth.f.303","First":false,"Last":false,"PMCID":"PMC3156573","PMID":"20383131","author":[{"family":"Caporaso","given":"J Gregory"},{"family":"Kuczynski","given":"Justin"},{"family":"Stombaugh","given":"Jesse"},{"family":"Bittinger","given":"Kyle"},{"family":"Bushman","given":"Frederic D"},{"family":"Costello","given":"Elizabeth K"},{"family":"Fierer","given":"Noah"},{"family":"Peña","given":"Antonio Gonzalez"},{"family":"Goodrich","given":"Julia K"},{"family":"Gordon","given":"Jeffrey I"},{"family":"Huttley","given":"Gavin A"},{"family":"Kelley","given":"Scott T"},{"family":"Knights","given":"Dan"},{"family":"Koenig","given":"Jeremy E"},{"family":"Ley","given":"Ruth E"},{"family":"Lozupone","given":"Catherine A"},{"family":"McDonald","given":"Daniel"},{"family":"Muegge","given":"Brian D"},{"family":"Pirrung","given":"Meg"},{"family":"Reeder","given":"Jens"},{"family":"Sevinsky","given":"Joel R"},{"family":"Turnbaugh","given":"Peter J"},{"family":"Walters","given":"William A"},{"family":"Widmann","given":"Jeremy"},{"family":"Yatsunenko","given":"Tanya"},{"family":"Zaneveld","given":"Jesse"},{"family":"Knight","given":"Rob"}],"authorYearDisplayFormat":false,"citation-label":"177710","container-title":"Nature Methods","container-title-short":"Nat Methods","id":"177710","invisible":false,"issue":"5","issued":{"date-parts":[["2010","5"]]},"journalAbbreviation":"Nat Methods","page":"335-336","suppress-author":false,"title":"QIIME allows analysis of high-throughput community sequencing data.","type":"article-journal","volume":"7"}]</w:instrText>
      </w:r>
      <w:r w:rsidR="00686C86" w:rsidRPr="005A7F38">
        <w:fldChar w:fldCharType="separate"/>
      </w:r>
      <w:r w:rsidR="00B775CB" w:rsidRPr="00B775CB">
        <w:rPr>
          <w:noProof/>
          <w:vertAlign w:val="superscript"/>
        </w:rPr>
        <w:t>198</w:t>
      </w:r>
      <w:r w:rsidR="00686C86" w:rsidRPr="005A7F38">
        <w:fldChar w:fldCharType="end"/>
      </w:r>
      <w:r w:rsidR="00237675" w:rsidRPr="005A7F38">
        <w:t xml:space="preserve"> The Shannon diversity index</w:t>
      </w:r>
      <w:r w:rsidR="00902BE4" w:rsidRPr="005A7F38">
        <w:t xml:space="preserve">, a description of the entropy and uncertainty of the sampling out come </w:t>
      </w:r>
      <w:r w:rsidR="00237675" w:rsidRPr="005A7F38">
        <w:t xml:space="preserve"> and the Simpson’s diversity index,</w:t>
      </w:r>
      <w:r w:rsidR="00902BE4" w:rsidRPr="005A7F38">
        <w:t xml:space="preserve"> a description of the probability </w:t>
      </w:r>
      <w:r w:rsidR="002037D2" w:rsidRPr="005A7F38">
        <w:t>that randomly drawing two reads from the sample will produce the same taxon</w:t>
      </w:r>
      <w:r w:rsidR="00902BE4" w:rsidRPr="005A7F38">
        <w:t xml:space="preserve"> </w:t>
      </w:r>
      <w:r w:rsidR="004A525E" w:rsidRPr="005A7F38">
        <w:t>were</w:t>
      </w:r>
      <w:r w:rsidR="009F2183" w:rsidRPr="005A7F38">
        <w:t xml:space="preserve"> calculated at multiple taxonomic levels.</w:t>
      </w:r>
      <w:r w:rsidR="004A525E" w:rsidRPr="005A7F38">
        <w:fldChar w:fldCharType="begin"/>
      </w:r>
      <w:r w:rsidR="00B775CB">
        <w:instrText>ADDIN F1000_CSL_CITATION&lt;~#@#~&gt;[{"DOI":"10.1007/978-94-015-7358-0_2","First":false,"ISBN":"978-94-015-7358-0","Last":false,"author":[{"family":"Magurran","given":"Anne E."}],"authorYearDisplayFormat":false,"citation-label":"4544577","container-title":"Ecological diversity and its measurement","id":"4544577","invisible":false,"issued":{"date-parts":[["1988"]]},"page":"7-45","publisher":"Springer Netherlands","publisher-place":"Dordrecht","suppress-author":false,"title":"Diversity indices and species abundance models","type":"chapter"},{"DOI":"10.1371/journal.pone.0032118","First":false,"Last":false,"PMCID":"PMC3374608","PMID":"22719823","abstract":"Analysis of human body microbial diversity is fundamental to understanding community structure, biology and ecology. The National Institutes of Health Human Microbiome Project (HMP) has provided an unprecedented opportunity to examine microbial diversity within and across body habitats and individuals through pyrosequencing-based profiling of 16 S rRNA gene sequences (16 S) from habits of the oral, skin, distal gut, and vaginal body regions from over 200 healthy individuals enabling the application of statistical techniques. In this study, two approaches were applied to elucidate the nature and extent of human microbiome diversity. First, bootstrap and parametric curve fitting techniques were evaluated to estimate the maximum number of unique taxa, S(max), and taxa discovery rate for habitats across individuals. Next, our results demonstrated that the variation of diversity within low abundant taxa across habitats and individuals was not sufficiently quantified with standard ecological diversity indices. This impact from low abundant taxa motivated us to introduce a novel rank-based diversity measure, the Tail statistic, (\"τ\"), based on the standard deviation of the rank abundance curve if made symmetric by reflection around the most abundant taxon. Due to τ's greater sensitivity to low abundant taxa, its application to diversity estimation of taxonomic units using taxonomic dependent and independent methods revealed a greater range of values recovered between individuals versus body habitats, and different patterns of diversity within habitats. The greatest range of τ values within and across individuals was found in stool, which also exhibited the most undiscovered taxa. Oral and skin habitats revealed variable diversity patterns, while vaginal habitats were consistently the least diverse. Collectively, these results demonstrate the importance, and motivate the introduction, of several visualization and analysis methods tuned specifically for next-generation sequence data, further revealing that low abundant taxa serve as an important reservoir of genetic diversity in the human microbiome.","author":[{"family":"Li","given":"Kelvin"},{"family":"Bihan","given":"Monika"},{"family":"Yooseph","given":"Shibu"},{"family":"Methé","given":"Barbara A"}],"authorYearDisplayFormat":false,"citation-label":"1986619","container-title":"Plos One","container-title-short":"PLoS ONE","id":"1986619","invisible":false,"issue":"6","issued":{"date-parts":[["2012","6","13"]]},"journalAbbreviation":"PLoS ONE","page":"e32118","suppress-author":false,"title":"Analyses of the microbial diversity across the human microbiome.","type":"article-journal","volume":"7"},{"DOI":"10.1371/journal.pone.0063139","First":false,"Last":false,"PMCID":"PMC3646044","PMID":"23671663","abstract":"Analyses of the taxonomic diversity associated with the human microbiome continue to be an area of great importance. The study of the nature and extent of the commonly shared taxa (\"core\"), versus those less prevalent, establishes a baseline for comparing healthy and diseased groups by quantifying the variation among people, across body habitats and over time. The National Institutes of Health (NIH) sponsored Human Microbiome Project (HMP) has provided an unprecedented opportunity to examine and better define what constitutes the taxonomic core within and across body habitats and individuals through pyrosequencing-based profiling of 16S rRNA gene sequences from oral, skin, distal gut (stool), and vaginal body habitats from over 200 healthy individuals. A two-parameter model is introduced to quantitatively identify the core taxonomic members of each body habitat's microbiota across the healthy cohort. Using only cutoffs for taxonomic ubiquity and abundance, core taxonomic members were identified for each of the 18 body habitats and also for the 4 higher-level body regions. Although many microbes were shared at low abundance, they exhibited a relatively continuous spread in both their abundance and ubiquity, as opposed to a more discretized separation. The numbers of core taxa members in the body regions are comparatively small and stable, reflecting the relatively high, but conserved, interpersonal variability within the cohort. Core sizes increased across the body regions in the order of: vagina, skin, stool, and oral cavity. A number of \"minor\" oral taxonomic core were also identified by their majority presence across the cohort, but with relatively low and stable abundances. A method for quantifying the difference between two cohorts was introduced and applied to samples collected on a second visit, revealing that over time, the oral, skin, and stool body regions tended to be more transient in their taxonomic structure than the vaginal body region.","author":[{"family":"Li","given":"Kelvin"},{"family":"Bihan","given":"Monika"},{"family":"Methé","given":"Barbara A"}],"authorYearDisplayFormat":false,"citation-label":"2880171","container-title":"Plos One","container-title-short":"PLoS ONE","id":"2880171","invisible":false,"issue":"5","issued":{"date-parts":[["2013","5","6"]]},"journalAbbreviation":"PLoS ONE","page":"e63139","suppress-author":false,"title":"Analyses of the stability and core taxonomic memberships of the human microbiome.","type":"article-journal","volume":"8"}]</w:instrText>
      </w:r>
      <w:r w:rsidR="004A525E" w:rsidRPr="005A7F38">
        <w:fldChar w:fldCharType="separate"/>
      </w:r>
      <w:r w:rsidR="00B775CB" w:rsidRPr="00B775CB">
        <w:rPr>
          <w:noProof/>
          <w:vertAlign w:val="superscript"/>
        </w:rPr>
        <w:t>155,156,199</w:t>
      </w:r>
      <w:r w:rsidR="004A525E" w:rsidRPr="005A7F38">
        <w:fldChar w:fldCharType="end"/>
      </w:r>
      <w:r w:rsidR="009F2183" w:rsidRPr="005A7F38">
        <w:t xml:space="preserve"> </w:t>
      </w:r>
    </w:p>
    <w:p w14:paraId="5EB680DD" w14:textId="77777777" w:rsidR="006E3504" w:rsidRPr="005A7F38" w:rsidRDefault="006E3504" w:rsidP="005212B7">
      <w:pPr>
        <w:pStyle w:val="Heading3"/>
        <w:rPr>
          <w:rFonts w:cs="Times New Roman"/>
        </w:rPr>
      </w:pPr>
      <w:bookmarkStart w:id="55" w:name="_Toc506540034"/>
      <w:r w:rsidRPr="005A7F38">
        <w:rPr>
          <w:rFonts w:cs="Times New Roman"/>
        </w:rPr>
        <w:lastRenderedPageBreak/>
        <w:t>Inclusion/Exclusion Criteria</w:t>
      </w:r>
      <w:r w:rsidR="000E2B53" w:rsidRPr="005A7F38">
        <w:rPr>
          <w:rFonts w:cs="Times New Roman"/>
        </w:rPr>
        <w:t xml:space="preserve"> of </w:t>
      </w:r>
      <w:r w:rsidR="00051970" w:rsidRPr="005A7F38">
        <w:rPr>
          <w:rFonts w:cs="Times New Roman"/>
        </w:rPr>
        <w:t>GRADS</w:t>
      </w:r>
      <w:r w:rsidR="000E2B53" w:rsidRPr="005A7F38">
        <w:rPr>
          <w:rFonts w:cs="Times New Roman"/>
        </w:rPr>
        <w:t xml:space="preserve"> study</w:t>
      </w:r>
      <w:bookmarkEnd w:id="55"/>
    </w:p>
    <w:p w14:paraId="1A7A987F" w14:textId="77777777" w:rsidR="00197FC7" w:rsidRPr="005A7F38" w:rsidRDefault="00197FC7" w:rsidP="002446BB">
      <w:pPr>
        <w:pStyle w:val="Heading4"/>
        <w:rPr>
          <w:rFonts w:cs="Times New Roman"/>
        </w:rPr>
      </w:pPr>
      <w:bookmarkStart w:id="56" w:name="_Toc506540035"/>
      <w:r w:rsidRPr="005A7F38">
        <w:rPr>
          <w:rFonts w:cs="Times New Roman"/>
        </w:rPr>
        <w:t>Sarcoidosis Patient Cohort</w:t>
      </w:r>
      <w:bookmarkEnd w:id="56"/>
    </w:p>
    <w:p w14:paraId="6C38FD6D" w14:textId="3059017A" w:rsidR="00197FC7" w:rsidRPr="005A7F38" w:rsidRDefault="00197FC7" w:rsidP="002446BB">
      <w:pPr>
        <w:pStyle w:val="Noindent"/>
      </w:pPr>
      <w:r w:rsidRPr="005A7F38">
        <w:t>Participants were prescreened to ensure they met the characteristics of one of the sp</w:t>
      </w:r>
      <w:r w:rsidR="007147B8" w:rsidRPr="005A7F38">
        <w:t>ecified clinical phenotypes of s</w:t>
      </w:r>
      <w:r w:rsidRPr="005A7F38">
        <w:t xml:space="preserve">arcoidosis. </w:t>
      </w:r>
      <w:r w:rsidR="009E3DCB" w:rsidRPr="005A7F38">
        <w:t>Participants</w:t>
      </w:r>
      <w:r w:rsidRPr="005A7F38">
        <w:t xml:space="preserve"> of both sexes were eligible to be included in the study population if </w:t>
      </w:r>
      <w:r w:rsidR="009E3DCB" w:rsidRPr="005A7F38">
        <w:t>they were age 18 to 85.</w:t>
      </w:r>
      <w:r w:rsidR="002A2E1F" w:rsidRPr="005A7F38">
        <w:fldChar w:fldCharType="begin"/>
      </w:r>
      <w:r w:rsidR="00B775CB">
        <w:instrText>ADDIN F1000_CSL_CITATION&lt;~#@#~&gt;[{"DOI":"10.1513/AnnalsATS.201503-172OT","First":false,"Last":false,"PMCID":"PMC4627423","PMID":"26193069","abstract":"Sarcoidosis is a systemic disease characterized by noncaseating granulomatous inflammation with tremendous clinical heterogeneity and uncertain pathobiology and lacking in clinically useful biomarkers. The Genomic Research in Alpha-1 Antitrypsin Deficiency and Sarcoidosis (GRADS) study is an observational cohort study designed to explore the role of the lung microbiome and genome in these two diseases. This article describes the design and rationale for the GRADS study sarcoidosis protocol. The study addresses the hypothesis that distinct patterns in the lung microbiome are characteristic of sarcoidosis phenotypes and are reflected in changes in systemic inflammatory responses as measured by peripheral blood changes in gene transcription. The goal is to enroll 400 participants, with a minimum of 35 in each of 9 clinical phenotype subgroups prioritized by their clinical relevance to understanding of the pathobiology and clinical heterogeneity of sarcoidosis. Participants with a confirmed diagnosis of sarcoidosis undergo a baseline visit with self-administered questionnaires, chest computed tomography, pulmonary function tests, and blood and urine testing. A research or clinical bronchoscopy with a research bronchoalveolar lavage will be performed to obtain samples for genomic and microbiome analyses. Comparisons will be made by blood genomic analysis and with clinical phenotypic variables. A 6-month follow-up visit is planned to assess each participant's clinical course. By the use of an integrative approach to the analysis of the microbiome and genome in selected clinical phenotypes, the GRADS study is powerfully positioned to inform and direct studies on the pathobiology of sarcoidosis, identify diagnostic or prognostic biomarkers, and provide novel molecular phenotypes that could lead to improved personalized approaches to therapy for sarcoidosis.","author":[{"family":"Moller","given":"David R"},{"family":"Koth","given":"Laura L"},{"family":"Maier","given":"Lisa A"},{"family":"Morris","given":"Alison"},{"family":"Drake","given":"Wonder"},{"family":"Rossman","given":"Milton"},{"family":"Leader","given":"Joseph K"},{"family":"Collman","given":"Ronald G"},{"family":"Hamzeh","given":"Nabeel"},{"family":"Sweiss","given":"Nadera J"},{"family":"Zhang","given":"Yingze"},{"family":"O'Neal","given":"Scott"},{"family":"Senior","given":"Robert M"},{"family":"Becich","given":"Michael"},{"family":"Hochheiser","given":"Harry S"},{"family":"Kaminski","given":"Naftali"},{"family":"Wisniewski","given":"Stephen R"},{"family":"Gibson","given":"Kevin F"},{"family":"GRADS Sarcoidosis Study Group"}],"authorYearDisplayFormat":false,"citation-label":"1400043","container-title":"Annals of the American Thoracic Society","container-title-short":"Ann Am Thorac Soc","id":"1400043","invisible":false,"issue":"10","issued":{"date-parts":[["2015","10"]]},"journalAbbreviation":"Ann Am Thorac Soc","page":"1561-1571","suppress-author":false,"title":"Rationale and Design of the Genomic Research in Alpha-1 Antitrypsin Deficiency and Sarcoidosis (GRADS) Study. Sarcoidosis Protocol.","type":"article-journal","volume":"12"},{"First":false,"Last":false,"URL":"https://clinicaltrials.gov/ct2/show/NCT01831739?term=GRADS&amp;draw=1&amp;rank=1","accessed":{"date-parts":[["2017","11","21"]]},"authorYearDisplayFormat":false,"citation-label":"4523283","id":"4523283","invisible":false,"issued":{"date-parts":[[]]},"suppress-author":false,"title":"Genomic Research in Sarcoidosis - Full Text View - ClinicalTrials.gov","type":"webpage"}]</w:instrText>
      </w:r>
      <w:r w:rsidR="002A2E1F" w:rsidRPr="005A7F38">
        <w:fldChar w:fldCharType="separate"/>
      </w:r>
      <w:r w:rsidR="00B775CB" w:rsidRPr="00B775CB">
        <w:rPr>
          <w:noProof/>
          <w:vertAlign w:val="superscript"/>
        </w:rPr>
        <w:t>9,190</w:t>
      </w:r>
      <w:r w:rsidR="002A2E1F" w:rsidRPr="005A7F38">
        <w:fldChar w:fldCharType="end"/>
      </w:r>
      <w:r w:rsidR="002A2E1F" w:rsidRPr="005A7F38">
        <w:t xml:space="preserve"> </w:t>
      </w:r>
      <w:r w:rsidR="009E3DCB" w:rsidRPr="005A7F38">
        <w:t xml:space="preserve">Eligible participants had a diagnosis of sarcoidosis consistent with </w:t>
      </w:r>
      <w:r w:rsidR="009F6160" w:rsidRPr="005A7F38">
        <w:t xml:space="preserve">the </w:t>
      </w:r>
      <w:r w:rsidR="009E3DCB" w:rsidRPr="005A7F38">
        <w:t xml:space="preserve">consensus criteria </w:t>
      </w:r>
      <w:r w:rsidR="009F6160" w:rsidRPr="005A7F38">
        <w:t xml:space="preserve">established by either the </w:t>
      </w:r>
      <w:r w:rsidR="0091220D" w:rsidRPr="005A7F38">
        <w:t>American Thoracic S</w:t>
      </w:r>
      <w:r w:rsidR="00122A51" w:rsidRPr="005A7F38">
        <w:t>ociety (ATS) or the European Respiratory Society (ERS) and either biopsy confirmation or manifestations consistent with acute sarcoidosis in the absence of another diagnosis. Participants were consented and included if they had a presumed diagnosis of sarcoidosis using the ATS/ERS criteria and were scheduled for a biopsy procedure to confirm the diagnosis.</w:t>
      </w:r>
      <w:r w:rsidR="003C109F" w:rsidRPr="005A7F38">
        <w:fldChar w:fldCharType="begin"/>
      </w:r>
      <w:r w:rsidR="00B775CB">
        <w:instrText>ADDIN F1000_CSL_CITATION&lt;~#@#~&gt;[{"DOI":"10.1513/AnnalsATS.201503-172OT","First":false,"Last":false,"PMCID":"PMC4627423","PMID":"26193069","abstract":"Sarcoidosis is a systemic disease characterized by noncaseating granulomatous inflammation with tremendous clinical heterogeneity and uncertain pathobiology and lacking in clinically useful biomarkers. The Genomic Research in Alpha-1 Antitrypsin Deficiency and Sarcoidosis (GRADS) study is an observational cohort study designed to explore the role of the lung microbiome and genome in these two diseases. This article describes the design and rationale for the GRADS study sarcoidosis protocol. The study addresses the hypothesis that distinct patterns in the lung microbiome are characteristic of sarcoidosis phenotypes and are reflected in changes in systemic inflammatory responses as measured by peripheral blood changes in gene transcription. The goal is to enroll 400 participants, with a minimum of 35 in each of 9 clinical phenotype subgroups prioritized by their clinical relevance to understanding of the pathobiology and clinical heterogeneity of sarcoidosis. Participants with a confirmed diagnosis of sarcoidosis undergo a baseline visit with self-administered questionnaires, chest computed tomography, pulmonary function tests, and blood and urine testing. A research or clinical bronchoscopy with a research bronchoalveolar lavage will be performed to obtain samples for genomic and microbiome analyses. Comparisons will be made by blood genomic analysis and with clinical phenotypic variables. A 6-month follow-up visit is planned to assess each participant's clinical course. By the use of an integrative approach to the analysis of the microbiome and genome in selected clinical phenotypes, the GRADS study is powerfully positioned to inform and direct studies on the pathobiology of sarcoidosis, identify diagnostic or prognostic biomarkers, and provide novel molecular phenotypes that could lead to improved personalized approaches to therapy for sarcoidosis.","author":[{"family":"Moller","given":"David R"},{"family":"Koth","given":"Laura L"},{"family":"Maier","given":"Lisa A"},{"family":"Morris","given":"Alison"},{"family":"Drake","given":"Wonder"},{"family":"Rossman","given":"Milton"},{"family":"Leader","given":"Joseph K"},{"family":"Collman","given":"Ronald G"},{"family":"Hamzeh","given":"Nabeel"},{"family":"Sweiss","given":"Nadera J"},{"family":"Zhang","given":"Yingze"},{"family":"O'Neal","given":"Scott"},{"family":"Senior","given":"Robert M"},{"family":"Becich","given":"Michael"},{"family":"Hochheiser","given":"Harry S"},{"family":"Kaminski","given":"Naftali"},{"family":"Wisniewski","given":"Stephen R"},{"family":"Gibson","given":"Kevin F"},{"family":"GRADS Sarcoidosis Study Group"}],"authorYearDisplayFormat":false,"citation-label":"1400043","container-title":"Annals of the American Thoracic Society","container-title-short":"Ann Am Thorac Soc","id":"1400043","invisible":false,"issue":"10","issued":{"date-parts":[["2015","10"]]},"journalAbbreviation":"Ann Am Thorac Soc","page":"1561-1571","suppress-author":false,"title":"Rationale and Design of the Genomic Research in Alpha-1 Antitrypsin Deficiency and Sarcoidosis (GRADS) Study. Sarcoidosis Protocol.","type":"article-journal","volume":"12"}]</w:instrText>
      </w:r>
      <w:r w:rsidR="003C109F" w:rsidRPr="005A7F38">
        <w:fldChar w:fldCharType="separate"/>
      </w:r>
      <w:r w:rsidR="00B775CB" w:rsidRPr="00B775CB">
        <w:rPr>
          <w:noProof/>
          <w:vertAlign w:val="superscript"/>
        </w:rPr>
        <w:t>9</w:t>
      </w:r>
      <w:r w:rsidR="003C109F" w:rsidRPr="005A7F38">
        <w:fldChar w:fldCharType="end"/>
      </w:r>
    </w:p>
    <w:p w14:paraId="615F2EC3" w14:textId="1AB83903" w:rsidR="00122A51" w:rsidRPr="005A7F38" w:rsidRDefault="00122A51" w:rsidP="002446BB">
      <w:r w:rsidRPr="005A7F38">
        <w:t>Participants were excluded if they had a history of a comorbid condition severe enough to increase risks significantly, were an active smoker or on active anticoagulation therapy. Patients who had comorbid disease the precluded bronchoscopy, hypersensitivity to medications used for sedation used during bronchoscopy or severe pulmonary impairment (&lt;50% predicted FVC, &lt;1 L FEV1; DLco &lt;40% predicted, resting hypoxemia &lt;92% with or without supplemental oxygen) causing increased risk during bronchoscopy. Patients with known systemic autoimmune disease, including rheumatoid arthritis, lupus, scleroderma and Sj</w:t>
      </w:r>
      <w:r w:rsidR="00BD7094" w:rsidRPr="005A7F38">
        <w:t xml:space="preserve">ögrens were excluded. Patients with any non-sarcoidosis pulmonary disease limiting analysis were excluded. If found to have interstitial lung disease not attributed to sarcoidosis during evaluation, patients were excluded from further study follow up. Unstable cardiovascular disease including recent myocardial infarction, uncontrolled congestive heart failure or arrhythmia were not included. Patients with a medical history of primary biliary cirrhosis or autoimmune hepatitis, Crohn’s disease, chronic beryllium disease, demyelinating diseases, lymphoproliferative disease or malignancies or evidence of a </w:t>
      </w:r>
      <w:r w:rsidR="00BD7094" w:rsidRPr="005A7F38">
        <w:lastRenderedPageBreak/>
        <w:t xml:space="preserve">likely malignancy on chest radiograph were excluded. </w:t>
      </w:r>
      <w:r w:rsidR="00BA4FA8" w:rsidRPr="005A7F38">
        <w:t xml:space="preserve">Patients with active bacterial or viral infection, including HIV, HBV, HCV and tuberculosis were not included in the study population. </w:t>
      </w:r>
      <w:r w:rsidR="00AF59E8" w:rsidRPr="005A7F38">
        <w:t xml:space="preserve">Patients who had used antibiotics within 28 days of screening for enrollment were not included, but were rescreened for enrollment after 28 days had passed from antibiotic use.  Patients with a history of surgical intervention that limited their lung volume or who had a history of any organ transplant were not included in the study population. </w:t>
      </w:r>
      <w:r w:rsidR="00BA4FA8" w:rsidRPr="005A7F38">
        <w:t xml:space="preserve">Patients who were actively pregnant, institutionalized or unable to comprehend the consent documentation or questionnaires were excluded from participation. </w:t>
      </w:r>
      <w:r w:rsidR="002A2E1F" w:rsidRPr="005A7F38">
        <w:fldChar w:fldCharType="begin"/>
      </w:r>
      <w:r w:rsidR="00B775CB">
        <w:instrText>ADDIN F1000_CSL_CITATION&lt;~#@#~&gt;[{"First":false,"Last":false,"URL":"https://clinicaltrials.gov/ct2/show/NCT01831739?term=GRADS&amp;draw=1&amp;rank=1","accessed":{"date-parts":[["2017","11","21"]]},"authorYearDisplayFormat":false,"citation-label":"4523283","id":"4523283","invisible":false,"issued":{"date-parts":[[]]},"suppress-author":false,"title":"Genomic Research in Sarcoidosis - Full Text View - ClinicalTrials.gov","type":"webpage"},{"DOI":"10.1513/AnnalsATS.201503-172OT","First":false,"Last":false,"PMCID":"PMC4627423","PMID":"26193069","abstract":"Sarcoidosis is a systemic disease characterized by noncaseating granulomatous inflammation with tremendous clinical heterogeneity and uncertain pathobiology and lacking in clinically useful biomarkers. The Genomic Research in Alpha-1 Antitrypsin Deficiency and Sarcoidosis (GRADS) study is an observational cohort study designed to explore the role of the lung microbiome and genome in these two diseases. This article describes the design and rationale for the GRADS study sarcoidosis protocol. The study addresses the hypothesis that distinct patterns in the lung microbiome are characteristic of sarcoidosis phenotypes and are reflected in changes in systemic inflammatory responses as measured by peripheral blood changes in gene transcription. The goal is to enroll 400 participants, with a minimum of 35 in each of 9 clinical phenotype subgroups prioritized by their clinical relevance to understanding of the pathobiology and clinical heterogeneity of sarcoidosis. Participants with a confirmed diagnosis of sarcoidosis undergo a baseline visit with self-administered questionnaires, chest computed tomography, pulmonary function tests, and blood and urine testing. A research or clinical bronchoscopy with a research bronchoalveolar lavage will be performed to obtain samples for genomic and microbiome analyses. Comparisons will be made by blood genomic analysis and with clinical phenotypic variables. A 6-month follow-up visit is planned to assess each participant's clinical course. By the use of an integrative approach to the analysis of the microbiome and genome in selected clinical phenotypes, the GRADS study is powerfully positioned to inform and direct studies on the pathobiology of sarcoidosis, identify diagnostic or prognostic biomarkers, and provide novel molecular phenotypes that could lead to improved personalized approaches to therapy for sarcoidosis.","author":[{"family":"Moller","given":"David R"},{"family":"Koth","given":"Laura L"},{"family":"Maier","given":"Lisa A"},{"family":"Morris","given":"Alison"},{"family":"Drake","given":"Wonder"},{"family":"Rossman","given":"Milton"},{"family":"Leader","given":"Joseph K"},{"family":"Collman","given":"Ronald G"},{"family":"Hamzeh","given":"Nabeel"},{"family":"Sweiss","given":"Nadera J"},{"family":"Zhang","given":"Yingze"},{"family":"O'Neal","given":"Scott"},{"family":"Senior","given":"Robert M"},{"family":"Becich","given":"Michael"},{"family":"Hochheiser","given":"Harry S"},{"family":"Kaminski","given":"Naftali"},{"family":"Wisniewski","given":"Stephen R"},{"family":"Gibson","given":"Kevin F"},{"family":"GRADS Sarcoidosis Study Group"}],"authorYearDisplayFormat":false,"citation-label":"1400043","container-title":"Annals of the American Thoracic Society","container-title-short":"Ann Am Thorac Soc","id":"1400043","invisible":false,"issue":"10","issued":{"date-parts":[["2015","10"]]},"journalAbbreviation":"Ann Am Thorac Soc","page":"1561-1571","suppress-author":false,"title":"Rationale and Design of the Genomic Research in Alpha-1 Antitrypsin Deficiency and Sarcoidosis (GRADS) Study. Sarcoidosis Protocol.","type":"article-journal","volume":"12"}]</w:instrText>
      </w:r>
      <w:r w:rsidR="002A2E1F" w:rsidRPr="005A7F38">
        <w:fldChar w:fldCharType="separate"/>
      </w:r>
      <w:r w:rsidR="00B775CB" w:rsidRPr="00B775CB">
        <w:rPr>
          <w:noProof/>
          <w:vertAlign w:val="superscript"/>
        </w:rPr>
        <w:t>9,190</w:t>
      </w:r>
      <w:r w:rsidR="002A2E1F" w:rsidRPr="005A7F38">
        <w:fldChar w:fldCharType="end"/>
      </w:r>
    </w:p>
    <w:p w14:paraId="1B91EBE6" w14:textId="77777777" w:rsidR="00197FC7" w:rsidRPr="005A7F38" w:rsidRDefault="00197FC7" w:rsidP="002446BB">
      <w:pPr>
        <w:pStyle w:val="Heading4"/>
        <w:rPr>
          <w:rFonts w:cs="Times New Roman"/>
        </w:rPr>
      </w:pPr>
      <w:bookmarkStart w:id="57" w:name="_Toc506540036"/>
      <w:r w:rsidRPr="005A7F38">
        <w:rPr>
          <w:rFonts w:cs="Times New Roman"/>
        </w:rPr>
        <w:t>Alpha 1 Antitrypsin Deficiency Cohort</w:t>
      </w:r>
      <w:bookmarkEnd w:id="57"/>
    </w:p>
    <w:p w14:paraId="48139019" w14:textId="000C2437" w:rsidR="005E3628" w:rsidRPr="005A7F38" w:rsidRDefault="005E3628" w:rsidP="00004E1A">
      <w:pPr>
        <w:ind w:firstLine="0"/>
      </w:pPr>
      <w:r w:rsidRPr="005A7F38">
        <w:t xml:space="preserve">Participants with AATD were recruited through the Alpha-1 Foundation Research Registry.  Contact was made with participants by email, telephone, mailings, and through the Registry’s website. Participants were also recruited for participation at the clinical centers through flyers, websites, mailings and physician referrals. </w:t>
      </w:r>
      <w:r w:rsidR="00D60E0A" w:rsidRPr="005A7F38">
        <w:fldChar w:fldCharType="begin"/>
      </w:r>
      <w:r w:rsidR="00B775CB">
        <w:instrText>ADDIN F1000_CSL_CITATION&lt;~#@#~&gt;[{"DOI":"10.1513/AnnalsATS.201503-143OC","First":false,"Last":false,"PMCID":"PMC4627425","PMID":"26153726","abstract":"Severe deficiency of alpha-1 antitrypsin has a highly variable clinical presentation. The Genomic Research in Alpha-1 Antitrypsin Deficiency and Sarcoidosis α1 Study is a prospective, multicenter, cross-sectional study of adults older than age 35 years with PiZZ or PiMZ alpha-1 antitrypsin genotypes. It is designed to better understand if microbial factors influence this heterogeneity. Clinical symptoms, pulmonary function testing, computed chest tomography, exercise capacity, and bronchoalveolar lavage (BAL) will be used to define chronic obstructive pulmonary disease (COPD) phenotypes that can be studied with an integrated systems biology approach that includes plasma proteomics; mouth, BAL, and stool microbiome and virome analysis; and blood microRNA and blood mononuclear cell RNA and DNA profiling. We will rely on global genome, transcriptome, proteome, and metabolome datasets. Matched cohorts of PiZZ participants on or off alpha-1 antitrypsin augmentation therapy, PiMZ participants not on augmentation therapy, and control participants from the Subpopulations and Intermediate Outcome Measures in COPD Study who match on FEV1 and age will be compared. In the primary analysis, we will determine if the PiZZ individuals on augmentation therapy have a difference in lower respiratory tract microbes identified compared with matched PiZZ individuals who are not on augmentation therapy. By characterizing the microbiome in alpha-1 antitrypsin deficiency (AATD), we hope to define new phenotypes of COPD that explain some of the diversity of clinical presentations. As a unique genetic cause of COPD, AATD may inform typical COPD pathogenesis, and better understanding of it may illuminate the complex interplay between environment and genetics. Although the biologic approaches are hypothesis generating, the results may lead to development of novel biomarkers, better understanding of COPD phenotypes, and development of novel diagnostic and therapeutic trials in AATD and COPD. Clinical trial registered with www.clinicaltrials.gov (NCT01832220).","author":[{"family":"Strange","given":"Charlie"},{"family":"Senior","given":"Robert M"},{"family":"Sciurba","given":"Frank"},{"family":"O'Neal","given":"Scott"},{"family":"Morris","given":"Alison"},{"family":"Wisniewski","given":"Stephen R"},{"family":"Bowler","given":"Russell"},{"family":"Hochheiser","given":"Harry S"},{"family":"Becich","given":"Michael J"},{"family":"Zhang","given":"Yingze"},{"family":"Leader","given":"Joseph K"},{"family":"Methé","given":"Barbara A"},{"family":"Kaminski","given":"Naftali"},{"family":"Sandhaus","given":"Robert A"},{"family":"GRADS Alpha-1 Study Group"}],"authorYearDisplayFormat":false,"citation-label":"1400044","container-title":"Annals of the American Thoracic Society","container-title-short":"Ann Am Thorac Soc","id":"1400044","invisible":false,"issue":"10","issued":{"date-parts":[["2015","10"]]},"journalAbbreviation":"Ann Am Thorac Soc","page":"1551-1560","suppress-author":false,"title":"Rationale and Design of the Genomic Research in Alpha-1 Antitrypsin Deficiency and Sarcoidosis Study. Alpha-1 Protocol.","type":"article-journal","volume":"12"}]</w:instrText>
      </w:r>
      <w:r w:rsidR="00D60E0A" w:rsidRPr="005A7F38">
        <w:fldChar w:fldCharType="separate"/>
      </w:r>
      <w:r w:rsidR="00B775CB" w:rsidRPr="00B775CB">
        <w:rPr>
          <w:noProof/>
          <w:vertAlign w:val="superscript"/>
        </w:rPr>
        <w:t>191</w:t>
      </w:r>
      <w:r w:rsidR="00D60E0A" w:rsidRPr="005A7F38">
        <w:fldChar w:fldCharType="end"/>
      </w:r>
    </w:p>
    <w:p w14:paraId="318BFC1B" w14:textId="03C6607E" w:rsidR="001B313C" w:rsidRPr="005A7F38" w:rsidRDefault="005E3628" w:rsidP="009949B3">
      <w:r w:rsidRPr="005A7F38">
        <w:t>Participants with AATD were included if they were between ages 40 to 8</w:t>
      </w:r>
      <w:r w:rsidR="007728E1" w:rsidRPr="005A7F38">
        <w:t xml:space="preserve">0 at enrollment and the Alpha-1 Antitrypsin genotypes PiZZ or PiMZ. </w:t>
      </w:r>
      <w:r w:rsidR="002518F5" w:rsidRPr="005A7F38">
        <w:t xml:space="preserve">Patients with a genotype of PiMZ who had received intravenous or inhaled Alpha-1 augmentation therapy were not included. </w:t>
      </w:r>
      <w:r w:rsidR="00DB4AB2" w:rsidRPr="005A7F38">
        <w:t xml:space="preserve">Exclusion criteria included severe comorbid conditions that could cause study procedures to have significantly increased risk, unstable cardiovascular disease, uncontrolled congestive heart failure or uncontrolled </w:t>
      </w:r>
      <w:r w:rsidR="002518F5" w:rsidRPr="005A7F38">
        <w:t>arrhythmia</w:t>
      </w:r>
      <w:r w:rsidR="00DB4AB2" w:rsidRPr="005A7F38">
        <w:t>. Participants with a saturation level of oxygen in hemoglobin (SaO2) on room air at rest of less than 85% were not included. Patients receiving anti</w:t>
      </w:r>
      <w:r w:rsidR="002518F5" w:rsidRPr="005A7F38">
        <w:t xml:space="preserve">coagulation therapy or who </w:t>
      </w:r>
      <w:r w:rsidR="00DB4AB2" w:rsidRPr="005A7F38">
        <w:t xml:space="preserve">had a pulmonary embolism in the last 2 years were excluded from the study population. Patients with other pulmonary disease that would limit the interpretability of pulmonary function testing as well as patients with hypersensitivity to albuterol sulfate or medications required for </w:t>
      </w:r>
      <w:r w:rsidR="00DB4AB2" w:rsidRPr="005A7F38">
        <w:lastRenderedPageBreak/>
        <w:t>sedation during bronchoscopy were not included in the study population. Active infection with tuberculosis or HIV/AIDS, history of surgical interventions that could reduce lung volume, history of organ transplant, history of thoracic metal implants and BMI &gt; 40 kg/m</w:t>
      </w:r>
      <w:r w:rsidR="00DB4AB2" w:rsidRPr="005A7F38">
        <w:rPr>
          <w:vertAlign w:val="superscript"/>
        </w:rPr>
        <w:t>2</w:t>
      </w:r>
      <w:r w:rsidR="00DB4AB2" w:rsidRPr="005A7F38">
        <w:t xml:space="preserve"> at baseline were all exclusion criteria. A patient’s current use of illicit substances, immunosuppressive agents, chemotherapy and radiation excluded them from participation as well. Patients who were pregnant or planned to become pregnant as well as those patients who were </w:t>
      </w:r>
      <w:r w:rsidR="002518F5" w:rsidRPr="005A7F38">
        <w:t>institutionalized</w:t>
      </w:r>
      <w:r w:rsidR="00DB4AB2" w:rsidRPr="005A7F38">
        <w:t xml:space="preserve"> were excluded from the study as well. </w:t>
      </w:r>
      <w:r w:rsidR="00D60E0A" w:rsidRPr="005A7F38">
        <w:fldChar w:fldCharType="begin"/>
      </w:r>
      <w:r w:rsidR="00B775CB">
        <w:instrText>ADDIN F1000_CSL_CITATION&lt;~#@#~&gt;[{"DOI":"10.1513/AnnalsATS.201503-143OC","First":false,"Last":false,"PMCID":"PMC4627425","PMID":"26153726","abstract":"Severe deficiency of alpha-1 antitrypsin has a highly variable clinical presentation. The Genomic Research in Alpha-1 Antitrypsin Deficiency and Sarcoidosis α1 Study is a prospective, multicenter, cross-sectional study of adults older than age 35 years with PiZZ or PiMZ alpha-1 antitrypsin genotypes. It is designed to better understand if microbial factors influence this heterogeneity. Clinical symptoms, pulmonary function testing, computed chest tomography, exercise capacity, and bronchoalveolar lavage (BAL) will be used to define chronic obstructive pulmonary disease (COPD) phenotypes that can be studied with an integrated systems biology approach that includes plasma proteomics; mouth, BAL, and stool microbiome and virome analysis; and blood microRNA and blood mononuclear cell RNA and DNA profiling. We will rely on global genome, transcriptome, proteome, and metabolome datasets. Matched cohorts of PiZZ participants on or off alpha-1 antitrypsin augmentation therapy, PiMZ participants not on augmentation therapy, and control participants from the Subpopulations and Intermediate Outcome Measures in COPD Study who match on FEV1 and age will be compared. In the primary analysis, we will determine if the PiZZ individuals on augmentation therapy have a difference in lower respiratory tract microbes identified compared with matched PiZZ individuals who are not on augmentation therapy. By characterizing the microbiome in alpha-1 antitrypsin deficiency (AATD), we hope to define new phenotypes of COPD that explain some of the diversity of clinical presentations. As a unique genetic cause of COPD, AATD may inform typical COPD pathogenesis, and better understanding of it may illuminate the complex interplay between environment and genetics. Although the biologic approaches are hypothesis generating, the results may lead to development of novel biomarkers, better understanding of COPD phenotypes, and development of novel diagnostic and therapeutic trials in AATD and COPD. Clinical trial registered with www.clinicaltrials.gov (NCT01832220).","author":[{"family":"Strange","given":"Charlie"},{"family":"Senior","given":"Robert M"},{"family":"Sciurba","given":"Frank"},{"family":"O'Neal","given":"Scott"},{"family":"Morris","given":"Alison"},{"family":"Wisniewski","given":"Stephen R"},{"family":"Bowler","given":"Russell"},{"family":"Hochheiser","given":"Harry S"},{"family":"Becich","given":"Michael J"},{"family":"Zhang","given":"Yingze"},{"family":"Leader","given":"Joseph K"},{"family":"Methé","given":"Barbara A"},{"family":"Kaminski","given":"Naftali"},{"family":"Sandhaus","given":"Robert A"},{"family":"GRADS Alpha-1 Study Group"}],"authorYearDisplayFormat":false,"citation-label":"1400044","container-title":"Annals of the American Thoracic Society","container-title-short":"Ann Am Thorac Soc","id":"1400044","invisible":false,"issue":"10","issued":{"date-parts":[["2015","10"]]},"journalAbbreviation":"Ann Am Thorac Soc","page":"1551-1560","suppress-author":false,"title":"Rationale and Design of the Genomic Research in Alpha-1 Antitrypsin Deficiency and Sarcoidosis Study. Alpha-1 Protocol.","type":"article-journal","volume":"12"}]</w:instrText>
      </w:r>
      <w:r w:rsidR="00D60E0A" w:rsidRPr="005A7F38">
        <w:fldChar w:fldCharType="separate"/>
      </w:r>
      <w:r w:rsidR="00B775CB" w:rsidRPr="00B775CB">
        <w:rPr>
          <w:noProof/>
          <w:vertAlign w:val="superscript"/>
        </w:rPr>
        <w:t>191</w:t>
      </w:r>
      <w:r w:rsidR="00D60E0A" w:rsidRPr="005A7F38">
        <w:fldChar w:fldCharType="end"/>
      </w:r>
    </w:p>
    <w:p w14:paraId="6253564C" w14:textId="77777777" w:rsidR="006E3504" w:rsidRPr="005A7F38" w:rsidRDefault="006E3504" w:rsidP="002446BB">
      <w:pPr>
        <w:pStyle w:val="Heading3"/>
        <w:rPr>
          <w:rFonts w:cs="Times New Roman"/>
        </w:rPr>
      </w:pPr>
      <w:bookmarkStart w:id="58" w:name="_Toc506540037"/>
      <w:r w:rsidRPr="005A7F38">
        <w:rPr>
          <w:rFonts w:cs="Times New Roman"/>
        </w:rPr>
        <w:t>Phenotypic Designations</w:t>
      </w:r>
      <w:bookmarkEnd w:id="58"/>
    </w:p>
    <w:p w14:paraId="32228E2E" w14:textId="6B7730E8" w:rsidR="00053767" w:rsidRDefault="006A7EE3" w:rsidP="00004E1A">
      <w:pPr>
        <w:ind w:firstLine="0"/>
      </w:pPr>
      <w:r w:rsidRPr="005A7F38">
        <w:t xml:space="preserve">The objective of the </w:t>
      </w:r>
      <w:r w:rsidR="00051970" w:rsidRPr="005A7F38">
        <w:t>GRADS</w:t>
      </w:r>
      <w:r w:rsidRPr="005A7F38">
        <w:t xml:space="preserve"> study is to understand how genomic and microbiomic relationships are associated with clinical phenotypes, necessitating the definition of clear phenotypic groups for analysis. </w:t>
      </w:r>
      <w:r w:rsidR="00F10EE5" w:rsidRPr="005A7F38">
        <w:t>However, due to the rich heteroge</w:t>
      </w:r>
      <w:r w:rsidR="00B75451" w:rsidRPr="005A7F38">
        <w:t>ne</w:t>
      </w:r>
      <w:r w:rsidR="00F10EE5" w:rsidRPr="005A7F38">
        <w:t>ity</w:t>
      </w:r>
      <w:r w:rsidR="00B75451" w:rsidRPr="005A7F38">
        <w:t xml:space="preserve"> in the clinical presentation of sarcoidosis and limited sample size, phenotypic groups were limited to nine presentations.</w:t>
      </w:r>
      <w:r w:rsidR="00B75451" w:rsidRPr="005A7F38">
        <w:fldChar w:fldCharType="begin"/>
      </w:r>
      <w:r w:rsidR="00B775CB">
        <w:instrText>ADDIN F1000_CSL_CITATION&lt;~#@#~&gt;[{"DOI":"10.1513/AnnalsATS.201503-172OT","First":false,"Last":false,"PMCID":"PMC4627423","PMID":"26193069","abstract":"Sarcoidosis is a systemic disease characterized by noncaseating granulomatous inflammation with tremendous clinical heterogeneity and uncertain pathobiology and lacking in clinically useful biomarkers. The Genomic Research in Alpha-1 Antitrypsin Deficiency and Sarcoidosis (GRADS) study is an observational cohort study designed to explore the role of the lung microbiome and genome in these two diseases. This article describes the design and rationale for the GRADS study sarcoidosis protocol. The study addresses the hypothesis that distinct patterns in the lung microbiome are characteristic of sarcoidosis phenotypes and are reflected in changes in systemic inflammatory responses as measured by peripheral blood changes in gene transcription. The goal is to enroll 400 participants, with a minimum of 35 in each of 9 clinical phenotype subgroups prioritized by their clinical relevance to understanding of the pathobiology and clinical heterogeneity of sarcoidosis. Participants with a confirmed diagnosis of sarcoidosis undergo a baseline visit with self-administered questionnaires, chest computed tomography, pulmonary function tests, and blood and urine testing. A research or clinical bronchoscopy with a research bronchoalveolar lavage will be performed to obtain samples for genomic and microbiome analyses. Comparisons will be made by blood genomic analysis and with clinical phenotypic variables. A 6-month follow-up visit is planned to assess each participant's clinical course. By the use of an integrative approach to the analysis of the microbiome and genome in selected clinical phenotypes, the GRADS study is powerfully positioned to inform and direct studies on the pathobiology of sarcoidosis, identify diagnostic or prognostic biomarkers, and provide novel molecular phenotypes that could lead to improved personalized approaches to therapy for sarcoidosis.","author":[{"family":"Moller","given":"David R"},{"family":"Koth","given":"Laura L"},{"family":"Maier","given":"Lisa A"},{"family":"Morris","given":"Alison"},{"family":"Drake","given":"Wonder"},{"family":"Rossman","given":"Milton"},{"family":"Leader","given":"Joseph K"},{"family":"Collman","given":"Ronald G"},{"family":"Hamzeh","given":"Nabeel"},{"family":"Sweiss","given":"Nadera J"},{"family":"Zhang","given":"Yingze"},{"family":"O'Neal","given":"Scott"},{"family":"Senior","given":"Robert M"},{"family":"Becich","given":"Michael"},{"family":"Hochheiser","given":"Harry S"},{"family":"Kaminski","given":"Naftali"},{"family":"Wisniewski","given":"Stephen R"},{"family":"Gibson","given":"Kevin F"},{"family":"GRADS Sarcoidosis Study Group"}],"authorYearDisplayFormat":false,"citation-label":"1400043","container-title":"Annals of the American Thoracic Society","container-title-short":"Ann Am Thorac Soc","id":"1400043","invisible":false,"issue":"10","issued":{"date-parts":[["2015","10"]]},"journalAbbreviation":"Ann Am Thorac Soc","page":"1561-1571","suppress-author":false,"title":"Rationale and Design of the Genomic Research in Alpha-1 Antitrypsin Deficiency and Sarcoidosis (GRADS) Study. Sarcoidosis Protocol.","type":"article-journal","volume":"12"}]</w:instrText>
      </w:r>
      <w:r w:rsidR="00B75451" w:rsidRPr="005A7F38">
        <w:fldChar w:fldCharType="separate"/>
      </w:r>
      <w:r w:rsidR="00B775CB" w:rsidRPr="00B775CB">
        <w:rPr>
          <w:noProof/>
          <w:vertAlign w:val="superscript"/>
        </w:rPr>
        <w:t>9</w:t>
      </w:r>
      <w:r w:rsidR="00B75451" w:rsidRPr="005A7F38">
        <w:fldChar w:fldCharType="end"/>
      </w:r>
      <w:r w:rsidR="00B75451" w:rsidRPr="005A7F38">
        <w:t xml:space="preserve"> Pulmonary sarcoidosis is re</w:t>
      </w:r>
      <w:r w:rsidR="00124408" w:rsidRPr="005A7F38">
        <w:t>presented as a hallmark feature</w:t>
      </w:r>
      <w:r w:rsidR="00B75451" w:rsidRPr="005A7F38">
        <w:t xml:space="preserve"> in over two-thirds of the phenotypic groupings. This is owing to more than 90% of patients with sarcoidosis who have involvement of the lung.</w:t>
      </w:r>
      <w:r w:rsidR="00B75451" w:rsidRPr="005A7F38">
        <w:fldChar w:fldCharType="begin"/>
      </w:r>
      <w:r w:rsidR="00B775CB">
        <w:instrText>ADDIN F1000_CSL_CITATION&lt;~#@#~&gt;[{"DOI":"10.1164/ajrccm.160.2.ats4-99","First":false,"Last":false,"PMID":"10430755","authorYearDisplayFormat":false,"citation-label":"3415896","container-title":"American Journal of Respiratory and Critical Care Medicine","container-title-short":"Am J Respir Crit Care Med","id":"3415896","invisible":false,"issue":"2","issued":{"date-parts":[["1999","8"]]},"journalAbbreviation":"Am J Respir Crit Care Med","page":"736-755","suppress-author":false,"title":"Statement on sarcoidosis. Joint Statement of the American Thoracic Society (ATS), the European Respiratory Society (ERS) and the World Association of Sarcoidosis and Other Granulomatous Disorders (WASOG) adopted by the ATS Board of Directors and by the ERS Executive Committee, February 1999.","type":"article-journal","volume":"160"}]</w:instrText>
      </w:r>
      <w:r w:rsidR="00B75451" w:rsidRPr="005A7F38">
        <w:fldChar w:fldCharType="separate"/>
      </w:r>
      <w:r w:rsidR="00B775CB" w:rsidRPr="00B775CB">
        <w:rPr>
          <w:noProof/>
          <w:vertAlign w:val="superscript"/>
        </w:rPr>
        <w:t>1</w:t>
      </w:r>
      <w:r w:rsidR="00B75451" w:rsidRPr="005A7F38">
        <w:fldChar w:fldCharType="end"/>
      </w:r>
      <w:r w:rsidR="00B75451" w:rsidRPr="005A7F38">
        <w:t xml:space="preserve"> Another critical clinical distinction is between remitting and chronic sarcoidosis and the </w:t>
      </w:r>
      <w:r w:rsidR="00CA6331" w:rsidRPr="005A7F38">
        <w:t>disproportionate</w:t>
      </w:r>
      <w:r w:rsidR="00B75451" w:rsidRPr="005A7F38">
        <w:t xml:space="preserve"> impact </w:t>
      </w:r>
      <w:r w:rsidR="00CA6331" w:rsidRPr="005A7F38">
        <w:t>the chronic course of the disease has on patients. Given that this study was extremely limited in the length of follow up, there was not adequate follow up time to determine which patients would experience a remission of disease and which would maintain chronic sarcoidosis. Phenotypic groups which represented</w:t>
      </w:r>
      <w:r w:rsidR="00124408" w:rsidRPr="005A7F38">
        <w:t xml:space="preserve"> expected outcomes were chosen.</w:t>
      </w:r>
      <w:r w:rsidR="00CA6331" w:rsidRPr="005A7F38">
        <w:t xml:space="preserve"> Theorizing that the prognostic information provided by radiographic images reflects underlying changes in pathobiology, the Scadding Staging system was used in defining phenotypic groups. There are expected clinical outcomes associated with the different radiographic Scadding stages, allowing for </w:t>
      </w:r>
      <w:r w:rsidR="00124408" w:rsidRPr="005A7F38">
        <w:t xml:space="preserve">assumptions to </w:t>
      </w:r>
      <w:r w:rsidR="00124408" w:rsidRPr="005A7F38">
        <w:lastRenderedPageBreak/>
        <w:t>be made about the clinical course of the phenotypic groups.</w:t>
      </w:r>
      <w:r w:rsidR="00124408" w:rsidRPr="005A7F38">
        <w:fldChar w:fldCharType="begin"/>
      </w:r>
      <w:r w:rsidR="00B775CB">
        <w:instrText>ADDIN F1000_CSL_CITATION&lt;~#@#~&gt;[{"First":false,"Last":false,"PMCID":"PMC1970202","PMID":"14497750","author":[{"family":"Scadding","given":"J G"}],"authorYearDisplayFormat":false,"citation-label":"4509389","container-title":"British Medical Journal","container-title-short":"Br Med J","id":"4509389","invisible":false,"issue":"5261","issued":{"date-parts":[["1961","11","4"]]},"journalAbbreviation":"Br Med J","page":"1165-1172","suppress-author":false,"title":"Prognosis of intrathoracic sarcoidosis in England. A review of 136 cases after five years' observation.","type":"article-journal","volume":"2"},{"DOI":"10.1513/AnnalsATS.201503-172OT","First":false,"Last":false,"PMCID":"PMC4627423","PMID":"26193069","abstract":"Sarcoidosis is a systemic disease characterized by noncaseating granulomatous inflammation with tremendous clinical heterogeneity and uncertain pathobiology and lacking in clinically useful biomarkers. The Genomic Research in Alpha-1 Antitrypsin Deficiency and Sarcoidosis (GRADS) study is an observational cohort study designed to explore the role of the lung microbiome and genome in these two diseases. This article describes the design and rationale for the GRADS study sarcoidosis protocol. The study addresses the hypothesis that distinct patterns in the lung microbiome are characteristic of sarcoidosis phenotypes and are reflected in changes in systemic inflammatory responses as measured by peripheral blood changes in gene transcription. The goal is to enroll 400 participants, with a minimum of 35 in each of 9 clinical phenotype subgroups prioritized by their clinical relevance to understanding of the pathobiology and clinical heterogeneity of sarcoidosis. Participants with a confirmed diagnosis of sarcoidosis undergo a baseline visit with self-administered questionnaires, chest computed tomography, pulmonary function tests, and blood and urine testing. A research or clinical bronchoscopy with a research bronchoalveolar lavage will be performed to obtain samples for genomic and microbiome analyses. Comparisons will be made by blood genomic analysis and with clinical phenotypic variables. A 6-month follow-up visit is planned to assess each participant's clinical course. By the use of an integrative approach to the analysis of the microbiome and genome in selected clinical phenotypes, the GRADS study is powerfully positioned to inform and direct studies on the pathobiology of sarcoidosis, identify diagnostic or prognostic biomarkers, and provide novel molecular phenotypes that could lead to improved personalized approaches to therapy for sarcoidosis.","author":[{"family":"Moller","given":"David R"},{"family":"Koth","given":"Laura L"},{"family":"Maier","given":"Lisa A"},{"family":"Morris","given":"Alison"},{"family":"Drake","given":"Wonder"},{"family":"Rossman","given":"Milton"},{"family":"Leader","given":"Joseph K"},{"family":"Collman","given":"Ronald G"},{"family":"Hamzeh","given":"Nabeel"},{"family":"Sweiss","given":"Nadera J"},{"family":"Zhang","given":"Yingze"},{"family":"O'Neal","given":"Scott"},{"family":"Senior","given":"Robert M"},{"family":"Becich","given":"Michael"},{"family":"Hochheiser","given":"Harry S"},{"family":"Kaminski","given":"Naftali"},{"family":"Wisniewski","given":"Stephen R"},{"family":"Gibson","given":"Kevin F"},{"family":"GRADS Sarcoidosis Study Group"}],"authorYearDisplayFormat":false,"citation-label":"1400043","container-title":"Annals of the American Thoracic Society","container-title-short":"Ann Am Thorac Soc","id":"1400043","invisible":false,"issue":"10","issued":{"date-parts":[["2015","10"]]},"journalAbbreviation":"Ann Am Thorac Soc","page":"1561-1571","suppress-author":false,"title":"Rationale and Design of the Genomic Research in Alpha-1 Antitrypsin Deficiency and Sarcoidosis (GRADS) Study. Sarcoidosis Protocol.","type":"article-journal","volume":"12"}]</w:instrText>
      </w:r>
      <w:r w:rsidR="00124408" w:rsidRPr="005A7F38">
        <w:fldChar w:fldCharType="separate"/>
      </w:r>
      <w:r w:rsidR="00B775CB" w:rsidRPr="00B775CB">
        <w:rPr>
          <w:noProof/>
          <w:vertAlign w:val="superscript"/>
        </w:rPr>
        <w:t>9,23</w:t>
      </w:r>
      <w:r w:rsidR="00124408" w:rsidRPr="005A7F38">
        <w:fldChar w:fldCharType="end"/>
      </w:r>
      <w:r w:rsidR="00CA6331" w:rsidRPr="005A7F38">
        <w:t xml:space="preserve"> </w:t>
      </w:r>
      <w:r w:rsidR="00124408" w:rsidRPr="005A7F38">
        <w:t>Finally, advanced pulmonary disease  and cardiac sarcoidosis are responsible for the highest rates of mortality and disability associated with sarcoidosis and any knowledge gained about these severe manifestations of sarcoidosis presents an opportunity for making profound advances in improvement of mortality and quality of life.</w:t>
      </w:r>
      <w:r w:rsidR="00124408" w:rsidRPr="005A7F38">
        <w:fldChar w:fldCharType="begin"/>
      </w:r>
      <w:r w:rsidR="00B775CB">
        <w:instrText>ADDIN F1000_CSL_CITATION&lt;~#@#~&gt;[{"DOI":"10.1097/MCP.0000000000000080","First":false,"Last":false,"PMCID":"PMC4326053","PMID":"25029298","abstract":"&lt;strong&gt;PURPOSE OF REVIEW:&lt;/strong&gt; Chronic sarcoidosis is a complex disease with numerous comorbid conditions and can be fatal in some cases. Recognizing causes of morbidity and mortality is important to effectively select treatments, manage symptoms and improve outcomes. The purpose of this review is to examine emerging knowledge on morbidity and mortality in sarcoidosis.\n&lt;br&gt;\n&lt;br&gt;\n&lt;strong&gt;RECENT FINDINGS:&lt;/strong&gt; Approximately 1-5% of patients with sarcoidosis die from complications of sarcoidosis. Recent population studies indicate that mortality may be increasing over the past decade. The reasons behind these trends are unclear, but could include increasing incidence, detection rates, severity of disease or age of the population. Morbidity of sarcoidosis is reflected by a trend of increased hospitalizations over recent years and increased use of healthcare resources. Morbidity can be caused by organ damage from granulomatous inflammation, treatment complications and psychosocial effects of the disease. Recent studies are focused on morbidity related to cardiopulmonary complications, bone health and ageing within the sarcoidosis population. Last, sarcoidosis is associated with autoimmune diseases, pulmonary embolism and malignancy; however, the underlying mechanisms linking diseases continue to be debated.\n&lt;br&gt;\n&lt;br&gt;\n&lt;strong&gt;SUMMARY:&lt;/strong&gt; Morbidity in sarcoidosis is significant and multifactorial. Mortality is infrequent, but may be increasing over the years.","author":[{"family":"Gerke","given":"Alicia K"}],"authorYearDisplayFormat":false,"citation-label":"906602","container-title":"Current Opinion in Pulmonary Medicine","container-title-short":"Curr Opin Pulm Med","id":"906602","invisible":false,"issue":"5","issued":{"date-parts":[["2014","9"]]},"journalAbbreviation":"Curr Opin Pulm Med","page":"472-478","suppress-author":false,"title":"Morbidity and mortality in sarcoidosis.","type":"article-journal","volume":"20"},{"DOI":"10.1164/rccm.201010-1679OC","First":false,"Last":false,"PMCID":"PMC3137141","PMID":"21330454","abstract":"&lt;strong&gt;RATIONALE:&lt;/strong&gt; It has been nearly 20 years since sarcoidosis mortality was examined at the population level in the United States.&lt;br&gt;&lt;br&gt;&lt;strong&gt;OBJECTIVES:&lt;/strong&gt; To examine mortality rates and underlying causes of death among United States decedents with sarcoidosis from 1988-2007.&lt;br&gt;&lt;br&gt;&lt;strong&gt;METHODS:&lt;/strong&gt; We used data from the National Center for Health Statistics to (1) calculate age-adjusted sarcoidosis-associated mortality rates; (2) examine how those rates differ by age, sex, and race and ethnicity; and (3) determine underlying causes of death among sarcoidosis decedents.&lt;br&gt;&lt;br&gt;&lt;strong&gt;MEASUREMENTS AND MAIN RESULTS:&lt;/strong&gt; From 1988-2007, there were 46,450,489 deaths in the United States and 23,679 decedents with sarcoidosis mentioned on their death certificates. Over this time, the age-adjusted, sarcoidosis-related mortality rate increased 50.5% in women and 30.1% in men. The greatest absolute increase in death rates was among non-Hispanic black females. Regardless of sex or race, mortality rates climbed most in decedents 55 years or older. The most common cause of death was sarcoidosis itself. Younger sarcoidosis decedents with pulmonary fibrosis were more likely to be black than white, and younger sarcoidosis decedents were more likely than similarly aged decedents in the general population to have a cardiac cause contribute to death.&lt;br&gt;&lt;br&gt;&lt;strong&gt;CONCLUSIONS:&lt;/strong&gt; From 1988-2007, sarcoidosis-related mortality rates increased significantly, particularly in non-Hispanic black females aged 55 years or older. The underlying cause of death in most patients with sarcoidosis was the disease itself. Among young sarcoidosis decedents, those with pulmonary fibrosis or a cardiac cause contributing to death were more likely to be black than white.","author":[{"family":"Swigris","given":"Jeffrey J"},{"family":"Olson","given":"Amy L"},{"family":"Huie","given":"Tristan J"},{"family":"Fernandez-Perez","given":"Evans R"},{"family":"Solomon","given":"Joshua"},{"family":"Sprunger","given":"David"},{"family":"Brown","given":"Kevin K"}],"authorYearDisplayFormat":false,"citation-label":"1801926","container-title":"American Journal of Respiratory and Critical Care Medicine","container-title-short":"Am J Respir Crit Care Med","id":"1801926","invisible":false,"issue":"11","issued":{"date-parts":[["2011","6","1"]]},"journalAbbreviation":"Am J Respir Crit Care Med","page":"1524-1530","suppress-author":false,"title":"Sarcoidosis-related mortality in the United States from 1988 to 2007.","type":"article-journal","volume":"183"},{"DOI":"10.1513/AnnalsATS.201503-172OT","First":false,"Last":false,"PMCID":"PMC4627423","PMID":"26193069","abstract":"Sarcoidosis is a systemic disease characterized by noncaseating granulomatous inflammation with tremendous clinical heterogeneity and uncertain pathobiology and lacking in clinically useful biomarkers. The Genomic Research in Alpha-1 Antitrypsin Deficiency and Sarcoidosis (GRADS) study is an observational cohort study designed to explore the role of the lung microbiome and genome in these two diseases. This article describes the design and rationale for the GRADS study sarcoidosis protocol. The study addresses the hypothesis that distinct patterns in the lung microbiome are characteristic of sarcoidosis phenotypes and are reflected in changes in systemic inflammatory responses as measured by peripheral blood changes in gene transcription. The goal is to enroll 400 participants, with a minimum of 35 in each of 9 clinical phenotype subgroups prioritized by their clinical relevance to understanding of the pathobiology and clinical heterogeneity of sarcoidosis. Participants with a confirmed diagnosis of sarcoidosis undergo a baseline visit with self-administered questionnaires, chest computed tomography, pulmonary function tests, and blood and urine testing. A research or clinical bronchoscopy with a research bronchoalveolar lavage will be performed to obtain samples for genomic and microbiome analyses. Comparisons will be made by blood genomic analysis and with clinical phenotypic variables. A 6-month follow-up visit is planned to assess each participant's clinical course. By the use of an integrative approach to the analysis of the microbiome and genome in selected clinical phenotypes, the GRADS study is powerfully positioned to inform and direct studies on the pathobiology of sarcoidosis, identify diagnostic or prognostic biomarkers, and provide novel molecular phenotypes that could lead to improved personalized approaches to therapy for sarcoidosis.","author":[{"family":"Moller","given":"David R"},{"family":"Koth","given":"Laura L"},{"family":"Maier","given":"Lisa A"},{"family":"Morris","given":"Alison"},{"family":"Drake","given":"Wonder"},{"family":"Rossman","given":"Milton"},{"family":"Leader","given":"Joseph K"},{"family":"Collman","given":"Ronald G"},{"family":"Hamzeh","given":"Nabeel"},{"family":"Sweiss","given":"Nadera J"},{"family":"Zhang","given":"Yingze"},{"family":"O'Neal","given":"Scott"},{"family":"Senior","given":"Robert M"},{"family":"Becich","given":"Michael"},{"family":"Hochheiser","given":"Harry S"},{"family":"Kaminski","given":"Naftali"},{"family":"Wisniewski","given":"Stephen R"},{"family":"Gibson","given":"Kevin F"},{"family":"GRADS Sarcoidosis Study Group"}],"authorYearDisplayFormat":false,"citation-label":"1400043","container-title":"Annals of the American Thoracic Society","container-title-short":"Ann Am Thorac Soc","id":"1400043","invisible":false,"issue":"10","issued":{"date-parts":[["2015","10"]]},"journalAbbreviation":"Ann Am Thorac Soc","page":"1561-1571","suppress-author":false,"title":"Rationale and Design of the Genomic Research in Alpha-1 Antitrypsin Deficiency and Sarcoidosis (GRADS) Study. Sarcoidosis Protocol.","type":"article-journal","volume":"12"}]</w:instrText>
      </w:r>
      <w:r w:rsidR="00124408" w:rsidRPr="005A7F38">
        <w:fldChar w:fldCharType="separate"/>
      </w:r>
      <w:r w:rsidR="00B775CB" w:rsidRPr="00B775CB">
        <w:rPr>
          <w:noProof/>
          <w:vertAlign w:val="superscript"/>
        </w:rPr>
        <w:t>9,25,34</w:t>
      </w:r>
      <w:r w:rsidR="00124408" w:rsidRPr="005A7F38">
        <w:fldChar w:fldCharType="end"/>
      </w:r>
      <w:r w:rsidR="00835202" w:rsidRPr="005A7F38">
        <w:t xml:space="preserve"> </w:t>
      </w:r>
      <w:r w:rsidR="007147B8" w:rsidRPr="005A7F38">
        <w:t xml:space="preserve"> </w:t>
      </w:r>
      <w:r w:rsidR="00053767" w:rsidRPr="005A7F38">
        <w:t>The phenotypic groups</w:t>
      </w:r>
      <w:r w:rsidR="00E4563B" w:rsidRPr="005A7F38">
        <w:t xml:space="preserve"> (Table 1)</w:t>
      </w:r>
      <w:r w:rsidR="00053767" w:rsidRPr="005A7F38">
        <w:t xml:space="preserve"> selected have been used in the ACCESS study and their use here allows for comparisons to be made between findings in the ACCESS study and those in the </w:t>
      </w:r>
      <w:r w:rsidR="00051970" w:rsidRPr="005A7F38">
        <w:t>GRADS</w:t>
      </w:r>
      <w:r w:rsidR="00053767" w:rsidRPr="005A7F38">
        <w:t xml:space="preserve"> study. </w:t>
      </w:r>
    </w:p>
    <w:p w14:paraId="46C33C53" w14:textId="77777777" w:rsidR="002866DE" w:rsidRDefault="002866DE" w:rsidP="00004E1A">
      <w:pPr>
        <w:ind w:firstLine="0"/>
      </w:pPr>
    </w:p>
    <w:p w14:paraId="7D8CACFA" w14:textId="77777777" w:rsidR="002866DE" w:rsidRDefault="002866DE" w:rsidP="00004E1A">
      <w:pPr>
        <w:ind w:firstLine="0"/>
        <w:sectPr w:rsidR="002866DE" w:rsidSect="006B1124">
          <w:footerReference w:type="default" r:id="rId13"/>
          <w:pgSz w:w="12240" w:h="15840"/>
          <w:pgMar w:top="1440" w:right="1440" w:bottom="1440" w:left="1440" w:header="720" w:footer="720" w:gutter="0"/>
          <w:pgNumType w:start="1"/>
          <w:cols w:space="720"/>
          <w:docGrid w:linePitch="360"/>
        </w:sectPr>
      </w:pPr>
    </w:p>
    <w:p w14:paraId="5367AFE5" w14:textId="431E5416" w:rsidR="002866DE" w:rsidRDefault="002866DE" w:rsidP="00004E1A">
      <w:pPr>
        <w:ind w:firstLine="0"/>
      </w:pPr>
    </w:p>
    <w:p w14:paraId="72B55C1D" w14:textId="47B6457A" w:rsidR="00EC5ABE" w:rsidRDefault="00EC5ABE" w:rsidP="00EC5ABE">
      <w:pPr>
        <w:pStyle w:val="Caption"/>
      </w:pPr>
      <w:bookmarkStart w:id="59" w:name="_Toc506540061"/>
      <w:r>
        <w:t xml:space="preserve">Table </w:t>
      </w:r>
      <w:fldSimple w:instr=" SEQ Table \* ARABIC ">
        <w:r w:rsidR="001F73C6">
          <w:rPr>
            <w:noProof/>
          </w:rPr>
          <w:t>1</w:t>
        </w:r>
      </w:fldSimple>
      <w:r>
        <w:t xml:space="preserve">. </w:t>
      </w:r>
      <w:r>
        <w:rPr>
          <w:b w:val="0"/>
        </w:rPr>
        <w:t xml:space="preserve">GRADS Phenotypic </w:t>
      </w:r>
      <w:r w:rsidR="008A27CB">
        <w:rPr>
          <w:b w:val="0"/>
        </w:rPr>
        <w:t>Designations</w:t>
      </w:r>
      <w:bookmarkEnd w:id="59"/>
    </w:p>
    <w:tbl>
      <w:tblPr>
        <w:tblStyle w:val="TableGrid"/>
        <w:tblW w:w="11776" w:type="dxa"/>
        <w:jc w:val="center"/>
        <w:tblLayout w:type="fixed"/>
        <w:tblLook w:val="04A0" w:firstRow="1" w:lastRow="0" w:firstColumn="1" w:lastColumn="0" w:noHBand="0" w:noVBand="1"/>
      </w:tblPr>
      <w:tblGrid>
        <w:gridCol w:w="903"/>
        <w:gridCol w:w="2250"/>
        <w:gridCol w:w="1530"/>
        <w:gridCol w:w="1170"/>
        <w:gridCol w:w="1530"/>
        <w:gridCol w:w="1260"/>
        <w:gridCol w:w="1350"/>
        <w:gridCol w:w="1783"/>
      </w:tblGrid>
      <w:tr w:rsidR="00E34625" w:rsidRPr="00EC5ABE" w14:paraId="169EB2F6" w14:textId="74BC528A" w:rsidTr="00E34625">
        <w:trPr>
          <w:trHeight w:val="1106"/>
          <w:jc w:val="center"/>
        </w:trPr>
        <w:tc>
          <w:tcPr>
            <w:tcW w:w="903" w:type="dxa"/>
          </w:tcPr>
          <w:p w14:paraId="1D9ACF9D" w14:textId="77777777" w:rsidR="00E34625" w:rsidRPr="00EC5ABE" w:rsidRDefault="00E34625" w:rsidP="00EC5ABE">
            <w:pPr>
              <w:spacing w:line="240" w:lineRule="auto"/>
              <w:ind w:firstLine="0"/>
              <w:jc w:val="center"/>
              <w:rPr>
                <w:b/>
              </w:rPr>
            </w:pPr>
            <w:r w:rsidRPr="00EC5ABE">
              <w:rPr>
                <w:b/>
              </w:rPr>
              <w:t xml:space="preserve">Group </w:t>
            </w:r>
          </w:p>
        </w:tc>
        <w:tc>
          <w:tcPr>
            <w:tcW w:w="2250" w:type="dxa"/>
          </w:tcPr>
          <w:p w14:paraId="571B8EB4" w14:textId="77777777" w:rsidR="00E34625" w:rsidRPr="00EC5ABE" w:rsidRDefault="00E34625" w:rsidP="00EC5ABE">
            <w:pPr>
              <w:spacing w:line="240" w:lineRule="auto"/>
              <w:ind w:firstLine="0"/>
              <w:jc w:val="center"/>
              <w:rPr>
                <w:b/>
              </w:rPr>
            </w:pPr>
            <w:r w:rsidRPr="00EC5ABE">
              <w:rPr>
                <w:b/>
              </w:rPr>
              <w:t>Clinical Phenotype</w:t>
            </w:r>
          </w:p>
        </w:tc>
        <w:tc>
          <w:tcPr>
            <w:tcW w:w="1530" w:type="dxa"/>
          </w:tcPr>
          <w:p w14:paraId="573E72F8" w14:textId="77777777" w:rsidR="00E34625" w:rsidRPr="00EC5ABE" w:rsidRDefault="00E34625" w:rsidP="00EC5ABE">
            <w:pPr>
              <w:spacing w:line="240" w:lineRule="auto"/>
              <w:ind w:firstLine="0"/>
              <w:jc w:val="center"/>
              <w:rPr>
                <w:b/>
              </w:rPr>
            </w:pPr>
            <w:r w:rsidRPr="00EC5ABE">
              <w:rPr>
                <w:b/>
              </w:rPr>
              <w:t>Presentation</w:t>
            </w:r>
          </w:p>
        </w:tc>
        <w:tc>
          <w:tcPr>
            <w:tcW w:w="1170" w:type="dxa"/>
          </w:tcPr>
          <w:p w14:paraId="11CD7D4C" w14:textId="77777777" w:rsidR="00E34625" w:rsidRPr="00EC5ABE" w:rsidRDefault="00E34625" w:rsidP="00EC5ABE">
            <w:pPr>
              <w:spacing w:line="240" w:lineRule="auto"/>
              <w:ind w:firstLine="0"/>
              <w:jc w:val="center"/>
              <w:rPr>
                <w:b/>
              </w:rPr>
            </w:pPr>
            <w:r w:rsidRPr="00EC5ABE">
              <w:rPr>
                <w:b/>
              </w:rPr>
              <w:t>Scadding Stage</w:t>
            </w:r>
          </w:p>
        </w:tc>
        <w:tc>
          <w:tcPr>
            <w:tcW w:w="1530" w:type="dxa"/>
          </w:tcPr>
          <w:p w14:paraId="134C80FD" w14:textId="77777777" w:rsidR="00E34625" w:rsidRPr="00EC5ABE" w:rsidRDefault="00E34625" w:rsidP="00EC5ABE">
            <w:pPr>
              <w:spacing w:line="240" w:lineRule="auto"/>
              <w:ind w:firstLine="0"/>
              <w:jc w:val="center"/>
              <w:rPr>
                <w:b/>
              </w:rPr>
            </w:pPr>
            <w:r w:rsidRPr="00EC5ABE">
              <w:rPr>
                <w:b/>
              </w:rPr>
              <w:t>Multi-Organ Involvement</w:t>
            </w:r>
          </w:p>
        </w:tc>
        <w:tc>
          <w:tcPr>
            <w:tcW w:w="1260" w:type="dxa"/>
          </w:tcPr>
          <w:p w14:paraId="78FD1C1C" w14:textId="77777777" w:rsidR="00E34625" w:rsidRPr="00EC5ABE" w:rsidRDefault="00E34625" w:rsidP="00EC5ABE">
            <w:pPr>
              <w:spacing w:line="240" w:lineRule="auto"/>
              <w:ind w:firstLine="0"/>
              <w:jc w:val="center"/>
              <w:rPr>
                <w:b/>
              </w:rPr>
            </w:pPr>
            <w:r w:rsidRPr="00EC5ABE">
              <w:rPr>
                <w:b/>
              </w:rPr>
              <w:t>Clinical Course</w:t>
            </w:r>
          </w:p>
        </w:tc>
        <w:tc>
          <w:tcPr>
            <w:tcW w:w="1350" w:type="dxa"/>
          </w:tcPr>
          <w:p w14:paraId="212C52D6" w14:textId="77777777" w:rsidR="00E34625" w:rsidRPr="00EC5ABE" w:rsidRDefault="00E34625" w:rsidP="00EC5ABE">
            <w:pPr>
              <w:spacing w:line="240" w:lineRule="auto"/>
              <w:ind w:firstLine="0"/>
              <w:jc w:val="center"/>
              <w:rPr>
                <w:b/>
              </w:rPr>
            </w:pPr>
            <w:r w:rsidRPr="00EC5ABE">
              <w:rPr>
                <w:b/>
              </w:rPr>
              <w:t>Treatment &gt; 3 months</w:t>
            </w:r>
          </w:p>
        </w:tc>
        <w:tc>
          <w:tcPr>
            <w:tcW w:w="1783" w:type="dxa"/>
          </w:tcPr>
          <w:p w14:paraId="3C72AE8A" w14:textId="77777777" w:rsidR="00E34625" w:rsidRPr="00EC5ABE" w:rsidRDefault="00E34625" w:rsidP="00EC5ABE">
            <w:pPr>
              <w:spacing w:line="240" w:lineRule="auto"/>
              <w:ind w:firstLine="0"/>
              <w:jc w:val="center"/>
              <w:rPr>
                <w:b/>
              </w:rPr>
            </w:pPr>
            <w:r w:rsidRPr="00EC5ABE">
              <w:rPr>
                <w:b/>
              </w:rPr>
              <w:t>Significant Cardiac Manifestations</w:t>
            </w:r>
          </w:p>
        </w:tc>
      </w:tr>
      <w:tr w:rsidR="00E34625" w:rsidRPr="00EC5ABE" w14:paraId="78A9855F" w14:textId="508B3B49" w:rsidTr="00E34625">
        <w:trPr>
          <w:trHeight w:val="524"/>
          <w:jc w:val="center"/>
        </w:trPr>
        <w:tc>
          <w:tcPr>
            <w:tcW w:w="903" w:type="dxa"/>
          </w:tcPr>
          <w:p w14:paraId="61443E23" w14:textId="7E553ED1" w:rsidR="00E34625" w:rsidRPr="00EC5ABE" w:rsidRDefault="00E34625" w:rsidP="00EC5ABE">
            <w:pPr>
              <w:spacing w:line="240" w:lineRule="auto"/>
              <w:ind w:firstLine="0"/>
              <w:jc w:val="center"/>
            </w:pPr>
            <w:r w:rsidRPr="00EC5ABE">
              <w:t>1</w:t>
            </w:r>
          </w:p>
        </w:tc>
        <w:tc>
          <w:tcPr>
            <w:tcW w:w="2250" w:type="dxa"/>
          </w:tcPr>
          <w:p w14:paraId="1210BC74" w14:textId="77777777" w:rsidR="00E34625" w:rsidRPr="00EC5ABE" w:rsidRDefault="00E34625" w:rsidP="00EC5ABE">
            <w:pPr>
              <w:spacing w:line="240" w:lineRule="auto"/>
              <w:ind w:firstLine="0"/>
              <w:jc w:val="center"/>
            </w:pPr>
            <w:r w:rsidRPr="00EC5ABE">
              <w:rPr>
                <w:i/>
                <w:iCs/>
                <w:color w:val="000000"/>
              </w:rPr>
              <w:t>Multi-Organ</w:t>
            </w:r>
          </w:p>
        </w:tc>
        <w:tc>
          <w:tcPr>
            <w:tcW w:w="1530" w:type="dxa"/>
          </w:tcPr>
          <w:p w14:paraId="271A6BA9" w14:textId="77777777" w:rsidR="00E34625" w:rsidRPr="00EC5ABE" w:rsidRDefault="00E34625" w:rsidP="00EC5ABE">
            <w:pPr>
              <w:spacing w:line="240" w:lineRule="auto"/>
              <w:ind w:firstLine="0"/>
              <w:jc w:val="center"/>
            </w:pPr>
            <w:r w:rsidRPr="00EC5ABE">
              <w:rPr>
                <w:color w:val="000000"/>
              </w:rPr>
              <w:t>Non-Acute</w:t>
            </w:r>
          </w:p>
        </w:tc>
        <w:tc>
          <w:tcPr>
            <w:tcW w:w="1170" w:type="dxa"/>
          </w:tcPr>
          <w:p w14:paraId="3BA0EABE" w14:textId="77777777" w:rsidR="00E34625" w:rsidRPr="00EC5ABE" w:rsidRDefault="00E34625" w:rsidP="00EC5ABE">
            <w:pPr>
              <w:spacing w:line="240" w:lineRule="auto"/>
              <w:ind w:firstLine="0"/>
              <w:jc w:val="center"/>
            </w:pPr>
            <w:r w:rsidRPr="00EC5ABE">
              <w:rPr>
                <w:color w:val="000000"/>
              </w:rPr>
              <w:t>Any</w:t>
            </w:r>
          </w:p>
        </w:tc>
        <w:tc>
          <w:tcPr>
            <w:tcW w:w="1530" w:type="dxa"/>
          </w:tcPr>
          <w:p w14:paraId="275A4547" w14:textId="77777777" w:rsidR="00E34625" w:rsidRPr="00EC5ABE" w:rsidRDefault="00E34625" w:rsidP="00EC5ABE">
            <w:pPr>
              <w:spacing w:line="240" w:lineRule="auto"/>
              <w:ind w:firstLine="0"/>
              <w:jc w:val="center"/>
            </w:pPr>
            <w:r w:rsidRPr="00EC5ABE">
              <w:rPr>
                <w:color w:val="000000"/>
              </w:rPr>
              <w:t>&gt; 5 organs involved</w:t>
            </w:r>
          </w:p>
        </w:tc>
        <w:tc>
          <w:tcPr>
            <w:tcW w:w="1260" w:type="dxa"/>
          </w:tcPr>
          <w:p w14:paraId="4D208EDB" w14:textId="77777777" w:rsidR="00E34625" w:rsidRPr="00EC5ABE" w:rsidRDefault="00E34625" w:rsidP="00EC5ABE">
            <w:pPr>
              <w:spacing w:line="240" w:lineRule="auto"/>
              <w:ind w:firstLine="0"/>
              <w:jc w:val="center"/>
            </w:pPr>
            <w:r w:rsidRPr="00EC5ABE">
              <w:rPr>
                <w:color w:val="000000"/>
              </w:rPr>
              <w:t>Chronic, Uncertain</w:t>
            </w:r>
          </w:p>
        </w:tc>
        <w:tc>
          <w:tcPr>
            <w:tcW w:w="1350" w:type="dxa"/>
          </w:tcPr>
          <w:p w14:paraId="75154E22" w14:textId="77777777" w:rsidR="00E34625" w:rsidRPr="00EC5ABE" w:rsidRDefault="00E34625" w:rsidP="00EC5ABE">
            <w:pPr>
              <w:spacing w:line="240" w:lineRule="auto"/>
              <w:ind w:firstLine="0"/>
              <w:jc w:val="center"/>
            </w:pPr>
            <w:r w:rsidRPr="00EC5ABE">
              <w:rPr>
                <w:color w:val="000000"/>
              </w:rPr>
              <w:t>Any</w:t>
            </w:r>
          </w:p>
        </w:tc>
        <w:tc>
          <w:tcPr>
            <w:tcW w:w="1783" w:type="dxa"/>
          </w:tcPr>
          <w:p w14:paraId="4D6361BE" w14:textId="77777777" w:rsidR="00E34625" w:rsidRPr="00EC5ABE" w:rsidRDefault="00E34625" w:rsidP="00EC5ABE">
            <w:pPr>
              <w:spacing w:line="240" w:lineRule="auto"/>
              <w:ind w:firstLine="0"/>
              <w:jc w:val="center"/>
            </w:pPr>
            <w:r w:rsidRPr="00EC5ABE">
              <w:rPr>
                <w:color w:val="000000"/>
              </w:rPr>
              <w:t>No</w:t>
            </w:r>
          </w:p>
        </w:tc>
      </w:tr>
      <w:tr w:rsidR="00E34625" w:rsidRPr="00EC5ABE" w14:paraId="77C5BCEA" w14:textId="0B38E674" w:rsidTr="00E34625">
        <w:trPr>
          <w:trHeight w:val="578"/>
          <w:jc w:val="center"/>
        </w:trPr>
        <w:tc>
          <w:tcPr>
            <w:tcW w:w="903" w:type="dxa"/>
          </w:tcPr>
          <w:p w14:paraId="1A6E7511" w14:textId="77777777" w:rsidR="00E34625" w:rsidRPr="00EC5ABE" w:rsidRDefault="00E34625" w:rsidP="00EC5ABE">
            <w:pPr>
              <w:spacing w:line="240" w:lineRule="auto"/>
              <w:ind w:firstLine="0"/>
              <w:jc w:val="center"/>
            </w:pPr>
            <w:r w:rsidRPr="00EC5ABE">
              <w:t>2</w:t>
            </w:r>
          </w:p>
        </w:tc>
        <w:tc>
          <w:tcPr>
            <w:tcW w:w="2250" w:type="dxa"/>
          </w:tcPr>
          <w:p w14:paraId="1A8DC1DA" w14:textId="77777777" w:rsidR="00E34625" w:rsidRPr="00EC5ABE" w:rsidRDefault="00E34625" w:rsidP="00EC5ABE">
            <w:pPr>
              <w:spacing w:line="240" w:lineRule="auto"/>
              <w:ind w:firstLine="0"/>
              <w:jc w:val="center"/>
            </w:pPr>
            <w:r w:rsidRPr="00EC5ABE">
              <w:rPr>
                <w:i/>
                <w:iCs/>
                <w:color w:val="000000"/>
              </w:rPr>
              <w:t>Non-Acute, Stage I, untreated</w:t>
            </w:r>
          </w:p>
        </w:tc>
        <w:tc>
          <w:tcPr>
            <w:tcW w:w="1530" w:type="dxa"/>
          </w:tcPr>
          <w:p w14:paraId="4B529645" w14:textId="77777777" w:rsidR="00E34625" w:rsidRPr="00EC5ABE" w:rsidRDefault="00E34625" w:rsidP="00EC5ABE">
            <w:pPr>
              <w:spacing w:line="240" w:lineRule="auto"/>
              <w:ind w:firstLine="0"/>
              <w:jc w:val="center"/>
            </w:pPr>
            <w:r w:rsidRPr="00EC5ABE">
              <w:rPr>
                <w:color w:val="000000"/>
              </w:rPr>
              <w:t>Non-Acute</w:t>
            </w:r>
          </w:p>
        </w:tc>
        <w:tc>
          <w:tcPr>
            <w:tcW w:w="1170" w:type="dxa"/>
          </w:tcPr>
          <w:p w14:paraId="3A5BB93F" w14:textId="77777777" w:rsidR="00E34625" w:rsidRPr="00EC5ABE" w:rsidRDefault="00E34625" w:rsidP="00EC5ABE">
            <w:pPr>
              <w:spacing w:line="240" w:lineRule="auto"/>
              <w:ind w:firstLine="0"/>
              <w:jc w:val="center"/>
            </w:pPr>
            <w:r w:rsidRPr="00EC5ABE">
              <w:rPr>
                <w:color w:val="000000"/>
              </w:rPr>
              <w:t>Stage I</w:t>
            </w:r>
          </w:p>
        </w:tc>
        <w:tc>
          <w:tcPr>
            <w:tcW w:w="1530" w:type="dxa"/>
          </w:tcPr>
          <w:p w14:paraId="6BDE7A1B" w14:textId="77777777" w:rsidR="00E34625" w:rsidRPr="00EC5ABE" w:rsidRDefault="00E34625" w:rsidP="00EC5ABE">
            <w:pPr>
              <w:spacing w:line="240" w:lineRule="auto"/>
              <w:ind w:firstLine="0"/>
              <w:jc w:val="center"/>
            </w:pPr>
            <w:r w:rsidRPr="00EC5ABE">
              <w:rPr>
                <w:color w:val="000000"/>
              </w:rPr>
              <w:t>&lt; 5 organs involved</w:t>
            </w:r>
          </w:p>
        </w:tc>
        <w:tc>
          <w:tcPr>
            <w:tcW w:w="1260" w:type="dxa"/>
          </w:tcPr>
          <w:p w14:paraId="50FF3DF1" w14:textId="77777777" w:rsidR="00E34625" w:rsidRPr="00EC5ABE" w:rsidRDefault="00E34625" w:rsidP="00EC5ABE">
            <w:pPr>
              <w:spacing w:line="240" w:lineRule="auto"/>
              <w:ind w:firstLine="0"/>
              <w:jc w:val="center"/>
            </w:pPr>
            <w:r w:rsidRPr="00EC5ABE">
              <w:rPr>
                <w:color w:val="000000"/>
              </w:rPr>
              <w:t>Chronic, Uncertain</w:t>
            </w:r>
          </w:p>
        </w:tc>
        <w:tc>
          <w:tcPr>
            <w:tcW w:w="1350" w:type="dxa"/>
          </w:tcPr>
          <w:p w14:paraId="6AF82230" w14:textId="77777777" w:rsidR="00E34625" w:rsidRPr="00EC5ABE" w:rsidRDefault="00E34625" w:rsidP="00EC5ABE">
            <w:pPr>
              <w:spacing w:line="240" w:lineRule="auto"/>
              <w:ind w:firstLine="0"/>
              <w:jc w:val="center"/>
            </w:pPr>
            <w:r w:rsidRPr="00EC5ABE">
              <w:rPr>
                <w:color w:val="000000"/>
              </w:rPr>
              <w:t>No</w:t>
            </w:r>
          </w:p>
        </w:tc>
        <w:tc>
          <w:tcPr>
            <w:tcW w:w="1783" w:type="dxa"/>
          </w:tcPr>
          <w:p w14:paraId="4C446AE5" w14:textId="77777777" w:rsidR="00E34625" w:rsidRPr="00EC5ABE" w:rsidRDefault="00E34625" w:rsidP="00EC5ABE">
            <w:pPr>
              <w:spacing w:line="240" w:lineRule="auto"/>
              <w:ind w:firstLine="0"/>
              <w:jc w:val="center"/>
            </w:pPr>
            <w:r w:rsidRPr="00EC5ABE">
              <w:rPr>
                <w:color w:val="000000"/>
              </w:rPr>
              <w:t>No</w:t>
            </w:r>
          </w:p>
        </w:tc>
      </w:tr>
      <w:tr w:rsidR="00E34625" w:rsidRPr="00EC5ABE" w14:paraId="48F2005F" w14:textId="59F51BB0" w:rsidTr="00E34625">
        <w:trPr>
          <w:trHeight w:val="272"/>
          <w:jc w:val="center"/>
        </w:trPr>
        <w:tc>
          <w:tcPr>
            <w:tcW w:w="903" w:type="dxa"/>
          </w:tcPr>
          <w:p w14:paraId="77ED4228" w14:textId="77777777" w:rsidR="00E34625" w:rsidRPr="00EC5ABE" w:rsidRDefault="00E34625" w:rsidP="00EC5ABE">
            <w:pPr>
              <w:spacing w:line="240" w:lineRule="auto"/>
              <w:ind w:firstLine="0"/>
              <w:jc w:val="center"/>
            </w:pPr>
            <w:r w:rsidRPr="00EC5ABE">
              <w:t>3</w:t>
            </w:r>
          </w:p>
        </w:tc>
        <w:tc>
          <w:tcPr>
            <w:tcW w:w="2250" w:type="dxa"/>
          </w:tcPr>
          <w:p w14:paraId="64100120" w14:textId="77777777" w:rsidR="00E34625" w:rsidRPr="00EC5ABE" w:rsidRDefault="00E34625" w:rsidP="00EC5ABE">
            <w:pPr>
              <w:spacing w:line="240" w:lineRule="auto"/>
              <w:ind w:firstLine="0"/>
              <w:jc w:val="center"/>
            </w:pPr>
            <w:r w:rsidRPr="00EC5ABE">
              <w:rPr>
                <w:i/>
                <w:iCs/>
                <w:color w:val="000000"/>
              </w:rPr>
              <w:t>Stage II-III, treated</w:t>
            </w:r>
          </w:p>
        </w:tc>
        <w:tc>
          <w:tcPr>
            <w:tcW w:w="1530" w:type="dxa"/>
          </w:tcPr>
          <w:p w14:paraId="5508078F" w14:textId="77777777" w:rsidR="00E34625" w:rsidRPr="00EC5ABE" w:rsidRDefault="00E34625" w:rsidP="00EC5ABE">
            <w:pPr>
              <w:spacing w:line="240" w:lineRule="auto"/>
              <w:ind w:firstLine="0"/>
              <w:jc w:val="center"/>
            </w:pPr>
            <w:r w:rsidRPr="00EC5ABE">
              <w:rPr>
                <w:color w:val="000000"/>
              </w:rPr>
              <w:t>Non-Acute</w:t>
            </w:r>
          </w:p>
        </w:tc>
        <w:tc>
          <w:tcPr>
            <w:tcW w:w="1170" w:type="dxa"/>
          </w:tcPr>
          <w:p w14:paraId="3016D81C" w14:textId="77777777" w:rsidR="00E34625" w:rsidRPr="00EC5ABE" w:rsidRDefault="00E34625" w:rsidP="00EC5ABE">
            <w:pPr>
              <w:spacing w:line="240" w:lineRule="auto"/>
              <w:ind w:firstLine="0"/>
              <w:jc w:val="center"/>
            </w:pPr>
            <w:r w:rsidRPr="00EC5ABE">
              <w:rPr>
                <w:color w:val="000000"/>
              </w:rPr>
              <w:t>Stage II, III</w:t>
            </w:r>
          </w:p>
        </w:tc>
        <w:tc>
          <w:tcPr>
            <w:tcW w:w="1530" w:type="dxa"/>
          </w:tcPr>
          <w:p w14:paraId="776D77DF" w14:textId="77777777" w:rsidR="00E34625" w:rsidRPr="00EC5ABE" w:rsidRDefault="00E34625" w:rsidP="00EC5ABE">
            <w:pPr>
              <w:spacing w:line="240" w:lineRule="auto"/>
              <w:ind w:firstLine="0"/>
              <w:jc w:val="center"/>
            </w:pPr>
            <w:r w:rsidRPr="00EC5ABE">
              <w:rPr>
                <w:color w:val="000000"/>
              </w:rPr>
              <w:t>&lt; 5 organs involved</w:t>
            </w:r>
          </w:p>
        </w:tc>
        <w:tc>
          <w:tcPr>
            <w:tcW w:w="1260" w:type="dxa"/>
          </w:tcPr>
          <w:p w14:paraId="3D9C8DB7" w14:textId="77777777" w:rsidR="00E34625" w:rsidRPr="00EC5ABE" w:rsidRDefault="00E34625" w:rsidP="00EC5ABE">
            <w:pPr>
              <w:spacing w:line="240" w:lineRule="auto"/>
              <w:ind w:firstLine="0"/>
              <w:jc w:val="center"/>
            </w:pPr>
            <w:r w:rsidRPr="00EC5ABE">
              <w:rPr>
                <w:color w:val="000000"/>
              </w:rPr>
              <w:t>Chronic, Uncertain</w:t>
            </w:r>
          </w:p>
        </w:tc>
        <w:tc>
          <w:tcPr>
            <w:tcW w:w="1350" w:type="dxa"/>
          </w:tcPr>
          <w:p w14:paraId="39F567F1" w14:textId="77777777" w:rsidR="00E34625" w:rsidRPr="00EC5ABE" w:rsidRDefault="00E34625" w:rsidP="00EC5ABE">
            <w:pPr>
              <w:spacing w:line="240" w:lineRule="auto"/>
              <w:ind w:firstLine="0"/>
              <w:jc w:val="center"/>
            </w:pPr>
            <w:r w:rsidRPr="00EC5ABE">
              <w:rPr>
                <w:color w:val="000000"/>
              </w:rPr>
              <w:t>Yes</w:t>
            </w:r>
          </w:p>
        </w:tc>
        <w:tc>
          <w:tcPr>
            <w:tcW w:w="1783" w:type="dxa"/>
          </w:tcPr>
          <w:p w14:paraId="16A166D0" w14:textId="77777777" w:rsidR="00E34625" w:rsidRPr="00EC5ABE" w:rsidRDefault="00E34625" w:rsidP="00EC5ABE">
            <w:pPr>
              <w:spacing w:line="240" w:lineRule="auto"/>
              <w:ind w:firstLine="0"/>
              <w:jc w:val="center"/>
            </w:pPr>
            <w:r w:rsidRPr="00EC5ABE">
              <w:rPr>
                <w:color w:val="000000"/>
              </w:rPr>
              <w:t>No</w:t>
            </w:r>
          </w:p>
        </w:tc>
      </w:tr>
      <w:tr w:rsidR="00E34625" w:rsidRPr="00EC5ABE" w14:paraId="4C0FEC95" w14:textId="06AEC70E" w:rsidTr="00E34625">
        <w:trPr>
          <w:trHeight w:val="452"/>
          <w:jc w:val="center"/>
        </w:trPr>
        <w:tc>
          <w:tcPr>
            <w:tcW w:w="903" w:type="dxa"/>
          </w:tcPr>
          <w:p w14:paraId="070508F1" w14:textId="77777777" w:rsidR="00E34625" w:rsidRPr="00EC5ABE" w:rsidRDefault="00E34625" w:rsidP="00EC5ABE">
            <w:pPr>
              <w:spacing w:line="240" w:lineRule="auto"/>
              <w:ind w:firstLine="0"/>
              <w:jc w:val="center"/>
            </w:pPr>
            <w:r w:rsidRPr="00EC5ABE">
              <w:t>4</w:t>
            </w:r>
          </w:p>
        </w:tc>
        <w:tc>
          <w:tcPr>
            <w:tcW w:w="2250" w:type="dxa"/>
          </w:tcPr>
          <w:p w14:paraId="6734C384" w14:textId="77777777" w:rsidR="00E34625" w:rsidRPr="00EC5ABE" w:rsidRDefault="00E34625" w:rsidP="00EC5ABE">
            <w:pPr>
              <w:spacing w:line="240" w:lineRule="auto"/>
              <w:ind w:firstLine="0"/>
              <w:jc w:val="center"/>
            </w:pPr>
            <w:r w:rsidRPr="00EC5ABE">
              <w:rPr>
                <w:i/>
                <w:iCs/>
                <w:color w:val="000000"/>
              </w:rPr>
              <w:t>Stage II-III, untreated</w:t>
            </w:r>
          </w:p>
        </w:tc>
        <w:tc>
          <w:tcPr>
            <w:tcW w:w="1530" w:type="dxa"/>
          </w:tcPr>
          <w:p w14:paraId="6E3D811B" w14:textId="77777777" w:rsidR="00E34625" w:rsidRPr="00EC5ABE" w:rsidRDefault="00E34625" w:rsidP="00EC5ABE">
            <w:pPr>
              <w:spacing w:line="240" w:lineRule="auto"/>
              <w:ind w:firstLine="0"/>
              <w:jc w:val="center"/>
            </w:pPr>
            <w:r w:rsidRPr="00EC5ABE">
              <w:rPr>
                <w:color w:val="000000"/>
              </w:rPr>
              <w:t>Non-Acute</w:t>
            </w:r>
          </w:p>
        </w:tc>
        <w:tc>
          <w:tcPr>
            <w:tcW w:w="1170" w:type="dxa"/>
          </w:tcPr>
          <w:p w14:paraId="488EE710" w14:textId="77777777" w:rsidR="00E34625" w:rsidRPr="00EC5ABE" w:rsidRDefault="00E34625" w:rsidP="00EC5ABE">
            <w:pPr>
              <w:spacing w:line="240" w:lineRule="auto"/>
              <w:ind w:firstLine="0"/>
              <w:jc w:val="center"/>
            </w:pPr>
            <w:r w:rsidRPr="00EC5ABE">
              <w:rPr>
                <w:color w:val="000000"/>
              </w:rPr>
              <w:t>Stage II, III</w:t>
            </w:r>
          </w:p>
        </w:tc>
        <w:tc>
          <w:tcPr>
            <w:tcW w:w="1530" w:type="dxa"/>
          </w:tcPr>
          <w:p w14:paraId="2D432D33" w14:textId="77777777" w:rsidR="00E34625" w:rsidRPr="00EC5ABE" w:rsidRDefault="00E34625" w:rsidP="00EC5ABE">
            <w:pPr>
              <w:spacing w:line="240" w:lineRule="auto"/>
              <w:ind w:firstLine="0"/>
              <w:jc w:val="center"/>
            </w:pPr>
            <w:r w:rsidRPr="00EC5ABE">
              <w:rPr>
                <w:color w:val="000000"/>
              </w:rPr>
              <w:t>&lt; 5 organs involved</w:t>
            </w:r>
          </w:p>
        </w:tc>
        <w:tc>
          <w:tcPr>
            <w:tcW w:w="1260" w:type="dxa"/>
          </w:tcPr>
          <w:p w14:paraId="0529D5F2" w14:textId="77777777" w:rsidR="00E34625" w:rsidRPr="00EC5ABE" w:rsidRDefault="00E34625" w:rsidP="00EC5ABE">
            <w:pPr>
              <w:spacing w:line="240" w:lineRule="auto"/>
              <w:ind w:firstLine="0"/>
              <w:jc w:val="center"/>
            </w:pPr>
            <w:r w:rsidRPr="00EC5ABE">
              <w:rPr>
                <w:color w:val="000000"/>
              </w:rPr>
              <w:t>Chronic, Uncertain</w:t>
            </w:r>
          </w:p>
        </w:tc>
        <w:tc>
          <w:tcPr>
            <w:tcW w:w="1350" w:type="dxa"/>
          </w:tcPr>
          <w:p w14:paraId="31016547" w14:textId="77777777" w:rsidR="00E34625" w:rsidRPr="00EC5ABE" w:rsidRDefault="00E34625" w:rsidP="00EC5ABE">
            <w:pPr>
              <w:spacing w:line="240" w:lineRule="auto"/>
              <w:ind w:firstLine="0"/>
              <w:jc w:val="center"/>
            </w:pPr>
            <w:r w:rsidRPr="00EC5ABE">
              <w:rPr>
                <w:color w:val="000000"/>
              </w:rPr>
              <w:t>No</w:t>
            </w:r>
          </w:p>
        </w:tc>
        <w:tc>
          <w:tcPr>
            <w:tcW w:w="1783" w:type="dxa"/>
          </w:tcPr>
          <w:p w14:paraId="1D972FC2" w14:textId="77777777" w:rsidR="00E34625" w:rsidRPr="00EC5ABE" w:rsidRDefault="00E34625" w:rsidP="00EC5ABE">
            <w:pPr>
              <w:spacing w:line="240" w:lineRule="auto"/>
              <w:ind w:firstLine="0"/>
              <w:jc w:val="center"/>
            </w:pPr>
            <w:r w:rsidRPr="00EC5ABE">
              <w:rPr>
                <w:color w:val="000000"/>
              </w:rPr>
              <w:t>No</w:t>
            </w:r>
          </w:p>
        </w:tc>
      </w:tr>
      <w:tr w:rsidR="00E34625" w:rsidRPr="00EC5ABE" w14:paraId="3961D244" w14:textId="6265C731" w:rsidTr="00E34625">
        <w:trPr>
          <w:trHeight w:val="434"/>
          <w:jc w:val="center"/>
        </w:trPr>
        <w:tc>
          <w:tcPr>
            <w:tcW w:w="903" w:type="dxa"/>
          </w:tcPr>
          <w:p w14:paraId="19F3F86F" w14:textId="77777777" w:rsidR="00E34625" w:rsidRPr="00EC5ABE" w:rsidRDefault="00E34625" w:rsidP="00EC5ABE">
            <w:pPr>
              <w:spacing w:line="240" w:lineRule="auto"/>
              <w:ind w:firstLine="0"/>
              <w:jc w:val="center"/>
            </w:pPr>
            <w:r w:rsidRPr="00EC5ABE">
              <w:t>5</w:t>
            </w:r>
          </w:p>
        </w:tc>
        <w:tc>
          <w:tcPr>
            <w:tcW w:w="2250" w:type="dxa"/>
          </w:tcPr>
          <w:p w14:paraId="3F8E67CE" w14:textId="77777777" w:rsidR="00E34625" w:rsidRPr="00EC5ABE" w:rsidRDefault="00E34625" w:rsidP="00EC5ABE">
            <w:pPr>
              <w:spacing w:line="240" w:lineRule="auto"/>
              <w:ind w:firstLine="0"/>
              <w:jc w:val="center"/>
            </w:pPr>
            <w:r w:rsidRPr="00EC5ABE">
              <w:rPr>
                <w:i/>
                <w:iCs/>
                <w:color w:val="000000"/>
              </w:rPr>
              <w:t>Stage IV, treated</w:t>
            </w:r>
          </w:p>
        </w:tc>
        <w:tc>
          <w:tcPr>
            <w:tcW w:w="1530" w:type="dxa"/>
          </w:tcPr>
          <w:p w14:paraId="55312D7D" w14:textId="77777777" w:rsidR="00E34625" w:rsidRPr="00EC5ABE" w:rsidRDefault="00E34625" w:rsidP="00EC5ABE">
            <w:pPr>
              <w:spacing w:line="240" w:lineRule="auto"/>
              <w:ind w:firstLine="0"/>
              <w:jc w:val="center"/>
            </w:pPr>
            <w:r w:rsidRPr="00EC5ABE">
              <w:rPr>
                <w:color w:val="000000"/>
              </w:rPr>
              <w:t>Non-Acute</w:t>
            </w:r>
          </w:p>
        </w:tc>
        <w:tc>
          <w:tcPr>
            <w:tcW w:w="1170" w:type="dxa"/>
          </w:tcPr>
          <w:p w14:paraId="5AAB0494" w14:textId="77777777" w:rsidR="00E34625" w:rsidRPr="00EC5ABE" w:rsidRDefault="00E34625" w:rsidP="00EC5ABE">
            <w:pPr>
              <w:spacing w:line="240" w:lineRule="auto"/>
              <w:ind w:firstLine="0"/>
              <w:jc w:val="center"/>
            </w:pPr>
            <w:r w:rsidRPr="00EC5ABE">
              <w:rPr>
                <w:color w:val="000000"/>
              </w:rPr>
              <w:t>Stage IV</w:t>
            </w:r>
          </w:p>
        </w:tc>
        <w:tc>
          <w:tcPr>
            <w:tcW w:w="1530" w:type="dxa"/>
          </w:tcPr>
          <w:p w14:paraId="6DDB7861" w14:textId="77777777" w:rsidR="00E34625" w:rsidRPr="00EC5ABE" w:rsidRDefault="00E34625" w:rsidP="00EC5ABE">
            <w:pPr>
              <w:spacing w:line="240" w:lineRule="auto"/>
              <w:ind w:firstLine="0"/>
              <w:jc w:val="center"/>
            </w:pPr>
            <w:r w:rsidRPr="00EC5ABE">
              <w:rPr>
                <w:color w:val="000000"/>
              </w:rPr>
              <w:t>&lt; 5 organs involved</w:t>
            </w:r>
          </w:p>
        </w:tc>
        <w:tc>
          <w:tcPr>
            <w:tcW w:w="1260" w:type="dxa"/>
          </w:tcPr>
          <w:p w14:paraId="17A6208B" w14:textId="77777777" w:rsidR="00E34625" w:rsidRPr="00EC5ABE" w:rsidRDefault="00E34625" w:rsidP="00EC5ABE">
            <w:pPr>
              <w:spacing w:line="240" w:lineRule="auto"/>
              <w:ind w:firstLine="0"/>
              <w:jc w:val="center"/>
            </w:pPr>
            <w:r w:rsidRPr="00EC5ABE">
              <w:rPr>
                <w:color w:val="000000"/>
              </w:rPr>
              <w:t>Chronic, Uncertain</w:t>
            </w:r>
          </w:p>
        </w:tc>
        <w:tc>
          <w:tcPr>
            <w:tcW w:w="1350" w:type="dxa"/>
          </w:tcPr>
          <w:p w14:paraId="5B3B3F59" w14:textId="77777777" w:rsidR="00E34625" w:rsidRPr="00EC5ABE" w:rsidRDefault="00E34625" w:rsidP="00EC5ABE">
            <w:pPr>
              <w:spacing w:line="240" w:lineRule="auto"/>
              <w:ind w:firstLine="0"/>
              <w:jc w:val="center"/>
            </w:pPr>
            <w:r w:rsidRPr="00EC5ABE">
              <w:rPr>
                <w:color w:val="000000"/>
              </w:rPr>
              <w:t>Yes</w:t>
            </w:r>
          </w:p>
        </w:tc>
        <w:tc>
          <w:tcPr>
            <w:tcW w:w="1783" w:type="dxa"/>
          </w:tcPr>
          <w:p w14:paraId="0AFA24C8" w14:textId="77777777" w:rsidR="00E34625" w:rsidRPr="00EC5ABE" w:rsidRDefault="00E34625" w:rsidP="00EC5ABE">
            <w:pPr>
              <w:spacing w:line="240" w:lineRule="auto"/>
              <w:ind w:firstLine="0"/>
              <w:jc w:val="center"/>
            </w:pPr>
            <w:r w:rsidRPr="00EC5ABE">
              <w:rPr>
                <w:color w:val="000000"/>
              </w:rPr>
              <w:t>No</w:t>
            </w:r>
          </w:p>
        </w:tc>
      </w:tr>
      <w:tr w:rsidR="00E34625" w:rsidRPr="00EC5ABE" w14:paraId="0AC2405B" w14:textId="506FE76C" w:rsidTr="00E34625">
        <w:trPr>
          <w:trHeight w:val="308"/>
          <w:jc w:val="center"/>
        </w:trPr>
        <w:tc>
          <w:tcPr>
            <w:tcW w:w="903" w:type="dxa"/>
          </w:tcPr>
          <w:p w14:paraId="78CC4AB9" w14:textId="77777777" w:rsidR="00E34625" w:rsidRPr="00EC5ABE" w:rsidRDefault="00E34625" w:rsidP="00EC5ABE">
            <w:pPr>
              <w:spacing w:line="240" w:lineRule="auto"/>
              <w:ind w:firstLine="0"/>
              <w:jc w:val="center"/>
            </w:pPr>
            <w:r w:rsidRPr="00EC5ABE">
              <w:t>6</w:t>
            </w:r>
          </w:p>
        </w:tc>
        <w:tc>
          <w:tcPr>
            <w:tcW w:w="2250" w:type="dxa"/>
          </w:tcPr>
          <w:p w14:paraId="505B9B1C" w14:textId="77777777" w:rsidR="00E34625" w:rsidRPr="00EC5ABE" w:rsidRDefault="00E34625" w:rsidP="00EC5ABE">
            <w:pPr>
              <w:spacing w:line="240" w:lineRule="auto"/>
              <w:ind w:firstLine="0"/>
              <w:jc w:val="center"/>
            </w:pPr>
            <w:r w:rsidRPr="00EC5ABE">
              <w:rPr>
                <w:i/>
                <w:iCs/>
                <w:color w:val="000000"/>
              </w:rPr>
              <w:t>Stage IV, untreated</w:t>
            </w:r>
          </w:p>
        </w:tc>
        <w:tc>
          <w:tcPr>
            <w:tcW w:w="1530" w:type="dxa"/>
          </w:tcPr>
          <w:p w14:paraId="655A5D68" w14:textId="77777777" w:rsidR="00E34625" w:rsidRPr="00EC5ABE" w:rsidRDefault="00E34625" w:rsidP="00EC5ABE">
            <w:pPr>
              <w:spacing w:line="240" w:lineRule="auto"/>
              <w:ind w:firstLine="0"/>
              <w:jc w:val="center"/>
            </w:pPr>
            <w:r w:rsidRPr="00EC5ABE">
              <w:rPr>
                <w:color w:val="000000"/>
              </w:rPr>
              <w:t>Non-Acute</w:t>
            </w:r>
          </w:p>
        </w:tc>
        <w:tc>
          <w:tcPr>
            <w:tcW w:w="1170" w:type="dxa"/>
          </w:tcPr>
          <w:p w14:paraId="56BE4F9F" w14:textId="77777777" w:rsidR="00E34625" w:rsidRPr="00EC5ABE" w:rsidRDefault="00E34625" w:rsidP="00EC5ABE">
            <w:pPr>
              <w:spacing w:line="240" w:lineRule="auto"/>
              <w:ind w:firstLine="0"/>
              <w:jc w:val="center"/>
            </w:pPr>
            <w:r w:rsidRPr="00EC5ABE">
              <w:rPr>
                <w:color w:val="000000"/>
              </w:rPr>
              <w:t>Stage IV</w:t>
            </w:r>
          </w:p>
        </w:tc>
        <w:tc>
          <w:tcPr>
            <w:tcW w:w="1530" w:type="dxa"/>
          </w:tcPr>
          <w:p w14:paraId="5E0175BB" w14:textId="77777777" w:rsidR="00E34625" w:rsidRPr="00EC5ABE" w:rsidRDefault="00E34625" w:rsidP="00EC5ABE">
            <w:pPr>
              <w:spacing w:line="240" w:lineRule="auto"/>
              <w:ind w:firstLine="0"/>
              <w:jc w:val="center"/>
            </w:pPr>
            <w:r w:rsidRPr="00EC5ABE">
              <w:rPr>
                <w:color w:val="000000"/>
              </w:rPr>
              <w:t>&lt; 5 organs involved</w:t>
            </w:r>
          </w:p>
        </w:tc>
        <w:tc>
          <w:tcPr>
            <w:tcW w:w="1260" w:type="dxa"/>
          </w:tcPr>
          <w:p w14:paraId="790E6125" w14:textId="77777777" w:rsidR="00E34625" w:rsidRPr="00EC5ABE" w:rsidRDefault="00E34625" w:rsidP="00EC5ABE">
            <w:pPr>
              <w:spacing w:line="240" w:lineRule="auto"/>
              <w:ind w:firstLine="0"/>
              <w:jc w:val="center"/>
            </w:pPr>
            <w:r w:rsidRPr="00EC5ABE">
              <w:rPr>
                <w:color w:val="000000"/>
              </w:rPr>
              <w:t>Chronic, Uncertain</w:t>
            </w:r>
          </w:p>
        </w:tc>
        <w:tc>
          <w:tcPr>
            <w:tcW w:w="1350" w:type="dxa"/>
          </w:tcPr>
          <w:p w14:paraId="37B1BCF5" w14:textId="77777777" w:rsidR="00E34625" w:rsidRPr="00EC5ABE" w:rsidRDefault="00E34625" w:rsidP="00EC5ABE">
            <w:pPr>
              <w:spacing w:line="240" w:lineRule="auto"/>
              <w:ind w:firstLine="0"/>
              <w:jc w:val="center"/>
            </w:pPr>
            <w:r w:rsidRPr="00EC5ABE">
              <w:rPr>
                <w:color w:val="000000"/>
              </w:rPr>
              <w:t>No</w:t>
            </w:r>
          </w:p>
        </w:tc>
        <w:tc>
          <w:tcPr>
            <w:tcW w:w="1783" w:type="dxa"/>
          </w:tcPr>
          <w:p w14:paraId="38AAC7DD" w14:textId="77777777" w:rsidR="00E34625" w:rsidRPr="00EC5ABE" w:rsidRDefault="00E34625" w:rsidP="00EC5ABE">
            <w:pPr>
              <w:spacing w:line="240" w:lineRule="auto"/>
              <w:ind w:firstLine="0"/>
              <w:jc w:val="center"/>
            </w:pPr>
            <w:r w:rsidRPr="00EC5ABE">
              <w:rPr>
                <w:color w:val="000000"/>
              </w:rPr>
              <w:t>No</w:t>
            </w:r>
          </w:p>
        </w:tc>
      </w:tr>
      <w:tr w:rsidR="00E34625" w:rsidRPr="00EC5ABE" w14:paraId="3AD5D09E" w14:textId="615C59F4" w:rsidTr="00E34625">
        <w:trPr>
          <w:trHeight w:val="546"/>
          <w:jc w:val="center"/>
        </w:trPr>
        <w:tc>
          <w:tcPr>
            <w:tcW w:w="903" w:type="dxa"/>
          </w:tcPr>
          <w:p w14:paraId="592B9915" w14:textId="77777777" w:rsidR="00E34625" w:rsidRPr="00EC5ABE" w:rsidRDefault="00E34625" w:rsidP="00EC5ABE">
            <w:pPr>
              <w:spacing w:line="240" w:lineRule="auto"/>
              <w:ind w:firstLine="0"/>
              <w:jc w:val="center"/>
            </w:pPr>
            <w:r w:rsidRPr="00EC5ABE">
              <w:t>7</w:t>
            </w:r>
          </w:p>
        </w:tc>
        <w:tc>
          <w:tcPr>
            <w:tcW w:w="2250" w:type="dxa"/>
          </w:tcPr>
          <w:p w14:paraId="789C930B" w14:textId="77777777" w:rsidR="00E34625" w:rsidRPr="00EC5ABE" w:rsidRDefault="00E34625" w:rsidP="00EC5ABE">
            <w:pPr>
              <w:spacing w:line="240" w:lineRule="auto"/>
              <w:ind w:firstLine="0"/>
              <w:jc w:val="center"/>
            </w:pPr>
            <w:r w:rsidRPr="00EC5ABE">
              <w:rPr>
                <w:i/>
                <w:iCs/>
                <w:color w:val="000000"/>
              </w:rPr>
              <w:t>Acute Sarcoidosis, untreated</w:t>
            </w:r>
          </w:p>
        </w:tc>
        <w:tc>
          <w:tcPr>
            <w:tcW w:w="1530" w:type="dxa"/>
          </w:tcPr>
          <w:p w14:paraId="29C1F3B9" w14:textId="77777777" w:rsidR="00E34625" w:rsidRPr="00EC5ABE" w:rsidRDefault="00E34625" w:rsidP="00EC5ABE">
            <w:pPr>
              <w:spacing w:line="240" w:lineRule="auto"/>
              <w:ind w:firstLine="0"/>
              <w:jc w:val="center"/>
            </w:pPr>
            <w:r w:rsidRPr="00EC5ABE">
              <w:rPr>
                <w:color w:val="000000"/>
              </w:rPr>
              <w:t>Acute</w:t>
            </w:r>
          </w:p>
        </w:tc>
        <w:tc>
          <w:tcPr>
            <w:tcW w:w="1170" w:type="dxa"/>
          </w:tcPr>
          <w:p w14:paraId="10AFDB40" w14:textId="77777777" w:rsidR="00E34625" w:rsidRPr="00EC5ABE" w:rsidRDefault="00E34625" w:rsidP="00EC5ABE">
            <w:pPr>
              <w:spacing w:line="240" w:lineRule="auto"/>
              <w:ind w:firstLine="0"/>
              <w:jc w:val="center"/>
            </w:pPr>
            <w:r w:rsidRPr="00EC5ABE">
              <w:rPr>
                <w:color w:val="000000"/>
              </w:rPr>
              <w:t>Stage I, II, III</w:t>
            </w:r>
          </w:p>
        </w:tc>
        <w:tc>
          <w:tcPr>
            <w:tcW w:w="1530" w:type="dxa"/>
          </w:tcPr>
          <w:p w14:paraId="457ACDF6" w14:textId="77777777" w:rsidR="00E34625" w:rsidRPr="00EC5ABE" w:rsidRDefault="00E34625" w:rsidP="00EC5ABE">
            <w:pPr>
              <w:spacing w:line="240" w:lineRule="auto"/>
              <w:ind w:firstLine="0"/>
              <w:jc w:val="center"/>
            </w:pPr>
            <w:r w:rsidRPr="00EC5ABE">
              <w:rPr>
                <w:color w:val="000000"/>
              </w:rPr>
              <w:t>Any</w:t>
            </w:r>
          </w:p>
        </w:tc>
        <w:tc>
          <w:tcPr>
            <w:tcW w:w="1260" w:type="dxa"/>
          </w:tcPr>
          <w:p w14:paraId="133C3A8D" w14:textId="77777777" w:rsidR="00E34625" w:rsidRPr="00EC5ABE" w:rsidRDefault="00E34625" w:rsidP="00EC5ABE">
            <w:pPr>
              <w:spacing w:line="240" w:lineRule="auto"/>
              <w:ind w:firstLine="0"/>
              <w:jc w:val="center"/>
            </w:pPr>
            <w:r w:rsidRPr="00EC5ABE">
              <w:rPr>
                <w:color w:val="000000"/>
              </w:rPr>
              <w:t>Chronic, Uncertain</w:t>
            </w:r>
          </w:p>
        </w:tc>
        <w:tc>
          <w:tcPr>
            <w:tcW w:w="1350" w:type="dxa"/>
          </w:tcPr>
          <w:p w14:paraId="089EE115" w14:textId="77777777" w:rsidR="00E34625" w:rsidRPr="00EC5ABE" w:rsidRDefault="00E34625" w:rsidP="00EC5ABE">
            <w:pPr>
              <w:spacing w:line="240" w:lineRule="auto"/>
              <w:ind w:firstLine="0"/>
              <w:jc w:val="center"/>
            </w:pPr>
            <w:r w:rsidRPr="00EC5ABE">
              <w:rPr>
                <w:color w:val="000000"/>
              </w:rPr>
              <w:t>No</w:t>
            </w:r>
          </w:p>
        </w:tc>
        <w:tc>
          <w:tcPr>
            <w:tcW w:w="1783" w:type="dxa"/>
          </w:tcPr>
          <w:p w14:paraId="522D9C66" w14:textId="77777777" w:rsidR="00E34625" w:rsidRPr="00EC5ABE" w:rsidRDefault="00E34625" w:rsidP="00EC5ABE">
            <w:pPr>
              <w:spacing w:line="240" w:lineRule="auto"/>
              <w:ind w:firstLine="0"/>
              <w:jc w:val="center"/>
            </w:pPr>
            <w:r w:rsidRPr="00EC5ABE">
              <w:rPr>
                <w:color w:val="000000"/>
              </w:rPr>
              <w:t>No</w:t>
            </w:r>
          </w:p>
        </w:tc>
      </w:tr>
      <w:tr w:rsidR="00E34625" w:rsidRPr="00EC5ABE" w14:paraId="20B2B16E" w14:textId="5A9505DE" w:rsidTr="00E34625">
        <w:trPr>
          <w:trHeight w:val="407"/>
          <w:jc w:val="center"/>
        </w:trPr>
        <w:tc>
          <w:tcPr>
            <w:tcW w:w="903" w:type="dxa"/>
          </w:tcPr>
          <w:p w14:paraId="37B115E4" w14:textId="77777777" w:rsidR="00E34625" w:rsidRPr="00EC5ABE" w:rsidRDefault="00E34625" w:rsidP="00EC5ABE">
            <w:pPr>
              <w:spacing w:line="240" w:lineRule="auto"/>
              <w:ind w:firstLine="0"/>
              <w:jc w:val="center"/>
            </w:pPr>
            <w:r w:rsidRPr="00EC5ABE">
              <w:t>8</w:t>
            </w:r>
          </w:p>
        </w:tc>
        <w:tc>
          <w:tcPr>
            <w:tcW w:w="2250" w:type="dxa"/>
          </w:tcPr>
          <w:p w14:paraId="1FA1932A" w14:textId="77777777" w:rsidR="00E34625" w:rsidRPr="00EC5ABE" w:rsidRDefault="00E34625" w:rsidP="00EC5ABE">
            <w:pPr>
              <w:spacing w:line="240" w:lineRule="auto"/>
              <w:ind w:firstLine="0"/>
              <w:jc w:val="center"/>
            </w:pPr>
            <w:r w:rsidRPr="00EC5ABE">
              <w:rPr>
                <w:i/>
                <w:iCs/>
                <w:color w:val="000000"/>
              </w:rPr>
              <w:t>Remitting, untreated</w:t>
            </w:r>
          </w:p>
        </w:tc>
        <w:tc>
          <w:tcPr>
            <w:tcW w:w="1530" w:type="dxa"/>
          </w:tcPr>
          <w:p w14:paraId="149762BD" w14:textId="77777777" w:rsidR="00E34625" w:rsidRPr="00EC5ABE" w:rsidRDefault="00E34625" w:rsidP="00EC5ABE">
            <w:pPr>
              <w:spacing w:line="240" w:lineRule="auto"/>
              <w:ind w:firstLine="0"/>
              <w:jc w:val="center"/>
            </w:pPr>
            <w:r w:rsidRPr="00EC5ABE">
              <w:rPr>
                <w:color w:val="000000"/>
              </w:rPr>
              <w:t>Any</w:t>
            </w:r>
          </w:p>
        </w:tc>
        <w:tc>
          <w:tcPr>
            <w:tcW w:w="1170" w:type="dxa"/>
          </w:tcPr>
          <w:p w14:paraId="0EB3B425" w14:textId="77777777" w:rsidR="00E34625" w:rsidRPr="00EC5ABE" w:rsidRDefault="00E34625" w:rsidP="00EC5ABE">
            <w:pPr>
              <w:spacing w:line="240" w:lineRule="auto"/>
              <w:ind w:firstLine="0"/>
              <w:jc w:val="center"/>
            </w:pPr>
            <w:r w:rsidRPr="00EC5ABE">
              <w:rPr>
                <w:color w:val="000000"/>
              </w:rPr>
              <w:t>Any</w:t>
            </w:r>
          </w:p>
        </w:tc>
        <w:tc>
          <w:tcPr>
            <w:tcW w:w="1530" w:type="dxa"/>
          </w:tcPr>
          <w:p w14:paraId="1F12ADDC" w14:textId="77777777" w:rsidR="00E34625" w:rsidRPr="00EC5ABE" w:rsidRDefault="00E34625" w:rsidP="00EC5ABE">
            <w:pPr>
              <w:spacing w:line="240" w:lineRule="auto"/>
              <w:ind w:firstLine="0"/>
              <w:jc w:val="center"/>
            </w:pPr>
            <w:r w:rsidRPr="00EC5ABE">
              <w:rPr>
                <w:color w:val="000000"/>
              </w:rPr>
              <w:t>Any</w:t>
            </w:r>
          </w:p>
        </w:tc>
        <w:tc>
          <w:tcPr>
            <w:tcW w:w="1260" w:type="dxa"/>
          </w:tcPr>
          <w:p w14:paraId="2AA4902A" w14:textId="77777777" w:rsidR="00E34625" w:rsidRPr="00EC5ABE" w:rsidRDefault="00E34625" w:rsidP="00EC5ABE">
            <w:pPr>
              <w:spacing w:line="240" w:lineRule="auto"/>
              <w:ind w:firstLine="0"/>
              <w:jc w:val="center"/>
            </w:pPr>
            <w:r w:rsidRPr="00EC5ABE">
              <w:rPr>
                <w:color w:val="000000"/>
              </w:rPr>
              <w:t>Remitting</w:t>
            </w:r>
          </w:p>
        </w:tc>
        <w:tc>
          <w:tcPr>
            <w:tcW w:w="1350" w:type="dxa"/>
          </w:tcPr>
          <w:p w14:paraId="063B5A6D" w14:textId="77777777" w:rsidR="00E34625" w:rsidRPr="00EC5ABE" w:rsidRDefault="00E34625" w:rsidP="00EC5ABE">
            <w:pPr>
              <w:spacing w:line="240" w:lineRule="auto"/>
              <w:ind w:firstLine="0"/>
              <w:jc w:val="center"/>
            </w:pPr>
            <w:r w:rsidRPr="00EC5ABE">
              <w:rPr>
                <w:color w:val="000000"/>
              </w:rPr>
              <w:t>No</w:t>
            </w:r>
          </w:p>
        </w:tc>
        <w:tc>
          <w:tcPr>
            <w:tcW w:w="1783" w:type="dxa"/>
          </w:tcPr>
          <w:p w14:paraId="2E08BFCC" w14:textId="77777777" w:rsidR="00E34625" w:rsidRPr="00EC5ABE" w:rsidRDefault="00E34625" w:rsidP="00EC5ABE">
            <w:pPr>
              <w:spacing w:line="240" w:lineRule="auto"/>
              <w:ind w:firstLine="0"/>
              <w:jc w:val="center"/>
            </w:pPr>
            <w:r w:rsidRPr="00EC5ABE">
              <w:rPr>
                <w:color w:val="000000"/>
              </w:rPr>
              <w:t>Any</w:t>
            </w:r>
          </w:p>
        </w:tc>
      </w:tr>
      <w:tr w:rsidR="00E34625" w:rsidRPr="00EC5ABE" w14:paraId="70BE7533" w14:textId="34E07F3C" w:rsidTr="00E34625">
        <w:trPr>
          <w:trHeight w:val="109"/>
          <w:jc w:val="center"/>
        </w:trPr>
        <w:tc>
          <w:tcPr>
            <w:tcW w:w="903" w:type="dxa"/>
          </w:tcPr>
          <w:p w14:paraId="024D84E8" w14:textId="77777777" w:rsidR="00E34625" w:rsidRPr="00EC5ABE" w:rsidRDefault="00E34625" w:rsidP="00EC5ABE">
            <w:pPr>
              <w:spacing w:line="240" w:lineRule="auto"/>
              <w:ind w:firstLine="0"/>
              <w:jc w:val="center"/>
            </w:pPr>
            <w:r w:rsidRPr="00EC5ABE">
              <w:t>9</w:t>
            </w:r>
          </w:p>
        </w:tc>
        <w:tc>
          <w:tcPr>
            <w:tcW w:w="2250" w:type="dxa"/>
          </w:tcPr>
          <w:p w14:paraId="72F077BE" w14:textId="77777777" w:rsidR="00E34625" w:rsidRPr="00EC5ABE" w:rsidRDefault="00E34625" w:rsidP="00EC5ABE">
            <w:pPr>
              <w:spacing w:line="240" w:lineRule="auto"/>
              <w:ind w:firstLine="0"/>
              <w:jc w:val="center"/>
            </w:pPr>
            <w:r w:rsidRPr="00EC5ABE">
              <w:rPr>
                <w:i/>
                <w:iCs/>
                <w:color w:val="000000"/>
              </w:rPr>
              <w:t>Cardiac Defining Therapy</w:t>
            </w:r>
          </w:p>
        </w:tc>
        <w:tc>
          <w:tcPr>
            <w:tcW w:w="1530" w:type="dxa"/>
          </w:tcPr>
          <w:p w14:paraId="0E2EAE76" w14:textId="77777777" w:rsidR="00E34625" w:rsidRPr="00EC5ABE" w:rsidRDefault="00E34625" w:rsidP="00EC5ABE">
            <w:pPr>
              <w:spacing w:line="240" w:lineRule="auto"/>
              <w:ind w:firstLine="0"/>
              <w:jc w:val="center"/>
            </w:pPr>
            <w:r w:rsidRPr="00EC5ABE">
              <w:rPr>
                <w:color w:val="000000"/>
              </w:rPr>
              <w:t>Any</w:t>
            </w:r>
          </w:p>
        </w:tc>
        <w:tc>
          <w:tcPr>
            <w:tcW w:w="1170" w:type="dxa"/>
          </w:tcPr>
          <w:p w14:paraId="2FE7A7C8" w14:textId="77777777" w:rsidR="00E34625" w:rsidRPr="00EC5ABE" w:rsidRDefault="00E34625" w:rsidP="00EC5ABE">
            <w:pPr>
              <w:spacing w:line="240" w:lineRule="auto"/>
              <w:ind w:firstLine="0"/>
              <w:jc w:val="center"/>
            </w:pPr>
            <w:r w:rsidRPr="00EC5ABE">
              <w:rPr>
                <w:color w:val="000000"/>
              </w:rPr>
              <w:t>Any</w:t>
            </w:r>
          </w:p>
        </w:tc>
        <w:tc>
          <w:tcPr>
            <w:tcW w:w="1530" w:type="dxa"/>
          </w:tcPr>
          <w:p w14:paraId="651C5EFF" w14:textId="77777777" w:rsidR="00E34625" w:rsidRPr="00EC5ABE" w:rsidRDefault="00E34625" w:rsidP="00EC5ABE">
            <w:pPr>
              <w:spacing w:line="240" w:lineRule="auto"/>
              <w:ind w:firstLine="0"/>
              <w:jc w:val="center"/>
            </w:pPr>
            <w:r w:rsidRPr="00EC5ABE">
              <w:rPr>
                <w:color w:val="000000"/>
              </w:rPr>
              <w:t>&lt; 5 organs involved</w:t>
            </w:r>
          </w:p>
        </w:tc>
        <w:tc>
          <w:tcPr>
            <w:tcW w:w="1260" w:type="dxa"/>
          </w:tcPr>
          <w:p w14:paraId="0C755773" w14:textId="77777777" w:rsidR="00E34625" w:rsidRPr="00EC5ABE" w:rsidRDefault="00E34625" w:rsidP="00EC5ABE">
            <w:pPr>
              <w:spacing w:line="240" w:lineRule="auto"/>
              <w:ind w:firstLine="0"/>
              <w:jc w:val="center"/>
            </w:pPr>
            <w:r w:rsidRPr="00EC5ABE">
              <w:rPr>
                <w:color w:val="000000"/>
              </w:rPr>
              <w:t>Chronic, Uncertain</w:t>
            </w:r>
          </w:p>
        </w:tc>
        <w:tc>
          <w:tcPr>
            <w:tcW w:w="1350" w:type="dxa"/>
          </w:tcPr>
          <w:p w14:paraId="0CA87F18" w14:textId="77777777" w:rsidR="00E34625" w:rsidRPr="00EC5ABE" w:rsidRDefault="00E34625" w:rsidP="00EC5ABE">
            <w:pPr>
              <w:spacing w:line="240" w:lineRule="auto"/>
              <w:ind w:firstLine="0"/>
              <w:jc w:val="center"/>
            </w:pPr>
            <w:r w:rsidRPr="00EC5ABE">
              <w:rPr>
                <w:color w:val="000000"/>
              </w:rPr>
              <w:t>Any</w:t>
            </w:r>
          </w:p>
        </w:tc>
        <w:tc>
          <w:tcPr>
            <w:tcW w:w="1783" w:type="dxa"/>
          </w:tcPr>
          <w:p w14:paraId="3720648E" w14:textId="77777777" w:rsidR="00E34625" w:rsidRPr="00EC5ABE" w:rsidRDefault="00E34625" w:rsidP="00EC5ABE">
            <w:pPr>
              <w:spacing w:line="240" w:lineRule="auto"/>
              <w:ind w:firstLine="0"/>
              <w:jc w:val="center"/>
            </w:pPr>
            <w:r w:rsidRPr="00EC5ABE">
              <w:rPr>
                <w:color w:val="000000"/>
              </w:rPr>
              <w:t>Yes</w:t>
            </w:r>
          </w:p>
        </w:tc>
      </w:tr>
    </w:tbl>
    <w:p w14:paraId="505D0E2E" w14:textId="4075AF89" w:rsidR="002866DE" w:rsidRDefault="002866DE" w:rsidP="00EC5ABE">
      <w:pPr>
        <w:ind w:firstLine="0"/>
      </w:pPr>
    </w:p>
    <w:p w14:paraId="7DDBE4F2" w14:textId="63BE21EF" w:rsidR="0032633A" w:rsidRDefault="0032633A" w:rsidP="00EC5ABE">
      <w:pPr>
        <w:ind w:firstLine="0"/>
      </w:pPr>
    </w:p>
    <w:p w14:paraId="1028AC63" w14:textId="77777777" w:rsidR="0032633A" w:rsidRDefault="0032633A" w:rsidP="00EC5ABE">
      <w:pPr>
        <w:ind w:firstLine="0"/>
        <w:sectPr w:rsidR="0032633A" w:rsidSect="002866DE">
          <w:pgSz w:w="15840" w:h="12240" w:orient="landscape"/>
          <w:pgMar w:top="1440" w:right="1440" w:bottom="1440" w:left="1440" w:header="720" w:footer="720" w:gutter="0"/>
          <w:cols w:space="720"/>
          <w:docGrid w:linePitch="360"/>
        </w:sectPr>
      </w:pPr>
    </w:p>
    <w:p w14:paraId="6A8FFADB" w14:textId="77777777" w:rsidR="00CC7072" w:rsidRPr="005A7F38" w:rsidRDefault="004E4532" w:rsidP="002446BB">
      <w:r w:rsidRPr="005A7F38">
        <w:lastRenderedPageBreak/>
        <w:t xml:space="preserve">Phenotypic group 1 includes patients with multi-organ sarcoidosis involvement. Those with more than 5 organs with sarcoidosis involvement are most likely to have a disease course that in chronic and unremitting. Widespread inflammatory changes are present in participants with in this clinical designation and patients often have abdominal sarcoidosis involvement including the liver, spleen or bone and bone marrow involvement in addition to pulmonary involvement. </w:t>
      </w:r>
    </w:p>
    <w:p w14:paraId="30979DFE" w14:textId="77777777" w:rsidR="00CC7072" w:rsidRPr="005A7F38" w:rsidRDefault="00CC7072" w:rsidP="002446BB">
      <w:r w:rsidRPr="005A7F38">
        <w:t xml:space="preserve">The second phenotypic group includes </w:t>
      </w:r>
      <w:r w:rsidR="00321D9D" w:rsidRPr="005A7F38">
        <w:t xml:space="preserve">patients with </w:t>
      </w:r>
      <w:r w:rsidR="008F5985" w:rsidRPr="005A7F38">
        <w:t>Scadding</w:t>
      </w:r>
      <w:r w:rsidR="00321D9D" w:rsidRPr="005A7F38">
        <w:t xml:space="preserve"> stag</w:t>
      </w:r>
      <w:r w:rsidR="00FF36B2" w:rsidRPr="005A7F38">
        <w:t>e I</w:t>
      </w:r>
      <w:r w:rsidR="000F59AC" w:rsidRPr="005A7F38">
        <w:t xml:space="preserve"> </w:t>
      </w:r>
      <w:r w:rsidR="00E178C4" w:rsidRPr="005A7F38">
        <w:t xml:space="preserve">sarcoidosis that has not been treated. Patients in this group have </w:t>
      </w:r>
      <w:r w:rsidR="000F59AC" w:rsidRPr="005A7F38">
        <w:t>active</w:t>
      </w:r>
      <w:r w:rsidR="00E178C4" w:rsidRPr="005A7F38">
        <w:t xml:space="preserve"> sarcoidosis with intrathoracic granulomatous inflammation in one </w:t>
      </w:r>
      <w:r w:rsidR="000F59AC" w:rsidRPr="005A7F38">
        <w:t>or</w:t>
      </w:r>
      <w:r w:rsidR="00E178C4" w:rsidRPr="005A7F38">
        <w:t xml:space="preserve"> more </w:t>
      </w:r>
      <w:r w:rsidR="000F59AC" w:rsidRPr="005A7F38">
        <w:t>lymph nodes</w:t>
      </w:r>
      <w:r w:rsidR="00E178C4" w:rsidRPr="005A7F38">
        <w:t xml:space="preserve"> but no radiologic evidence of lung </w:t>
      </w:r>
      <w:r w:rsidR="000F59AC" w:rsidRPr="005A7F38">
        <w:t>inflammation. There is heterogeneity in the disease course in this phenotypic group creating uncertainty as to the prognosis of these patients, however, 70-80% of patients with this clinical presentation will experience a remission.</w:t>
      </w:r>
    </w:p>
    <w:p w14:paraId="4394EB78" w14:textId="77777777" w:rsidR="006937CF" w:rsidRPr="005A7F38" w:rsidRDefault="00A912D1" w:rsidP="002446BB">
      <w:r w:rsidRPr="005A7F38">
        <w:t xml:space="preserve">Patients in phenotypic groups 3 and 4 </w:t>
      </w:r>
      <w:r w:rsidR="00AA3555" w:rsidRPr="005A7F38">
        <w:t xml:space="preserve">have the same clinical presentation but are divided by treated (group 4) and untreated (group 3).  These patients have Scadding stage II and III lung inflammation. Prognosis for these patients is notably uncertain, with 50% of patients with stage II </w:t>
      </w:r>
      <w:r w:rsidR="00375111" w:rsidRPr="005A7F38">
        <w:t xml:space="preserve">experiencing a remission and 20% of patients with stage III sarcoidosis experiencing a remission. </w:t>
      </w:r>
    </w:p>
    <w:p w14:paraId="431A3E66" w14:textId="77777777" w:rsidR="00375111" w:rsidRPr="005A7F38" w:rsidRDefault="00375111" w:rsidP="002446BB">
      <w:r w:rsidRPr="005A7F38">
        <w:t xml:space="preserve">Phenotypic groups 5 and 6 </w:t>
      </w:r>
      <w:r w:rsidR="004B4CB5" w:rsidRPr="005A7F38">
        <w:t xml:space="preserve">include patients with Scadding stage IV pulmonary sarcoidosis with pulmonary fibrosis. These groups are delineated by treatment status: untreated participants were categorized as group 5 and treated participants were categorized as group 6. In these groups, the clinical course is reliably chronic and unremitting, with only approximately 5% of patients with advanced disease of this level achieving remission. These groups are important for scientific study as the inflammatory pathways that lead to fibrosis are not well understood. </w:t>
      </w:r>
    </w:p>
    <w:p w14:paraId="60D8A6CB" w14:textId="77777777" w:rsidR="00BC4364" w:rsidRPr="005A7F38" w:rsidRDefault="00770B1D" w:rsidP="002446BB">
      <w:r w:rsidRPr="005A7F38">
        <w:t>Patients in phenotypic group 7 have acute sarcoidosis. Knowns as Lö</w:t>
      </w:r>
      <w:r w:rsidR="00F5721A" w:rsidRPr="005A7F38">
        <w:t xml:space="preserve">fgren syndrome, acute sarcoidosis is characterized by arthritis, bilateral hilar lymphadenopathy, erythema nodosum and </w:t>
      </w:r>
      <w:r w:rsidR="00F5721A" w:rsidRPr="005A7F38">
        <w:lastRenderedPageBreak/>
        <w:t xml:space="preserve">uveitis. This phenotype is found much more in white </w:t>
      </w:r>
      <w:r w:rsidR="00BC4364" w:rsidRPr="005A7F38">
        <w:t>populations</w:t>
      </w:r>
      <w:r w:rsidR="00F5721A" w:rsidRPr="005A7F38">
        <w:t xml:space="preserve"> in the U.S. and Europe and in </w:t>
      </w:r>
      <w:r w:rsidR="00BC4364" w:rsidRPr="005A7F38">
        <w:t>Scandinavian</w:t>
      </w:r>
      <w:r w:rsidR="00F5721A" w:rsidRPr="005A7F38">
        <w:t xml:space="preserve"> patients, a distinct genetic and </w:t>
      </w:r>
      <w:r w:rsidR="00BC4364" w:rsidRPr="005A7F38">
        <w:t>immunological</w:t>
      </w:r>
      <w:r w:rsidR="00F5721A" w:rsidRPr="005A7F38">
        <w:t xml:space="preserve"> signature is present along with a defined </w:t>
      </w:r>
      <w:r w:rsidR="00BC4364" w:rsidRPr="005A7F38">
        <w:t>onset</w:t>
      </w:r>
      <w:r w:rsidR="00F5721A" w:rsidRPr="005A7F38">
        <w:t xml:space="preserve"> marked by either arthritis or erythema nodosum.</w:t>
      </w:r>
      <w:r w:rsidR="00BC4364" w:rsidRPr="005A7F38">
        <w:t xml:space="preserve"> While still uncertain, the prognosis is good for patients presenting with this clinical phenotype as 70% of patients with this phenotype achieve a remission from sarcoidosis. </w:t>
      </w:r>
      <w:r w:rsidR="00F5721A" w:rsidRPr="005A7F38">
        <w:t xml:space="preserve"> Acute sarcoidosis is much less common in black population and represents an area of research that could provide information that points toward an </w:t>
      </w:r>
      <w:r w:rsidR="00BC4364" w:rsidRPr="005A7F38">
        <w:t>etiological</w:t>
      </w:r>
      <w:r w:rsidR="00F5721A" w:rsidRPr="005A7F38">
        <w:t xml:space="preserve"> source.</w:t>
      </w:r>
    </w:p>
    <w:p w14:paraId="7283AE7B" w14:textId="77777777" w:rsidR="00062C7B" w:rsidRPr="005A7F38" w:rsidRDefault="00062C7B" w:rsidP="002446BB">
      <w:r w:rsidRPr="005A7F38">
        <w:t xml:space="preserve">Patients classified in the eighth phenotypic group, remitting sarcoidosis, have had no evidence of active sarcoidosis for over 1 year. The ability to identify the specific pathways and relevant mechanisms involved in the transition from active disease to remitting disease may come from careful examination of this group. It is not </w:t>
      </w:r>
      <w:r w:rsidR="003024A4" w:rsidRPr="005A7F38">
        <w:t xml:space="preserve">clear if patients in this group will resemble the healthy population or will exhibit </w:t>
      </w:r>
      <w:r w:rsidR="007950CC" w:rsidRPr="005A7F38">
        <w:t xml:space="preserve">biologic signatures more similar </w:t>
      </w:r>
      <w:r w:rsidR="00821165" w:rsidRPr="005A7F38">
        <w:t xml:space="preserve">to those of patients with active disease that is persisting but at lower levels. </w:t>
      </w:r>
    </w:p>
    <w:p w14:paraId="40C9A4BC" w14:textId="77777777" w:rsidR="00B75451" w:rsidRPr="005A7F38" w:rsidRDefault="00821165" w:rsidP="007147B8">
      <w:r w:rsidRPr="005A7F38">
        <w:t xml:space="preserve">Phenotypic group 9 is composed of </w:t>
      </w:r>
      <w:r w:rsidR="00E478AA" w:rsidRPr="005A7F38">
        <w:t xml:space="preserve">patients with cardiac sarcoidosis. The major cause of sarcoidosis mortality and morbidity is from cardiac involvement. </w:t>
      </w:r>
      <w:r w:rsidR="00AE2E48" w:rsidRPr="005A7F38">
        <w:t xml:space="preserve">By requiring the patients in this group to have severe enough cardiac involvement to necessitate anti-inflammatory intervention, we maximize the likelihood of detecting biological signatures that are unique to this phenotype. </w:t>
      </w:r>
      <w:r w:rsidR="00124408" w:rsidRPr="005A7F38">
        <w:t xml:space="preserve"> </w:t>
      </w:r>
    </w:p>
    <w:p w14:paraId="12C1AA79" w14:textId="2B957811" w:rsidR="001A1849" w:rsidRPr="005A7F38" w:rsidRDefault="00F10EE5" w:rsidP="002446BB">
      <w:r w:rsidRPr="005A7F38">
        <w:t xml:space="preserve"> </w:t>
      </w:r>
      <w:r w:rsidR="00EF2714" w:rsidRPr="005A7F38">
        <w:t xml:space="preserve">At enrollment participants were assigned a clinical phenotype designation. Any participant who did not match the characteristics of any of the specified clinical phenotypes were excluded from participation in the study. Clinical phenotypes </w:t>
      </w:r>
      <w:r w:rsidR="00AA378F" w:rsidRPr="005A7F38">
        <w:t>w</w:t>
      </w:r>
      <w:r w:rsidR="00EF2714" w:rsidRPr="005A7F38">
        <w:t>e</w:t>
      </w:r>
      <w:r w:rsidR="00AA378F" w:rsidRPr="005A7F38">
        <w:t>re</w:t>
      </w:r>
      <w:r w:rsidR="00EF2714" w:rsidRPr="005A7F38">
        <w:t xml:space="preserve"> reviewed and confirmed using medical records and physical exam. Throughout the study clinical phenotype</w:t>
      </w:r>
      <w:r w:rsidR="00AA378F" w:rsidRPr="005A7F38">
        <w:t xml:space="preserve"> wa</w:t>
      </w:r>
      <w:r w:rsidR="00EF2714" w:rsidRPr="005A7F38">
        <w:t xml:space="preserve">s monitored and reassessed to ensure proper classification. </w:t>
      </w:r>
      <w:r w:rsidR="0065668B" w:rsidRPr="005A7F38">
        <w:fldChar w:fldCharType="begin"/>
      </w:r>
      <w:r w:rsidR="00B775CB">
        <w:instrText>ADDIN F1000_CSL_CITATION&lt;~#@#~&gt;[{"DOI":"10.1513/AnnalsATS.201503-172OT","First":false,"Last":false,"PMCID":"PMC4627423","PMID":"26193069","abstract":"Sarcoidosis is a systemic disease characterized by noncaseating granulomatous inflammation with tremendous clinical heterogeneity and uncertain pathobiology and lacking in clinically useful biomarkers. The Genomic Research in Alpha-1 Antitrypsin Deficiency and Sarcoidosis (GRADS) study is an observational cohort study designed to explore the role of the lung microbiome and genome in these two diseases. This article describes the design and rationale for the GRADS study sarcoidosis protocol. The study addresses the hypothesis that distinct patterns in the lung microbiome are characteristic of sarcoidosis phenotypes and are reflected in changes in systemic inflammatory responses as measured by peripheral blood changes in gene transcription. The goal is to enroll 400 participants, with a minimum of 35 in each of 9 clinical phenotype subgroups prioritized by their clinical relevance to understanding of the pathobiology and clinical heterogeneity of sarcoidosis. Participants with a confirmed diagnosis of sarcoidosis undergo a baseline visit with self-administered questionnaires, chest computed tomography, pulmonary function tests, and blood and urine testing. A research or clinical bronchoscopy with a research bronchoalveolar lavage will be performed to obtain samples for genomic and microbiome analyses. Comparisons will be made by blood genomic analysis and with clinical phenotypic variables. A 6-month follow-up visit is planned to assess each participant's clinical course. By the use of an integrative approach to the analysis of the microbiome and genome in selected clinical phenotypes, the GRADS study is powerfully positioned to inform and direct studies on the pathobiology of sarcoidosis, identify diagnostic or prognostic biomarkers, and provide novel molecular phenotypes that could lead to improved personalized approaches to therapy for sarcoidosis.","author":[{"family":"Moller","given":"David R"},{"family":"Koth","given":"Laura L"},{"family":"Maier","given":"Lisa A"},{"family":"Morris","given":"Alison"},{"family":"Drake","given":"Wonder"},{"family":"Rossman","given":"Milton"},{"family":"Leader","given":"Joseph K"},{"family":"Collman","given":"Ronald G"},{"family":"Hamzeh","given":"Nabeel"},{"family":"Sweiss","given":"Nadera J"},{"family":"Zhang","given":"Yingze"},{"family":"O'Neal","given":"Scott"},{"family":"Senior","given":"Robert M"},{"family":"Becich","given":"Michael"},{"family":"Hochheiser","given":"Harry S"},{"family":"Kaminski","given":"Naftali"},{"family":"Wisniewski","given":"Stephen R"},{"family":"Gibson","given":"Kevin F"},{"family":"GRADS Sarcoidosis Study Group"}],"authorYearDisplayFormat":false,"citation-label":"1400043","container-title":"Annals of the American Thoracic Society","container-title-short":"Ann Am Thorac Soc","id":"1400043","invisible":false,"issue":"10","issued":{"date-parts":[["2015","10"]]},"journalAbbreviation":"Ann Am Thorac Soc","page":"1561-1571","suppress-author":false,"title":"Rationale and Design of the Genomic Research in Alpha-1 Antitrypsin Deficiency and Sarcoidosis (GRADS) Study. Sarcoidosis Protocol.","type":"article-journal","volume":"12"},{"First":false,"Last":false,"URL":"https://clinicaltrials.gov/ct2/show/NCT01831739?term=GRADS&amp;draw=1&amp;rank=1","accessed":{"date-parts":[["2017","11","21"]]},"authorYearDisplayFormat":false,"citation-label":"4523283","id":"4523283","invisible":false,"issued":{"date-parts":[[]]},"suppress-author":false,"title":"Genomic Research in Sarcoidosis - Full Text View - ClinicalTrials.gov","type":"webpage"}]</w:instrText>
      </w:r>
      <w:r w:rsidR="0065668B" w:rsidRPr="005A7F38">
        <w:fldChar w:fldCharType="separate"/>
      </w:r>
      <w:r w:rsidR="00B775CB" w:rsidRPr="00B775CB">
        <w:rPr>
          <w:noProof/>
          <w:vertAlign w:val="superscript"/>
        </w:rPr>
        <w:t>9,190</w:t>
      </w:r>
      <w:r w:rsidR="0065668B" w:rsidRPr="005A7F38">
        <w:fldChar w:fldCharType="end"/>
      </w:r>
      <w:r w:rsidR="00EF2714" w:rsidRPr="005A7F38">
        <w:t xml:space="preserve"> </w:t>
      </w:r>
    </w:p>
    <w:p w14:paraId="2AB5A632" w14:textId="77777777" w:rsidR="006E3504" w:rsidRPr="005A7F38" w:rsidRDefault="006E3504" w:rsidP="002446BB">
      <w:pPr>
        <w:pStyle w:val="Heading3"/>
        <w:rPr>
          <w:rFonts w:cs="Times New Roman"/>
        </w:rPr>
      </w:pPr>
      <w:bookmarkStart w:id="60" w:name="_Toc506540038"/>
      <w:r w:rsidRPr="005A7F38">
        <w:rPr>
          <w:rFonts w:cs="Times New Roman"/>
        </w:rPr>
        <w:lastRenderedPageBreak/>
        <w:t>Patient Recruitment</w:t>
      </w:r>
      <w:bookmarkEnd w:id="60"/>
    </w:p>
    <w:p w14:paraId="15B59586" w14:textId="77777777" w:rsidR="005F5C03" w:rsidRPr="005A7F38" w:rsidRDefault="000356C6" w:rsidP="002446BB">
      <w:pPr>
        <w:pStyle w:val="Noindent"/>
      </w:pPr>
      <w:r w:rsidRPr="005A7F38">
        <w:t xml:space="preserve">As sarcoidosis is an uncommon disease, many patients with sarcoidosis are referred to specialty clinics at academic centers. </w:t>
      </w:r>
      <w:r w:rsidR="00567EA5" w:rsidRPr="005A7F38">
        <w:t>Potential participants</w:t>
      </w:r>
      <w:r w:rsidR="00793DA0" w:rsidRPr="005A7F38">
        <w:t xml:space="preserve"> with sarcoidosis</w:t>
      </w:r>
      <w:r w:rsidR="00567EA5" w:rsidRPr="005A7F38">
        <w:t xml:space="preserve"> were recruited through the ten different clin</w:t>
      </w:r>
      <w:r w:rsidR="00793DA0" w:rsidRPr="005A7F38">
        <w:t>ical centers</w:t>
      </w:r>
      <w:r w:rsidRPr="005A7F38">
        <w:t xml:space="preserve"> included as study sites</w:t>
      </w:r>
      <w:r w:rsidR="00793DA0" w:rsidRPr="005A7F38">
        <w:t>.</w:t>
      </w:r>
      <w:r w:rsidRPr="005A7F38">
        <w:t xml:space="preserve"> Additionally, major sarcoidosis foundations and patient organizations provide an avenue to contact patients with sarcoidosis about research opportunities. Recruitment efforts focused on both the clinical centers as well as the resources found in the sarcoidosis foundations and patient organizations.</w:t>
      </w:r>
      <w:r w:rsidR="00793DA0" w:rsidRPr="005A7F38">
        <w:t xml:space="preserve"> Coordinators utilized flyers, websites, mailings and physician referrals.</w:t>
      </w:r>
      <w:r w:rsidR="00084370" w:rsidRPr="005A7F38">
        <w:t xml:space="preserve"> Participants were included if they had biopsy confirmed sarcoidosis or a suspected diagnosis of sarcoidosis as well as a scheduled diagnostic biopsy. Patients in which biopsy did not indicate sarcoidosis did not undergo any subsequent study procedures. </w:t>
      </w:r>
      <w:r w:rsidR="002C1362" w:rsidRPr="005A7F38">
        <w:t xml:space="preserve">Patients were pre-screened using a standardized screening form in person, by phone or via a medical records review. The investigator then confirmed the diagnosis of sarcoidosis, ensure that inclusion and exclusion criteria are met and assigned a preliminary phenotype grouping to each participant. </w:t>
      </w:r>
      <w:r w:rsidR="00084370" w:rsidRPr="005A7F38">
        <w:t xml:space="preserve">Recruitment was monitored </w:t>
      </w:r>
      <w:r w:rsidR="00930DE3" w:rsidRPr="005A7F38">
        <w:t xml:space="preserve">to ensure even distribution of participants in each of the phenotypic group. </w:t>
      </w:r>
      <w:r w:rsidRPr="005A7F38">
        <w:t xml:space="preserve"> All methods used for recruitment were compliant with HIPAA regulations and approved by a local institutional review board (IRB) at each clinical site as well as the IRB of the G</w:t>
      </w:r>
      <w:r w:rsidR="002C1362" w:rsidRPr="005A7F38">
        <w:t xml:space="preserve">enomic and Informatics Centers. </w:t>
      </w:r>
    </w:p>
    <w:p w14:paraId="7235E27C" w14:textId="70AC4C41" w:rsidR="00FE4B67" w:rsidRPr="005A7F38" w:rsidRDefault="005F5C03" w:rsidP="002446BB">
      <w:r w:rsidRPr="005A7F38">
        <w:t xml:space="preserve">In order to </w:t>
      </w:r>
      <w:r w:rsidR="00676F52" w:rsidRPr="005A7F38">
        <w:t xml:space="preserve">recruit participants with AATD, </w:t>
      </w:r>
      <w:r w:rsidRPr="005A7F38">
        <w:t>the Alpha-1 Foundation Research Registry</w:t>
      </w:r>
      <w:r w:rsidR="00676F52" w:rsidRPr="005A7F38">
        <w:t xml:space="preserve"> was utilized. Participants were contacted</w:t>
      </w:r>
      <w:r w:rsidRPr="005A7F38">
        <w:t xml:space="preserve"> by email, telephone, mailings, and through the Registry’s website. </w:t>
      </w:r>
      <w:r w:rsidR="00676F52" w:rsidRPr="005A7F38">
        <w:t>C</w:t>
      </w:r>
      <w:r w:rsidRPr="005A7F38">
        <w:t>linical centers</w:t>
      </w:r>
      <w:r w:rsidR="00676F52" w:rsidRPr="005A7F38">
        <w:t xml:space="preserve"> were also used as sources for recruitment of potential participants and contact was made </w:t>
      </w:r>
      <w:r w:rsidRPr="005A7F38">
        <w:t xml:space="preserve">through flyers, websites, mailings and physician referrals. </w:t>
      </w:r>
      <w:r w:rsidRPr="005A7F38">
        <w:fldChar w:fldCharType="begin"/>
      </w:r>
      <w:r w:rsidR="00B775CB">
        <w:instrText>ADDIN F1000_CSL_CITATION&lt;~#@#~&gt;[{"DOI":"10.1513/AnnalsATS.201503-143OC","First":false,"Last":false,"PMCID":"PMC4627425","PMID":"26153726","abstract":"Severe deficiency of alpha-1 antitrypsin has a highly variable clinical presentation. The Genomic Research in Alpha-1 Antitrypsin Deficiency and Sarcoidosis α1 Study is a prospective, multicenter, cross-sectional study of adults older than age 35 years with PiZZ or PiMZ alpha-1 antitrypsin genotypes. It is designed to better understand if microbial factors influence this heterogeneity. Clinical symptoms, pulmonary function testing, computed chest tomography, exercise capacity, and bronchoalveolar lavage (BAL) will be used to define chronic obstructive pulmonary disease (COPD) phenotypes that can be studied with an integrated systems biology approach that includes plasma proteomics; mouth, BAL, and stool microbiome and virome analysis; and blood microRNA and blood mononuclear cell RNA and DNA profiling. We will rely on global genome, transcriptome, proteome, and metabolome datasets. Matched cohorts of PiZZ participants on or off alpha-1 antitrypsin augmentation therapy, PiMZ participants not on augmentation therapy, and control participants from the Subpopulations and Intermediate Outcome Measures in COPD Study who match on FEV1 and age will be compared. In the primary analysis, we will determine if the PiZZ individuals on augmentation therapy have a difference in lower respiratory tract microbes identified compared with matched PiZZ individuals who are not on augmentation therapy. By characterizing the microbiome in alpha-1 antitrypsin deficiency (AATD), we hope to define new phenotypes of COPD that explain some of the diversity of clinical presentations. As a unique genetic cause of COPD, AATD may inform typical COPD pathogenesis, and better understanding of it may illuminate the complex interplay between environment and genetics. Although the biologic approaches are hypothesis generating, the results may lead to development of novel biomarkers, better understanding of COPD phenotypes, and development of novel diagnostic and therapeutic trials in AATD and COPD. Clinical trial registered with www.clinicaltrials.gov (NCT01832220).","author":[{"family":"Strange","given":"Charlie"},{"family":"Senior","given":"Robert M"},{"family":"Sciurba","given":"Frank"},{"family":"O'Neal","given":"Scott"},{"family":"Morris","given":"Alison"},{"family":"Wisniewski","given":"Stephen R"},{"family":"Bowler","given":"Russell"},{"family":"Hochheiser","given":"Harry S"},{"family":"Becich","given":"Michael J"},{"family":"Zhang","given":"Yingze"},{"family":"Leader","given":"Joseph K"},{"family":"Methé","given":"Barbara A"},{"family":"Kaminski","given":"Naftali"},{"family":"Sandhaus","given":"Robert A"},{"family":"GRADS Alpha-1 Study Group"}],"authorYearDisplayFormat":false,"citation-label":"1400044","container-title":"Annals of the American Thoracic Society","container-title-short":"Ann Am Thorac Soc","id":"1400044","invisible":false,"issue":"10","issued":{"date-parts":[["2015","10"]]},"journalAbbreviation":"Ann Am Thorac Soc","page":"1551-1560","suppress-author":false,"title":"Rationale and Design of the Genomic Research in Alpha-1 Antitrypsin Deficiency and Sarcoidosis Study. Alpha-1 Protocol.","type":"article-journal","volume":"12"}]</w:instrText>
      </w:r>
      <w:r w:rsidRPr="005A7F38">
        <w:fldChar w:fldCharType="separate"/>
      </w:r>
      <w:r w:rsidR="00B775CB" w:rsidRPr="00B775CB">
        <w:rPr>
          <w:noProof/>
          <w:vertAlign w:val="superscript"/>
        </w:rPr>
        <w:t>191</w:t>
      </w:r>
      <w:r w:rsidRPr="005A7F38">
        <w:fldChar w:fldCharType="end"/>
      </w:r>
    </w:p>
    <w:p w14:paraId="183EA0B7" w14:textId="77777777" w:rsidR="006E3504" w:rsidRPr="005A7F38" w:rsidRDefault="00051970" w:rsidP="006D2F70">
      <w:pPr>
        <w:pStyle w:val="Heading2"/>
        <w:rPr>
          <w:rFonts w:cs="Times New Roman"/>
        </w:rPr>
      </w:pPr>
      <w:bookmarkStart w:id="61" w:name="_Toc506540039"/>
      <w:r w:rsidRPr="005A7F38">
        <w:rPr>
          <w:rFonts w:cs="Times New Roman"/>
        </w:rPr>
        <w:lastRenderedPageBreak/>
        <w:t>GRADS</w:t>
      </w:r>
      <w:r w:rsidR="003C3434" w:rsidRPr="005A7F38">
        <w:rPr>
          <w:rFonts w:cs="Times New Roman"/>
        </w:rPr>
        <w:t xml:space="preserve"> </w:t>
      </w:r>
      <w:r w:rsidR="006E3504" w:rsidRPr="005A7F38">
        <w:rPr>
          <w:rFonts w:cs="Times New Roman"/>
        </w:rPr>
        <w:t>Study Design</w:t>
      </w:r>
      <w:bookmarkEnd w:id="61"/>
    </w:p>
    <w:p w14:paraId="35A85516" w14:textId="77777777" w:rsidR="00463232" w:rsidRDefault="00463232" w:rsidP="002446BB">
      <w:pPr>
        <w:pStyle w:val="Noindent"/>
      </w:pPr>
      <w:r w:rsidRPr="005A7F38">
        <w:t xml:space="preserve">The study enrolled about 400 participants with sarcoidosis and about 200 </w:t>
      </w:r>
      <w:r w:rsidR="003C109F" w:rsidRPr="005A7F38">
        <w:t xml:space="preserve">participants with sarcoidosis. </w:t>
      </w:r>
      <w:r w:rsidR="003258AA" w:rsidRPr="005A7F38">
        <w:t xml:space="preserve">Participants participated in the informed consent process during a screening visit and returned for an initial visit </w:t>
      </w:r>
      <w:r w:rsidR="008E3102" w:rsidRPr="005A7F38">
        <w:t>within 3 weeks of their screening visit</w:t>
      </w:r>
      <w:r w:rsidR="00992917" w:rsidRPr="005A7F38">
        <w:t>. At the initial visit,</w:t>
      </w:r>
      <w:r w:rsidR="00C42DCB" w:rsidRPr="005A7F38">
        <w:t xml:space="preserve"> participants completed </w:t>
      </w:r>
      <w:r w:rsidR="00266F88" w:rsidRPr="005A7F38">
        <w:t xml:space="preserve">self-administered questionnaires to assess dyspnea, fatigue and quality </w:t>
      </w:r>
      <w:r w:rsidR="00F27F8F" w:rsidRPr="005A7F38">
        <w:t>of life.</w:t>
      </w:r>
      <w:r w:rsidR="0038430A" w:rsidRPr="005A7F38">
        <w:t xml:space="preserve"> Physical examinations, research chest CT examinations, pulmonary function tests as well as blood and urine tests. A majority of participants </w:t>
      </w:r>
      <w:r w:rsidR="00345361" w:rsidRPr="005A7F38">
        <w:t xml:space="preserve">underwent bronchoscopy with brushings and </w:t>
      </w:r>
      <w:r w:rsidR="0038430A" w:rsidRPr="005A7F38">
        <w:t xml:space="preserve">bronchoalveolar lavage (BAL) </w:t>
      </w:r>
      <w:r w:rsidR="00345361" w:rsidRPr="005A7F38">
        <w:t>either for research-only purposes or as part of a clinically indicated bronchoscopy for diagnostic biopsy. Patients in clinical phenotype groups 5, 6 or 7 with Scadding stage IV or cardiac sarcoidosis involvement did not undergo research-only bronchoscopy owing to the higher theoretical risk of complications arising during bronchoscopy. If appropriate, participants had a bio</w:t>
      </w:r>
      <w:r w:rsidR="002C1362" w:rsidRPr="005A7F38">
        <w:t>psy of sarcoidosis skin lesions</w:t>
      </w:r>
      <w:r w:rsidR="00282D3D" w:rsidRPr="005A7F38">
        <w:t xml:space="preserve">. Patients having a skin biopsy </w:t>
      </w:r>
      <w:r w:rsidR="001F77CD" w:rsidRPr="005A7F38">
        <w:t>underwent the Skin Physician’s Global Assessment and the Sarcoidosis Activity and Severity Index. Photographs were taken of the skin lesions before the biopsy was performed.</w:t>
      </w:r>
      <w:r w:rsidR="00345361" w:rsidRPr="005A7F38">
        <w:t xml:space="preserve"> </w:t>
      </w:r>
      <w:r w:rsidR="00992917" w:rsidRPr="005A7F38">
        <w:t>Patients returned for a 6 month follow up visit and had a repeat physical examination and blood, urine and stool sample collections as well as completed the self-administered questionnaires.</w:t>
      </w:r>
      <w:r w:rsidR="000A4E07" w:rsidRPr="005A7F38">
        <w:t xml:space="preserve"> </w:t>
      </w:r>
    </w:p>
    <w:p w14:paraId="15D50735" w14:textId="77777777" w:rsidR="003337BE" w:rsidRDefault="003337BE" w:rsidP="003337BE"/>
    <w:p w14:paraId="28824A68" w14:textId="77777777" w:rsidR="003337BE" w:rsidRDefault="003337BE" w:rsidP="003337BE"/>
    <w:p w14:paraId="296D3C91" w14:textId="77777777" w:rsidR="003337BE" w:rsidRDefault="003337BE" w:rsidP="003337BE"/>
    <w:p w14:paraId="5EB956C6" w14:textId="77777777" w:rsidR="003337BE" w:rsidRDefault="003337BE" w:rsidP="003337BE"/>
    <w:p w14:paraId="0742CA71" w14:textId="77777777" w:rsidR="003337BE" w:rsidRDefault="003337BE" w:rsidP="003337BE"/>
    <w:p w14:paraId="285D02BB" w14:textId="77777777" w:rsidR="003337BE" w:rsidRPr="003337BE" w:rsidRDefault="003337BE" w:rsidP="003337BE"/>
    <w:p w14:paraId="133E83D2" w14:textId="07DDA423" w:rsidR="00A12E8C" w:rsidRDefault="00B63FC8" w:rsidP="002446BB">
      <w:pPr>
        <w:pStyle w:val="Caption"/>
      </w:pPr>
      <w:bookmarkStart w:id="62" w:name="_Toc114179887"/>
      <w:bookmarkStart w:id="63" w:name="_Toc506540062"/>
      <w:r w:rsidRPr="005A7F38">
        <w:lastRenderedPageBreak/>
        <w:t xml:space="preserve">Table </w:t>
      </w:r>
      <w:fldSimple w:instr=" SEQ Table \* ARABIC ">
        <w:r w:rsidR="001F73C6">
          <w:rPr>
            <w:noProof/>
          </w:rPr>
          <w:t>2</w:t>
        </w:r>
      </w:fldSimple>
      <w:r w:rsidRPr="005A7F38">
        <w:t xml:space="preserve">. </w:t>
      </w:r>
      <w:bookmarkEnd w:id="62"/>
      <w:r w:rsidR="00051970" w:rsidRPr="005A7F38">
        <w:t>GRADS</w:t>
      </w:r>
      <w:r w:rsidRPr="005A7F38">
        <w:t xml:space="preserve"> Schedule of Study Procedures</w:t>
      </w:r>
      <w:bookmarkEnd w:id="63"/>
    </w:p>
    <w:tbl>
      <w:tblPr>
        <w:tblStyle w:val="TableGrid"/>
        <w:tblW w:w="7982" w:type="dxa"/>
        <w:jc w:val="center"/>
        <w:tblLook w:val="04A0" w:firstRow="1" w:lastRow="0" w:firstColumn="1" w:lastColumn="0" w:noHBand="0" w:noVBand="1"/>
      </w:tblPr>
      <w:tblGrid>
        <w:gridCol w:w="4615"/>
        <w:gridCol w:w="1533"/>
        <w:gridCol w:w="1834"/>
      </w:tblGrid>
      <w:tr w:rsidR="008305CF" w14:paraId="1BF8043C" w14:textId="77777777" w:rsidTr="008305CF">
        <w:trPr>
          <w:trHeight w:val="260"/>
          <w:jc w:val="center"/>
        </w:trPr>
        <w:tc>
          <w:tcPr>
            <w:tcW w:w="4615" w:type="dxa"/>
          </w:tcPr>
          <w:p w14:paraId="6053D87E" w14:textId="77777777" w:rsidR="005A7F38" w:rsidRPr="008305CF" w:rsidRDefault="005A7F38" w:rsidP="008305CF">
            <w:pPr>
              <w:spacing w:line="240" w:lineRule="auto"/>
              <w:ind w:firstLine="0"/>
              <w:jc w:val="center"/>
              <w:rPr>
                <w:b/>
              </w:rPr>
            </w:pPr>
            <w:r w:rsidRPr="008305CF">
              <w:rPr>
                <w:b/>
              </w:rPr>
              <w:t>Study Procedure</w:t>
            </w:r>
          </w:p>
        </w:tc>
        <w:tc>
          <w:tcPr>
            <w:tcW w:w="1533" w:type="dxa"/>
          </w:tcPr>
          <w:p w14:paraId="0BA54560" w14:textId="77777777" w:rsidR="005A7F38" w:rsidRPr="008305CF" w:rsidRDefault="005A7F38" w:rsidP="008305CF">
            <w:pPr>
              <w:spacing w:line="240" w:lineRule="auto"/>
              <w:ind w:firstLine="0"/>
              <w:jc w:val="center"/>
              <w:rPr>
                <w:b/>
              </w:rPr>
            </w:pPr>
            <w:r w:rsidRPr="008305CF">
              <w:rPr>
                <w:b/>
              </w:rPr>
              <w:t>Initial Visit</w:t>
            </w:r>
          </w:p>
        </w:tc>
        <w:tc>
          <w:tcPr>
            <w:tcW w:w="1834" w:type="dxa"/>
          </w:tcPr>
          <w:p w14:paraId="5E63210E" w14:textId="77777777" w:rsidR="005A7F38" w:rsidRPr="008305CF" w:rsidRDefault="005A7F38" w:rsidP="008305CF">
            <w:pPr>
              <w:spacing w:line="240" w:lineRule="auto"/>
              <w:ind w:firstLine="0"/>
              <w:jc w:val="center"/>
              <w:rPr>
                <w:b/>
              </w:rPr>
            </w:pPr>
            <w:r w:rsidRPr="008305CF">
              <w:rPr>
                <w:b/>
              </w:rPr>
              <w:t>Follow Up Visit</w:t>
            </w:r>
          </w:p>
        </w:tc>
      </w:tr>
      <w:tr w:rsidR="008305CF" w14:paraId="67AB872F" w14:textId="77777777" w:rsidTr="008305CF">
        <w:trPr>
          <w:trHeight w:val="236"/>
          <w:jc w:val="center"/>
        </w:trPr>
        <w:tc>
          <w:tcPr>
            <w:tcW w:w="4615" w:type="dxa"/>
          </w:tcPr>
          <w:p w14:paraId="14C725BA" w14:textId="77777777" w:rsidR="005A7F38" w:rsidRDefault="005A7F38" w:rsidP="008305CF">
            <w:pPr>
              <w:spacing w:line="240" w:lineRule="auto"/>
              <w:ind w:firstLine="0"/>
              <w:jc w:val="left"/>
            </w:pPr>
            <w:r>
              <w:t>Physical Examination</w:t>
            </w:r>
          </w:p>
        </w:tc>
        <w:tc>
          <w:tcPr>
            <w:tcW w:w="1533" w:type="dxa"/>
          </w:tcPr>
          <w:p w14:paraId="36FEFF54" w14:textId="77777777" w:rsidR="005A7F38" w:rsidRDefault="008305CF" w:rsidP="008305CF">
            <w:pPr>
              <w:spacing w:line="240" w:lineRule="auto"/>
              <w:ind w:firstLine="0"/>
              <w:jc w:val="center"/>
            </w:pPr>
            <w:r>
              <w:t>X</w:t>
            </w:r>
          </w:p>
        </w:tc>
        <w:tc>
          <w:tcPr>
            <w:tcW w:w="1834" w:type="dxa"/>
          </w:tcPr>
          <w:p w14:paraId="6F95FA2D" w14:textId="77777777" w:rsidR="005A7F38" w:rsidRDefault="008305CF" w:rsidP="008305CF">
            <w:pPr>
              <w:spacing w:line="240" w:lineRule="auto"/>
              <w:ind w:firstLine="0"/>
              <w:jc w:val="center"/>
            </w:pPr>
            <w:r>
              <w:t>X</w:t>
            </w:r>
          </w:p>
        </w:tc>
      </w:tr>
      <w:tr w:rsidR="008305CF" w14:paraId="24BD8418" w14:textId="77777777" w:rsidTr="008305CF">
        <w:trPr>
          <w:trHeight w:val="260"/>
          <w:jc w:val="center"/>
        </w:trPr>
        <w:tc>
          <w:tcPr>
            <w:tcW w:w="4615" w:type="dxa"/>
          </w:tcPr>
          <w:p w14:paraId="3A6DF336" w14:textId="77777777" w:rsidR="005A7F38" w:rsidRDefault="005A7F38" w:rsidP="008305CF">
            <w:pPr>
              <w:spacing w:line="240" w:lineRule="auto"/>
              <w:ind w:firstLine="0"/>
              <w:jc w:val="left"/>
            </w:pPr>
            <w:r>
              <w:t>Medical History</w:t>
            </w:r>
          </w:p>
        </w:tc>
        <w:tc>
          <w:tcPr>
            <w:tcW w:w="1533" w:type="dxa"/>
          </w:tcPr>
          <w:p w14:paraId="27182FFE" w14:textId="77777777" w:rsidR="005A7F38" w:rsidRDefault="008305CF" w:rsidP="008305CF">
            <w:pPr>
              <w:spacing w:line="240" w:lineRule="auto"/>
              <w:ind w:firstLine="0"/>
              <w:jc w:val="center"/>
            </w:pPr>
            <w:r>
              <w:t>X</w:t>
            </w:r>
          </w:p>
        </w:tc>
        <w:tc>
          <w:tcPr>
            <w:tcW w:w="1834" w:type="dxa"/>
          </w:tcPr>
          <w:p w14:paraId="65F5E0CA" w14:textId="77777777" w:rsidR="005A7F38" w:rsidRDefault="008305CF" w:rsidP="008305CF">
            <w:pPr>
              <w:spacing w:line="240" w:lineRule="auto"/>
              <w:ind w:firstLine="0"/>
              <w:jc w:val="center"/>
            </w:pPr>
            <w:r>
              <w:t>X</w:t>
            </w:r>
          </w:p>
        </w:tc>
      </w:tr>
      <w:tr w:rsidR="008305CF" w14:paraId="67AFCA37" w14:textId="77777777" w:rsidTr="008305CF">
        <w:trPr>
          <w:trHeight w:val="236"/>
          <w:jc w:val="center"/>
        </w:trPr>
        <w:tc>
          <w:tcPr>
            <w:tcW w:w="4615" w:type="dxa"/>
          </w:tcPr>
          <w:p w14:paraId="158156FA" w14:textId="77777777" w:rsidR="005A7F38" w:rsidRDefault="005A7F38" w:rsidP="008305CF">
            <w:pPr>
              <w:spacing w:line="240" w:lineRule="auto"/>
              <w:ind w:firstLine="0"/>
              <w:jc w:val="left"/>
            </w:pPr>
            <w:r>
              <w:t>Blood Collection</w:t>
            </w:r>
          </w:p>
        </w:tc>
        <w:tc>
          <w:tcPr>
            <w:tcW w:w="1533" w:type="dxa"/>
          </w:tcPr>
          <w:p w14:paraId="1DF26886" w14:textId="77777777" w:rsidR="005A7F38" w:rsidRDefault="008305CF" w:rsidP="008305CF">
            <w:pPr>
              <w:spacing w:line="240" w:lineRule="auto"/>
              <w:ind w:firstLine="0"/>
              <w:jc w:val="center"/>
            </w:pPr>
            <w:r>
              <w:t>X</w:t>
            </w:r>
          </w:p>
        </w:tc>
        <w:tc>
          <w:tcPr>
            <w:tcW w:w="1834" w:type="dxa"/>
          </w:tcPr>
          <w:p w14:paraId="77A09CE4" w14:textId="77777777" w:rsidR="005A7F38" w:rsidRDefault="008305CF" w:rsidP="008305CF">
            <w:pPr>
              <w:spacing w:line="240" w:lineRule="auto"/>
              <w:ind w:firstLine="0"/>
              <w:jc w:val="center"/>
            </w:pPr>
            <w:r>
              <w:t>X</w:t>
            </w:r>
          </w:p>
        </w:tc>
      </w:tr>
      <w:tr w:rsidR="008305CF" w14:paraId="3DF73835" w14:textId="77777777" w:rsidTr="008305CF">
        <w:trPr>
          <w:trHeight w:val="260"/>
          <w:jc w:val="center"/>
        </w:trPr>
        <w:tc>
          <w:tcPr>
            <w:tcW w:w="4615" w:type="dxa"/>
          </w:tcPr>
          <w:p w14:paraId="5DED95B1" w14:textId="77777777" w:rsidR="005A7F38" w:rsidRDefault="005A7F38" w:rsidP="008305CF">
            <w:pPr>
              <w:spacing w:line="240" w:lineRule="auto"/>
              <w:ind w:firstLine="0"/>
              <w:jc w:val="left"/>
            </w:pPr>
            <w:r>
              <w:t>Urine Collection</w:t>
            </w:r>
          </w:p>
        </w:tc>
        <w:tc>
          <w:tcPr>
            <w:tcW w:w="1533" w:type="dxa"/>
          </w:tcPr>
          <w:p w14:paraId="7E948ED9" w14:textId="77777777" w:rsidR="005A7F38" w:rsidRDefault="008305CF" w:rsidP="008305CF">
            <w:pPr>
              <w:spacing w:line="240" w:lineRule="auto"/>
              <w:ind w:firstLine="0"/>
              <w:jc w:val="center"/>
            </w:pPr>
            <w:r>
              <w:t>X</w:t>
            </w:r>
          </w:p>
        </w:tc>
        <w:tc>
          <w:tcPr>
            <w:tcW w:w="1834" w:type="dxa"/>
          </w:tcPr>
          <w:p w14:paraId="24391C16" w14:textId="77777777" w:rsidR="005A7F38" w:rsidRDefault="008305CF" w:rsidP="008305CF">
            <w:pPr>
              <w:spacing w:line="240" w:lineRule="auto"/>
              <w:ind w:firstLine="0"/>
              <w:jc w:val="center"/>
            </w:pPr>
            <w:r>
              <w:t>X</w:t>
            </w:r>
          </w:p>
        </w:tc>
      </w:tr>
      <w:tr w:rsidR="008305CF" w14:paraId="7B6B188B" w14:textId="77777777" w:rsidTr="008305CF">
        <w:trPr>
          <w:trHeight w:val="236"/>
          <w:jc w:val="center"/>
        </w:trPr>
        <w:tc>
          <w:tcPr>
            <w:tcW w:w="4615" w:type="dxa"/>
          </w:tcPr>
          <w:p w14:paraId="50341648" w14:textId="77777777" w:rsidR="005A7F38" w:rsidRDefault="005A7F38" w:rsidP="008305CF">
            <w:pPr>
              <w:spacing w:line="240" w:lineRule="auto"/>
              <w:ind w:firstLine="0"/>
              <w:jc w:val="left"/>
            </w:pPr>
            <w:r>
              <w:t>Stool Collection</w:t>
            </w:r>
          </w:p>
        </w:tc>
        <w:tc>
          <w:tcPr>
            <w:tcW w:w="1533" w:type="dxa"/>
          </w:tcPr>
          <w:p w14:paraId="79479781" w14:textId="77777777" w:rsidR="005A7F38" w:rsidRDefault="008305CF" w:rsidP="008305CF">
            <w:pPr>
              <w:spacing w:line="240" w:lineRule="auto"/>
              <w:ind w:firstLine="0"/>
              <w:jc w:val="center"/>
            </w:pPr>
            <w:r>
              <w:t>X</w:t>
            </w:r>
          </w:p>
        </w:tc>
        <w:tc>
          <w:tcPr>
            <w:tcW w:w="1834" w:type="dxa"/>
          </w:tcPr>
          <w:p w14:paraId="4A8C176A" w14:textId="77777777" w:rsidR="005A7F38" w:rsidRDefault="008305CF" w:rsidP="008305CF">
            <w:pPr>
              <w:spacing w:line="240" w:lineRule="auto"/>
              <w:ind w:firstLine="0"/>
              <w:jc w:val="center"/>
            </w:pPr>
            <w:r>
              <w:t>X</w:t>
            </w:r>
          </w:p>
        </w:tc>
      </w:tr>
      <w:tr w:rsidR="008305CF" w14:paraId="2F61770B" w14:textId="77777777" w:rsidTr="008305CF">
        <w:trPr>
          <w:trHeight w:val="260"/>
          <w:jc w:val="center"/>
        </w:trPr>
        <w:tc>
          <w:tcPr>
            <w:tcW w:w="4615" w:type="dxa"/>
          </w:tcPr>
          <w:p w14:paraId="569980EF" w14:textId="77777777" w:rsidR="005A7F38" w:rsidRDefault="005A7F38" w:rsidP="008305CF">
            <w:pPr>
              <w:spacing w:line="240" w:lineRule="auto"/>
              <w:ind w:firstLine="0"/>
              <w:jc w:val="left"/>
            </w:pPr>
            <w:r>
              <w:t>Bronchoscopy</w:t>
            </w:r>
          </w:p>
        </w:tc>
        <w:tc>
          <w:tcPr>
            <w:tcW w:w="1533" w:type="dxa"/>
          </w:tcPr>
          <w:p w14:paraId="59F43527" w14:textId="77777777" w:rsidR="005A7F38" w:rsidRDefault="008305CF" w:rsidP="008305CF">
            <w:pPr>
              <w:spacing w:line="240" w:lineRule="auto"/>
              <w:ind w:firstLine="0"/>
              <w:jc w:val="center"/>
            </w:pPr>
            <w:r>
              <w:t>X</w:t>
            </w:r>
          </w:p>
        </w:tc>
        <w:tc>
          <w:tcPr>
            <w:tcW w:w="1834" w:type="dxa"/>
          </w:tcPr>
          <w:p w14:paraId="08A7FB54" w14:textId="77777777" w:rsidR="005A7F38" w:rsidRDefault="005A7F38" w:rsidP="008305CF">
            <w:pPr>
              <w:spacing w:line="240" w:lineRule="auto"/>
              <w:ind w:firstLine="0"/>
              <w:jc w:val="center"/>
            </w:pPr>
          </w:p>
        </w:tc>
      </w:tr>
      <w:tr w:rsidR="008305CF" w14:paraId="49006879" w14:textId="77777777" w:rsidTr="008305CF">
        <w:trPr>
          <w:trHeight w:val="236"/>
          <w:jc w:val="center"/>
        </w:trPr>
        <w:tc>
          <w:tcPr>
            <w:tcW w:w="4615" w:type="dxa"/>
          </w:tcPr>
          <w:p w14:paraId="4920BD4F" w14:textId="77777777" w:rsidR="005A7F38" w:rsidRDefault="005A7F38" w:rsidP="008305CF">
            <w:pPr>
              <w:spacing w:line="240" w:lineRule="auto"/>
              <w:ind w:firstLine="0"/>
              <w:jc w:val="left"/>
            </w:pPr>
            <w:r>
              <w:t>Skin Biopsy, if appropriate</w:t>
            </w:r>
          </w:p>
        </w:tc>
        <w:tc>
          <w:tcPr>
            <w:tcW w:w="1533" w:type="dxa"/>
          </w:tcPr>
          <w:p w14:paraId="080B5126" w14:textId="77777777" w:rsidR="005A7F38" w:rsidRDefault="008305CF" w:rsidP="008305CF">
            <w:pPr>
              <w:spacing w:line="240" w:lineRule="auto"/>
              <w:ind w:firstLine="0"/>
              <w:jc w:val="center"/>
            </w:pPr>
            <w:r>
              <w:t>X</w:t>
            </w:r>
          </w:p>
        </w:tc>
        <w:tc>
          <w:tcPr>
            <w:tcW w:w="1834" w:type="dxa"/>
          </w:tcPr>
          <w:p w14:paraId="3534E34A" w14:textId="77777777" w:rsidR="005A7F38" w:rsidRDefault="005A7F38" w:rsidP="008305CF">
            <w:pPr>
              <w:spacing w:line="240" w:lineRule="auto"/>
              <w:ind w:firstLine="0"/>
              <w:jc w:val="center"/>
            </w:pPr>
          </w:p>
        </w:tc>
      </w:tr>
      <w:tr w:rsidR="008305CF" w14:paraId="514CD56C" w14:textId="77777777" w:rsidTr="008305CF">
        <w:trPr>
          <w:trHeight w:val="260"/>
          <w:jc w:val="center"/>
        </w:trPr>
        <w:tc>
          <w:tcPr>
            <w:tcW w:w="4615" w:type="dxa"/>
          </w:tcPr>
          <w:p w14:paraId="2FB4B496" w14:textId="77777777" w:rsidR="005A7F38" w:rsidRDefault="005A7F38" w:rsidP="008305CF">
            <w:pPr>
              <w:spacing w:line="240" w:lineRule="auto"/>
              <w:ind w:firstLine="0"/>
              <w:jc w:val="left"/>
            </w:pPr>
            <w:r>
              <w:t>Chest Radiograph</w:t>
            </w:r>
          </w:p>
        </w:tc>
        <w:tc>
          <w:tcPr>
            <w:tcW w:w="1533" w:type="dxa"/>
          </w:tcPr>
          <w:p w14:paraId="4280B509" w14:textId="77777777" w:rsidR="005A7F38" w:rsidRDefault="008305CF" w:rsidP="008305CF">
            <w:pPr>
              <w:spacing w:line="240" w:lineRule="auto"/>
              <w:ind w:firstLine="0"/>
              <w:jc w:val="center"/>
            </w:pPr>
            <w:r>
              <w:t>X</w:t>
            </w:r>
          </w:p>
        </w:tc>
        <w:tc>
          <w:tcPr>
            <w:tcW w:w="1834" w:type="dxa"/>
          </w:tcPr>
          <w:p w14:paraId="5EADEC3D" w14:textId="77777777" w:rsidR="005A7F38" w:rsidRDefault="005A7F38" w:rsidP="008305CF">
            <w:pPr>
              <w:spacing w:line="240" w:lineRule="auto"/>
              <w:ind w:firstLine="0"/>
              <w:jc w:val="center"/>
            </w:pPr>
          </w:p>
        </w:tc>
      </w:tr>
      <w:tr w:rsidR="008305CF" w14:paraId="18C211C1" w14:textId="77777777" w:rsidTr="008305CF">
        <w:trPr>
          <w:trHeight w:val="236"/>
          <w:jc w:val="center"/>
        </w:trPr>
        <w:tc>
          <w:tcPr>
            <w:tcW w:w="4615" w:type="dxa"/>
          </w:tcPr>
          <w:p w14:paraId="0BA47458" w14:textId="77777777" w:rsidR="005A7F38" w:rsidRDefault="005A7F38" w:rsidP="008305CF">
            <w:pPr>
              <w:spacing w:line="240" w:lineRule="auto"/>
              <w:ind w:firstLine="0"/>
              <w:jc w:val="left"/>
            </w:pPr>
            <w:r>
              <w:t>Chest C</w:t>
            </w:r>
            <w:r w:rsidR="008305CF">
              <w:t>omputed Tomography</w:t>
            </w:r>
          </w:p>
        </w:tc>
        <w:tc>
          <w:tcPr>
            <w:tcW w:w="1533" w:type="dxa"/>
          </w:tcPr>
          <w:p w14:paraId="3F0FFADB" w14:textId="77777777" w:rsidR="005A7F38" w:rsidRDefault="008305CF" w:rsidP="008305CF">
            <w:pPr>
              <w:spacing w:line="240" w:lineRule="auto"/>
              <w:ind w:firstLine="0"/>
              <w:jc w:val="center"/>
            </w:pPr>
            <w:r>
              <w:t>X</w:t>
            </w:r>
          </w:p>
        </w:tc>
        <w:tc>
          <w:tcPr>
            <w:tcW w:w="1834" w:type="dxa"/>
          </w:tcPr>
          <w:p w14:paraId="631787D0" w14:textId="77777777" w:rsidR="005A7F38" w:rsidRDefault="005A7F38" w:rsidP="008305CF">
            <w:pPr>
              <w:spacing w:line="240" w:lineRule="auto"/>
              <w:ind w:firstLine="0"/>
              <w:jc w:val="center"/>
            </w:pPr>
          </w:p>
        </w:tc>
      </w:tr>
      <w:tr w:rsidR="008305CF" w14:paraId="4B0C486E" w14:textId="77777777" w:rsidTr="008305CF">
        <w:trPr>
          <w:trHeight w:val="260"/>
          <w:jc w:val="center"/>
        </w:trPr>
        <w:tc>
          <w:tcPr>
            <w:tcW w:w="4615" w:type="dxa"/>
          </w:tcPr>
          <w:p w14:paraId="682FCEC3" w14:textId="77777777" w:rsidR="005A7F38" w:rsidRDefault="008305CF" w:rsidP="008305CF">
            <w:pPr>
              <w:spacing w:line="240" w:lineRule="auto"/>
              <w:ind w:firstLine="0"/>
              <w:jc w:val="left"/>
            </w:pPr>
            <w:r>
              <w:t>Spirometry</w:t>
            </w:r>
          </w:p>
        </w:tc>
        <w:tc>
          <w:tcPr>
            <w:tcW w:w="1533" w:type="dxa"/>
          </w:tcPr>
          <w:p w14:paraId="0D1BEAC8" w14:textId="77777777" w:rsidR="005A7F38" w:rsidRDefault="008305CF" w:rsidP="008305CF">
            <w:pPr>
              <w:spacing w:line="240" w:lineRule="auto"/>
              <w:ind w:firstLine="0"/>
              <w:jc w:val="center"/>
            </w:pPr>
            <w:r>
              <w:t>X</w:t>
            </w:r>
          </w:p>
        </w:tc>
        <w:tc>
          <w:tcPr>
            <w:tcW w:w="1834" w:type="dxa"/>
          </w:tcPr>
          <w:p w14:paraId="030AA944" w14:textId="77777777" w:rsidR="005A7F38" w:rsidRDefault="008305CF" w:rsidP="008305CF">
            <w:pPr>
              <w:spacing w:line="240" w:lineRule="auto"/>
              <w:ind w:firstLine="0"/>
              <w:jc w:val="center"/>
            </w:pPr>
            <w:r>
              <w:t>X</w:t>
            </w:r>
          </w:p>
        </w:tc>
      </w:tr>
      <w:tr w:rsidR="008305CF" w14:paraId="5FB621FF" w14:textId="77777777" w:rsidTr="008305CF">
        <w:trPr>
          <w:trHeight w:val="278"/>
          <w:jc w:val="center"/>
        </w:trPr>
        <w:tc>
          <w:tcPr>
            <w:tcW w:w="4615" w:type="dxa"/>
          </w:tcPr>
          <w:p w14:paraId="31437CAE" w14:textId="77777777" w:rsidR="008305CF" w:rsidRDefault="008305CF" w:rsidP="008305CF">
            <w:pPr>
              <w:spacing w:line="240" w:lineRule="auto"/>
              <w:ind w:firstLine="0"/>
              <w:jc w:val="left"/>
            </w:pPr>
            <w:r>
              <w:t>Assessment of Organ Involvement</w:t>
            </w:r>
          </w:p>
        </w:tc>
        <w:tc>
          <w:tcPr>
            <w:tcW w:w="1533" w:type="dxa"/>
          </w:tcPr>
          <w:p w14:paraId="0512EC17" w14:textId="77777777" w:rsidR="008305CF" w:rsidRDefault="008305CF" w:rsidP="008305CF">
            <w:pPr>
              <w:spacing w:line="240" w:lineRule="auto"/>
              <w:ind w:firstLine="0"/>
              <w:jc w:val="center"/>
            </w:pPr>
            <w:r>
              <w:t>X</w:t>
            </w:r>
          </w:p>
        </w:tc>
        <w:tc>
          <w:tcPr>
            <w:tcW w:w="1834" w:type="dxa"/>
          </w:tcPr>
          <w:p w14:paraId="41F7EFC5" w14:textId="77777777" w:rsidR="008305CF" w:rsidRDefault="008305CF" w:rsidP="008305CF">
            <w:pPr>
              <w:spacing w:line="240" w:lineRule="auto"/>
              <w:ind w:firstLine="0"/>
              <w:jc w:val="center"/>
            </w:pPr>
          </w:p>
        </w:tc>
      </w:tr>
      <w:tr w:rsidR="008305CF" w14:paraId="27C30FCC" w14:textId="77777777" w:rsidTr="008305CF">
        <w:trPr>
          <w:trHeight w:val="236"/>
          <w:jc w:val="center"/>
        </w:trPr>
        <w:tc>
          <w:tcPr>
            <w:tcW w:w="4615" w:type="dxa"/>
          </w:tcPr>
          <w:p w14:paraId="69430DC6" w14:textId="77777777" w:rsidR="008305CF" w:rsidRDefault="008305CF" w:rsidP="008305CF">
            <w:pPr>
              <w:spacing w:line="240" w:lineRule="auto"/>
              <w:ind w:firstLine="0"/>
              <w:jc w:val="left"/>
            </w:pPr>
            <w:r>
              <w:t>Questionnaires</w:t>
            </w:r>
          </w:p>
        </w:tc>
        <w:tc>
          <w:tcPr>
            <w:tcW w:w="1533" w:type="dxa"/>
          </w:tcPr>
          <w:p w14:paraId="4C745279" w14:textId="77777777" w:rsidR="008305CF" w:rsidRDefault="008305CF" w:rsidP="008305CF">
            <w:pPr>
              <w:spacing w:line="240" w:lineRule="auto"/>
              <w:ind w:firstLine="0"/>
              <w:jc w:val="center"/>
            </w:pPr>
            <w:r>
              <w:t>X</w:t>
            </w:r>
          </w:p>
        </w:tc>
        <w:tc>
          <w:tcPr>
            <w:tcW w:w="1834" w:type="dxa"/>
          </w:tcPr>
          <w:p w14:paraId="258CDB3A" w14:textId="77777777" w:rsidR="008305CF" w:rsidRDefault="008305CF" w:rsidP="008305CF">
            <w:pPr>
              <w:spacing w:line="240" w:lineRule="auto"/>
              <w:ind w:firstLine="0"/>
              <w:jc w:val="center"/>
            </w:pPr>
            <w:r>
              <w:t>X</w:t>
            </w:r>
          </w:p>
        </w:tc>
      </w:tr>
    </w:tbl>
    <w:p w14:paraId="0141C2C8" w14:textId="77777777" w:rsidR="006900DF" w:rsidRPr="005A7F38" w:rsidRDefault="006900DF" w:rsidP="008305CF">
      <w:pPr>
        <w:ind w:firstLine="0"/>
      </w:pPr>
    </w:p>
    <w:p w14:paraId="52DA1293" w14:textId="77777777" w:rsidR="006E3504" w:rsidRPr="005A7F38" w:rsidRDefault="006E3504" w:rsidP="002446BB">
      <w:pPr>
        <w:pStyle w:val="Heading4"/>
        <w:rPr>
          <w:rFonts w:cs="Times New Roman"/>
        </w:rPr>
      </w:pPr>
      <w:bookmarkStart w:id="64" w:name="_Toc506540040"/>
      <w:r w:rsidRPr="005A7F38">
        <w:rPr>
          <w:rFonts w:cs="Times New Roman"/>
        </w:rPr>
        <w:t>Data Collection</w:t>
      </w:r>
      <w:bookmarkEnd w:id="64"/>
    </w:p>
    <w:p w14:paraId="7B57AB6F" w14:textId="00D16C1F" w:rsidR="007E6DC2" w:rsidRDefault="007E6DC2" w:rsidP="002446BB">
      <w:pPr>
        <w:pStyle w:val="Heading5"/>
      </w:pPr>
      <w:r>
        <w:t>Physical Examination</w:t>
      </w:r>
    </w:p>
    <w:p w14:paraId="6D58C02D" w14:textId="13CBE917" w:rsidR="007E6DC2" w:rsidRPr="007E6DC2" w:rsidRDefault="007E6DC2" w:rsidP="007E6DC2">
      <w:pPr>
        <w:ind w:firstLine="0"/>
      </w:pPr>
      <w:r>
        <w:t xml:space="preserve">All participants underwent a thorough physical examination at both the initial visit and the follow up visit. The physical examination included the recording of a detailed medical history and spirometry. </w:t>
      </w:r>
    </w:p>
    <w:p w14:paraId="0D2A918F" w14:textId="77777777" w:rsidR="001E2EEF" w:rsidRPr="005A7F38" w:rsidRDefault="001E2EEF" w:rsidP="002446BB">
      <w:pPr>
        <w:pStyle w:val="Heading5"/>
      </w:pPr>
      <w:r w:rsidRPr="005A7F38">
        <w:t>Radiology</w:t>
      </w:r>
    </w:p>
    <w:p w14:paraId="351ED46C" w14:textId="2F77F381" w:rsidR="001E2EEF" w:rsidRPr="005A7F38" w:rsidRDefault="001E2EEF" w:rsidP="0056758A">
      <w:pPr>
        <w:ind w:firstLine="0"/>
      </w:pPr>
      <w:r w:rsidRPr="005A7F38">
        <w:t>A more precise clinical phenotyping than the traditional Scadding Stage system may be possible.</w:t>
      </w:r>
      <w:r w:rsidRPr="005A7F38">
        <w:fldChar w:fldCharType="begin"/>
      </w:r>
      <w:r w:rsidR="00B775CB">
        <w:instrText>ADDIN F1000_CSL_CITATION&lt;~#@#~&gt;[{"DOI":"10.1007/s00330-003-1965-x","First":false,"Last":false,"PMID":"12811502","abstract":"The value of high-resolution computed tomography (HRCT) in diagnosing and assessing inflammatory activity in sarcoidosis is well established. The aim of the present study was to address the intra- and inter-observer agreements of the HRCT score by Oberstein et al. [8], and to evaluate the relationship between HRCT findings and disease severity expressed in respiratory functional impairment in sarcoidosis. The clinical records of 80 known sarcoidosis patients visiting the outpatient clinic between January 2000 and August 2001, who underwent a HRCT as well as lung function tests (including exercise testing), were reviewed. Two readers scored the first 60 HRCT images twice. Weighted kappa and intra-class correlation coefficient were used to assess the reliability of the HRCT scoring system. Spearman's rank correlation coefficients and multiple regression analyses were performed to evaluate the relationship between HRCT findings (first reading, reader A) and respiratory functional impairment. Intra- and inter-reader reliability demonstrated good agreement. All HRCT subscores, except enlargement of lymph nodes, were correlated to the FEV(1), FVC, DLco, Pao(2)max (all p&lt; 0.05) and A-aPo(2 )max ( p&lt; 0.001). Furthermore, HRCT abnormalities, but not the chest radiographic stage, were strongly associated with functional parameters. Abnormal changes of lung parenchyma, established by HRCT features, were associated with respiratory functional impairment in sarcoidosis. Moreover, compared with the radiographic stages, HRCT findings appeared to be much more sensitive in depicting respiratory disability, especially abnormal gas exchange.","author":[{"family":"Drent","given":"Marjolein"},{"family":"De Vries","given":"Jolanda"},{"family":"Lenters","given":"Merinke"},{"family":"Lamers","given":"Rob J S"},{"family":"Rothkranz-Kos","given":"Snjezana"},{"family":"Wouters","given":"Emiel F M"},{"family":"van Dieijen-Visser","given":"Marja P"},{"family":"Verschakelen","given":"Johny A"}],"authorYearDisplayFormat":false,"citation-label":"4531140","container-title":"European Radiology","container-title-short":"Eur Radiol","id":"4531140","invisible":false,"issue":"11","issued":{"date-parts":[["2003","11"]]},"journalAbbreviation":"Eur Radiol","page":"2462-2471","suppress-author":false,"title":"Sarcoidosis: assessment of disease severity using HRCT.","type":"article-journal","volume":"13"},{"First":false,"Last":false,"PMID":"14626297","abstract":"&lt;strong&gt;RATIONALE AND OBJECTIVES:&lt;/strong&gt; To develop and evaluate a reliable, fully-automated lung segmentation scheme for application in X-ray computed tomography.&lt;br&gt;&lt;br&gt;&lt;strong&gt;MATERIALS AND METHODS:&lt;/strong&gt; The automated scheme was heuristically developed using a slice-based, pixel-value threshold and two sets of classification rules. Features used in the rules include size, circularity, and location. The segmentation scheme operates slice-by-slice and performs three key operations: (1) image preprocessing to remove background pixels, (2) computation and application of a pixel-value threshold to identify lung tissue, and (3) refinement of the initial segmented regions to prune incorrectly detected airways and separate fused right and left lungs.&lt;br&gt;&lt;br&gt;&lt;strong&gt;RESULTS:&lt;/strong&gt; The performance of the automated segmentation scheme was evaluated using 101 computed tomography cases (91 thick slice, 10 thin slice scans). The 91 thick cases were pre- and post-surgery from 50 patients and were not independent. The automated scheme successfully segmented 94.0% of the 2,969 thick slice images and 97.6% of the 1,161 thin slice images. The mean difference of the total lung volumes calculated by the automated scheme and functional residual capacity plus 60% inspiratory capacity was -24.7 +/- 508.1 mL. The mean differences of the total lung volumes calculated by the automated scheme and an established, commonly used semi-automated scheme were 95.2 +/- 52.5 mL and -27.7 +/- 66.9 mL for the thick and thin slice cases, respectively.&lt;br&gt;&lt;br&gt;&lt;strong&gt;CONCLUSION:&lt;/strong&gt; This simple, fully-automated lung segmentation scheme provides an objective tool to facilitate lung segmentation from computed tomography scans.","author":[{"family":"Leader","given":"Joseph K"},{"family":"Zheng","given":"Bin"},{"family":"Rogers","given":"Robert M"},{"family":"Sciurba","given":"Frank C"},{"family":"Perez","given":"Andrew"},{"family":"Chapman","given":"Brian E"},{"family":"Patel","given":"Sanjay"},{"family":"Fuhrman","given":"Carl R"},{"family":"Gur","given":"David"}],"authorYearDisplayFormat":false,"citation-label":"1944636","container-title":"Academic Radiology","container-title-short":"Acad Radiol","id":"1944636","invisible":false,"issue":"11","issued":{"date-parts":[["2003","11"]]},"journalAbbreviation":"Acad Radiol","page":"1224-1236","suppress-author":false,"title":"Automated lung segmentation in X-ray computed tomography: development and evaluation of a heuristic threshold-based scheme.","type":"article-journal","volume":"10"},{"DOI":"10.1513/AnnalsATS.201503-172OT","First":false,"Last":false,"PMCID":"PMC4627423","PMID":"26193069","abstract":"Sarcoidosis is a systemic disease characterized by noncaseating granulomatous inflammation with tremendous clinical heterogeneity and uncertain pathobiology and lacking in clinically useful biomarkers. The Genomic Research in Alpha-1 Antitrypsin Deficiency and Sarcoidosis (GRADS) study is an observational cohort study designed to explore the role of the lung microbiome and genome in these two diseases. This article describes the design and rationale for the GRADS study sarcoidosis protocol. The study addresses the hypothesis that distinct patterns in the lung microbiome are characteristic of sarcoidosis phenotypes and are reflected in changes in systemic inflammatory responses as measured by peripheral blood changes in gene transcription. The goal is to enroll 400 participants, with a minimum of 35 in each of 9 clinical phenotype subgroups prioritized by their clinical relevance to understanding of the pathobiology and clinical heterogeneity of sarcoidosis. Participants with a confirmed diagnosis of sarcoidosis undergo a baseline visit with self-administered questionnaires, chest computed tomography, pulmonary function tests, and blood and urine testing. A research or clinical bronchoscopy with a research bronchoalveolar lavage will be performed to obtain samples for genomic and microbiome analyses. Comparisons will be made by blood genomic analysis and with clinical phenotypic variables. A 6-month follow-up visit is planned to assess each participant's clinical course. By the use of an integrative approach to the analysis of the microbiome and genome in selected clinical phenotypes, the GRADS study is powerfully positioned to inform and direct studies on the pathobiology of sarcoidosis, identify diagnostic or prognostic biomarkers, and provide novel molecular phenotypes that could lead to improved personalized approaches to therapy for sarcoidosis.","author":[{"family":"Moller","given":"David R"},{"family":"Koth","given":"Laura L"},{"family":"Maier","given":"Lisa A"},{"family":"Morris","given":"Alison"},{"family":"Drake","given":"Wonder"},{"family":"Rossman","given":"Milton"},{"family":"Leader","given":"Joseph K"},{"family":"Collman","given":"Ronald G"},{"family":"Hamzeh","given":"Nabeel"},{"family":"Sweiss","given":"Nadera J"},{"family":"Zhang","given":"Yingze"},{"family":"O'Neal","given":"Scott"},{"family":"Senior","given":"Robert M"},{"family":"Becich","given":"Michael"},{"family":"Hochheiser","given":"Harry S"},{"family":"Kaminski","given":"Naftali"},{"family":"Wisniewski","given":"Stephen R"},{"family":"Gibson","given":"Kevin F"},{"family":"GRADS Sarcoidosis Study Group"}],"authorYearDisplayFormat":false,"citation-label":"1400043","container-title":"Annals of the American Thoracic Society","container-title-short":"Ann Am Thorac Soc","id":"1400043","invisible":false,"issue":"10","issued":{"date-parts":[["2015","10"]]},"journalAbbreviation":"Ann Am Thorac Soc","page":"1561-1571","suppress-author":false,"title":"Rationale and Design of the Genomic Research in Alpha-1 Antitrypsin Deficiency and Sarcoidosis (GRADS) Study. Sarcoidosis Protocol.","type":"article-journal","volume":"12"},{"DOI":"10.1148/radiographics.15.2.7761646","First":false,"Last":false,"PMID":"7761646","abstract":"Sarcoidosis is a systemic disease of unknown etiology with variable presentation, prognosis, and progression. At diagnosis, about 50% of patients are asymptomatic, 25% complain of cough or dyspnea, and 25% have skin lesions (erythema nodosum, lupus pernio, or plaques or scars) or eye symptoms (or develop them during the course of the disease). Bilateral hilar adenopathy is the most common radiographic finding. Other characteristic findings include interstitial lung disease, occasional calcification of affected lymph nodes, and pleural effusions and thickening. Computed tomography is more sensitive than radiography in the detection of adenopathy and subtle parenchymal disease; gallium-67 scintigraphy is useful in identifying extrathoracic sites of involvement, detecting active disease, and assessing response to treatment. The diagnosis is established most securely when clinicoradiologic findings are supported by histologic evidence of widespread noncaseating granulomas. The disease ranges from a self-limited subclinical process to chronic debilitation and death, with the major complications being fibrosis, mycetoma formation, and cor pulmonale. Because the disease so often involves thoracic structures, chest radiography plays a crucial role in the diagnosis, staging, and follow-up of sarcoidosis.","author":[{"family":"Miller","given":"B H"},{"family":"Rosado-de-Christenson","given":"M L"},{"family":"McAdams","given":"H P"},{"family":"Fishback","given":"N F"}],"authorYearDisplayFormat":false,"citation-label":"1621683","container-title":"Radiographics","container-title-short":"Radiographics","id":"1621683","invisible":false,"issue":"2","issued":{"date-parts":[["1995","3"]]},"journalAbbreviation":"Radiographics","page":"421-437","suppress-author":false,"title":"Thoracic sarcoidosis: radiologic-pathologic correlation.","type":"article-journal","volume":"15"}]</w:instrText>
      </w:r>
      <w:r w:rsidRPr="005A7F38">
        <w:fldChar w:fldCharType="separate"/>
      </w:r>
      <w:r w:rsidR="00B775CB" w:rsidRPr="00B775CB">
        <w:rPr>
          <w:noProof/>
          <w:vertAlign w:val="superscript"/>
        </w:rPr>
        <w:t>9,200–202</w:t>
      </w:r>
      <w:r w:rsidRPr="005A7F38">
        <w:fldChar w:fldCharType="end"/>
      </w:r>
      <w:r w:rsidRPr="005A7F38">
        <w:t xml:space="preserve"> The Scadding Stage system utilizes chest radiographs to identify thoracic abnormalities associated with sarcoidosis. </w:t>
      </w:r>
      <w:r w:rsidR="00F65CE7" w:rsidRPr="005A7F38">
        <w:t>Using CT imaging, lung abnormalities associated with sarcoidosis such as bronchovascular bundle thickening or irregularity, traction bronchiectasis, bronchial distortion, intra-parenchymal nodules, septal and non-septal lines, parenchymal opacity and distortion, focal pleural thickening, lymphadenopathy, lymph node enlargement and fissure displacement or distortion.</w:t>
      </w:r>
      <w:r w:rsidR="007856BB" w:rsidRPr="005A7F38">
        <w:fldChar w:fldCharType="begin"/>
      </w:r>
      <w:r w:rsidR="00B775CB">
        <w:instrText>ADDIN F1000_CSL_CITATION&lt;~#@#~&gt;[{"DOI":"10.1007/s00330-003-1965-x","First":false,"Last":false,"PMID":"12811502","abstract":"The value of high-resolution computed tomography (HRCT) in diagnosing and assessing inflammatory activity in sarcoidosis is well established. The aim of the present study was to address the intra- and inter-observer agreements of the HRCT score by Oberstein et al. [8], and to evaluate the relationship between HRCT findings and disease severity expressed in respiratory functional impairment in sarcoidosis. The clinical records of 80 known sarcoidosis patients visiting the outpatient clinic between January 2000 and August 2001, who underwent a HRCT as well as lung function tests (including exercise testing), were reviewed. Two readers scored the first 60 HRCT images twice. Weighted kappa and intra-class correlation coefficient were used to assess the reliability of the HRCT scoring system. Spearman's rank correlation coefficients and multiple regression analyses were performed to evaluate the relationship between HRCT findings (first reading, reader A) and respiratory functional impairment. Intra- and inter-reader reliability demonstrated good agreement. All HRCT subscores, except enlargement of lymph nodes, were correlated to the FEV(1), FVC, DLco, Pao(2)max (all p&lt; 0.05) and A-aPo(2 )max ( p&lt; 0.001). Furthermore, HRCT abnormalities, but not the chest radiographic stage, were strongly associated with functional parameters. Abnormal changes of lung parenchyma, established by HRCT features, were associated with respiratory functional impairment in sarcoidosis. Moreover, compared with the radiographic stages, HRCT findings appeared to be much more sensitive in depicting respiratory disability, especially abnormal gas exchange.","author":[{"family":"Drent","given":"Marjolein"},{"family":"De Vries","given":"Jolanda"},{"family":"Lenters","given":"Merinke"},{"family":"Lamers","given":"Rob J S"},{"family":"Rothkranz-Kos","given":"Snjezana"},{"family":"Wouters","given":"Emiel F M"},{"family":"van Dieijen-Visser","given":"Marja P"},{"family":"Verschakelen","given":"Johny A"}],"authorYearDisplayFormat":false,"citation-label":"4531140","container-title":"European Radiology","container-title-short":"Eur Radiol","id":"4531140","invisible":false,"issue":"11","issued":{"date-parts":[["2003","11"]]},"journalAbbreviation":"Eur Radiol","page":"2462-2471","suppress-author":false,"title":"Sarcoidosis: assessment of disease severity using HRCT.","type":"article-journal","volume":"13"}]</w:instrText>
      </w:r>
      <w:r w:rsidR="007856BB" w:rsidRPr="005A7F38">
        <w:fldChar w:fldCharType="separate"/>
      </w:r>
      <w:r w:rsidR="00B775CB" w:rsidRPr="00B775CB">
        <w:rPr>
          <w:noProof/>
          <w:vertAlign w:val="superscript"/>
        </w:rPr>
        <w:t>200</w:t>
      </w:r>
      <w:r w:rsidR="007856BB" w:rsidRPr="005A7F38">
        <w:fldChar w:fldCharType="end"/>
      </w:r>
      <w:r w:rsidR="001A0D36" w:rsidRPr="005A7F38">
        <w:t xml:space="preserve"> The ability to appreciate </w:t>
      </w:r>
      <w:r w:rsidR="00C82825" w:rsidRPr="005A7F38">
        <w:t xml:space="preserve">specific sarcoidosis related lung </w:t>
      </w:r>
      <w:r w:rsidR="00C82825" w:rsidRPr="005A7F38">
        <w:lastRenderedPageBreak/>
        <w:t xml:space="preserve">abnormalities allows for more careful phenotyping. As such, the Scadding Stage system </w:t>
      </w:r>
      <w:r w:rsidR="00C823E0" w:rsidRPr="005A7F38">
        <w:t>was</w:t>
      </w:r>
      <w:r w:rsidR="00C82825" w:rsidRPr="005A7F38">
        <w:t xml:space="preserve"> supplemented with CT images obtained during the study. </w:t>
      </w:r>
    </w:p>
    <w:p w14:paraId="7AC7F2EC" w14:textId="7BCDAB04" w:rsidR="00C82825" w:rsidRPr="005A7F38" w:rsidRDefault="00C82825" w:rsidP="002446BB">
      <w:r w:rsidRPr="005A7F38">
        <w:t xml:space="preserve">Study participants underwent chest radiograph and CT imaging at the initial visit. The radiograph included both anterior-posterior and lateral chest X-rays. The CT images were obtained without </w:t>
      </w:r>
      <w:r w:rsidR="00290611" w:rsidRPr="005A7F38">
        <w:t>contrast</w:t>
      </w:r>
      <w:r w:rsidRPr="005A7F38">
        <w:t xml:space="preserve"> using a helical technique with participants in the supine position. Images were reviewed and interpreted by a radiologist </w:t>
      </w:r>
      <w:r w:rsidR="002D2E1F" w:rsidRPr="005A7F38">
        <w:t>within</w:t>
      </w:r>
      <w:r w:rsidRPr="005A7F38">
        <w:t xml:space="preserve"> </w:t>
      </w:r>
      <w:r w:rsidR="00C823E0" w:rsidRPr="005A7F38">
        <w:t>three</w:t>
      </w:r>
      <w:r w:rsidRPr="005A7F38">
        <w:t xml:space="preserve"> days of the examination. If abnormalities requiring follow-up or treatment </w:t>
      </w:r>
      <w:r w:rsidR="002F48DD" w:rsidRPr="005A7F38">
        <w:t xml:space="preserve">were observed the Principal Investigator at the clinical center was informed. </w:t>
      </w:r>
    </w:p>
    <w:p w14:paraId="63BF30B5" w14:textId="77777777" w:rsidR="001F77CD" w:rsidRPr="005A7F38" w:rsidRDefault="001F77CD" w:rsidP="002446BB">
      <w:pPr>
        <w:pStyle w:val="Heading5"/>
      </w:pPr>
      <w:r w:rsidRPr="005A7F38">
        <w:t>Organ Assessment</w:t>
      </w:r>
    </w:p>
    <w:p w14:paraId="38BC7C07" w14:textId="6C0C2562" w:rsidR="001F77CD" w:rsidRPr="005A7F38" w:rsidRDefault="0063510B" w:rsidP="0056758A">
      <w:pPr>
        <w:ind w:firstLine="0"/>
      </w:pPr>
      <w:r w:rsidRPr="005A7F38">
        <w:t xml:space="preserve">Organ involvement with sarcoidosis </w:t>
      </w:r>
      <w:r w:rsidR="009C6D44" w:rsidRPr="005A7F38">
        <w:t>was determined using the World Association of Sarcoidosis and Other Granulomatous Diseases’ (WASOG) Sarcoidosis Organ Assessment Instrument.</w:t>
      </w:r>
      <w:r w:rsidR="009C6D44" w:rsidRPr="005A7F38">
        <w:fldChar w:fldCharType="begin"/>
      </w:r>
      <w:r w:rsidR="00B775CB">
        <w:instrText>ADDIN F1000_CSL_CITATION&lt;~#@#~&gt;[{"First":false,"Last":false,"PMID":"24751450","abstract":"&lt;strong&gt;INTRODUCTION:&lt;/strong&gt; A Case Control Etiology of Sarcoidosis Study (ACCESS) sarcoidosis organ assessment instrument has been used for more than a decade to establish uniform standards for the probability of sarcoidosis organ involvement. The ACCESS instrument has become increasingly outdated as new technologies have been developed. Furthermore, the ACCESS instrument failed to address all possible organs involved with sarcoidosis. For these reasons, the World Association of Sarcoidosis and Other Granulomatous Diseases (WASOG) developed a new sarcoidosis organ assessment instrument.&lt;br&gt;&lt;br&gt;&lt;strong&gt;METHODS:&lt;/strong&gt; Clinical sarcoidosis experts assessed various clinical manifestations for the probability of sarcoidosis organ involvement. Two criteria were required to apply this assessment: 1) histologic evidence of granulomatous inflammation of unknown cause in an organ that was not being assessed; 2) the clinical manifestation being addressed required that alternative causes other than sarcoidosis had been reasonably excluded. Clinical manifestations were assessed as either: a) highly probable: likelihood of sarcoidosis causing this manifestation of at least 90%.; b) probable: likelihood of sarcoidosis causing this manifestation of between 50 and 90%; c) possible: likelihood of sarcoidosis causing this manifestation of less than 50%. The sarcoidosis experts voted on the likelihood of sarcoidosis causing each manifestation using Delphi study methodology where at least 70% agreement of the experts was needed for consensus.&lt;br&gt;&lt;br&gt;&lt;strong&gt;RESULTS:&lt;/strong&gt; Various clinical manifestations were classified as highly probable, at least probable, possible, or indeterminate when no consensus could be reached.&lt;br&gt;&lt;br&gt;&lt;strong&gt;CONCLUSION:&lt;/strong&gt; An instrument was developed by expert opinion that may be useful for the clinician and researcher in establishing criteria for sarcoidosis organ involvement.","author":[{"family":"Judson","given":"Marc A"},{"family":"Costabel","given":"Ulrich"},{"family":"Drent","given":"Marjolein"},{"family":"Wells","given":"Athol"},{"family":"Maier","given":"Lisa"},{"family":"Koth","given":"Laura"},{"family":"Shigemitsu","given":"Hidenobu"},{"family":"Culver","given":"Dan A"},{"family":"Gelfand","given":"Jeffrey"},{"family":"Valeyre","given":"Dominique"},{"family":"Sweiss","given":"Nadera"},{"family":"Crouser","given":"Elliott"},{"family":"Morgenthau","given":"Adam S"},{"family":"Lower","given":"Elyse E"},{"family":"Azuma","given":"Arata"},{"family":"Ishihara","given":"Mami"},{"family":"Morimoto","given":"Shin-Ichiro"},{"family":"Tetsuo Yamaguchi","given":"Tetsuo"},{"family":"Shijubo","given":"Noriharu"},{"family":"Grutters","given":"Jan C"},{"family":"Rosenbach","given":"Misha"},{"family":"Li","given":"Hui-Ping"},{"family":"Rottoli","given":"Paola"},{"family":"Inoue","given":"Yoshikazu"},{"family":"Prasse","given":"Antje"},{"family":"Baughman","given":"Robert P"},{"family":"Organ Assessment Instrument Investigators","given":"The Wasog Sarcoidosis"}],"authorYearDisplayFormat":false,"citation-label":"1989601","container-title":"Sarcoidosis, vasculitis, and diffuse lung diseases : official journal of WASOG / World Association of Sarcoidosis and Other Granulomatous Disorders","container-title-short":"Sarcoidosis Vasc Diffuse Lung Dis","id":"1989601","invisible":false,"issue":"1","issued":{"date-parts":[["2014","4","18"]]},"journalAbbreviation":"Sarcoidosis Vasc Diffuse Lung Dis","page":"19-27","suppress-author":false,"title":"The WASOG Sarcoidosis Organ Assessment Instrument: An update of a previous clinical tool.","type":"article-journal","volume":"31"},{"DOI":"10.1513/AnnalsATS.201503-172OT","First":false,"Last":false,"PMCID":"PMC4627423","PMID":"26193069","abstract":"Sarcoidosis is a systemic disease characterized by noncaseating granulomatous inflammation with tremendous clinical heterogeneity and uncertain pathobiology and lacking in clinically useful biomarkers. The Genomic Research in Alpha-1 Antitrypsin Deficiency and Sarcoidosis (GRADS) study is an observational cohort study designed to explore the role of the lung microbiome and genome in these two diseases. This article describes the design and rationale for the GRADS study sarcoidosis protocol. The study addresses the hypothesis that distinct patterns in the lung microbiome are characteristic of sarcoidosis phenotypes and are reflected in changes in systemic inflammatory responses as measured by peripheral blood changes in gene transcription. The goal is to enroll 400 participants, with a minimum of 35 in each of 9 clinical phenotype subgroups prioritized by their clinical relevance to understanding of the pathobiology and clinical heterogeneity of sarcoidosis. Participants with a confirmed diagnosis of sarcoidosis undergo a baseline visit with self-administered questionnaires, chest computed tomography, pulmonary function tests, and blood and urine testing. A research or clinical bronchoscopy with a research bronchoalveolar lavage will be performed to obtain samples for genomic and microbiome analyses. Comparisons will be made by blood genomic analysis and with clinical phenotypic variables. A 6-month follow-up visit is planned to assess each participant's clinical course. By the use of an integrative approach to the analysis of the microbiome and genome in selected clinical phenotypes, the GRADS study is powerfully positioned to inform and direct studies on the pathobiology of sarcoidosis, identify diagnostic or prognostic biomarkers, and provide novel molecular phenotypes that could lead to improved personalized approaches to therapy for sarcoidosis.","author":[{"family":"Moller","given":"David R"},{"family":"Koth","given":"Laura L"},{"family":"Maier","given":"Lisa A"},{"family":"Morris","given":"Alison"},{"family":"Drake","given":"Wonder"},{"family":"Rossman","given":"Milton"},{"family":"Leader","given":"Joseph K"},{"family":"Collman","given":"Ronald G"},{"family":"Hamzeh","given":"Nabeel"},{"family":"Sweiss","given":"Nadera J"},{"family":"Zhang","given":"Yingze"},{"family":"O'Neal","given":"Scott"},{"family":"Senior","given":"Robert M"},{"family":"Becich","given":"Michael"},{"family":"Hochheiser","given":"Harry S"},{"family":"Kaminski","given":"Naftali"},{"family":"Wisniewski","given":"Stephen R"},{"family":"Gibson","given":"Kevin F"},{"family":"GRADS Sarcoidosis Study Group"}],"authorYearDisplayFormat":false,"citation-label":"1400043","container-title":"Annals of the American Thoracic Society","container-title-short":"Ann Am Thorac Soc","id":"1400043","invisible":false,"issue":"10","issued":{"date-parts":[["2015","10"]]},"journalAbbreviation":"Ann Am Thorac Soc","page":"1561-1571","suppress-author":false,"title":"Rationale and Design of the Genomic Research in Alpha-1 Antitrypsin Deficiency and Sarcoidosis (GRADS) Study. Sarcoidosis Protocol.","type":"article-journal","volume":"12"}]</w:instrText>
      </w:r>
      <w:r w:rsidR="009C6D44" w:rsidRPr="005A7F38">
        <w:fldChar w:fldCharType="separate"/>
      </w:r>
      <w:r w:rsidR="00B775CB" w:rsidRPr="00B775CB">
        <w:rPr>
          <w:noProof/>
          <w:vertAlign w:val="superscript"/>
        </w:rPr>
        <w:t>9,203</w:t>
      </w:r>
      <w:r w:rsidR="009C6D44" w:rsidRPr="005A7F38">
        <w:fldChar w:fldCharType="end"/>
      </w:r>
      <w:r w:rsidR="009C6D44" w:rsidRPr="005A7F38">
        <w:t xml:space="preserve"> This instrument was or</w:t>
      </w:r>
      <w:r w:rsidR="00ED4DA3" w:rsidRPr="005A7F38">
        <w:t>iginally designed for use as a part of the ACCESS study and has since then been modified to include new t</w:t>
      </w:r>
      <w:r w:rsidR="00C37A26" w:rsidRPr="005A7F38">
        <w:t xml:space="preserve">echnologies that have developed as well as to include </w:t>
      </w:r>
      <w:r w:rsidR="000360BE" w:rsidRPr="005A7F38">
        <w:t>possible organ involvement that was not considered in the ACCESS study.</w:t>
      </w:r>
      <w:r w:rsidR="00ED4DA3" w:rsidRPr="005A7F38">
        <w:t xml:space="preserve"> </w:t>
      </w:r>
      <w:r w:rsidR="00546830" w:rsidRPr="005A7F38">
        <w:t>The WASOG instrument has been used in several published studies and is an established way of confirming organ involvement. Using the WASOG instrument, clinical manifestations are assessed as either highly probable, at least a 90% likelihood of sarcoidosis causing the manifestation, probable, 90-50% likelihood of sarcoidosis causing the manifestation and possible, 50% or less likelihood of sarcoidosis causing the manifestation.</w:t>
      </w:r>
    </w:p>
    <w:p w14:paraId="31EEDE14" w14:textId="77777777" w:rsidR="006E3504" w:rsidRPr="005A7F38" w:rsidRDefault="006E3504" w:rsidP="002446BB">
      <w:pPr>
        <w:pStyle w:val="Heading5"/>
      </w:pPr>
      <w:r w:rsidRPr="005A7F38">
        <w:t>Questionnaires</w:t>
      </w:r>
    </w:p>
    <w:p w14:paraId="33CA6E52" w14:textId="288FED17" w:rsidR="002F0B0C" w:rsidRPr="005A7F38" w:rsidRDefault="008C1781" w:rsidP="0056758A">
      <w:pPr>
        <w:ind w:firstLine="0"/>
      </w:pPr>
      <w:r w:rsidRPr="005A7F38">
        <w:t xml:space="preserve">Standardized instruments were used to assess demographic characteristics, medical, environmental and occupational histories as well as symptoms of dyspnea and fatigue and measures of cognitive </w:t>
      </w:r>
      <w:r w:rsidRPr="005A7F38">
        <w:lastRenderedPageBreak/>
        <w:t xml:space="preserve">function and quality of life. </w:t>
      </w:r>
      <w:r w:rsidR="0038430A" w:rsidRPr="005A7F38">
        <w:t>Instruments that have been previously utilized in published clinical studies were used and included the Gastroesophageal Reflux Disease Questionnaire</w:t>
      </w:r>
      <w:r w:rsidR="00F537D5" w:rsidRPr="005A7F38">
        <w:t xml:space="preserve"> (</w:t>
      </w:r>
      <w:r w:rsidR="00666FE9">
        <w:t>GERDq),</w:t>
      </w:r>
      <w:r w:rsidR="0038430A" w:rsidRPr="005A7F38">
        <w:t>the University of California San Diego Shortness of Breath Questionnaire</w:t>
      </w:r>
      <w:r w:rsidR="00F537D5" w:rsidRPr="005A7F38">
        <w:t xml:space="preserve"> (</w:t>
      </w:r>
      <w:r w:rsidR="00666FE9">
        <w:t xml:space="preserve">UCSD SOBQ), </w:t>
      </w:r>
      <w:r w:rsidR="0038430A" w:rsidRPr="005A7F38">
        <w:t>the Fatigue Assessment Scale</w:t>
      </w:r>
      <w:r w:rsidR="00F537D5" w:rsidRPr="005A7F38">
        <w:t xml:space="preserve"> (</w:t>
      </w:r>
      <w:r w:rsidR="00666FE9">
        <w:t xml:space="preserve">FAS), </w:t>
      </w:r>
      <w:r w:rsidR="0038430A" w:rsidRPr="005A7F38">
        <w:t>the Patient-Reported Outcomes Measurement Information System fatigue profile</w:t>
      </w:r>
      <w:r w:rsidR="00F537D5" w:rsidRPr="005A7F38">
        <w:t xml:space="preserve"> (</w:t>
      </w:r>
      <w:r w:rsidR="00666FE9">
        <w:t xml:space="preserve">PROMIS), </w:t>
      </w:r>
      <w:r w:rsidR="0038430A" w:rsidRPr="005A7F38">
        <w:t>the Cognitive Failure Questionnaire</w:t>
      </w:r>
      <w:r w:rsidR="00913C8A" w:rsidRPr="005A7F38">
        <w:t xml:space="preserve"> (</w:t>
      </w:r>
      <w:r w:rsidR="00DB70BF">
        <w:t>CFQ</w:t>
      </w:r>
      <w:r w:rsidR="00913C8A" w:rsidRPr="005A7F38">
        <w:t>)</w:t>
      </w:r>
      <w:r w:rsidR="0038430A" w:rsidRPr="005A7F38">
        <w:t>, the Medical Outcomes Study 12-item Short Form Health Survey</w:t>
      </w:r>
      <w:r w:rsidR="00913C8A" w:rsidRPr="005A7F38">
        <w:t xml:space="preserve"> (</w:t>
      </w:r>
      <w:r w:rsidR="00DB70BF">
        <w:t>SF-12</w:t>
      </w:r>
      <w:r w:rsidR="00F537D5" w:rsidRPr="005A7F38">
        <w:t>)</w:t>
      </w:r>
      <w:r w:rsidR="0038430A" w:rsidRPr="005A7F38">
        <w:t>.</w:t>
      </w:r>
      <w:r w:rsidR="0038430A" w:rsidRPr="005A7F38">
        <w:fldChar w:fldCharType="begin"/>
      </w:r>
      <w:r w:rsidR="00B775CB">
        <w:instrText>ADDIN F1000_CSL_CITATION&lt;~#@#~&gt;[{"DOI":"10.1111/j.1365-2036.2009.04142.x","First":false,"Last":false,"PMID":"19737151","abstract":"&lt;strong&gt;BACKGROUND:&lt;/strong&gt; Accurate diagnosis and effective management of gastro-oesophageal reflux disease (GERD) can be challenging for clinicians and other health care professionals.&lt;br&gt;&lt;br&gt;&lt;strong&gt;AIM:&lt;/strong&gt; To develop a patient-centred, self-assessment questionnaire to assist health care professionals in the diagnosis and effective management of patients with GERD.&lt;br&gt;&lt;br&gt;&lt;strong&gt;METHODS:&lt;/strong&gt; Questions from patient-reported GERD instruments, previously documented in terms of content validity and psychometric properties (RDQ, GSRS and GIS) and data on the diagnosis of GERD in primary and secondary care were used in the formal development of a diagnostic and management tool, the GerdQ, involving psychometric validation and piloting in patient focus groups.&lt;br&gt;&lt;br&gt;&lt;strong&gt;RESULTS:&lt;/strong&gt; Analyses of data from over 300 primary care patients, moderated by patient input from qualitative interviews, were used to select specific items from the existing instruments to create a new six-item diagnostic and management tool (GerdQ). ROC analysis indicated a sensitivity for GerdQ of 65% and a specificity of 71% for the diagnosis of GERD, similar to that achieved by gastroenterologists.&lt;br&gt;&lt;br&gt;&lt;strong&gt;CONCLUSION:&lt;/strong&gt; The GerdQ is a potentially useful tool for family practitioners and other health care professionals in diagnosing and managing GERD without initial specialist referral or endoscopy.","author":[{"family":"Jones","given":"R"},{"family":"Junghard","given":"O"},{"family":"Dent","given":"J"},{"family":"Vakil","given":"N"},{"family":"Halling","given":"K"},{"family":"Wernersson","given":"B"},{"family":"Lind","given":"T"}],"authorYearDisplayFormat":false,"citation-label":"4529038","container-title":"Alimentary Pharmacology &amp; Therapeutics","container-title-short":"Aliment Pharmacol Ther","id":"4529038","invisible":false,"issue":"10","issued":{"date-parts":[["2009","11","15"]]},"journalAbbreviation":"Aliment Pharmacol Ther","page":"1030-1038","suppress-author":false,"title":"Development of the GerdQ, a tool for the diagnosis and management of gastro-oesophageal reflux disease in primary care.","type":"article-journal","volume":"30"},{"DOI":"10.1513/AnnalsATS.201503-172OT","First":false,"Last":false,"PMCID":"PMC4627423","PMID":"26193069","abstract":"Sarcoidosis is a systemic disease characterized by noncaseating granulomatous inflammation with tremendous clinical heterogeneity and uncertain pathobiology and lacking in clinically useful biomarkers. The Genomic Research in Alpha-1 Antitrypsin Deficiency and Sarcoidosis (GRADS) study is an observational cohort study designed to explore the role of the lung microbiome and genome in these two diseases. This article describes the design and rationale for the GRADS study sarcoidosis protocol. The study addresses the hypothesis that distinct patterns in the lung microbiome are characteristic of sarcoidosis phenotypes and are reflected in changes in systemic inflammatory responses as measured by peripheral blood changes in gene transcription. The goal is to enroll 400 participants, with a minimum of 35 in each of 9 clinical phenotype subgroups prioritized by their clinical relevance to understanding of the pathobiology and clinical heterogeneity of sarcoidosis. Participants with a confirmed diagnosis of sarcoidosis undergo a baseline visit with self-administered questionnaires, chest computed tomography, pulmonary function tests, and blood and urine testing. A research or clinical bronchoscopy with a research bronchoalveolar lavage will be performed to obtain samples for genomic and microbiome analyses. Comparisons will be made by blood genomic analysis and with clinical phenotypic variables. A 6-month follow-up visit is planned to assess each participant's clinical course. By the use of an integrative approach to the analysis of the microbiome and genome in selected clinical phenotypes, the GRADS study is powerfully positioned to inform and direct studies on the pathobiology of sarcoidosis, identify diagnostic or prognostic biomarkers, and provide novel molecular phenotypes that could lead to improved personalized approaches to therapy for sarcoidosis.","author":[{"family":"Moller","given":"David R"},{"family":"Koth","given":"Laura L"},{"family":"Maier","given":"Lisa A"},{"family":"Morris","given":"Alison"},{"family":"Drake","given":"Wonder"},{"family":"Rossman","given":"Milton"},{"family":"Leader","given":"Joseph K"},{"family":"Collman","given":"Ronald G"},{"family":"Hamzeh","given":"Nabeel"},{"family":"Sweiss","given":"Nadera J"},{"family":"Zhang","given":"Yingze"},{"family":"O'Neal","given":"Scott"},{"family":"Senior","given":"Robert M"},{"family":"Becich","given":"Michael"},{"family":"Hochheiser","given":"Harry S"},{"family":"Kaminski","given":"Naftali"},{"family":"Wisniewski","given":"Stephen R"},{"family":"Gibson","given":"Kevin F"},{"family":"GRADS Sarcoidosis Study Group"}],"authorYearDisplayFormat":false,"citation-label":"1400043","container-title":"Annals of the American Thoracic Society","container-title-short":"Ann Am Thorac Soc","id":"1400043","invisible":false,"issue":"10","issued":{"date-parts":[["2015","10"]]},"journalAbbreviation":"Ann Am Thorac Soc","page":"1561-1571","suppress-author":false,"title":"Rationale and Design of the Genomic Research in Alpha-1 Antitrypsin Deficiency and Sarcoidosis (GRADS) Study. Sarcoidosis Protocol.","type":"article-journal","volume":"12"}]</w:instrText>
      </w:r>
      <w:r w:rsidR="0038430A" w:rsidRPr="005A7F38">
        <w:fldChar w:fldCharType="separate"/>
      </w:r>
      <w:r w:rsidR="00B775CB" w:rsidRPr="00B775CB">
        <w:rPr>
          <w:noProof/>
          <w:vertAlign w:val="superscript"/>
        </w:rPr>
        <w:t>9,204</w:t>
      </w:r>
      <w:r w:rsidR="0038430A" w:rsidRPr="005A7F38">
        <w:fldChar w:fldCharType="end"/>
      </w:r>
    </w:p>
    <w:p w14:paraId="77F71D72" w14:textId="2032972D" w:rsidR="002F0B0C" w:rsidRPr="005A7F38" w:rsidRDefault="002F0B0C" w:rsidP="002446BB">
      <w:r w:rsidRPr="005A7F38">
        <w:t xml:space="preserve">The SF-12 was used to evaluate patient’s quality of life. The UCSD SOBQ is a </w:t>
      </w:r>
      <w:r w:rsidR="004729D2" w:rsidRPr="005A7F38">
        <w:t xml:space="preserve">validated </w:t>
      </w:r>
      <w:r w:rsidRPr="005A7F38">
        <w:t>twenty-four item tool that assesses shortness of breath and has been used in studies of interstitial lung disease.</w:t>
      </w:r>
      <w:r w:rsidR="004729D2" w:rsidRPr="005A7F38">
        <w:fldChar w:fldCharType="begin"/>
      </w:r>
      <w:r w:rsidR="00B775CB">
        <w:instrText>ADDIN F1000_CSL_CITATION&lt;~#@#~&gt;[{"First":false,"Last":false,"PMID":"9515834","abstract":"&lt;strong&gt;OBJECTIVE:&lt;/strong&gt; Evaluate the reliability and validity of a new version of the University of California, San Diego Shortness of Breath Questionnaire (SOBQ), a 24-item measure that assesses self-reported shortness of breath while performing a variety of activities of daily living.&lt;br&gt;&lt;br&gt;&lt;strong&gt;DESIGN:&lt;/strong&gt; PATIENTS enrolled in a pulmonary rehabilitation program were asked to complete the SOBQ, the Quality of Well-Being Scale, the Center for Epidemiologic Studies Depression Scale, and a 6-min walk with modified Borg scale ratings of perceived breathlessness following the walk.&lt;br&gt;&lt;br&gt;&lt;strong&gt;SETTING:&lt;/strong&gt; University medical center pulmonary rehabilitation program.&lt;br&gt;&lt;br&gt;&lt;strong&gt;PATIENTS:&lt;/strong&gt; Thirty-two male subjects and 22 female subjects with a variety of pulmonary diagnoses: COPD (n=28), cystic fibrosis (n=9), and postlung transplant (n=17).&lt;br&gt;&lt;br&gt;&lt;strong&gt;MEASUREMENTS AND RESULTS:&lt;/strong&gt; The current version of the SOBQ was compared with the previous version, the format of which often resulted in a significant number of \"not applicable\" answers. The results demonstrated that the SOBQ had excellent internal consistency (alpha=0.96). The SOBQ was also significantly correlated with all validity criteria.&lt;br&gt;&lt;br&gt;&lt;strong&gt;CONCLUSIONS:&lt;/strong&gt; The SOBQ is a valuable assessment tool in both clinical practice and research in patients with moderate-to-severe lung disease.","author":[{"family":"Eakin","given":"E G"},{"family":"Resnikoff","given":"P M"},{"family":"Prewitt","given":"L M"},{"family":"Ries","given":"A L"},{"family":"Kaplan","given":"R M"}],"authorYearDisplayFormat":false,"citation-label":"3052405","container-title":"Chest","container-title-short":"Chest","id":"3052405","invisible":false,"issue":"3","issued":{"date-parts":[["1998","3"]]},"journalAbbreviation":"Chest","page":"619-624","suppress-author":false,"title":"Validation of a new dyspnea measure: the UCSD Shortness of Breath Questionnaire. University of California, San Diego.","type":"article-journal","volume":"113"}]</w:instrText>
      </w:r>
      <w:r w:rsidR="004729D2" w:rsidRPr="005A7F38">
        <w:fldChar w:fldCharType="separate"/>
      </w:r>
      <w:r w:rsidR="00B775CB" w:rsidRPr="00B775CB">
        <w:rPr>
          <w:noProof/>
          <w:vertAlign w:val="superscript"/>
        </w:rPr>
        <w:t>205</w:t>
      </w:r>
      <w:r w:rsidR="004729D2" w:rsidRPr="005A7F38">
        <w:fldChar w:fldCharType="end"/>
      </w:r>
      <w:r w:rsidRPr="005A7F38">
        <w:t xml:space="preserve"> Both the PROMIS and FAS evaluate </w:t>
      </w:r>
      <w:r w:rsidR="009C6E62" w:rsidRPr="005A7F38">
        <w:t>fatigue and have</w:t>
      </w:r>
      <w:r w:rsidR="00C54501" w:rsidRPr="005A7F38">
        <w:t xml:space="preserve"> been validated in p</w:t>
      </w:r>
      <w:r w:rsidR="009C6E62" w:rsidRPr="005A7F38">
        <w:t>revious studies of sarcoidosis.</w:t>
      </w:r>
      <w:r w:rsidR="00E47AB3" w:rsidRPr="005A7F38">
        <w:fldChar w:fldCharType="begin"/>
      </w:r>
      <w:r w:rsidR="00B775CB">
        <w:instrText>ADDIN F1000_CSL_CITATION&lt;~#@#~&gt;[{"DOI":"10.1348/1359107041557048","First":false,"Last":false,"PMID":"15296678","abstract":"Fatigue is a major problem in a wide range of diseases including sarcoidosis. However, there is no standard measure for assessing fatigue. Therefore, the aim of the present study was to evaluate the usefulness of the Fatigue Assessment Scale (FAS) in two samples of sarcoidosis patients. Sample 1 included 1 046 members of the Dutch Sarcoidosis Society and Sample 2 consisted of 80 sarcoidosis patients of the outpatient clinic of the Sarcoidosis Management Centre Maastricht, the Netherlands. All patients completed the FAS as well as the 'energy and fatigue' subscale of the WHOQOL-100. Additionally, the participants of Sample 1 filled in the Beck Depression Inventory (BDI). In addition, 241 patients of Sample 1 completed the FAS for the second time after a one-week interval. The FAS appeared to be a unidimensional scale. The content validity, construct validity and internal consistency of the FAS were good. The test - retest reliability was.89. Four FAS items appeared to have a gender bias: three items were uniformly biased and one item non-uniformly biased. Correction for gender bias in the calculation of the FAS total score is not indicated. In conclusion, the FAS is a promising measure for assessing fatigue in sarcoidosis patients.","author":[{"family":"De Vries","given":"Jolanda"},{"family":"Michielsen","given":"Helen"},{"family":"Van Heck","given":"Guus L"},{"family":"Drent","given":"Marjolein"}],"authorYearDisplayFormat":false,"citation-label":"906507","container-title":"British journal of health psychology","container-title-short":"Br J Health Psychol","id":"906507","invisible":false,"issue":"Pt 3","issued":{"date-parts":[["2004","9"]]},"journalAbbreviation":"Br J Health Psychol","page":"279-291","suppress-author":false,"title":"Measuring fatigue in sarcoidosis: the Fatigue Assessment Scale (FAS).","type":"article-journal","volume":"9"},{"DOI":"10.1378/chest.130.4.989","First":false,"Last":false,"PMID":"17035429","abstract":"&lt;strong&gt;BACKGROUND:&lt;/strong&gt; Fatigue is one of the core symptoms of sarcoidosis patients. Although it is known that fatigue affects quality of life (QOL) in other patient groups, this relationship has never been studied in sarcoidosis patients using a reliable and valid fatigue scale and a multidimensional QOL instrument. The present cross-sectional study among sarcoidosis patients attempts to gain more insight into this relationship.&lt;br&gt;&lt;br&gt;&lt;strong&gt;METHODS:&lt;/strong&gt; One hundred forty-five sarcoidosis patients of an outpatient pulmonary clinic in Zagreb, Croatia, completed the Fatigue Assessment Scale (FAS) and QOL scale (World Health Organization Quality of Life Assessment Instrument-100) between January 2002 and May 2004. Clinical parameters were derived from the patients' medical files.&lt;br&gt;&lt;br&gt;&lt;strong&gt;RESULTS:&lt;/strong&gt; Tired patients reported a worse QOL in all domains and fatigue negatively predicted all QOL domains by means of multivariate regression analyses (beta values ranging from - 0.31 to - 0.64, all p &lt;  0.001). Corticosteroid use was not a predictor of QOL. Diffusion capacity of the lung for carbon monoxide was the only clinical parameter associated with a QOL domain, namely level of independence.&lt;br&gt;&lt;br&gt;&lt;strong&gt;CONCLUSIONS:&lt;/strong&gt; Fatigue was related to all QOL domains. Furthermore, standard clinical parameters were not associated with fatigue or QOL, except for level of independence. If these results were to be replicated in a prospective study, fatigue as measured by the FAS could be a good indicator of QOL in sarcoidosis patients.","author":[{"family":"Michielsen","given":"Helen J"},{"family":"Drent","given":"Marjolein"},{"family":"Peros-Golubicic","given":"Tatjana"},{"family":"De Vries","given":"Jolanda"}],"authorYearDisplayFormat":false,"citation-label":"4531122","container-title":"Chest","container-title-short":"Chest","id":"4531122","invisible":false,"issue":"4","issued":{"date-parts":[["2006","10"]]},"journalAbbreviation":"Chest","page":"989-994","suppress-author":false,"title":"Fatigue is associated with quality of life in sarcoidosis patients.","type":"article-journal","volume":"130"},{"DOI":"10.1002/acr.22025","First":false,"Last":false,"PMCID":"PMC3779528","PMID":"23592494","abstract":"&lt;strong&gt;OBJECTIVE:&lt;/strong&gt; Evaluation of known-group validity, ecological validity, and test-retest reliability of 4 domain instruments from the Patient-Reported Outcomes Measurement Information System (PROMIS) in osteoarthritis (OA) patients.&lt;br&gt;&lt;br&gt;&lt;strong&gt;METHODS:&lt;/strong&gt; We recruited an OA sample and a comparison general population (GP) sample through an internet survey panel. Pain intensity, pain interference, physical functioning, and fatigue were assessed for 4 consecutive weeks with PROMIS short forms on a daily basis and compared with same-domain Computer Adaptive Testing (CAT) instruments that use a 7-day recall. Known-group validity (comparison of OA and GP), ecological validity (comparison of aggregated daily measures with CAT instruments), and test-retest reliability were evaluated.&lt;br&gt;&lt;br&gt;&lt;strong&gt;RESULTS:&lt;/strong&gt; The recruited samples matched the demographic characteristics (age, sex, race, and ethnicity) of the US sample for arthritis and the 2009 Census for the GP. Compliance with repeated measurements was excellent at &gt;95%. Known-group validity for CATs was demonstrated with large effect sizes (pain intensity 1.42, pain interference 1.25, and fatigue 0.85). Ecological validity was also established through high correlations between aggregated daily measures and weekly CATs (≥0.86). Test-retest validity (7-day) was very good (≥0.80).&lt;br&gt;&lt;br&gt;&lt;strong&gt;CONCLUSION:&lt;/strong&gt; PROMIS CAT instruments demonstrated known-group and ecological validity in a comparison of OA patients with a GP sample. Adequate test-retest reliability was also observed. These data provide encouraging initial data on the utility of these PROMIS instruments for clinical and research outcomes in OA patients.&lt;br&gt;&lt;br&gt;Copyright © 2013 by the American College of Rheumatology.","author":[{"family":"Broderick","given":"Joan E"},{"family":"Schneider","given":"Stefan"},{"family":"Junghaenel","given":"Doerte U"},{"family":"Schwartz","given":"Joseph E"},{"family":"Stone","given":"Arthur A"}],"authorYearDisplayFormat":false,"citation-label":"323198","container-title":"Arthritis Care &amp; Research","container-title-short":"Arthritis Care Res (Hoboken)","id":"323198","invisible":false,"issue":"10","issued":{"date-parts":[["2013","10"]]},"journalAbbreviation":"Arthritis Care Res (Hoboken)","page":"1625-1633","suppress-author":false,"title":"Validity and reliability of patient-reported outcomes measurement information system instruments in osteoarthritis.","type":"article-journal","volume":"65"},{"DOI":"10.1016/j.jclinepi.2010.04.011","First":false,"Last":false,"PMCID":"PMC2965562","PMID":"20685078","abstract":"&lt;strong&gt;OBJECTIVES:&lt;/strong&gt; Patient-reported outcomes (PROs) are essential when evaluating many new treatments in health care; yet, current measures have been limited by a lack of precision, standardization, and comparability of scores across studies and diseases. The Patient-Reported Outcomes Measurement Information System (PROMIS) provides item banks that offer the potential for efficient (minimizes item number without compromising reliability), flexible (enables optional use of interchangeable items), and precise (has minimal error in estimate) measurement of commonly studied PROs. We report results from the first large-scale testing of PROMIS items.&lt;br&gt;&lt;br&gt;&lt;strong&gt;STUDY DESIGN AND SETTING:&lt;/strong&gt; Fourteen item pools were tested in the U.S. general population and clinical groups using an online panel and clinic recruitment. A scale-setting subsample was created reflecting demographics proportional to the 2000 U.S. census.&lt;br&gt;&lt;br&gt;&lt;strong&gt;RESULTS:&lt;/strong&gt; Using item-response theory (graded response model), 11 item banks were calibrated on a sample of 21,133, measuring components of self-reported physical, mental, and social health, along with a 10-item Global Health Scale. Short forms from each bank were developed and compared with the overall bank and with other well-validated and widely accepted (\"legacy\") measures. All item banks demonstrated good reliability across most of the score distributions. Construct validity was supported by moderate to strong correlations with legacy measures.&lt;br&gt;&lt;br&gt;&lt;strong&gt;CONCLUSION:&lt;/strong&gt; PROMIS item banks and their short forms provide evidence that they are reliable and precise measures of generic symptoms and functional reports comparable to legacy instruments. Further testing will continue to validate and test PROMIS items and banks in diverse clinical populations.&lt;br&gt;&lt;br&gt;Copyright © 2010 Elsevier Inc. All rights reserved.","author":[{"family":"Cella","given":"David"},{"family":"Riley","given":"William"},{"family":"Stone","given":"Arthur"},{"family":"Rothrock","given":"Nan"},{"family":"Reeve","given":"Bryce"},{"family":"Yount","given":"Susan"},{"family":"Amtmann","given":"Dagmar"},{"family":"Bode","given":"Rita"},{"family":"Buysse","given":"Daniel"},{"family":"Choi","given":"Seung"},{"family":"Cook","given":"Karon"},{"family":"Devellis","given":"Robert"},{"family":"DeWalt","given":"Darren"},{"family":"Fries","given":"James F"},{"family":"Gershon","given":"Richard"},{"family":"Hahn","given":"Elizabeth A"},{"family":"Lai","given":"Jin-Shei"},{"family":"Pilkonis","given":"Paul"},{"family":"Revicki","given":"Dennis"},{"family":"Rose","given":"Matthias"},{"family":"Weinfurt","given":"Kevin"},{"family":"Hays","given":"Ron"},{"family":"PROMIS Cooperative Group"}],"authorYearDisplayFormat":false,"citation-label":"4239090","container-title":"Journal of Clinical Epidemiology","container-title-short":"J Clin Epidemiol","id":"4239090","invisible":false,"issue":"11","issued":{"date-parts":[["2010","11"]]},"journalAbbreviation":"J Clin Epidemiol","page":"1179-1194","suppress-author":false,"title":"The Patient-Reported Outcomes Measurement Information System (PROMIS) developed and tested its first wave of adult self-reported health outcome item banks: 2005-2008.","type":"article-journal","volume":"63"}]</w:instrText>
      </w:r>
      <w:r w:rsidR="00E47AB3" w:rsidRPr="005A7F38">
        <w:fldChar w:fldCharType="separate"/>
      </w:r>
      <w:r w:rsidR="00B775CB" w:rsidRPr="00B775CB">
        <w:rPr>
          <w:noProof/>
          <w:vertAlign w:val="superscript"/>
        </w:rPr>
        <w:t>206–209</w:t>
      </w:r>
      <w:r w:rsidR="00E47AB3" w:rsidRPr="005A7F38">
        <w:fldChar w:fldCharType="end"/>
      </w:r>
      <w:r w:rsidR="009C6E62" w:rsidRPr="005A7F38">
        <w:t xml:space="preserve"> </w:t>
      </w:r>
      <w:r w:rsidR="004729D2" w:rsidRPr="005A7F38">
        <w:t>The CFQ assesses cognitive function and was been used in studies of sarcoidosis previously.</w:t>
      </w:r>
      <w:r w:rsidR="00E47AB3" w:rsidRPr="005A7F38">
        <w:fldChar w:fldCharType="begin"/>
      </w:r>
      <w:r w:rsidR="00B775CB">
        <w:instrText>ADDIN F1000_CSL_CITATION&lt;~#@#~&gt;[{"DOI":"10.1111/j.2044-8260.1982.tb01421.x","First":false,"Last":false,"PMID":"7126941","abstract":"This paper describes a questionnaire measure of self-reported failures in perception, memory, and motor function. Responses to all questions tend to be positively correlated, and the whole questionnaire correlates with other recent measures of self-reported deficit in memory, absent-mindedness, or slips of action. The questionnaire is however only weakly correlated with indices of social desirability set or of neuroticism. It is significantly correlated with ratings of the respondent by his or her spouse, and accordingly does have some external significance rather than purely private opinion of the self. The score is reasonably stable over long periods, to about the same extent as traditional measures of trait rather than state. Furthermore, it has not thus far been found to change in persons exposed to life-stresses. However, it does frequently correlate with the number of current psychiatric symptoms reported by the same person on the MHQ; and in one study it has been found that CFQ predicts subsequent MHQ in persons who work at a stressful job in the interval. It does not do so in those who work in a less stressful environment. The most plausible view is that cognitive failure makes a person vulnerable to showing bad effects of stress, rather than itself resulting from stress.","author":[{"family":"Broadbent","given":"D E"},{"family":"Cooper","given":"P F"},{"family":"FitzGerald","given":"P"},{"family":"Parkes","given":"K R"}],"authorYearDisplayFormat":false,"citation-label":"3035726","container-title":"The British Journal of Clinical Psychology","container-title-short":"Br J Clin Psychol","id":"3035726","invisible":false,"issued":{"date-parts":[["1982","2"]]},"journalAbbreviation":"Br J Clin Psychol","page":"1-16","suppress-author":false,"title":"The Cognitive Failures Questionnaire (CFQ) and its correlates.","type":"article-journal","volume":"21 (Pt 1)"},{"DOI":"10.1513/AnnalsATS.201503-143OC","First":false,"Last":false,"PMCID":"PMC4627425","PMID":"26153726","abstract":"Severe deficiency of alpha-1 antitrypsin has a highly variable clinical presentation. The Genomic Research in Alpha-1 Antitrypsin Deficiency and Sarcoidosis α1 Study is a prospective, multicenter, cross-sectional study of adults older than age 35 years with PiZZ or PiMZ alpha-1 antitrypsin genotypes. It is designed to better understand if microbial factors influence this heterogeneity. Clinical symptoms, pulmonary function testing, computed chest tomography, exercise capacity, and bronchoalveolar lavage (BAL) will be used to define chronic obstructive pulmonary disease (COPD) phenotypes that can be studied with an integrated systems biology approach that includes plasma proteomics; mouth, BAL, and stool microbiome and virome analysis; and blood microRNA and blood mononuclear cell RNA and DNA profiling. We will rely on global genome, transcriptome, proteome, and metabolome datasets. Matched cohorts of PiZZ participants on or off alpha-1 antitrypsin augmentation therapy, PiMZ participants not on augmentation therapy, and control participants from the Subpopulations and Intermediate Outcome Measures in COPD Study who match on FEV1 and age will be compared. In the primary analysis, we will determine if the PiZZ individuals on augmentation therapy have a difference in lower respiratory tract microbes identified compared with matched PiZZ individuals who are not on augmentation therapy. By characterizing the microbiome in alpha-1 antitrypsin deficiency (AATD), we hope to define new phenotypes of COPD that explain some of the diversity of clinical presentations. As a unique genetic cause of COPD, AATD may inform typical COPD pathogenesis, and better understanding of it may illuminate the complex interplay between environment and genetics. Although the biologic approaches are hypothesis generating, the results may lead to development of novel biomarkers, better understanding of COPD phenotypes, and development of novel diagnostic and therapeutic trials in AATD and COPD. Clinical trial registered with www.clinicaltrials.gov (NCT01832220).","author":[{"family":"Strange","given":"Charlie"},{"family":"Senior","given":"Robert M"},{"family":"Sciurba","given":"Frank"},{"family":"O'Neal","given":"Scott"},{"family":"Morris","given":"Alison"},{"family":"Wisniewski","given":"Stephen R"},{"family":"Bowler","given":"Russell"},{"family":"Hochheiser","given":"Harry S"},{"family":"Becich","given":"Michael J"},{"family":"Zhang","given":"Yingze"},{"family":"Leader","given":"Joseph K"},{"family":"Methé","given":"Barbara A"},{"family":"Kaminski","given":"Naftali"},{"family":"Sandhaus","given":"Robert A"},{"family":"GRADS Alpha-1 Study Group"}],"authorYearDisplayFormat":false,"citation-label":"1400044","container-title":"Annals of the American Thoracic Society","container-title-short":"Ann Am Thorac Soc","id":"1400044","invisible":false,"issue":"10","issued":{"date-parts":[["2015","10"]]},"journalAbbreviation":"Ann Am Thorac Soc","page":"1551-1560","suppress-author":false,"title":"Rationale and Design of the Genomic Research in Alpha-1 Antitrypsin Deficiency and Sarcoidosis Study. Alpha-1 Protocol.","type":"article-journal","volume":"12"},{"DOI":"10.1159/000314225","First":false,"Last":false,"PMID":"20431280","abstract":"&lt;strong&gt;BACKGROUND:&lt;/strong&gt; Cognitive symptoms, such as concentration problems, are frequently recorded by sarcoidosis patients.&lt;br&gt;&lt;br&gt;&lt;strong&gt;OBJECTIVES:&lt;/strong&gt; The aim of this study was to assess the prevalence of perceived everyday cognitive failure in sarcoidosis patients and healthy controls. Furthermore, the effect of treatment on cognitive functioning was examined.&lt;br&gt;&lt;br&gt;&lt;strong&gt;METHODS:&lt;/strong&gt; The study included 343 sarcoidosis patients (44.6% females; age 49.3 +/- 11.0 years). They completed the Cognitive Failure Questionnaire (CFQ) and Fatigue Assessment Scale (FAS) at baseline and the 6-month follow-up to evaluate the effect of treatment on cognitive functioning. The control group consisted of 343 age- and sex-matched healthy controls.&lt;br&gt;&lt;br&gt;&lt;strong&gt;RESULTS:&lt;/strong&gt; The mean CFQ score was significantly higher in sarcoidosis patients (37.3 +/- 16.1) compared with the controls (31.3 +/- 10.1; p &lt;  0.0001).A high CFQ sore (&gt; or =43) was found in 35.0% of the patients and only 14.3% of the controls. No relation with disease severity and duration, or disease location was found. The proportion of patients receiving treatment did not differ among the groups with high and normal CFQ score. At the 6-month follow-up, only patients recently treated with anti-TNF-alpha therapy (n = 42) demonstrated a significant improvement in the CFQ score (Delta -7.07 +/- 7.23) compared with the untreated patients (Delta -0.08 +/- 9.35) and patients treated with prednisone with or without methotrexate (Delta 1.67 +/- 9.22; p &lt;  0.0001). After adjustment for the concomitant decrease in fatigue, the effect of anti-TNF-alpha therapy remained high and significant.&lt;br&gt;&lt;br&gt;&lt;strong&gt;CONCLUSIONS:&lt;/strong&gt; Subjective cognitive failure is a substantial problem in sarcoidosis patients regardless of disease severity. Anti-TNF-alpha therapy had a positive effect on cognition, fatigue and other symptoms of sarcoidosis.&lt;br&gt;&lt;br&gt;Copyright (c) 2010 S. Karger AG, Basel.","author":[{"family":"Elfferich","given":"Marjon D"},{"family":"Nelemans","given":"Patty J"},{"family":"Ponds","given":"Rudolf W"},{"family":"De Vries","given":"Jolanda"},{"family":"Wijnen","given":"Petal A"},{"family":"Drent","given":"Marjolein"}],"authorYearDisplayFormat":false,"citation-label":"4531124","container-title":"Respiration; International Review of Thoracic Diseases","container-title-short":"Respiration","id":"4531124","invisible":false,"issue":"3","issued":{"date-parts":[["2010","4","29"]]},"journalAbbreviation":"Respiration","page":"212-219","suppress-author":false,"title":"Everyday cognitive failure in sarcoidosis: the prevalence and the effect of anti-TNF-alpha treatment.","type":"article-journal","volume":"80"}]</w:instrText>
      </w:r>
      <w:r w:rsidR="00E47AB3" w:rsidRPr="005A7F38">
        <w:fldChar w:fldCharType="separate"/>
      </w:r>
      <w:r w:rsidR="00B775CB" w:rsidRPr="00B775CB">
        <w:rPr>
          <w:noProof/>
          <w:vertAlign w:val="superscript"/>
        </w:rPr>
        <w:t>191,210,211</w:t>
      </w:r>
      <w:r w:rsidR="00E47AB3" w:rsidRPr="005A7F38">
        <w:fldChar w:fldCharType="end"/>
      </w:r>
    </w:p>
    <w:p w14:paraId="5E31A090" w14:textId="06DE9056" w:rsidR="0038430A" w:rsidRPr="005A7F38" w:rsidRDefault="0038430A" w:rsidP="002446BB">
      <w:r w:rsidRPr="005A7F38">
        <w:t>Instruments to collect data regarding demographics, including race, age, sex and SES as well as current medical history including infections, comorbid conditions and drug use were based off the instruments used in the ACCESS study and from the Lung Microbiome Questionnaire.</w:t>
      </w:r>
      <w:r w:rsidRPr="005A7F38">
        <w:fldChar w:fldCharType="begin"/>
      </w:r>
      <w:r w:rsidR="00B775CB">
        <w:instrText>ADDIN F1000_CSL_CITATION&lt;~#@#~&gt;[{"First":false,"Last":false,"PMID":"10580780","abstract":"Sarcoidosis is a chronic granulomatous disorder of unknown cause, characterized by activation of T-lymphocytes and macrophages. A Case Control Etiologic Study of Sarcoidosis (ACCESS) is a multicenter study designed to determine the etiology of sarcoidosis. The study organization includes 10 Clinical Centers, a Clinical Coordinating Center, specialized Core Laboratories, a Central Specimen Repository, and a Project Office at the National Heart, Lung, and Blood Institute. In addition to etiology, ACCESS will examine the socioeconomic status and clinical course of patients with sarcoidosis. We propose to enroll 720 newly diagnosed cases of sarcoidosis and compare them to 720 age, sex, and race matched controls and follow the first 240 cases for two years. Leads to the etiology of sarcoidosis have come from diverse sources: in clinical laboratory investigations, alveolitis has been found to precede granulomatous inflammation; in case control studies, familial aggregation has been identified; and in case reports, recurrence of granulomatous inflammation has been observed after lung transplantation. We describe the rationale for the study design based on genetic, environmental, infectious, and immune dysregulation hypotheses and the methods used for selecting controls. The cause may not prove to be a single, known exposure. Interactions of exposures with genetic predispositions would have important implications for our understanding of immune responses as well as the pathogenesis of sarcoidosis.","authorYearDisplayFormat":false,"citation-label":"4444544","container-title":"Journal of Clinical Epidemiology","container-title-short":"J Clin Epidemiol","id":"4444544","invisible":false,"issue":"12","issued":{"date-parts":[["1999","12"]]},"journalAbbreviation":"J Clin Epidemiol","page":"1173-1186","suppress-author":false,"title":"Design of a case control etiologic study of sarcoidosis (ACCESS). ACCESS Research Group.","type":"article-journal","volume":"52"},{"First":false,"Last":false,"PMID":"16053022","abstract":"Sarcoidosis is a multisystem disorder of unknown cause(s). Despite the knowledge gained during the last decade regarding the pathogenetic mechanisms accounting for the onset, maintenance or evolution of the disease, its etiology is still elusive. To solve this problem, the National Heart, Lung, and Blood Institute (NHLBI) set up a multicenter study, i.e. the ACCESS study (A Case Control Etiologic Study of Sarcoidosis). The study has been designed to validate four major categories of etiological hypotheses (genetic, environmental, infectious and immune dysregulation hypotheses) and its primary endpoint is the discovery of the cause(s) of sarcoidosis. A definite etiology of sarcoidosis was not found, however, the results of ACCESS offer hypotheses for future targeted studies in the search for the cause(s) of the disease and a rich base of case and control data was established for future studies. Lessons learned from ACCESS suggest that hope for finding the etiology of sarcoidosis comes from large, collaborative studies.","author":[{"family":"Semenzato","given":"Gianpietro"}],"authorYearDisplayFormat":false,"citation-label":"4226461","container-title":"Sarcoidosis, vasculitis, and diffuse lung diseases : official journal of WASOG / World Association of Sarcoidosis and Other Granulomatous Disorders","container-title-short":"Sarcoidosis Vasc Diffuse Lung Dis","id":"4226461","invisible":false,"issue":"2","issued":{"date-parts":[["2005","6"]]},"journalAbbreviation":"Sarcoidosis Vasc Diffuse Lung Dis","page":"83-86","suppress-author":false,"title":"ACCESS: A case control etiologic study of sarcoidosis.","type":"article-journal","volume":"22"},{"DOI":"10.1513/AnnalsATS.201503-172OT","First":false,"Last":false,"PMCID":"PMC4627423","PMID":"26193069","abstract":"Sarcoidosis is a systemic disease characterized by noncaseating granulomatous inflammation with tremendous clinical heterogeneity and uncertain pathobiology and lacking in clinically useful biomarkers. The Genomic Research in Alpha-1 Antitrypsin Deficiency and Sarcoidosis (GRADS) study is an observational cohort study designed to explore the role of the lung microbiome and genome in these two diseases. This article describes the design and rationale for the GRADS study sarcoidosis protocol. The study addresses the hypothesis that distinct patterns in the lung microbiome are characteristic of sarcoidosis phenotypes and are reflected in changes in systemic inflammatory responses as measured by peripheral blood changes in gene transcription. The goal is to enroll 400 participants, with a minimum of 35 in each of 9 clinical phenotype subgroups prioritized by their clinical relevance to understanding of the pathobiology and clinical heterogeneity of sarcoidosis. Participants with a confirmed diagnosis of sarcoidosis undergo a baseline visit with self-administered questionnaires, chest computed tomography, pulmonary function tests, and blood and urine testing. A research or clinical bronchoscopy with a research bronchoalveolar lavage will be performed to obtain samples for genomic and microbiome analyses. Comparisons will be made by blood genomic analysis and with clinical phenotypic variables. A 6-month follow-up visit is planned to assess each participant's clinical course. By the use of an integrative approach to the analysis of the microbiome and genome in selected clinical phenotypes, the GRADS study is powerfully positioned to inform and direct studies on the pathobiology of sarcoidosis, identify diagnostic or prognostic biomarkers, and provide novel molecular phenotypes that could lead to improved personalized approaches to therapy for sarcoidosis.","author":[{"family":"Moller","given":"David R"},{"family":"Koth","given":"Laura L"},{"family":"Maier","given":"Lisa A"},{"family":"Morris","given":"Alison"},{"family":"Drake","given":"Wonder"},{"family":"Rossman","given":"Milton"},{"family":"Leader","given":"Joseph K"},{"family":"Collman","given":"Ronald G"},{"family":"Hamzeh","given":"Nabeel"},{"family":"Sweiss","given":"Nadera J"},{"family":"Zhang","given":"Yingze"},{"family":"O'Neal","given":"Scott"},{"family":"Senior","given":"Robert M"},{"family":"Becich","given":"Michael"},{"family":"Hochheiser","given":"Harry S"},{"family":"Kaminski","given":"Naftali"},{"family":"Wisniewski","given":"Stephen R"},{"family":"Gibson","given":"Kevin F"},{"family":"GRADS Sarcoidosis Study Group"}],"authorYearDisplayFormat":false,"citation-label":"1400043","container-title":"Annals of the American Thoracic Society","container-title-short":"Ann Am Thorac Soc","id":"1400043","invisible":false,"issue":"10","issued":{"date-parts":[["2015","10"]]},"journalAbbreviation":"Ann Am Thorac Soc","page":"1561-1571","suppress-author":false,"title":"Rationale and Design of the Genomic Research in Alpha-1 Antitrypsin Deficiency and Sarcoidosis (GRADS) Study. Sarcoidosis Protocol.","type":"article-journal","volume":"12"}]</w:instrText>
      </w:r>
      <w:r w:rsidRPr="005A7F38">
        <w:fldChar w:fldCharType="separate"/>
      </w:r>
      <w:r w:rsidR="00B775CB" w:rsidRPr="00B775CB">
        <w:rPr>
          <w:noProof/>
          <w:vertAlign w:val="superscript"/>
        </w:rPr>
        <w:t>9,49,85</w:t>
      </w:r>
      <w:r w:rsidRPr="005A7F38">
        <w:fldChar w:fldCharType="end"/>
      </w:r>
      <w:r w:rsidR="004729D2" w:rsidRPr="005A7F38">
        <w:t xml:space="preserve"> A detailed occupational, residential and environmental exposure history was collected using modifications of the ACCESS occupational and environmental questionnaires</w:t>
      </w:r>
      <w:r w:rsidR="006F5D48">
        <w:t xml:space="preserve"> (Appendix A)</w:t>
      </w:r>
      <w:r w:rsidR="004729D2" w:rsidRPr="005A7F38">
        <w:t>.</w:t>
      </w:r>
      <w:r w:rsidR="00B25B09" w:rsidRPr="005A7F38">
        <w:fldChar w:fldCharType="begin"/>
      </w:r>
      <w:r w:rsidR="00B775CB">
        <w:instrText>ADDIN F1000_CSL_CITATION&lt;~#@#~&gt;[{"DOI":"10.1164/rccm.200402-249OC","First":false,"Last":false,"PMID":"15347561","abstract":"Past research suggests that environmental factors may be associated with sarcoidosis risk. We conducted a case control study to test a priori hypotheses that environmental and occupational exposures are associated with sarcoidosis. Ten centers recruited 706 newly diagnosed patients with sarcoidosis and an equal number of age-, race-, and sex-matched control subjects. Interviewers administered questionnaires containing questions regarding occupational and nonoccupational exposures that we assessed in univariable and multivariable analyses. We observed positive associations between sarcoidosis and specific occupations (e.g., agricultural employment, odds ratio [OR] 1.46, confidence interval [CI] 1.13-1.89), exposures (e.g., insecticides at work, OR 1.52, CI 1.14-2.04, and work environments with mold/mildew exposures [environments with possible exposures to microbial bioaerosols], OR 1.61, CI 1.13-2.31). A history of ever smoking cigarettes was less frequent among cases than control subjects (OR 0.62, CI 0.50-0.77). In multivariable modeling, we observed elevated ORs for work in areas with musty odors (OR 1.62, CI 1.24-2.11) and with occupational exposure to insecticides (OR 1.61, CI 1.13-2.28), and a decreased OR related to ever smoking cigarettes (OR 0.65, CI 0.51-0.82). The study did not identify a single, predominant cause of sarcoidosis. We identified several exposures associated with sarcoidosis risk, including insecticides, agricultural employment, and microbial bioaerosols.","author":[{"family":"Newman","given":"Lee S"},{"family":"Rose","given":"Cecile S"},{"family":"Bresnitz","given":"Eddy A"},{"family":"Rossman","given":"Milton D"},{"family":"Barnard","given":"Juliana"},{"family":"Frederick","given":"Margaret"},{"family":"Terrin","given":"Michael L"},{"family":"Weinberger","given":"Steven E"},{"family":"Moller","given":"David R"},{"family":"McLennan","given":"Geoffrey"},{"family":"Hunninghake","given":"Gary"},{"family":"DePalo","given":"Louis"},{"family":"Baughman","given":"Robert P"},{"family":"Iannuzzi","given":"Michael C"},{"family":"Judson","given":"Marc A"},{"family":"Knatterud","given":"Genell L"},{"family":"Thompson","given":"Bruce W"},{"family":"Teirstein","given":"Alvin S"},{"family":"Yeager","given":"Henry"},{"family":"Johns","given":"Carol J"},{"family":"Rabin","given":"David L"},{"family":"Rybicki","given":"Benjamin A"},{"family":"Cherniack","given":"Reuben"},{"family":"ACCESS Research Group"}],"authorYearDisplayFormat":false,"citation-label":"1328213","container-title":"American Journal of Respiratory and Critical Care Medicine","container-title-short":"Am J Respir Crit Care Med","id":"1328213","invisible":false,"issue":"12","issued":{"date-parts":[["2004","12","15"]]},"journalAbbreviation":"Am J Respir Crit Care Med","page":"1324-1330","suppress-author":false,"title":"A case control etiologic study of sarcoidosis: environmental and occupational risk factors.","type":"article-journal","volume":"170"},{"First":false,"Last":false,"PMID":"10580780","abstract":"Sarcoidosis is a chronic granulomatous disorder of unknown cause, characterized by activation of T-lymphocytes and macrophages. A Case Control Etiologic Study of Sarcoidosis (ACCESS) is a multicenter study designed to determine the etiology of sarcoidosis. The study organization includes 10 Clinical Centers, a Clinical Coordinating Center, specialized Core Laboratories, a Central Specimen Repository, and a Project Office at the National Heart, Lung, and Blood Institute. In addition to etiology, ACCESS will examine the socioeconomic status and clinical course of patients with sarcoidosis. We propose to enroll 720 newly diagnosed cases of sarcoidosis and compare them to 720 age, sex, and race matched controls and follow the first 240 cases for two years. Leads to the etiology of sarcoidosis have come from diverse sources: in clinical laboratory investigations, alveolitis has been found to precede granulomatous inflammation; in case control studies, familial aggregation has been identified; and in case reports, recurrence of granulomatous inflammation has been observed after lung transplantation. We describe the rationale for the study design based on genetic, environmental, infectious, and immune dysregulation hypotheses and the methods used for selecting controls. The cause may not prove to be a single, known exposure. Interactions of exposures with genetic predispositions would have important implications for our understanding of immune responses as well as the pathogenesis of sarcoidosis.","authorYearDisplayFormat":false,"citation-label":"4444544","container-title":"Journal of Clinical Epidemiology","container-title-short":"J Clin Epidemiol","id":"4444544","invisible":false,"issue":"12","issued":{"date-parts":[["1999","12"]]},"journalAbbreviation":"J Clin Epidemiol","page":"1173-1186","suppress-author":false,"title":"Design of a case control etiologic study of sarcoidosis (ACCESS). ACCESS Research Group.","type":"article-journal","volume":"52"},{"First":false,"Last":false,"PMID":"16053022","abstract":"Sarcoidosis is a multisystem disorder of unknown cause(s). Despite the knowledge gained during the last decade regarding the pathogenetic mechanisms accounting for the onset, maintenance or evolution of the disease, its etiology is still elusive. To solve this problem, the National Heart, Lung, and Blood Institute (NHLBI) set up a multicenter study, i.e. the ACCESS study (A Case Control Etiologic Study of Sarcoidosis). The study has been designed to validate four major categories of etiological hypotheses (genetic, environmental, infectious and immune dysregulation hypotheses) and its primary endpoint is the discovery of the cause(s) of sarcoidosis. A definite etiology of sarcoidosis was not found, however, the results of ACCESS offer hypotheses for future targeted studies in the search for the cause(s) of the disease and a rich base of case and control data was established for future studies. Lessons learned from ACCESS suggest that hope for finding the etiology of sarcoidosis comes from large, collaborative studies.","author":[{"family":"Semenzato","given":"Gianpietro"}],"authorYearDisplayFormat":false,"citation-label":"4226461","container-title":"Sarcoidosis, vasculitis, and diffuse lung diseases : official journal of WASOG / World Association of Sarcoidosis and Other Granulomatous Disorders","container-title-short":"Sarcoidosis Vasc Diffuse Lung Dis","id":"4226461","invisible":false,"issue":"2","issued":{"date-parts":[["2005","6"]]},"journalAbbreviation":"Sarcoidosis Vasc Diffuse Lung Dis","page":"83-86","suppress-author":false,"title":"ACCESS: A case control etiologic study of sarcoidosis.","type":"article-journal","volume":"22"},{"DOI":"10.1513/AnnalsATS.201503-172OT","First":false,"Last":false,"PMCID":"PMC4627423","PMID":"26193069","abstract":"Sarcoidosis is a systemic disease characterized by noncaseating granulomatous inflammation with tremendous clinical heterogeneity and uncertain pathobiology and lacking in clinically useful biomarkers. The Genomic Research in Alpha-1 Antitrypsin Deficiency and Sarcoidosis (GRADS) study is an observational cohort study designed to explore the role of the lung microbiome and genome in these two diseases. This article describes the design and rationale for the GRADS study sarcoidosis protocol. The study addresses the hypothesis that distinct patterns in the lung microbiome are characteristic of sarcoidosis phenotypes and are reflected in changes in systemic inflammatory responses as measured by peripheral blood changes in gene transcription. The goal is to enroll 400 participants, with a minimum of 35 in each of 9 clinical phenotype subgroups prioritized by their clinical relevance to understanding of the pathobiology and clinical heterogeneity of sarcoidosis. Participants with a confirmed diagnosis of sarcoidosis undergo a baseline visit with self-administered questionnaires, chest computed tomography, pulmonary function tests, and blood and urine testing. A research or clinical bronchoscopy with a research bronchoalveolar lavage will be performed to obtain samples for genomic and microbiome analyses. Comparisons will be made by blood genomic analysis and with clinical phenotypic variables. A 6-month follow-up visit is planned to assess each participant's clinical course. By the use of an integrative approach to the analysis of the microbiome and genome in selected clinical phenotypes, the GRADS study is powerfully positioned to inform and direct studies on the pathobiology of sarcoidosis, identify diagnostic or prognostic biomarkers, and provide novel molecular phenotypes that could lead to improved personalized approaches to therapy for sarcoidosis.","author":[{"family":"Moller","given":"David R"},{"family":"Koth","given":"Laura L"},{"family":"Maier","given":"Lisa A"},{"family":"Morris","given":"Alison"},{"family":"Drake","given":"Wonder"},{"family":"Rossman","given":"Milton"},{"family":"Leader","given":"Joseph K"},{"family":"Collman","given":"Ronald G"},{"family":"Hamzeh","given":"Nabeel"},{"family":"Sweiss","given":"Nadera J"},{"family":"Zhang","given":"Yingze"},{"family":"O'Neal","given":"Scott"},{"family":"Senior","given":"Robert M"},{"family":"Becich","given":"Michael"},{"family":"Hochheiser","given":"Harry S"},{"family":"Kaminski","given":"Naftali"},{"family":"Wisniewski","given":"Stephen R"},{"family":"Gibson","given":"Kevin F"},{"family":"GRADS Sarcoidosis Study Group"}],"authorYearDisplayFormat":false,"citation-label":"1400043","container-title":"Annals of the American Thoracic Society","container-title-short":"Ann Am Thorac Soc","id":"1400043","invisible":false,"issue":"10","issued":{"date-parts":[["2015","10"]]},"journalAbbreviation":"Ann Am Thorac Soc","page":"1561-1571","suppress-author":false,"title":"Rationale and Design of the Genomic Research in Alpha-1 Antitrypsin Deficiency and Sarcoidosis (GRADS) Study. Sarcoidosis Protocol.","type":"article-journal","volume":"12"}]</w:instrText>
      </w:r>
      <w:r w:rsidR="00B25B09" w:rsidRPr="005A7F38">
        <w:fldChar w:fldCharType="separate"/>
      </w:r>
      <w:r w:rsidR="00B775CB" w:rsidRPr="00B775CB">
        <w:rPr>
          <w:noProof/>
          <w:vertAlign w:val="superscript"/>
        </w:rPr>
        <w:t>4,9,49,85</w:t>
      </w:r>
      <w:r w:rsidR="00B25B09" w:rsidRPr="005A7F38">
        <w:fldChar w:fldCharType="end"/>
      </w:r>
      <w:r w:rsidR="004729D2" w:rsidRPr="005A7F38">
        <w:t xml:space="preserve"> </w:t>
      </w:r>
    </w:p>
    <w:p w14:paraId="30E9A1C9" w14:textId="77777777" w:rsidR="00092C13" w:rsidRPr="005A7F38" w:rsidRDefault="00092C13" w:rsidP="002446BB">
      <w:pPr>
        <w:pStyle w:val="Heading4"/>
        <w:rPr>
          <w:rFonts w:cs="Times New Roman"/>
        </w:rPr>
      </w:pPr>
      <w:bookmarkStart w:id="65" w:name="_Toc506540041"/>
      <w:r w:rsidRPr="005A7F38">
        <w:rPr>
          <w:rFonts w:cs="Times New Roman"/>
        </w:rPr>
        <w:t>Data Handling</w:t>
      </w:r>
      <w:bookmarkEnd w:id="65"/>
    </w:p>
    <w:p w14:paraId="0DF05DF6" w14:textId="77777777" w:rsidR="006A32C2" w:rsidRPr="005A7F38" w:rsidRDefault="00983B1C" w:rsidP="0056758A">
      <w:pPr>
        <w:ind w:firstLine="0"/>
      </w:pPr>
      <w:r w:rsidRPr="005A7F38">
        <w:t xml:space="preserve">Data were entered at clinical sites using an encrypted and password protected web-based system. Clinical data was initially collected on paper forms while self-administered participant instruments are entered directly into the web-based system using a tablet computer. Radiographic data were de-identified and transferred electronically using secure format. Participant data were labeled with a study ID code. The link between patient information and the study ID code was held only at the </w:t>
      </w:r>
      <w:r w:rsidRPr="005A7F38">
        <w:lastRenderedPageBreak/>
        <w:t xml:space="preserve">clinical center at which the participant was enrolled. The study maintained a biorepository for all samples collected. The biorepository tracked shipments of samples from clinical sites, stored samples and distributed samples to study-associated researchers for analyses. </w:t>
      </w:r>
    </w:p>
    <w:p w14:paraId="595153D9" w14:textId="77777777" w:rsidR="000B380D" w:rsidRPr="005A7F38" w:rsidRDefault="00092C13" w:rsidP="002446BB">
      <w:pPr>
        <w:pStyle w:val="Heading4"/>
        <w:rPr>
          <w:rFonts w:cs="Times New Roman"/>
        </w:rPr>
      </w:pPr>
      <w:bookmarkStart w:id="66" w:name="_Toc506540042"/>
      <w:r w:rsidRPr="005A7F38">
        <w:rPr>
          <w:rFonts w:cs="Times New Roman"/>
        </w:rPr>
        <w:t>Sample Collection and Processing</w:t>
      </w:r>
      <w:bookmarkEnd w:id="66"/>
    </w:p>
    <w:p w14:paraId="200A8F7D" w14:textId="6DEF6FFB" w:rsidR="00A00A01" w:rsidRPr="005A7F38" w:rsidRDefault="000B380D" w:rsidP="002446BB">
      <w:pPr>
        <w:pStyle w:val="Noindent"/>
      </w:pPr>
      <w:r w:rsidRPr="005A7F38">
        <w:t>In order to collect samples for microbiome analysis of the mouth and upper airway, participants were asked to complete an oral rinse and tongue scraping.</w:t>
      </w:r>
      <w:r w:rsidR="0072778C" w:rsidRPr="005A7F38">
        <w:t xml:space="preserve"> Sterile water in a sample cup was used as an oral wash contamination control.</w:t>
      </w:r>
      <w:r w:rsidRPr="005A7F38">
        <w:t xml:space="preserve"> </w:t>
      </w:r>
      <w:r w:rsidR="00A00A01" w:rsidRPr="005A7F38">
        <w:t>Participants underwent a bronchoscopy at the initial visit. Bronchoscopy was used to collect samples for microbiome analysis</w:t>
      </w:r>
      <w:r w:rsidRPr="005A7F38">
        <w:t xml:space="preserve"> of the lung</w:t>
      </w:r>
      <w:r w:rsidR="00A00A01" w:rsidRPr="005A7F38">
        <w:t xml:space="preserve"> with minimal </w:t>
      </w:r>
      <w:r w:rsidR="006F2028" w:rsidRPr="005A7F38">
        <w:t>contami</w:t>
      </w:r>
      <w:r w:rsidR="008770F5" w:rsidRPr="005A7F38">
        <w:t xml:space="preserve">nation. </w:t>
      </w:r>
      <w:r w:rsidRPr="005A7F38">
        <w:t>Before anesthesia was induced participants were asked to gargle with an antiseptic mouth wash for oral decontamination. To act as a control representing possible microbial contamination of the bronchoscope, a sample of the working channel of the bronchoscope was collected prior to bronchoscopy. Using images from chest radiograph or CT scan, BAL was performed at sites of sarcoidosis involvement. Participants were asked for permission to perform bronchial brushings and those who agreed underwent the procedure during bronchoscopy.</w:t>
      </w:r>
      <w:r w:rsidR="00065BCC" w:rsidRPr="005A7F38">
        <w:t xml:space="preserve"> Bronchial brushing samples were stored in Qiazol</w:t>
      </w:r>
      <w:r w:rsidR="00660B5E" w:rsidRPr="005A7F38">
        <w:t xml:space="preserve"> (Qiagen)</w:t>
      </w:r>
      <w:r w:rsidR="00065BCC" w:rsidRPr="005A7F38">
        <w:t xml:space="preserve"> for RNA integrity.</w:t>
      </w:r>
      <w:r w:rsidRPr="005A7F38">
        <w:t xml:space="preserve"> </w:t>
      </w:r>
      <w:r w:rsidR="007D770F" w:rsidRPr="005A7F38">
        <w:t xml:space="preserve">Samples </w:t>
      </w:r>
      <w:r w:rsidR="00DA5C78" w:rsidRPr="005A7F38">
        <w:t xml:space="preserve">collected during bronchoscopy were processed to allow for maximum sample integrity for RNA, microRNA, DNA and proteins. The BAL sample was </w:t>
      </w:r>
      <w:r w:rsidR="001E46F5" w:rsidRPr="005A7F38">
        <w:t>aliquoted and centrifuged to separate into a cell-free BAL supernatant</w:t>
      </w:r>
      <w:r w:rsidR="00065BCC" w:rsidRPr="005A7F38">
        <w:t xml:space="preserve"> fluid for cytokine, proteomic and biochemical analyses</w:t>
      </w:r>
      <w:r w:rsidR="001E46F5" w:rsidRPr="005A7F38">
        <w:t xml:space="preserve"> and a cell pellet for biochemical, transcriptomic and micr</w:t>
      </w:r>
      <w:r w:rsidR="00065BCC" w:rsidRPr="005A7F38">
        <w:t>obiome analyses.</w:t>
      </w:r>
    </w:p>
    <w:p w14:paraId="502F7837" w14:textId="77777777" w:rsidR="00092C13" w:rsidRPr="005A7F38" w:rsidRDefault="001E46F5" w:rsidP="002446BB">
      <w:r w:rsidRPr="005A7F38">
        <w:t>Blood was collected by phlebotomy and was sent to a clinical laboratory</w:t>
      </w:r>
      <w:r w:rsidR="00065BCC" w:rsidRPr="005A7F38">
        <w:t xml:space="preserve"> for analysis. Plasma and serum were separated and analyzed along with whole blood and PBMCs. A complete blood count was performed and levels of calcium, c-reactive protein and vitamin D were established. </w:t>
      </w:r>
      <w:r w:rsidR="00790F02" w:rsidRPr="005A7F38">
        <w:t xml:space="preserve">Whole blood RNA and DNA were sequenced using </w:t>
      </w:r>
      <w:r w:rsidR="00660B5E" w:rsidRPr="005A7F38">
        <w:t xml:space="preserve">the PAXgene blood system </w:t>
      </w:r>
      <w:r w:rsidR="00660B5E" w:rsidRPr="005A7F38">
        <w:lastRenderedPageBreak/>
        <w:t xml:space="preserve">(Qiagen).  </w:t>
      </w:r>
      <w:r w:rsidR="009D53B6" w:rsidRPr="005A7F38">
        <w:t xml:space="preserve">Stool was collected for microbiome analysis. </w:t>
      </w:r>
      <w:r w:rsidR="00660B5E" w:rsidRPr="005A7F38">
        <w:t xml:space="preserve">Urine was also collected and cotinine was measured. </w:t>
      </w:r>
    </w:p>
    <w:p w14:paraId="4823AC99" w14:textId="77777777" w:rsidR="006E3504" w:rsidRPr="005A7F38" w:rsidRDefault="006E3504" w:rsidP="002446BB">
      <w:pPr>
        <w:pStyle w:val="Heading1"/>
        <w:rPr>
          <w:rFonts w:cs="Times New Roman"/>
        </w:rPr>
      </w:pPr>
      <w:bookmarkStart w:id="67" w:name="_Toc506540043"/>
      <w:r w:rsidRPr="005A7F38">
        <w:rPr>
          <w:rFonts w:cs="Times New Roman"/>
        </w:rPr>
        <w:lastRenderedPageBreak/>
        <w:t>Results</w:t>
      </w:r>
      <w:bookmarkEnd w:id="67"/>
    </w:p>
    <w:p w14:paraId="1BA14286" w14:textId="77777777" w:rsidR="00917E4B" w:rsidRPr="005A7F38" w:rsidRDefault="00917E4B" w:rsidP="00917E4B">
      <w:pPr>
        <w:pStyle w:val="Heading2"/>
        <w:rPr>
          <w:rFonts w:cs="Times New Roman"/>
        </w:rPr>
      </w:pPr>
      <w:bookmarkStart w:id="68" w:name="_Toc506540044"/>
      <w:r w:rsidRPr="005A7F38">
        <w:rPr>
          <w:rFonts w:cs="Times New Roman"/>
        </w:rPr>
        <w:t>Characteristics of Cases and Controls</w:t>
      </w:r>
      <w:bookmarkEnd w:id="68"/>
    </w:p>
    <w:p w14:paraId="1481D976" w14:textId="4A6E06CC" w:rsidR="00BF3726" w:rsidRDefault="00700D6C" w:rsidP="009C32BE">
      <w:pPr>
        <w:pStyle w:val="Noindent"/>
      </w:pPr>
      <w:r w:rsidRPr="005A7F38">
        <w:t>Sarcoidosis cases had a mean age of 54.84 years (SD=9.22) and AATD controls had a mean age of 56.91 (SD=11.38). There was no statistical difference between the age of cases and con</w:t>
      </w:r>
      <w:r w:rsidR="009949B3">
        <w:t>trols in this analysis (p=0.33</w:t>
      </w:r>
      <w:r w:rsidRPr="005A7F38">
        <w:t xml:space="preserve">). 41.38% of sarcoidosis cases and 65.79% of AATD </w:t>
      </w:r>
      <w:r w:rsidR="009949B3">
        <w:t>controls were female (p=0.20</w:t>
      </w:r>
      <w:r w:rsidRPr="005A7F38">
        <w:t>). Sarcoidosis cases had a higher BMI on average (30.56, SD=7.21) compared to AATD controls (27.86, SD=5.26) (p=0.05)</w:t>
      </w:r>
      <w:r w:rsidR="00303E9F" w:rsidRPr="005A7F38">
        <w:t xml:space="preserve">. </w:t>
      </w:r>
      <w:r w:rsidR="009F4C6B" w:rsidRPr="005A7F38">
        <w:t>The cases and controls were similar in education level</w:t>
      </w:r>
      <w:r w:rsidR="009C32BE" w:rsidRPr="005A7F38">
        <w:t>, employment status</w:t>
      </w:r>
      <w:r w:rsidR="009F4C6B" w:rsidRPr="005A7F38">
        <w:t xml:space="preserve"> and income distribution. </w:t>
      </w:r>
      <w:r w:rsidR="009C32BE" w:rsidRPr="005A7F38">
        <w:t>Vital signs including systolic and diastolic blood pressure as well as pulse and respiration rate at the initial visit were not statistically different between the two groups. 77.59% of sarcoidosis patients had used pharmaceutical treatment to manage their sarcoidosis at any time while only 2.63% of the AATD controls had used pharmaceutical treatment to manage their disease process despite the availability of treatments (p&lt;0.0001).</w:t>
      </w:r>
      <w:r w:rsidR="009C32BE" w:rsidRPr="005A7F38">
        <w:fldChar w:fldCharType="begin"/>
      </w:r>
      <w:r w:rsidR="00B775CB">
        <w:instrText>ADDIN F1000_CSL_CITATION&lt;~#@#~&gt;[{"DOI":"10.1513/AnnalsATS.201503-143OC","First":false,"Last":false,"PMCID":"PMC4627425","PMID":"26153726","abstract":"Severe deficiency of alpha-1 antitrypsin has a highly variable clinical presentation. The Genomic Research in Alpha-1 Antitrypsin Deficiency and Sarcoidosis α1 Study is a prospective, multicenter, cross-sectional study of adults older than age 35 years with PiZZ or PiMZ alpha-1 antitrypsin genotypes. It is designed to better understand if microbial factors influence this heterogeneity. Clinical symptoms, pulmonary function testing, computed chest tomography, exercise capacity, and bronchoalveolar lavage (BAL) will be used to define chronic obstructive pulmonary disease (COPD) phenotypes that can be studied with an integrated systems biology approach that includes plasma proteomics; mouth, BAL, and stool microbiome and virome analysis; and blood microRNA and blood mononuclear cell RNA and DNA profiling. We will rely on global genome, transcriptome, proteome, and metabolome datasets. Matched cohorts of PiZZ participants on or off alpha-1 antitrypsin augmentation therapy, PiMZ participants not on augmentation therapy, and control participants from the Subpopulations and Intermediate Outcome Measures in COPD Study who match on FEV1 and age will be compared. In the primary analysis, we will determine if the PiZZ individuals on augmentation therapy have a difference in lower respiratory tract microbes identified compared with matched PiZZ individuals who are not on augmentation therapy. By characterizing the microbiome in alpha-1 antitrypsin deficiency (AATD), we hope to define new phenotypes of COPD that explain some of the diversity of clinical presentations. As a unique genetic cause of COPD, AATD may inform typical COPD pathogenesis, and better understanding of it may illuminate the complex interplay between environment and genetics. Although the biologic approaches are hypothesis generating, the results may lead to development of novel biomarkers, better understanding of COPD phenotypes, and development of novel diagnostic and therapeutic trials in AATD and COPD. Clinical trial registered with www.clinicaltrials.gov (NCT01832220).","author":[{"family":"Strange","given":"Charlie"},{"family":"Senior","given":"Robert M"},{"family":"Sciurba","given":"Frank"},{"family":"O'Neal","given":"Scott"},{"family":"Morris","given":"Alison"},{"family":"Wisniewski","given":"Stephen R"},{"family":"Bowler","given":"Russell"},{"family":"Hochheiser","given":"Harry S"},{"family":"Becich","given":"Michael J"},{"family":"Zhang","given":"Yingze"},{"family":"Leader","given":"Joseph K"},{"family":"Methé","given":"Barbara A"},{"family":"Kaminski","given":"Naftali"},{"family":"Sandhaus","given":"Robert A"},{"family":"GRADS Alpha-1 Study Group"}],"authorYearDisplayFormat":false,"citation-label":"1400044","container-title":"Annals of the American Thoracic Society","container-title-short":"Ann Am Thorac Soc","id":"1400044","invisible":false,"issue":"10","issued":{"date-parts":[["2015","10"]]},"journalAbbreviation":"Ann Am Thorac Soc","page":"1551-1560","suppress-author":false,"title":"Rationale and Design of the Genomic Research in Alpha-1 Antitrypsin Deficiency and Sarcoidosis Study. Alpha-1 Protocol.","type":"article-journal","volume":"12"}]</w:instrText>
      </w:r>
      <w:r w:rsidR="009C32BE" w:rsidRPr="005A7F38">
        <w:fldChar w:fldCharType="separate"/>
      </w:r>
      <w:r w:rsidR="00B775CB" w:rsidRPr="00B775CB">
        <w:rPr>
          <w:noProof/>
          <w:vertAlign w:val="superscript"/>
        </w:rPr>
        <w:t>191</w:t>
      </w:r>
      <w:r w:rsidR="009C32BE" w:rsidRPr="005A7F38">
        <w:fldChar w:fldCharType="end"/>
      </w:r>
      <w:r w:rsidR="009C32BE" w:rsidRPr="005A7F38">
        <w:t xml:space="preserve"> </w:t>
      </w:r>
    </w:p>
    <w:p w14:paraId="548041FB" w14:textId="77777777" w:rsidR="005A7F38" w:rsidRDefault="005A7F38" w:rsidP="005A7F38"/>
    <w:p w14:paraId="57702A46" w14:textId="77777777" w:rsidR="005A7F38" w:rsidRDefault="005A7F38" w:rsidP="005A7F38"/>
    <w:p w14:paraId="0512B572" w14:textId="77777777" w:rsidR="005A7F38" w:rsidRDefault="005A7F38" w:rsidP="005A7F38"/>
    <w:p w14:paraId="39C78D1D" w14:textId="77777777" w:rsidR="005A7F38" w:rsidRDefault="005A7F38" w:rsidP="005A7F38"/>
    <w:p w14:paraId="377D5BF1" w14:textId="77777777" w:rsidR="005A7F38" w:rsidRDefault="005A7F38" w:rsidP="005A7F38"/>
    <w:p w14:paraId="5F3CEE30" w14:textId="77777777" w:rsidR="005A7F38" w:rsidRDefault="005A7F38" w:rsidP="005A7F38"/>
    <w:p w14:paraId="3F8A85C6" w14:textId="77777777" w:rsidR="005A7F38" w:rsidRPr="005A7F38" w:rsidRDefault="005A7F38" w:rsidP="005A7F38"/>
    <w:p w14:paraId="403ACAB5" w14:textId="79133CF5" w:rsidR="00597D37" w:rsidRPr="005A7F38" w:rsidRDefault="00597D37" w:rsidP="00597D37">
      <w:pPr>
        <w:pStyle w:val="Caption"/>
      </w:pPr>
      <w:bookmarkStart w:id="69" w:name="_Toc506540063"/>
      <w:r w:rsidRPr="005A7F38">
        <w:lastRenderedPageBreak/>
        <w:t xml:space="preserve">Table </w:t>
      </w:r>
      <w:fldSimple w:instr=" SEQ Table \* ARABIC ">
        <w:r w:rsidR="001F73C6">
          <w:rPr>
            <w:noProof/>
          </w:rPr>
          <w:t>3</w:t>
        </w:r>
      </w:fldSimple>
      <w:r w:rsidRPr="005A7F38">
        <w:t xml:space="preserve">. </w:t>
      </w:r>
      <w:r w:rsidR="008F5985" w:rsidRPr="005A7F38">
        <w:rPr>
          <w:b w:val="0"/>
        </w:rPr>
        <w:t>Sociodemographic</w:t>
      </w:r>
      <w:r w:rsidR="00254646" w:rsidRPr="005A7F38">
        <w:rPr>
          <w:b w:val="0"/>
        </w:rPr>
        <w:t xml:space="preserve"> Characteristics of Sarcoidosis Cases and Controls</w:t>
      </w:r>
      <w:bookmarkEnd w:id="69"/>
    </w:p>
    <w:tbl>
      <w:tblPr>
        <w:tblStyle w:val="TableGrid"/>
        <w:tblW w:w="9613" w:type="dxa"/>
        <w:tblInd w:w="-365" w:type="dxa"/>
        <w:tblCellMar>
          <w:left w:w="115" w:type="dxa"/>
          <w:right w:w="115" w:type="dxa"/>
        </w:tblCellMar>
        <w:tblLook w:val="04A0" w:firstRow="1" w:lastRow="0" w:firstColumn="1" w:lastColumn="0" w:noHBand="0" w:noVBand="1"/>
      </w:tblPr>
      <w:tblGrid>
        <w:gridCol w:w="6030"/>
        <w:gridCol w:w="1818"/>
        <w:gridCol w:w="1765"/>
      </w:tblGrid>
      <w:tr w:rsidR="00E34625" w:rsidRPr="005A7F38" w14:paraId="44BF7632" w14:textId="77777777" w:rsidTr="00E34625">
        <w:trPr>
          <w:trHeight w:val="346"/>
        </w:trPr>
        <w:tc>
          <w:tcPr>
            <w:tcW w:w="6030" w:type="dxa"/>
            <w:vAlign w:val="center"/>
          </w:tcPr>
          <w:p w14:paraId="2A7F4A10" w14:textId="77777777" w:rsidR="00BF3726" w:rsidRPr="005A7F38" w:rsidRDefault="00BF3726" w:rsidP="005A7F38">
            <w:pPr>
              <w:pStyle w:val="NoSpacing"/>
              <w:spacing w:line="240" w:lineRule="auto"/>
              <w:ind w:firstLine="0"/>
              <w:jc w:val="left"/>
              <w:rPr>
                <w:b/>
                <w:sz w:val="20"/>
                <w:szCs w:val="20"/>
              </w:rPr>
            </w:pPr>
          </w:p>
        </w:tc>
        <w:tc>
          <w:tcPr>
            <w:tcW w:w="1818" w:type="dxa"/>
            <w:vAlign w:val="center"/>
          </w:tcPr>
          <w:p w14:paraId="70490626" w14:textId="77777777" w:rsidR="008A27CB" w:rsidRPr="008A27CB" w:rsidRDefault="00BF3726" w:rsidP="008A27CB">
            <w:pPr>
              <w:pStyle w:val="Noindent"/>
              <w:spacing w:line="240" w:lineRule="auto"/>
              <w:jc w:val="left"/>
              <w:rPr>
                <w:b/>
                <w:sz w:val="20"/>
                <w:szCs w:val="20"/>
              </w:rPr>
            </w:pPr>
            <w:r w:rsidRPr="005A7F38">
              <w:rPr>
                <w:b/>
                <w:sz w:val="20"/>
                <w:szCs w:val="20"/>
              </w:rPr>
              <w:t>Sarcoidosis Cases</w:t>
            </w:r>
            <w:r w:rsidR="008A27CB">
              <w:rPr>
                <w:b/>
                <w:sz w:val="20"/>
                <w:szCs w:val="20"/>
              </w:rPr>
              <w:t xml:space="preserve">  (N-58)</w:t>
            </w:r>
          </w:p>
        </w:tc>
        <w:tc>
          <w:tcPr>
            <w:tcW w:w="1765" w:type="dxa"/>
            <w:vAlign w:val="center"/>
          </w:tcPr>
          <w:p w14:paraId="3C7DE4CE" w14:textId="77777777" w:rsidR="00BF3726" w:rsidRPr="005A7F38" w:rsidRDefault="00BF3726" w:rsidP="005A7F38">
            <w:pPr>
              <w:pStyle w:val="Noindent"/>
              <w:spacing w:line="240" w:lineRule="auto"/>
              <w:jc w:val="left"/>
              <w:rPr>
                <w:b/>
                <w:sz w:val="20"/>
                <w:szCs w:val="20"/>
              </w:rPr>
            </w:pPr>
            <w:r w:rsidRPr="005A7F38">
              <w:rPr>
                <w:b/>
                <w:sz w:val="20"/>
                <w:szCs w:val="20"/>
              </w:rPr>
              <w:t>AATD Controls</w:t>
            </w:r>
            <w:r w:rsidR="008A27CB">
              <w:rPr>
                <w:b/>
                <w:sz w:val="20"/>
                <w:szCs w:val="20"/>
              </w:rPr>
              <w:t xml:space="preserve"> (N=38)</w:t>
            </w:r>
          </w:p>
        </w:tc>
      </w:tr>
      <w:tr w:rsidR="00E34625" w:rsidRPr="005A7F38" w14:paraId="31F36EA0" w14:textId="77777777" w:rsidTr="00E34625">
        <w:trPr>
          <w:trHeight w:val="196"/>
        </w:trPr>
        <w:tc>
          <w:tcPr>
            <w:tcW w:w="6030" w:type="dxa"/>
            <w:vAlign w:val="center"/>
          </w:tcPr>
          <w:p w14:paraId="00264152" w14:textId="77777777" w:rsidR="00BF3726" w:rsidRPr="005A7F38" w:rsidRDefault="00BF3726" w:rsidP="005A7F38">
            <w:pPr>
              <w:pStyle w:val="TableofFigures"/>
              <w:spacing w:line="240" w:lineRule="auto"/>
            </w:pPr>
            <w:r w:rsidRPr="005A7F38">
              <w:t>Age</w:t>
            </w:r>
            <w:r w:rsidR="00BF177D" w:rsidRPr="005A7F38">
              <w:t>, Mean (SD)</w:t>
            </w:r>
          </w:p>
        </w:tc>
        <w:tc>
          <w:tcPr>
            <w:tcW w:w="1818" w:type="dxa"/>
            <w:vAlign w:val="center"/>
          </w:tcPr>
          <w:p w14:paraId="56A4A281" w14:textId="77777777" w:rsidR="00BF3726" w:rsidRPr="005A7F38" w:rsidRDefault="00E64967" w:rsidP="005A7F38">
            <w:pPr>
              <w:pStyle w:val="TableofFigures"/>
              <w:spacing w:line="240" w:lineRule="auto"/>
            </w:pPr>
            <w:r w:rsidRPr="005A7F38">
              <w:t>54.84 (9.22)</w:t>
            </w:r>
          </w:p>
        </w:tc>
        <w:tc>
          <w:tcPr>
            <w:tcW w:w="1765" w:type="dxa"/>
            <w:vAlign w:val="center"/>
          </w:tcPr>
          <w:p w14:paraId="04FB2628" w14:textId="77777777" w:rsidR="00BF3726" w:rsidRPr="005A7F38" w:rsidRDefault="00E64967" w:rsidP="005A7F38">
            <w:pPr>
              <w:pStyle w:val="TableofFigures"/>
              <w:spacing w:line="240" w:lineRule="auto"/>
            </w:pPr>
            <w:r w:rsidRPr="005A7F38">
              <w:t>56.91 (11.38)</w:t>
            </w:r>
          </w:p>
        </w:tc>
      </w:tr>
      <w:tr w:rsidR="00E34625" w:rsidRPr="005A7F38" w14:paraId="101D70BA" w14:textId="77777777" w:rsidTr="00E34625">
        <w:trPr>
          <w:trHeight w:val="309"/>
        </w:trPr>
        <w:tc>
          <w:tcPr>
            <w:tcW w:w="6030" w:type="dxa"/>
            <w:vAlign w:val="center"/>
          </w:tcPr>
          <w:p w14:paraId="62E7BC66" w14:textId="77777777" w:rsidR="00BF3726" w:rsidRPr="005A7F38" w:rsidRDefault="00F940C2" w:rsidP="005A7F38">
            <w:pPr>
              <w:pStyle w:val="TableofFigures"/>
              <w:spacing w:line="240" w:lineRule="auto"/>
            </w:pPr>
            <w:r w:rsidRPr="005A7F38">
              <w:t>Sex (Females)</w:t>
            </w:r>
            <w:r w:rsidR="00BF177D" w:rsidRPr="005A7F38">
              <w:t xml:space="preserve">, </w:t>
            </w:r>
            <w:r w:rsidR="008F5985" w:rsidRPr="005A7F38">
              <w:t>N (</w:t>
            </w:r>
            <w:r w:rsidR="00BF177D" w:rsidRPr="005A7F38">
              <w:t>%)</w:t>
            </w:r>
          </w:p>
        </w:tc>
        <w:tc>
          <w:tcPr>
            <w:tcW w:w="1818" w:type="dxa"/>
            <w:vAlign w:val="center"/>
          </w:tcPr>
          <w:p w14:paraId="6F3391CF" w14:textId="77777777" w:rsidR="00BF3726" w:rsidRPr="005A7F38" w:rsidRDefault="00E64967" w:rsidP="005A7F38">
            <w:pPr>
              <w:pStyle w:val="TableofFigures"/>
              <w:spacing w:line="240" w:lineRule="auto"/>
            </w:pPr>
            <w:r w:rsidRPr="005A7F38">
              <w:t>24 (41.38)</w:t>
            </w:r>
          </w:p>
        </w:tc>
        <w:tc>
          <w:tcPr>
            <w:tcW w:w="1765" w:type="dxa"/>
            <w:vAlign w:val="center"/>
          </w:tcPr>
          <w:p w14:paraId="286D9C99" w14:textId="77777777" w:rsidR="00BF3726" w:rsidRPr="005A7F38" w:rsidRDefault="00E64967" w:rsidP="005A7F38">
            <w:pPr>
              <w:pStyle w:val="TableofFigures"/>
              <w:spacing w:line="240" w:lineRule="auto"/>
            </w:pPr>
            <w:r w:rsidRPr="005A7F38">
              <w:t>25 (65.79)</w:t>
            </w:r>
          </w:p>
        </w:tc>
      </w:tr>
      <w:tr w:rsidR="00E34625" w:rsidRPr="005A7F38" w14:paraId="76B1B495" w14:textId="77777777" w:rsidTr="00E34625">
        <w:trPr>
          <w:trHeight w:val="309"/>
        </w:trPr>
        <w:tc>
          <w:tcPr>
            <w:tcW w:w="6030" w:type="dxa"/>
            <w:vAlign w:val="center"/>
          </w:tcPr>
          <w:p w14:paraId="547A4C90" w14:textId="77777777" w:rsidR="00BF3726" w:rsidRPr="005A7F38" w:rsidRDefault="00BF177D" w:rsidP="005A7F38">
            <w:pPr>
              <w:pStyle w:val="TableofFigures"/>
              <w:spacing w:line="240" w:lineRule="auto"/>
              <w:rPr>
                <w:b/>
              </w:rPr>
            </w:pPr>
            <w:r w:rsidRPr="005A7F38">
              <w:rPr>
                <w:b/>
              </w:rPr>
              <w:t>Race</w:t>
            </w:r>
          </w:p>
        </w:tc>
        <w:tc>
          <w:tcPr>
            <w:tcW w:w="1818" w:type="dxa"/>
            <w:vAlign w:val="center"/>
          </w:tcPr>
          <w:p w14:paraId="72D8049B" w14:textId="77777777" w:rsidR="00BF3726" w:rsidRPr="005A7F38" w:rsidRDefault="00E64967" w:rsidP="005A7F38">
            <w:pPr>
              <w:pStyle w:val="TableofFigures"/>
              <w:spacing w:line="240" w:lineRule="auto"/>
              <w:rPr>
                <w:b/>
              </w:rPr>
            </w:pPr>
            <w:r w:rsidRPr="005A7F38">
              <w:rPr>
                <w:b/>
              </w:rPr>
              <w:t>N (%)</w:t>
            </w:r>
          </w:p>
        </w:tc>
        <w:tc>
          <w:tcPr>
            <w:tcW w:w="1765" w:type="dxa"/>
            <w:vAlign w:val="center"/>
          </w:tcPr>
          <w:p w14:paraId="64359568" w14:textId="77777777" w:rsidR="00BF3726" w:rsidRPr="005A7F38" w:rsidRDefault="00E64967" w:rsidP="005A7F38">
            <w:pPr>
              <w:pStyle w:val="TableofFigures"/>
              <w:spacing w:line="240" w:lineRule="auto"/>
              <w:rPr>
                <w:b/>
              </w:rPr>
            </w:pPr>
            <w:r w:rsidRPr="005A7F38">
              <w:rPr>
                <w:b/>
              </w:rPr>
              <w:t>N (%)</w:t>
            </w:r>
          </w:p>
        </w:tc>
      </w:tr>
      <w:tr w:rsidR="00E34625" w:rsidRPr="005A7F38" w14:paraId="0DFBFE69" w14:textId="77777777" w:rsidTr="00E34625">
        <w:trPr>
          <w:trHeight w:val="309"/>
        </w:trPr>
        <w:tc>
          <w:tcPr>
            <w:tcW w:w="6030" w:type="dxa"/>
            <w:vAlign w:val="center"/>
          </w:tcPr>
          <w:p w14:paraId="1A69B75C" w14:textId="071FBC8F" w:rsidR="00BF3726" w:rsidRPr="005A7F38" w:rsidRDefault="00BF177D" w:rsidP="005A7F38">
            <w:pPr>
              <w:pStyle w:val="TableofFigures"/>
              <w:spacing w:line="240" w:lineRule="auto"/>
            </w:pPr>
            <w:r w:rsidRPr="005A7F38">
              <w:t>White</w:t>
            </w:r>
            <w:r w:rsidR="00E34625" w:rsidRPr="005A7F38">
              <w:t>, N (%)</w:t>
            </w:r>
          </w:p>
        </w:tc>
        <w:tc>
          <w:tcPr>
            <w:tcW w:w="1818" w:type="dxa"/>
            <w:vAlign w:val="center"/>
          </w:tcPr>
          <w:p w14:paraId="64AC0861" w14:textId="77777777" w:rsidR="00BF3726" w:rsidRPr="005A7F38" w:rsidRDefault="00E64967" w:rsidP="005A7F38">
            <w:pPr>
              <w:pStyle w:val="TableofFigures"/>
              <w:spacing w:line="240" w:lineRule="auto"/>
            </w:pPr>
            <w:r w:rsidRPr="005A7F38">
              <w:t>42 (72.41)</w:t>
            </w:r>
          </w:p>
        </w:tc>
        <w:tc>
          <w:tcPr>
            <w:tcW w:w="1765" w:type="dxa"/>
            <w:vAlign w:val="center"/>
          </w:tcPr>
          <w:p w14:paraId="36CA67C7" w14:textId="48D9665C" w:rsidR="00BF3726" w:rsidRPr="005A7F38" w:rsidRDefault="00E34625" w:rsidP="005A7F38">
            <w:pPr>
              <w:pStyle w:val="TableofFigures"/>
              <w:spacing w:line="240" w:lineRule="auto"/>
            </w:pPr>
            <w:r>
              <w:t>38 (100)</w:t>
            </w:r>
          </w:p>
        </w:tc>
      </w:tr>
      <w:tr w:rsidR="00E34625" w:rsidRPr="005A7F38" w14:paraId="125C3FB1" w14:textId="77777777" w:rsidTr="00E34625">
        <w:trPr>
          <w:trHeight w:val="309"/>
        </w:trPr>
        <w:tc>
          <w:tcPr>
            <w:tcW w:w="6030" w:type="dxa"/>
            <w:vAlign w:val="center"/>
          </w:tcPr>
          <w:p w14:paraId="175BAFB4" w14:textId="6791791D" w:rsidR="00BF3726" w:rsidRPr="005A7F38" w:rsidRDefault="00BF177D" w:rsidP="005A7F38">
            <w:pPr>
              <w:pStyle w:val="TableofFigures"/>
              <w:spacing w:line="240" w:lineRule="auto"/>
            </w:pPr>
            <w:r w:rsidRPr="005A7F38">
              <w:t>Black</w:t>
            </w:r>
            <w:r w:rsidR="00E34625" w:rsidRPr="005A7F38">
              <w:t>, N (%)</w:t>
            </w:r>
          </w:p>
        </w:tc>
        <w:tc>
          <w:tcPr>
            <w:tcW w:w="1818" w:type="dxa"/>
            <w:vAlign w:val="center"/>
          </w:tcPr>
          <w:p w14:paraId="337050A7" w14:textId="77777777" w:rsidR="00BF3726" w:rsidRPr="005A7F38" w:rsidRDefault="00E64967" w:rsidP="005A7F38">
            <w:pPr>
              <w:pStyle w:val="TableofFigures"/>
              <w:spacing w:line="240" w:lineRule="auto"/>
            </w:pPr>
            <w:r w:rsidRPr="005A7F38">
              <w:t>13 (22.41)</w:t>
            </w:r>
          </w:p>
        </w:tc>
        <w:tc>
          <w:tcPr>
            <w:tcW w:w="1765" w:type="dxa"/>
            <w:vAlign w:val="center"/>
          </w:tcPr>
          <w:p w14:paraId="76D2DC59" w14:textId="77777777" w:rsidR="00BF3726" w:rsidRPr="005A7F38" w:rsidRDefault="00E64967" w:rsidP="005A7F38">
            <w:pPr>
              <w:pStyle w:val="TableofFigures"/>
              <w:spacing w:line="240" w:lineRule="auto"/>
            </w:pPr>
            <w:r w:rsidRPr="005A7F38">
              <w:t>0</w:t>
            </w:r>
          </w:p>
        </w:tc>
      </w:tr>
      <w:tr w:rsidR="00E34625" w:rsidRPr="005A7F38" w14:paraId="317817BA" w14:textId="77777777" w:rsidTr="00E34625">
        <w:trPr>
          <w:trHeight w:val="309"/>
        </w:trPr>
        <w:tc>
          <w:tcPr>
            <w:tcW w:w="6030" w:type="dxa"/>
            <w:vAlign w:val="center"/>
          </w:tcPr>
          <w:p w14:paraId="7804186D" w14:textId="52E02C18" w:rsidR="00BF3726" w:rsidRPr="005A7F38" w:rsidRDefault="00BF177D" w:rsidP="005A7F38">
            <w:pPr>
              <w:pStyle w:val="TableofFigures"/>
              <w:spacing w:line="240" w:lineRule="auto"/>
            </w:pPr>
            <w:r w:rsidRPr="005A7F38">
              <w:t>Hispanic</w:t>
            </w:r>
            <w:r w:rsidR="00E34625" w:rsidRPr="005A7F38">
              <w:t>, N (%)</w:t>
            </w:r>
          </w:p>
        </w:tc>
        <w:tc>
          <w:tcPr>
            <w:tcW w:w="1818" w:type="dxa"/>
            <w:vAlign w:val="center"/>
          </w:tcPr>
          <w:p w14:paraId="502A1777" w14:textId="77777777" w:rsidR="00BF3726" w:rsidRPr="005A7F38" w:rsidRDefault="00E64967" w:rsidP="005A7F38">
            <w:pPr>
              <w:pStyle w:val="TableofFigures"/>
              <w:spacing w:line="240" w:lineRule="auto"/>
            </w:pPr>
            <w:r w:rsidRPr="005A7F38">
              <w:t>3 (5.17)</w:t>
            </w:r>
          </w:p>
        </w:tc>
        <w:tc>
          <w:tcPr>
            <w:tcW w:w="1765" w:type="dxa"/>
            <w:vAlign w:val="center"/>
          </w:tcPr>
          <w:p w14:paraId="79D31275" w14:textId="77777777" w:rsidR="00BF3726" w:rsidRPr="005A7F38" w:rsidRDefault="00E64967" w:rsidP="005A7F38">
            <w:pPr>
              <w:pStyle w:val="TableofFigures"/>
              <w:spacing w:line="240" w:lineRule="auto"/>
            </w:pPr>
            <w:r w:rsidRPr="005A7F38">
              <w:t>0</w:t>
            </w:r>
          </w:p>
        </w:tc>
      </w:tr>
      <w:tr w:rsidR="00E34625" w:rsidRPr="005A7F38" w14:paraId="3EB36599" w14:textId="77777777" w:rsidTr="00E34625">
        <w:trPr>
          <w:trHeight w:val="309"/>
        </w:trPr>
        <w:tc>
          <w:tcPr>
            <w:tcW w:w="6030" w:type="dxa"/>
            <w:vAlign w:val="center"/>
          </w:tcPr>
          <w:p w14:paraId="673312E9" w14:textId="5738BD40" w:rsidR="00BF3726" w:rsidRPr="005A7F38" w:rsidRDefault="00BF177D" w:rsidP="005A7F38">
            <w:pPr>
              <w:pStyle w:val="TableofFigures"/>
              <w:spacing w:line="240" w:lineRule="auto"/>
            </w:pPr>
            <w:r w:rsidRPr="005A7F38">
              <w:t>More than 1 race</w:t>
            </w:r>
            <w:r w:rsidR="00E34625" w:rsidRPr="005A7F38">
              <w:t>, N (%)</w:t>
            </w:r>
          </w:p>
        </w:tc>
        <w:tc>
          <w:tcPr>
            <w:tcW w:w="1818" w:type="dxa"/>
            <w:vAlign w:val="center"/>
          </w:tcPr>
          <w:p w14:paraId="2D695468" w14:textId="77777777" w:rsidR="00BF3726" w:rsidRPr="005A7F38" w:rsidRDefault="00E64967" w:rsidP="005A7F38">
            <w:pPr>
              <w:pStyle w:val="TableofFigures"/>
              <w:spacing w:line="240" w:lineRule="auto"/>
            </w:pPr>
            <w:r w:rsidRPr="005A7F38">
              <w:t>1 (1.75)</w:t>
            </w:r>
          </w:p>
        </w:tc>
        <w:tc>
          <w:tcPr>
            <w:tcW w:w="1765" w:type="dxa"/>
            <w:vAlign w:val="center"/>
          </w:tcPr>
          <w:p w14:paraId="3CD7D281" w14:textId="77777777" w:rsidR="00BF3726" w:rsidRPr="005A7F38" w:rsidRDefault="00E64967" w:rsidP="005A7F38">
            <w:pPr>
              <w:pStyle w:val="TableofFigures"/>
              <w:spacing w:line="240" w:lineRule="auto"/>
            </w:pPr>
            <w:r w:rsidRPr="005A7F38">
              <w:t>0</w:t>
            </w:r>
          </w:p>
        </w:tc>
      </w:tr>
      <w:tr w:rsidR="00E34625" w:rsidRPr="005A7F38" w14:paraId="3CB3D590" w14:textId="77777777" w:rsidTr="00E34625">
        <w:trPr>
          <w:trHeight w:val="297"/>
        </w:trPr>
        <w:tc>
          <w:tcPr>
            <w:tcW w:w="6030" w:type="dxa"/>
            <w:vAlign w:val="center"/>
          </w:tcPr>
          <w:p w14:paraId="034D640B" w14:textId="77777777" w:rsidR="00BF177D" w:rsidRPr="005A7F38" w:rsidRDefault="00BF177D" w:rsidP="005A7F38">
            <w:pPr>
              <w:pStyle w:val="TableofFigures"/>
              <w:spacing w:line="240" w:lineRule="auto"/>
              <w:rPr>
                <w:b/>
              </w:rPr>
            </w:pPr>
            <w:r w:rsidRPr="005A7F38">
              <w:rPr>
                <w:b/>
              </w:rPr>
              <w:t>Income</w:t>
            </w:r>
          </w:p>
        </w:tc>
        <w:tc>
          <w:tcPr>
            <w:tcW w:w="1818" w:type="dxa"/>
            <w:vAlign w:val="center"/>
          </w:tcPr>
          <w:p w14:paraId="4B03BC15" w14:textId="77777777" w:rsidR="00BF177D" w:rsidRPr="005A7F38" w:rsidRDefault="00DF4C12" w:rsidP="005A7F38">
            <w:pPr>
              <w:pStyle w:val="TableofFigures"/>
              <w:spacing w:line="240" w:lineRule="auto"/>
              <w:rPr>
                <w:b/>
              </w:rPr>
            </w:pPr>
            <w:r w:rsidRPr="005A7F38">
              <w:rPr>
                <w:b/>
              </w:rPr>
              <w:t>N (%)</w:t>
            </w:r>
          </w:p>
        </w:tc>
        <w:tc>
          <w:tcPr>
            <w:tcW w:w="1765" w:type="dxa"/>
            <w:vAlign w:val="center"/>
          </w:tcPr>
          <w:p w14:paraId="69535369" w14:textId="77777777" w:rsidR="00BF177D" w:rsidRPr="005A7F38" w:rsidRDefault="00DF4C12" w:rsidP="005A7F38">
            <w:pPr>
              <w:pStyle w:val="TableofFigures"/>
              <w:spacing w:line="240" w:lineRule="auto"/>
              <w:rPr>
                <w:b/>
              </w:rPr>
            </w:pPr>
            <w:r w:rsidRPr="005A7F38">
              <w:rPr>
                <w:b/>
              </w:rPr>
              <w:t>N (%)</w:t>
            </w:r>
          </w:p>
        </w:tc>
      </w:tr>
      <w:tr w:rsidR="00E34625" w:rsidRPr="005A7F38" w14:paraId="3BAEED77" w14:textId="77777777" w:rsidTr="00E34625">
        <w:trPr>
          <w:trHeight w:val="297"/>
        </w:trPr>
        <w:tc>
          <w:tcPr>
            <w:tcW w:w="6030" w:type="dxa"/>
            <w:vAlign w:val="center"/>
          </w:tcPr>
          <w:p w14:paraId="5A14B6CC" w14:textId="36C11452" w:rsidR="00BF177D" w:rsidRPr="005A7F38" w:rsidRDefault="00BF177D" w:rsidP="005A7F38">
            <w:pPr>
              <w:pStyle w:val="TableofFigures"/>
              <w:spacing w:line="240" w:lineRule="auto"/>
            </w:pPr>
            <w:r w:rsidRPr="005A7F38">
              <w:t>$0-$49,999</w:t>
            </w:r>
            <w:r w:rsidR="00E34625" w:rsidRPr="005A7F38">
              <w:t>, N (%)</w:t>
            </w:r>
          </w:p>
        </w:tc>
        <w:tc>
          <w:tcPr>
            <w:tcW w:w="1818" w:type="dxa"/>
            <w:vAlign w:val="center"/>
          </w:tcPr>
          <w:p w14:paraId="67B5A6DE" w14:textId="77777777" w:rsidR="00BF177D" w:rsidRPr="005A7F38" w:rsidRDefault="006624D9" w:rsidP="005A7F38">
            <w:pPr>
              <w:pStyle w:val="TableofFigures"/>
              <w:spacing w:line="240" w:lineRule="auto"/>
            </w:pPr>
            <w:r w:rsidRPr="005A7F38">
              <w:t>13 (22.41)</w:t>
            </w:r>
          </w:p>
        </w:tc>
        <w:tc>
          <w:tcPr>
            <w:tcW w:w="1765" w:type="dxa"/>
            <w:vAlign w:val="center"/>
          </w:tcPr>
          <w:p w14:paraId="3ECF8F08" w14:textId="77777777" w:rsidR="00BF177D" w:rsidRPr="005A7F38" w:rsidRDefault="00192CE0" w:rsidP="005A7F38">
            <w:pPr>
              <w:pStyle w:val="TableofFigures"/>
              <w:spacing w:line="240" w:lineRule="auto"/>
            </w:pPr>
            <w:r w:rsidRPr="005A7F38">
              <w:t>9 (24.3)</w:t>
            </w:r>
          </w:p>
        </w:tc>
      </w:tr>
      <w:tr w:rsidR="00E34625" w:rsidRPr="005A7F38" w14:paraId="312BAC99" w14:textId="77777777" w:rsidTr="00E34625">
        <w:trPr>
          <w:trHeight w:val="297"/>
        </w:trPr>
        <w:tc>
          <w:tcPr>
            <w:tcW w:w="6030" w:type="dxa"/>
            <w:vAlign w:val="center"/>
          </w:tcPr>
          <w:p w14:paraId="40D8B39D" w14:textId="28355FFD" w:rsidR="00BF177D" w:rsidRPr="005A7F38" w:rsidRDefault="00BF177D" w:rsidP="005A7F38">
            <w:pPr>
              <w:pStyle w:val="TableofFigures"/>
              <w:spacing w:line="240" w:lineRule="auto"/>
            </w:pPr>
            <w:r w:rsidRPr="005A7F38">
              <w:t>$50,000-$</w:t>
            </w:r>
            <w:r w:rsidR="00B760EA" w:rsidRPr="005A7F38">
              <w:t>99,999</w:t>
            </w:r>
            <w:r w:rsidR="00E34625" w:rsidRPr="005A7F38">
              <w:t>, N (%)</w:t>
            </w:r>
          </w:p>
        </w:tc>
        <w:tc>
          <w:tcPr>
            <w:tcW w:w="1818" w:type="dxa"/>
            <w:vAlign w:val="center"/>
          </w:tcPr>
          <w:p w14:paraId="546F6F84" w14:textId="77777777" w:rsidR="00BF177D" w:rsidRPr="005A7F38" w:rsidRDefault="00192CE0" w:rsidP="005A7F38">
            <w:pPr>
              <w:pStyle w:val="TableofFigures"/>
              <w:spacing w:line="240" w:lineRule="auto"/>
            </w:pPr>
            <w:r w:rsidRPr="005A7F38">
              <w:t>12 (21.05)</w:t>
            </w:r>
          </w:p>
        </w:tc>
        <w:tc>
          <w:tcPr>
            <w:tcW w:w="1765" w:type="dxa"/>
            <w:vAlign w:val="center"/>
          </w:tcPr>
          <w:p w14:paraId="521600DB" w14:textId="77777777" w:rsidR="00BF177D" w:rsidRPr="005A7F38" w:rsidRDefault="00E64967" w:rsidP="005A7F38">
            <w:pPr>
              <w:pStyle w:val="TableofFigures"/>
              <w:spacing w:line="240" w:lineRule="auto"/>
            </w:pPr>
            <w:r w:rsidRPr="005A7F38">
              <w:t>13 (35.13)</w:t>
            </w:r>
          </w:p>
        </w:tc>
      </w:tr>
      <w:tr w:rsidR="00E34625" w:rsidRPr="005A7F38" w14:paraId="70C19CD1" w14:textId="77777777" w:rsidTr="00E34625">
        <w:trPr>
          <w:trHeight w:val="297"/>
        </w:trPr>
        <w:tc>
          <w:tcPr>
            <w:tcW w:w="6030" w:type="dxa"/>
            <w:vAlign w:val="center"/>
          </w:tcPr>
          <w:p w14:paraId="738937A8" w14:textId="22B02A5A" w:rsidR="00B760EA" w:rsidRPr="005A7F38" w:rsidRDefault="00B760EA" w:rsidP="005A7F38">
            <w:pPr>
              <w:pStyle w:val="TableofFigures"/>
              <w:spacing w:line="240" w:lineRule="auto"/>
            </w:pPr>
            <w:r w:rsidRPr="005A7F38">
              <w:t>$100,000</w:t>
            </w:r>
            <w:r w:rsidR="00A70FD1" w:rsidRPr="005A7F38">
              <w:t>+</w:t>
            </w:r>
            <w:r w:rsidR="00E34625" w:rsidRPr="005A7F38">
              <w:t>, N (%)</w:t>
            </w:r>
          </w:p>
        </w:tc>
        <w:tc>
          <w:tcPr>
            <w:tcW w:w="1818" w:type="dxa"/>
            <w:vAlign w:val="center"/>
          </w:tcPr>
          <w:p w14:paraId="72290C35" w14:textId="77777777" w:rsidR="00B760EA" w:rsidRPr="005A7F38" w:rsidRDefault="00192CE0" w:rsidP="005A7F38">
            <w:pPr>
              <w:pStyle w:val="TableofFigures"/>
              <w:spacing w:line="240" w:lineRule="auto"/>
            </w:pPr>
            <w:r w:rsidRPr="005A7F38">
              <w:t>25 (43.85)</w:t>
            </w:r>
          </w:p>
        </w:tc>
        <w:tc>
          <w:tcPr>
            <w:tcW w:w="1765" w:type="dxa"/>
            <w:vAlign w:val="center"/>
          </w:tcPr>
          <w:p w14:paraId="2BC647EA" w14:textId="77777777" w:rsidR="00B760EA" w:rsidRPr="005A7F38" w:rsidRDefault="00E64967" w:rsidP="005A7F38">
            <w:pPr>
              <w:pStyle w:val="TableofFigures"/>
              <w:spacing w:line="240" w:lineRule="auto"/>
            </w:pPr>
            <w:r w:rsidRPr="005A7F38">
              <w:t>15 (40.54)</w:t>
            </w:r>
          </w:p>
        </w:tc>
      </w:tr>
      <w:tr w:rsidR="00E34625" w:rsidRPr="005A7F38" w14:paraId="786B16C3" w14:textId="77777777" w:rsidTr="00E34625">
        <w:trPr>
          <w:trHeight w:val="297"/>
        </w:trPr>
        <w:tc>
          <w:tcPr>
            <w:tcW w:w="6030" w:type="dxa"/>
            <w:vAlign w:val="center"/>
          </w:tcPr>
          <w:p w14:paraId="4EAA02B3" w14:textId="77777777" w:rsidR="00A70FD1" w:rsidRPr="005A7F38" w:rsidRDefault="00A70FD1" w:rsidP="005A7F38">
            <w:pPr>
              <w:pStyle w:val="TableofFigures"/>
              <w:spacing w:line="240" w:lineRule="auto"/>
              <w:rPr>
                <w:b/>
              </w:rPr>
            </w:pPr>
            <w:r w:rsidRPr="005A7F38">
              <w:rPr>
                <w:b/>
              </w:rPr>
              <w:t>Education Level</w:t>
            </w:r>
          </w:p>
        </w:tc>
        <w:tc>
          <w:tcPr>
            <w:tcW w:w="1818" w:type="dxa"/>
            <w:vAlign w:val="center"/>
          </w:tcPr>
          <w:p w14:paraId="6B3661C5" w14:textId="77777777" w:rsidR="00A70FD1" w:rsidRPr="005A7F38" w:rsidRDefault="00DF4C12" w:rsidP="005A7F38">
            <w:pPr>
              <w:pStyle w:val="TableofFigures"/>
              <w:spacing w:line="240" w:lineRule="auto"/>
              <w:rPr>
                <w:b/>
              </w:rPr>
            </w:pPr>
            <w:r w:rsidRPr="005A7F38">
              <w:rPr>
                <w:b/>
              </w:rPr>
              <w:t>N (%)</w:t>
            </w:r>
          </w:p>
        </w:tc>
        <w:tc>
          <w:tcPr>
            <w:tcW w:w="1765" w:type="dxa"/>
            <w:vAlign w:val="center"/>
          </w:tcPr>
          <w:p w14:paraId="2051AD1E" w14:textId="77777777" w:rsidR="00A70FD1" w:rsidRPr="005A7F38" w:rsidRDefault="00DF4C12" w:rsidP="005A7F38">
            <w:pPr>
              <w:pStyle w:val="TableofFigures"/>
              <w:spacing w:line="240" w:lineRule="auto"/>
              <w:rPr>
                <w:b/>
              </w:rPr>
            </w:pPr>
            <w:r w:rsidRPr="005A7F38">
              <w:rPr>
                <w:b/>
              </w:rPr>
              <w:t>N (%)</w:t>
            </w:r>
          </w:p>
        </w:tc>
      </w:tr>
      <w:tr w:rsidR="00E34625" w:rsidRPr="005A7F38" w14:paraId="6958EBF0" w14:textId="77777777" w:rsidTr="00E34625">
        <w:trPr>
          <w:trHeight w:val="297"/>
        </w:trPr>
        <w:tc>
          <w:tcPr>
            <w:tcW w:w="6030" w:type="dxa"/>
            <w:vAlign w:val="center"/>
          </w:tcPr>
          <w:p w14:paraId="3F551FE4" w14:textId="54716B27" w:rsidR="00A70FD1" w:rsidRPr="005A7F38" w:rsidRDefault="00A70FD1" w:rsidP="005A7F38">
            <w:pPr>
              <w:pStyle w:val="TableofFigures"/>
              <w:spacing w:line="240" w:lineRule="auto"/>
            </w:pPr>
            <w:r w:rsidRPr="005A7F38">
              <w:t>Less than High School</w:t>
            </w:r>
            <w:r w:rsidR="00E34625" w:rsidRPr="005A7F38">
              <w:t>, N (%)</w:t>
            </w:r>
          </w:p>
        </w:tc>
        <w:tc>
          <w:tcPr>
            <w:tcW w:w="1818" w:type="dxa"/>
            <w:vAlign w:val="center"/>
          </w:tcPr>
          <w:p w14:paraId="3FB53AC8" w14:textId="77777777" w:rsidR="00A70FD1" w:rsidRPr="005A7F38" w:rsidRDefault="00DF4C12" w:rsidP="005A7F38">
            <w:pPr>
              <w:pStyle w:val="TableofFigures"/>
              <w:spacing w:line="240" w:lineRule="auto"/>
            </w:pPr>
            <w:r w:rsidRPr="005A7F38">
              <w:t>4 (7.01)</w:t>
            </w:r>
          </w:p>
        </w:tc>
        <w:tc>
          <w:tcPr>
            <w:tcW w:w="1765" w:type="dxa"/>
            <w:vAlign w:val="center"/>
          </w:tcPr>
          <w:p w14:paraId="269CD30A" w14:textId="77777777" w:rsidR="00A70FD1" w:rsidRPr="005A7F38" w:rsidRDefault="00DF4C12" w:rsidP="005A7F38">
            <w:pPr>
              <w:pStyle w:val="TableofFigures"/>
              <w:spacing w:line="240" w:lineRule="auto"/>
            </w:pPr>
            <w:r w:rsidRPr="005A7F38">
              <w:t>0</w:t>
            </w:r>
          </w:p>
        </w:tc>
      </w:tr>
      <w:tr w:rsidR="00E34625" w:rsidRPr="005A7F38" w14:paraId="7CA7DD86" w14:textId="77777777" w:rsidTr="00E34625">
        <w:trPr>
          <w:trHeight w:val="243"/>
        </w:trPr>
        <w:tc>
          <w:tcPr>
            <w:tcW w:w="6030" w:type="dxa"/>
            <w:vAlign w:val="center"/>
          </w:tcPr>
          <w:p w14:paraId="13605711" w14:textId="1E288A6A" w:rsidR="00A70FD1" w:rsidRPr="005A7F38" w:rsidRDefault="00A70FD1" w:rsidP="005A7F38">
            <w:pPr>
              <w:pStyle w:val="TableofFigures"/>
              <w:spacing w:line="240" w:lineRule="auto"/>
            </w:pPr>
            <w:r w:rsidRPr="005A7F38">
              <w:t>High School Graduate or GED</w:t>
            </w:r>
            <w:r w:rsidR="00E34625" w:rsidRPr="005A7F38">
              <w:t>, N (%)</w:t>
            </w:r>
          </w:p>
        </w:tc>
        <w:tc>
          <w:tcPr>
            <w:tcW w:w="1818" w:type="dxa"/>
            <w:vAlign w:val="center"/>
          </w:tcPr>
          <w:p w14:paraId="71F8EAD5" w14:textId="77777777" w:rsidR="00A70FD1" w:rsidRPr="005A7F38" w:rsidRDefault="00DF4C12" w:rsidP="005A7F38">
            <w:pPr>
              <w:pStyle w:val="TableofFigures"/>
              <w:spacing w:line="240" w:lineRule="auto"/>
            </w:pPr>
            <w:r w:rsidRPr="005A7F38">
              <w:t>5 (8.77)</w:t>
            </w:r>
          </w:p>
        </w:tc>
        <w:tc>
          <w:tcPr>
            <w:tcW w:w="1765" w:type="dxa"/>
            <w:vAlign w:val="center"/>
          </w:tcPr>
          <w:p w14:paraId="7555EE67" w14:textId="77777777" w:rsidR="00A70FD1" w:rsidRPr="005A7F38" w:rsidRDefault="00DF4C12" w:rsidP="005A7F38">
            <w:pPr>
              <w:pStyle w:val="TableofFigures"/>
              <w:spacing w:line="240" w:lineRule="auto"/>
            </w:pPr>
            <w:r w:rsidRPr="005A7F38">
              <w:t>4 (10.81)</w:t>
            </w:r>
          </w:p>
        </w:tc>
      </w:tr>
      <w:tr w:rsidR="00E34625" w:rsidRPr="005A7F38" w14:paraId="03E19CC1" w14:textId="77777777" w:rsidTr="00E34625">
        <w:trPr>
          <w:trHeight w:val="243"/>
        </w:trPr>
        <w:tc>
          <w:tcPr>
            <w:tcW w:w="6030" w:type="dxa"/>
            <w:vAlign w:val="center"/>
          </w:tcPr>
          <w:p w14:paraId="4EEA647A" w14:textId="1452D6C8" w:rsidR="00A70FD1" w:rsidRPr="005A7F38" w:rsidRDefault="00A70FD1" w:rsidP="005A7F38">
            <w:pPr>
              <w:pStyle w:val="TableofFigures"/>
              <w:spacing w:line="240" w:lineRule="auto"/>
            </w:pPr>
            <w:r w:rsidRPr="005A7F38">
              <w:t>Some College/ Technical School/ Associates Degree</w:t>
            </w:r>
            <w:r w:rsidR="00E34625" w:rsidRPr="005A7F38">
              <w:t>, N (%)</w:t>
            </w:r>
          </w:p>
        </w:tc>
        <w:tc>
          <w:tcPr>
            <w:tcW w:w="1818" w:type="dxa"/>
            <w:vAlign w:val="center"/>
          </w:tcPr>
          <w:p w14:paraId="111D6D79" w14:textId="77777777" w:rsidR="00A70FD1" w:rsidRPr="005A7F38" w:rsidRDefault="00DF4C12" w:rsidP="005A7F38">
            <w:pPr>
              <w:pStyle w:val="TableofFigures"/>
              <w:spacing w:line="240" w:lineRule="auto"/>
            </w:pPr>
            <w:r w:rsidRPr="005A7F38">
              <w:t>13 (22.41)</w:t>
            </w:r>
          </w:p>
        </w:tc>
        <w:tc>
          <w:tcPr>
            <w:tcW w:w="1765" w:type="dxa"/>
            <w:vAlign w:val="center"/>
          </w:tcPr>
          <w:p w14:paraId="30FD6392" w14:textId="77777777" w:rsidR="00A70FD1" w:rsidRPr="005A7F38" w:rsidRDefault="00DF4C12" w:rsidP="005A7F38">
            <w:pPr>
              <w:pStyle w:val="TableofFigures"/>
              <w:spacing w:line="240" w:lineRule="auto"/>
            </w:pPr>
            <w:r w:rsidRPr="005A7F38">
              <w:t>13 (35.13)</w:t>
            </w:r>
          </w:p>
        </w:tc>
      </w:tr>
      <w:tr w:rsidR="00E34625" w:rsidRPr="005A7F38" w14:paraId="119ADBD6" w14:textId="77777777" w:rsidTr="00E34625">
        <w:trPr>
          <w:trHeight w:val="243"/>
        </w:trPr>
        <w:tc>
          <w:tcPr>
            <w:tcW w:w="6030" w:type="dxa"/>
            <w:vAlign w:val="center"/>
          </w:tcPr>
          <w:p w14:paraId="01473AE2" w14:textId="49067B11" w:rsidR="00A70FD1" w:rsidRPr="005A7F38" w:rsidRDefault="00A70FD1" w:rsidP="005A7F38">
            <w:pPr>
              <w:pStyle w:val="TableofFigures"/>
              <w:spacing w:line="240" w:lineRule="auto"/>
            </w:pPr>
            <w:r w:rsidRPr="005A7F38">
              <w:t>College Graduate</w:t>
            </w:r>
            <w:r w:rsidR="00E34625" w:rsidRPr="005A7F38">
              <w:t>, N (%)</w:t>
            </w:r>
          </w:p>
        </w:tc>
        <w:tc>
          <w:tcPr>
            <w:tcW w:w="1818" w:type="dxa"/>
            <w:vAlign w:val="center"/>
          </w:tcPr>
          <w:p w14:paraId="24AAAE5E" w14:textId="77777777" w:rsidR="00A70FD1" w:rsidRPr="005A7F38" w:rsidRDefault="00DF4C12" w:rsidP="005A7F38">
            <w:pPr>
              <w:pStyle w:val="TableofFigures"/>
              <w:spacing w:line="240" w:lineRule="auto"/>
            </w:pPr>
            <w:r w:rsidRPr="005A7F38">
              <w:t>19 (32.76)</w:t>
            </w:r>
          </w:p>
        </w:tc>
        <w:tc>
          <w:tcPr>
            <w:tcW w:w="1765" w:type="dxa"/>
            <w:vAlign w:val="center"/>
          </w:tcPr>
          <w:p w14:paraId="42F023D1" w14:textId="77777777" w:rsidR="00A70FD1" w:rsidRPr="005A7F38" w:rsidRDefault="00DF4C12" w:rsidP="005A7F38">
            <w:pPr>
              <w:pStyle w:val="TableofFigures"/>
              <w:spacing w:line="240" w:lineRule="auto"/>
            </w:pPr>
            <w:r w:rsidRPr="005A7F38">
              <w:t>10 (27.03)</w:t>
            </w:r>
          </w:p>
        </w:tc>
      </w:tr>
      <w:tr w:rsidR="00E34625" w:rsidRPr="005A7F38" w14:paraId="480F830E" w14:textId="77777777" w:rsidTr="00E34625">
        <w:trPr>
          <w:trHeight w:val="230"/>
        </w:trPr>
        <w:tc>
          <w:tcPr>
            <w:tcW w:w="6030" w:type="dxa"/>
            <w:vAlign w:val="center"/>
          </w:tcPr>
          <w:p w14:paraId="7CF066DF" w14:textId="18AC0ECC" w:rsidR="00A70FD1" w:rsidRPr="005A7F38" w:rsidRDefault="00A70FD1" w:rsidP="005A7F38">
            <w:pPr>
              <w:pStyle w:val="TableofFigures"/>
              <w:spacing w:line="240" w:lineRule="auto"/>
            </w:pPr>
            <w:r w:rsidRPr="005A7F38">
              <w:t>Graduate or Professional Degree</w:t>
            </w:r>
            <w:r w:rsidR="00E34625" w:rsidRPr="005A7F38">
              <w:t>, N (%)</w:t>
            </w:r>
          </w:p>
        </w:tc>
        <w:tc>
          <w:tcPr>
            <w:tcW w:w="1818" w:type="dxa"/>
            <w:vAlign w:val="center"/>
          </w:tcPr>
          <w:p w14:paraId="2DA779D1" w14:textId="77777777" w:rsidR="00A70FD1" w:rsidRPr="005A7F38" w:rsidRDefault="00DF4C12" w:rsidP="005A7F38">
            <w:pPr>
              <w:pStyle w:val="TableofFigures"/>
              <w:spacing w:line="240" w:lineRule="auto"/>
            </w:pPr>
            <w:r w:rsidRPr="005A7F38">
              <w:t>16 (28.07)</w:t>
            </w:r>
          </w:p>
        </w:tc>
        <w:tc>
          <w:tcPr>
            <w:tcW w:w="1765" w:type="dxa"/>
            <w:vAlign w:val="center"/>
          </w:tcPr>
          <w:p w14:paraId="0CF903B2" w14:textId="77777777" w:rsidR="00A70FD1" w:rsidRPr="005A7F38" w:rsidRDefault="00DF4C12" w:rsidP="005A7F38">
            <w:pPr>
              <w:pStyle w:val="TableofFigures"/>
              <w:spacing w:line="240" w:lineRule="auto"/>
            </w:pPr>
            <w:r w:rsidRPr="005A7F38">
              <w:t>10 (27.03)</w:t>
            </w:r>
          </w:p>
        </w:tc>
      </w:tr>
      <w:tr w:rsidR="00E34625" w:rsidRPr="005A7F38" w14:paraId="2249D2C3" w14:textId="77777777" w:rsidTr="00E34625">
        <w:trPr>
          <w:trHeight w:val="305"/>
        </w:trPr>
        <w:tc>
          <w:tcPr>
            <w:tcW w:w="6030" w:type="dxa"/>
            <w:vAlign w:val="center"/>
          </w:tcPr>
          <w:p w14:paraId="16237D31" w14:textId="77777777" w:rsidR="0073004B" w:rsidRPr="005A7F38" w:rsidRDefault="0073004B" w:rsidP="005A7F38">
            <w:pPr>
              <w:pStyle w:val="TableofFigures"/>
              <w:spacing w:line="240" w:lineRule="auto"/>
              <w:rPr>
                <w:b/>
              </w:rPr>
            </w:pPr>
            <w:r w:rsidRPr="005A7F38">
              <w:rPr>
                <w:b/>
              </w:rPr>
              <w:t>Employment Status</w:t>
            </w:r>
          </w:p>
        </w:tc>
        <w:tc>
          <w:tcPr>
            <w:tcW w:w="1818" w:type="dxa"/>
            <w:vAlign w:val="center"/>
          </w:tcPr>
          <w:p w14:paraId="6A8670C1" w14:textId="77777777" w:rsidR="0073004B" w:rsidRPr="005A7F38" w:rsidRDefault="00DF4C12" w:rsidP="005A7F38">
            <w:pPr>
              <w:pStyle w:val="TableofFigures"/>
              <w:spacing w:line="240" w:lineRule="auto"/>
              <w:rPr>
                <w:b/>
              </w:rPr>
            </w:pPr>
            <w:r w:rsidRPr="005A7F38">
              <w:rPr>
                <w:b/>
              </w:rPr>
              <w:t>N (%)</w:t>
            </w:r>
          </w:p>
        </w:tc>
        <w:tc>
          <w:tcPr>
            <w:tcW w:w="1765" w:type="dxa"/>
            <w:vAlign w:val="center"/>
          </w:tcPr>
          <w:p w14:paraId="42A07F8B" w14:textId="77777777" w:rsidR="0073004B" w:rsidRPr="005A7F38" w:rsidRDefault="00DF4C12" w:rsidP="005A7F38">
            <w:pPr>
              <w:pStyle w:val="TableofFigures"/>
              <w:spacing w:line="240" w:lineRule="auto"/>
              <w:rPr>
                <w:b/>
              </w:rPr>
            </w:pPr>
            <w:r w:rsidRPr="005A7F38">
              <w:rPr>
                <w:b/>
              </w:rPr>
              <w:t>N (%)</w:t>
            </w:r>
          </w:p>
        </w:tc>
      </w:tr>
      <w:tr w:rsidR="00E34625" w:rsidRPr="005A7F38" w14:paraId="3581CBEC" w14:textId="77777777" w:rsidTr="00E34625">
        <w:trPr>
          <w:trHeight w:val="243"/>
        </w:trPr>
        <w:tc>
          <w:tcPr>
            <w:tcW w:w="6030" w:type="dxa"/>
            <w:vAlign w:val="center"/>
          </w:tcPr>
          <w:p w14:paraId="05273F76" w14:textId="1BC076DD" w:rsidR="0073004B" w:rsidRPr="005A7F38" w:rsidRDefault="00DF4C12" w:rsidP="005A7F38">
            <w:pPr>
              <w:pStyle w:val="TableofFigures"/>
              <w:spacing w:line="240" w:lineRule="auto"/>
            </w:pPr>
            <w:r w:rsidRPr="005A7F38">
              <w:t>Full Time Employment</w:t>
            </w:r>
            <w:r w:rsidR="00E34625" w:rsidRPr="005A7F38">
              <w:t>, N (%)</w:t>
            </w:r>
          </w:p>
        </w:tc>
        <w:tc>
          <w:tcPr>
            <w:tcW w:w="1818" w:type="dxa"/>
            <w:vAlign w:val="center"/>
          </w:tcPr>
          <w:p w14:paraId="4DBA4352" w14:textId="77777777" w:rsidR="0073004B" w:rsidRPr="005A7F38" w:rsidRDefault="00DF4C12" w:rsidP="005A7F38">
            <w:pPr>
              <w:pStyle w:val="TableofFigures"/>
              <w:spacing w:line="240" w:lineRule="auto"/>
            </w:pPr>
            <w:r w:rsidRPr="005A7F38">
              <w:t>43 (73.68)</w:t>
            </w:r>
          </w:p>
        </w:tc>
        <w:tc>
          <w:tcPr>
            <w:tcW w:w="1765" w:type="dxa"/>
            <w:vAlign w:val="center"/>
          </w:tcPr>
          <w:p w14:paraId="7DB57621" w14:textId="77777777" w:rsidR="0073004B" w:rsidRPr="005A7F38" w:rsidRDefault="00DF4C12" w:rsidP="005A7F38">
            <w:pPr>
              <w:pStyle w:val="TableofFigures"/>
              <w:spacing w:line="240" w:lineRule="auto"/>
            </w:pPr>
            <w:r w:rsidRPr="005A7F38">
              <w:t>26 (70.27)</w:t>
            </w:r>
          </w:p>
        </w:tc>
      </w:tr>
      <w:tr w:rsidR="00E34625" w:rsidRPr="005A7F38" w14:paraId="4D7BAA26" w14:textId="77777777" w:rsidTr="00E34625">
        <w:trPr>
          <w:trHeight w:val="243"/>
        </w:trPr>
        <w:tc>
          <w:tcPr>
            <w:tcW w:w="6030" w:type="dxa"/>
            <w:vAlign w:val="center"/>
          </w:tcPr>
          <w:p w14:paraId="4F78E0FE" w14:textId="419CAC17" w:rsidR="0073004B" w:rsidRPr="005A7F38" w:rsidRDefault="00DF4C12" w:rsidP="005A7F38">
            <w:pPr>
              <w:pStyle w:val="TableofFigures"/>
              <w:spacing w:line="240" w:lineRule="auto"/>
            </w:pPr>
            <w:r w:rsidRPr="005A7F38">
              <w:t>Part Time Employment</w:t>
            </w:r>
            <w:r w:rsidR="00E34625" w:rsidRPr="005A7F38">
              <w:t>, N (%)</w:t>
            </w:r>
          </w:p>
        </w:tc>
        <w:tc>
          <w:tcPr>
            <w:tcW w:w="1818" w:type="dxa"/>
            <w:vAlign w:val="center"/>
          </w:tcPr>
          <w:p w14:paraId="6B5C5C51" w14:textId="77777777" w:rsidR="0073004B" w:rsidRPr="005A7F38" w:rsidRDefault="00DF4C12" w:rsidP="005A7F38">
            <w:pPr>
              <w:pStyle w:val="TableofFigures"/>
              <w:spacing w:line="240" w:lineRule="auto"/>
            </w:pPr>
            <w:r w:rsidRPr="005A7F38">
              <w:t>4 (7.02)</w:t>
            </w:r>
          </w:p>
        </w:tc>
        <w:tc>
          <w:tcPr>
            <w:tcW w:w="1765" w:type="dxa"/>
            <w:vAlign w:val="center"/>
          </w:tcPr>
          <w:p w14:paraId="514E8CC8" w14:textId="77777777" w:rsidR="0073004B" w:rsidRPr="005A7F38" w:rsidRDefault="00DF4C12" w:rsidP="005A7F38">
            <w:pPr>
              <w:pStyle w:val="TableofFigures"/>
              <w:spacing w:line="240" w:lineRule="auto"/>
            </w:pPr>
            <w:r w:rsidRPr="005A7F38">
              <w:t>4 (10.81)</w:t>
            </w:r>
          </w:p>
        </w:tc>
      </w:tr>
      <w:tr w:rsidR="00E34625" w:rsidRPr="005A7F38" w14:paraId="1C7211FB" w14:textId="77777777" w:rsidTr="00E34625">
        <w:trPr>
          <w:trHeight w:val="243"/>
        </w:trPr>
        <w:tc>
          <w:tcPr>
            <w:tcW w:w="6030" w:type="dxa"/>
            <w:vAlign w:val="center"/>
          </w:tcPr>
          <w:p w14:paraId="1C3B5750" w14:textId="3282C3DA" w:rsidR="00DF4C12" w:rsidRPr="005A7F38" w:rsidRDefault="00DF4C12" w:rsidP="005A7F38">
            <w:pPr>
              <w:pStyle w:val="TableofFigures"/>
              <w:spacing w:line="240" w:lineRule="auto"/>
            </w:pPr>
            <w:r w:rsidRPr="005A7F38">
              <w:t>Homemaker</w:t>
            </w:r>
            <w:r w:rsidR="00E34625" w:rsidRPr="005A7F38">
              <w:t>, N (%)</w:t>
            </w:r>
          </w:p>
        </w:tc>
        <w:tc>
          <w:tcPr>
            <w:tcW w:w="1818" w:type="dxa"/>
            <w:vAlign w:val="center"/>
          </w:tcPr>
          <w:p w14:paraId="2B9153EF" w14:textId="77777777" w:rsidR="00DF4C12" w:rsidRPr="005A7F38" w:rsidRDefault="00DF4C12" w:rsidP="005A7F38">
            <w:pPr>
              <w:pStyle w:val="TableofFigures"/>
              <w:spacing w:line="240" w:lineRule="auto"/>
            </w:pPr>
            <w:r w:rsidRPr="005A7F38">
              <w:t>3 (5.17)</w:t>
            </w:r>
          </w:p>
        </w:tc>
        <w:tc>
          <w:tcPr>
            <w:tcW w:w="1765" w:type="dxa"/>
            <w:vAlign w:val="center"/>
          </w:tcPr>
          <w:p w14:paraId="014DB053" w14:textId="77777777" w:rsidR="00DF4C12" w:rsidRPr="005A7F38" w:rsidRDefault="00DF4C12" w:rsidP="005A7F38">
            <w:pPr>
              <w:pStyle w:val="TableofFigures"/>
              <w:spacing w:line="240" w:lineRule="auto"/>
            </w:pPr>
            <w:r w:rsidRPr="005A7F38">
              <w:t>2 (5.40)</w:t>
            </w:r>
          </w:p>
        </w:tc>
      </w:tr>
      <w:tr w:rsidR="00E34625" w:rsidRPr="005A7F38" w14:paraId="2963882D" w14:textId="77777777" w:rsidTr="00E34625">
        <w:trPr>
          <w:trHeight w:val="243"/>
        </w:trPr>
        <w:tc>
          <w:tcPr>
            <w:tcW w:w="6030" w:type="dxa"/>
            <w:vAlign w:val="center"/>
          </w:tcPr>
          <w:p w14:paraId="5F289C01" w14:textId="5DA03F56" w:rsidR="00DF4C12" w:rsidRPr="005A7F38" w:rsidRDefault="00DF4C12" w:rsidP="005A7F38">
            <w:pPr>
              <w:pStyle w:val="TableofFigures"/>
              <w:spacing w:line="240" w:lineRule="auto"/>
            </w:pPr>
            <w:r w:rsidRPr="005A7F38">
              <w:t>Retired</w:t>
            </w:r>
            <w:r w:rsidR="00E34625" w:rsidRPr="005A7F38">
              <w:t>, N (%)</w:t>
            </w:r>
          </w:p>
        </w:tc>
        <w:tc>
          <w:tcPr>
            <w:tcW w:w="1818" w:type="dxa"/>
            <w:vAlign w:val="center"/>
          </w:tcPr>
          <w:p w14:paraId="33F5C531" w14:textId="77777777" w:rsidR="00DF4C12" w:rsidRPr="005A7F38" w:rsidRDefault="00DF4C12" w:rsidP="005A7F38">
            <w:pPr>
              <w:pStyle w:val="TableofFigures"/>
              <w:spacing w:line="240" w:lineRule="auto"/>
            </w:pPr>
            <w:r w:rsidRPr="005A7F38">
              <w:t>4 (7.02)</w:t>
            </w:r>
          </w:p>
        </w:tc>
        <w:tc>
          <w:tcPr>
            <w:tcW w:w="1765" w:type="dxa"/>
            <w:vAlign w:val="center"/>
          </w:tcPr>
          <w:p w14:paraId="769ABD77" w14:textId="77777777" w:rsidR="00DF4C12" w:rsidRPr="005A7F38" w:rsidRDefault="00DF4C12" w:rsidP="005A7F38">
            <w:pPr>
              <w:pStyle w:val="TableofFigures"/>
              <w:spacing w:line="240" w:lineRule="auto"/>
            </w:pPr>
            <w:r w:rsidRPr="005A7F38">
              <w:t>4 (10.81)</w:t>
            </w:r>
          </w:p>
        </w:tc>
      </w:tr>
      <w:tr w:rsidR="00E34625" w:rsidRPr="005A7F38" w14:paraId="40C6DE7E" w14:textId="77777777" w:rsidTr="00E34625">
        <w:trPr>
          <w:trHeight w:val="230"/>
        </w:trPr>
        <w:tc>
          <w:tcPr>
            <w:tcW w:w="6030" w:type="dxa"/>
            <w:vAlign w:val="center"/>
          </w:tcPr>
          <w:p w14:paraId="6A6BE942" w14:textId="67AAA879" w:rsidR="00DF4C12" w:rsidRPr="005A7F38" w:rsidRDefault="00DF4C12" w:rsidP="005A7F38">
            <w:pPr>
              <w:pStyle w:val="TableofFigures"/>
              <w:spacing w:line="240" w:lineRule="auto"/>
            </w:pPr>
            <w:r w:rsidRPr="005A7F38">
              <w:t>Unemployed</w:t>
            </w:r>
            <w:r w:rsidR="00E34625" w:rsidRPr="005A7F38">
              <w:t>, N (%)</w:t>
            </w:r>
          </w:p>
        </w:tc>
        <w:tc>
          <w:tcPr>
            <w:tcW w:w="1818" w:type="dxa"/>
            <w:vAlign w:val="center"/>
          </w:tcPr>
          <w:p w14:paraId="48E06AAF" w14:textId="77777777" w:rsidR="00DF4C12" w:rsidRPr="005A7F38" w:rsidRDefault="00DF4C12" w:rsidP="005A7F38">
            <w:pPr>
              <w:pStyle w:val="TableofFigures"/>
              <w:spacing w:line="240" w:lineRule="auto"/>
            </w:pPr>
            <w:r w:rsidRPr="005A7F38">
              <w:t>4 (7.02)</w:t>
            </w:r>
          </w:p>
        </w:tc>
        <w:tc>
          <w:tcPr>
            <w:tcW w:w="1765" w:type="dxa"/>
            <w:vAlign w:val="center"/>
          </w:tcPr>
          <w:p w14:paraId="64699004" w14:textId="77777777" w:rsidR="00DF4C12" w:rsidRPr="005A7F38" w:rsidRDefault="00DF4C12" w:rsidP="005A7F38">
            <w:pPr>
              <w:pStyle w:val="TableofFigures"/>
              <w:spacing w:line="240" w:lineRule="auto"/>
            </w:pPr>
            <w:r w:rsidRPr="005A7F38">
              <w:t>1 (2.70)</w:t>
            </w:r>
          </w:p>
        </w:tc>
      </w:tr>
    </w:tbl>
    <w:p w14:paraId="285256F9" w14:textId="77777777" w:rsidR="004928D2" w:rsidRPr="005A7F38" w:rsidRDefault="004928D2" w:rsidP="009C32BE">
      <w:pPr>
        <w:pStyle w:val="Noindent"/>
      </w:pPr>
    </w:p>
    <w:p w14:paraId="79DF6811" w14:textId="77777777" w:rsidR="00E915F8" w:rsidRPr="005A7F38" w:rsidRDefault="00E915F8" w:rsidP="00E915F8">
      <w:pPr>
        <w:pStyle w:val="Heading3"/>
        <w:rPr>
          <w:rFonts w:cs="Times New Roman"/>
        </w:rPr>
      </w:pPr>
      <w:bookmarkStart w:id="70" w:name="_Toc506540045"/>
      <w:r w:rsidRPr="005A7F38">
        <w:rPr>
          <w:rFonts w:cs="Times New Roman"/>
        </w:rPr>
        <w:t>Participants with Sarcoidosis</w:t>
      </w:r>
      <w:bookmarkEnd w:id="70"/>
    </w:p>
    <w:p w14:paraId="0AA85DAC" w14:textId="6330A2A4" w:rsidR="00ED4770" w:rsidRDefault="003E308A" w:rsidP="0098648B">
      <w:pPr>
        <w:pStyle w:val="Noindent"/>
      </w:pPr>
      <w:r>
        <w:t xml:space="preserve">Two percent </w:t>
      </w:r>
      <w:r w:rsidR="009C32BE" w:rsidRPr="005A7F38">
        <w:t>of sarcoidosis patients were experiencing acute sarcoidosis, 56.9% of sarcoidosis patients had chronic, unremitting disease and 18.97% of the sarcoidosis patients in this population had sarcoidosis with a remitting disease course.</w:t>
      </w:r>
      <w:r w:rsidR="004928D2" w:rsidRPr="005A7F38">
        <w:t xml:space="preserve"> Disease course was uncertain in 24.14% of participants with sarcoidosis. </w:t>
      </w:r>
      <w:r w:rsidR="00E915F8" w:rsidRPr="005A7F38">
        <w:t xml:space="preserve">5.17% of participants were considered Scadding stage 0, with no radiologic evidence of pulmonary involvement. Participants staged as Scadding stage I accounted </w:t>
      </w:r>
      <w:r w:rsidR="00E915F8" w:rsidRPr="005A7F38">
        <w:lastRenderedPageBreak/>
        <w:t>for 17.24% of population included in this analysis. The majority (44.83%) of included sarcoidosis patients were considered</w:t>
      </w:r>
      <w:r w:rsidR="001D0520" w:rsidRPr="005A7F38">
        <w:t xml:space="preserve"> Scadding stage II. Those with </w:t>
      </w:r>
      <w:r w:rsidR="00E915F8" w:rsidRPr="005A7F38">
        <w:t>Scadding stage III composed 15.52% of the population. Those with the most severe disease, Scadding stage IV, accounted for 17.24% of the study patients considered in this analysis.</w:t>
      </w:r>
      <w:r w:rsidR="0098648B" w:rsidRPr="005A7F38">
        <w:t xml:space="preserve"> 8 of the 9 phenotypic groups were represented in our analysis, however, no participants with cardiac defining therapy were included in our random sample from the larger study population. There was not equal distribution of participants among the phenotypic groups.</w:t>
      </w:r>
    </w:p>
    <w:p w14:paraId="6620541B" w14:textId="77777777" w:rsidR="00200A37" w:rsidRPr="00200A37" w:rsidRDefault="00200A37" w:rsidP="00200A37"/>
    <w:p w14:paraId="781E4EF2" w14:textId="7D34F25F" w:rsidR="00254646" w:rsidRPr="005A7F38" w:rsidRDefault="00254646" w:rsidP="00254646">
      <w:pPr>
        <w:pStyle w:val="Caption"/>
        <w:rPr>
          <w:b w:val="0"/>
        </w:rPr>
      </w:pPr>
      <w:bookmarkStart w:id="71" w:name="_Toc506540064"/>
      <w:r w:rsidRPr="005A7F38">
        <w:t xml:space="preserve">Table </w:t>
      </w:r>
      <w:fldSimple w:instr=" SEQ Table \* ARABIC ">
        <w:r w:rsidR="001F73C6">
          <w:rPr>
            <w:noProof/>
          </w:rPr>
          <w:t>4</w:t>
        </w:r>
      </w:fldSimple>
      <w:r w:rsidRPr="005A7F38">
        <w:t xml:space="preserve">. </w:t>
      </w:r>
      <w:r w:rsidRPr="005A7F38">
        <w:rPr>
          <w:b w:val="0"/>
        </w:rPr>
        <w:t>Scadding Stage Distribution Among Sarcoidosis Cases</w:t>
      </w:r>
      <w:bookmarkEnd w:id="71"/>
    </w:p>
    <w:tbl>
      <w:tblPr>
        <w:tblStyle w:val="TableGrid"/>
        <w:tblW w:w="0" w:type="auto"/>
        <w:jc w:val="center"/>
        <w:tblLook w:val="04A0" w:firstRow="1" w:lastRow="0" w:firstColumn="1" w:lastColumn="0" w:noHBand="0" w:noVBand="1"/>
      </w:tblPr>
      <w:tblGrid>
        <w:gridCol w:w="1787"/>
        <w:gridCol w:w="1539"/>
      </w:tblGrid>
      <w:tr w:rsidR="004501A6" w:rsidRPr="005A7F38" w14:paraId="48CD625B" w14:textId="77777777" w:rsidTr="00AE52F0">
        <w:trPr>
          <w:trHeight w:val="292"/>
          <w:jc w:val="center"/>
        </w:trPr>
        <w:tc>
          <w:tcPr>
            <w:tcW w:w="1787" w:type="dxa"/>
          </w:tcPr>
          <w:p w14:paraId="2C92ECAE" w14:textId="77777777" w:rsidR="001C0221" w:rsidRPr="005A7F38" w:rsidRDefault="001C0221" w:rsidP="00254646">
            <w:pPr>
              <w:spacing w:line="240" w:lineRule="auto"/>
              <w:ind w:firstLine="0"/>
              <w:rPr>
                <w:b/>
              </w:rPr>
            </w:pPr>
            <w:r w:rsidRPr="005A7F38">
              <w:rPr>
                <w:b/>
              </w:rPr>
              <w:t>Scadding Stage</w:t>
            </w:r>
          </w:p>
        </w:tc>
        <w:tc>
          <w:tcPr>
            <w:tcW w:w="1539" w:type="dxa"/>
          </w:tcPr>
          <w:p w14:paraId="1B8E9A97" w14:textId="77777777" w:rsidR="001C0221" w:rsidRPr="005A7F38" w:rsidRDefault="001C0221" w:rsidP="00254646">
            <w:pPr>
              <w:spacing w:line="240" w:lineRule="auto"/>
              <w:ind w:firstLine="0"/>
              <w:jc w:val="center"/>
              <w:rPr>
                <w:b/>
              </w:rPr>
            </w:pPr>
            <w:r w:rsidRPr="005A7F38">
              <w:rPr>
                <w:b/>
              </w:rPr>
              <w:t>N</w:t>
            </w:r>
            <w:r w:rsidR="00BC1BB9">
              <w:rPr>
                <w:b/>
              </w:rPr>
              <w:t>=58</w:t>
            </w:r>
            <w:r w:rsidRPr="005A7F38">
              <w:rPr>
                <w:b/>
              </w:rPr>
              <w:t xml:space="preserve"> (%)</w:t>
            </w:r>
          </w:p>
        </w:tc>
      </w:tr>
      <w:tr w:rsidR="004501A6" w:rsidRPr="005A7F38" w14:paraId="66AE2F18" w14:textId="77777777" w:rsidTr="00BC1BB9">
        <w:trPr>
          <w:trHeight w:val="341"/>
          <w:jc w:val="center"/>
        </w:trPr>
        <w:tc>
          <w:tcPr>
            <w:tcW w:w="1787" w:type="dxa"/>
          </w:tcPr>
          <w:p w14:paraId="0A430C30" w14:textId="77777777" w:rsidR="001C0221" w:rsidRPr="005A7F38" w:rsidRDefault="001C0221" w:rsidP="00254646">
            <w:pPr>
              <w:spacing w:line="240" w:lineRule="auto"/>
              <w:ind w:firstLine="0"/>
            </w:pPr>
            <w:r w:rsidRPr="005A7F38">
              <w:t>0</w:t>
            </w:r>
          </w:p>
        </w:tc>
        <w:tc>
          <w:tcPr>
            <w:tcW w:w="1539" w:type="dxa"/>
          </w:tcPr>
          <w:p w14:paraId="493739B8" w14:textId="77777777" w:rsidR="001C0221" w:rsidRPr="005A7F38" w:rsidRDefault="001C0221" w:rsidP="00254646">
            <w:pPr>
              <w:spacing w:line="240" w:lineRule="auto"/>
              <w:ind w:firstLine="0"/>
              <w:jc w:val="center"/>
            </w:pPr>
            <w:r w:rsidRPr="005A7F38">
              <w:t>3 (5.17)</w:t>
            </w:r>
          </w:p>
        </w:tc>
      </w:tr>
      <w:tr w:rsidR="004501A6" w:rsidRPr="005A7F38" w14:paraId="277DB051" w14:textId="77777777" w:rsidTr="00AE52F0">
        <w:trPr>
          <w:trHeight w:val="292"/>
          <w:jc w:val="center"/>
        </w:trPr>
        <w:tc>
          <w:tcPr>
            <w:tcW w:w="1787" w:type="dxa"/>
          </w:tcPr>
          <w:p w14:paraId="43519119" w14:textId="77777777" w:rsidR="001C0221" w:rsidRPr="005A7F38" w:rsidRDefault="001C0221" w:rsidP="00254646">
            <w:pPr>
              <w:spacing w:line="240" w:lineRule="auto"/>
              <w:ind w:firstLine="0"/>
            </w:pPr>
            <w:r w:rsidRPr="005A7F38">
              <w:t>I</w:t>
            </w:r>
          </w:p>
        </w:tc>
        <w:tc>
          <w:tcPr>
            <w:tcW w:w="1539" w:type="dxa"/>
          </w:tcPr>
          <w:p w14:paraId="2B383CB5" w14:textId="77777777" w:rsidR="001C0221" w:rsidRPr="005A7F38" w:rsidRDefault="001C0221" w:rsidP="00254646">
            <w:pPr>
              <w:spacing w:line="240" w:lineRule="auto"/>
              <w:ind w:firstLine="0"/>
              <w:jc w:val="center"/>
            </w:pPr>
            <w:r w:rsidRPr="005A7F38">
              <w:t>10 (17.24)</w:t>
            </w:r>
          </w:p>
        </w:tc>
      </w:tr>
      <w:tr w:rsidR="004501A6" w:rsidRPr="005A7F38" w14:paraId="319FDDFC" w14:textId="77777777" w:rsidTr="00AE52F0">
        <w:trPr>
          <w:trHeight w:val="292"/>
          <w:jc w:val="center"/>
        </w:trPr>
        <w:tc>
          <w:tcPr>
            <w:tcW w:w="1787" w:type="dxa"/>
          </w:tcPr>
          <w:p w14:paraId="1BE1CE9F" w14:textId="77777777" w:rsidR="001C0221" w:rsidRPr="005A7F38" w:rsidRDefault="001C0221" w:rsidP="00254646">
            <w:pPr>
              <w:spacing w:line="240" w:lineRule="auto"/>
              <w:ind w:firstLine="0"/>
            </w:pPr>
            <w:r w:rsidRPr="005A7F38">
              <w:t>II</w:t>
            </w:r>
          </w:p>
        </w:tc>
        <w:tc>
          <w:tcPr>
            <w:tcW w:w="1539" w:type="dxa"/>
          </w:tcPr>
          <w:p w14:paraId="40C07045" w14:textId="77777777" w:rsidR="001C0221" w:rsidRPr="005A7F38" w:rsidRDefault="001C0221" w:rsidP="00254646">
            <w:pPr>
              <w:spacing w:line="240" w:lineRule="auto"/>
              <w:ind w:firstLine="0"/>
              <w:jc w:val="center"/>
            </w:pPr>
            <w:r w:rsidRPr="005A7F38">
              <w:t>26 (44.83)</w:t>
            </w:r>
          </w:p>
        </w:tc>
      </w:tr>
      <w:tr w:rsidR="004501A6" w:rsidRPr="005A7F38" w14:paraId="7499A838" w14:textId="77777777" w:rsidTr="00AE52F0">
        <w:trPr>
          <w:trHeight w:val="302"/>
          <w:jc w:val="center"/>
        </w:trPr>
        <w:tc>
          <w:tcPr>
            <w:tcW w:w="1787" w:type="dxa"/>
          </w:tcPr>
          <w:p w14:paraId="5D13DAFF" w14:textId="77777777" w:rsidR="001C0221" w:rsidRPr="005A7F38" w:rsidRDefault="001C0221" w:rsidP="00254646">
            <w:pPr>
              <w:spacing w:line="240" w:lineRule="auto"/>
              <w:ind w:firstLine="0"/>
            </w:pPr>
            <w:r w:rsidRPr="005A7F38">
              <w:t>III</w:t>
            </w:r>
          </w:p>
        </w:tc>
        <w:tc>
          <w:tcPr>
            <w:tcW w:w="1539" w:type="dxa"/>
          </w:tcPr>
          <w:p w14:paraId="5DC5494B" w14:textId="77777777" w:rsidR="001C0221" w:rsidRPr="005A7F38" w:rsidRDefault="001C0221" w:rsidP="00254646">
            <w:pPr>
              <w:spacing w:line="240" w:lineRule="auto"/>
              <w:ind w:firstLine="0"/>
              <w:jc w:val="center"/>
            </w:pPr>
            <w:r w:rsidRPr="005A7F38">
              <w:t>9 (15.52)</w:t>
            </w:r>
          </w:p>
        </w:tc>
      </w:tr>
      <w:tr w:rsidR="004501A6" w:rsidRPr="005A7F38" w14:paraId="638B38E0" w14:textId="77777777" w:rsidTr="00AE52F0">
        <w:trPr>
          <w:trHeight w:val="292"/>
          <w:jc w:val="center"/>
        </w:trPr>
        <w:tc>
          <w:tcPr>
            <w:tcW w:w="1787" w:type="dxa"/>
          </w:tcPr>
          <w:p w14:paraId="45D774B7" w14:textId="77777777" w:rsidR="001C0221" w:rsidRPr="005A7F38" w:rsidRDefault="001C0221" w:rsidP="00254646">
            <w:pPr>
              <w:spacing w:line="240" w:lineRule="auto"/>
              <w:ind w:firstLine="0"/>
            </w:pPr>
            <w:r w:rsidRPr="005A7F38">
              <w:t>IV</w:t>
            </w:r>
          </w:p>
        </w:tc>
        <w:tc>
          <w:tcPr>
            <w:tcW w:w="1539" w:type="dxa"/>
          </w:tcPr>
          <w:p w14:paraId="75A55A6F" w14:textId="77777777" w:rsidR="001C0221" w:rsidRPr="005A7F38" w:rsidRDefault="001C0221" w:rsidP="00254646">
            <w:pPr>
              <w:spacing w:line="240" w:lineRule="auto"/>
              <w:ind w:firstLine="0"/>
              <w:jc w:val="center"/>
            </w:pPr>
            <w:r w:rsidRPr="005A7F38">
              <w:t>10 (17.24)</w:t>
            </w:r>
          </w:p>
        </w:tc>
      </w:tr>
    </w:tbl>
    <w:p w14:paraId="1DB2892C" w14:textId="77777777" w:rsidR="00AE52F0" w:rsidRPr="005A7F38" w:rsidRDefault="00AE52F0" w:rsidP="00E34625">
      <w:pPr>
        <w:ind w:firstLine="0"/>
      </w:pPr>
    </w:p>
    <w:p w14:paraId="654519E6" w14:textId="527B6904" w:rsidR="00AE52F0" w:rsidRPr="005A7F38" w:rsidRDefault="00BE11F2" w:rsidP="00AE52F0">
      <w:pPr>
        <w:pStyle w:val="Caption"/>
        <w:rPr>
          <w:b w:val="0"/>
        </w:rPr>
      </w:pPr>
      <w:bookmarkStart w:id="72" w:name="_Toc506540065"/>
      <w:r w:rsidRPr="005A7F38">
        <w:t xml:space="preserve">Table </w:t>
      </w:r>
      <w:fldSimple w:instr=" SEQ Table \* ARABIC ">
        <w:r w:rsidR="001F73C6">
          <w:rPr>
            <w:noProof/>
          </w:rPr>
          <w:t>5</w:t>
        </w:r>
      </w:fldSimple>
      <w:r w:rsidR="00AE52F0" w:rsidRPr="005A7F38">
        <w:t xml:space="preserve">. </w:t>
      </w:r>
      <w:r w:rsidR="00AE52F0" w:rsidRPr="005A7F38">
        <w:rPr>
          <w:b w:val="0"/>
        </w:rPr>
        <w:t>Clinical Phenotype Group Distribution Among Sarcoidosis Cases</w:t>
      </w:r>
      <w:bookmarkEnd w:id="72"/>
    </w:p>
    <w:tbl>
      <w:tblPr>
        <w:tblStyle w:val="TableGrid"/>
        <w:tblW w:w="0" w:type="auto"/>
        <w:jc w:val="center"/>
        <w:tblLook w:val="04A0" w:firstRow="1" w:lastRow="0" w:firstColumn="1" w:lastColumn="0" w:noHBand="0" w:noVBand="1"/>
      </w:tblPr>
      <w:tblGrid>
        <w:gridCol w:w="3578"/>
        <w:gridCol w:w="2624"/>
      </w:tblGrid>
      <w:tr w:rsidR="00AE52F0" w:rsidRPr="005A7F38" w14:paraId="34403987" w14:textId="77777777" w:rsidTr="00AE52F0">
        <w:trPr>
          <w:trHeight w:val="365"/>
          <w:jc w:val="center"/>
        </w:trPr>
        <w:tc>
          <w:tcPr>
            <w:tcW w:w="3578" w:type="dxa"/>
          </w:tcPr>
          <w:p w14:paraId="32E7B5BF" w14:textId="77777777" w:rsidR="0098648B" w:rsidRPr="005A7F38" w:rsidRDefault="0098648B" w:rsidP="00AE52F0">
            <w:pPr>
              <w:spacing w:line="240" w:lineRule="auto"/>
              <w:ind w:firstLine="0"/>
              <w:jc w:val="center"/>
              <w:rPr>
                <w:b/>
              </w:rPr>
            </w:pPr>
            <w:r w:rsidRPr="005A7F38">
              <w:rPr>
                <w:b/>
              </w:rPr>
              <w:t>Phenotype Group</w:t>
            </w:r>
          </w:p>
        </w:tc>
        <w:tc>
          <w:tcPr>
            <w:tcW w:w="2624" w:type="dxa"/>
          </w:tcPr>
          <w:p w14:paraId="7E343773" w14:textId="77777777" w:rsidR="0098648B" w:rsidRPr="005A7F38" w:rsidRDefault="0098648B" w:rsidP="00AE52F0">
            <w:pPr>
              <w:spacing w:line="240" w:lineRule="auto"/>
              <w:ind w:firstLine="0"/>
              <w:jc w:val="center"/>
              <w:rPr>
                <w:b/>
              </w:rPr>
            </w:pPr>
            <w:r w:rsidRPr="005A7F38">
              <w:rPr>
                <w:b/>
              </w:rPr>
              <w:t>N</w:t>
            </w:r>
            <w:r w:rsidR="00BC1BB9">
              <w:rPr>
                <w:b/>
              </w:rPr>
              <w:t>= 58</w:t>
            </w:r>
            <w:r w:rsidRPr="005A7F38">
              <w:rPr>
                <w:b/>
              </w:rPr>
              <w:t xml:space="preserve"> (%)</w:t>
            </w:r>
          </w:p>
        </w:tc>
      </w:tr>
      <w:tr w:rsidR="00AE52F0" w:rsidRPr="005A7F38" w14:paraId="79AC7749" w14:textId="77777777" w:rsidTr="00AE52F0">
        <w:trPr>
          <w:trHeight w:val="373"/>
          <w:jc w:val="center"/>
        </w:trPr>
        <w:tc>
          <w:tcPr>
            <w:tcW w:w="3578" w:type="dxa"/>
          </w:tcPr>
          <w:p w14:paraId="1EEBC889" w14:textId="77777777" w:rsidR="0098648B" w:rsidRPr="005A7F38" w:rsidRDefault="0098648B" w:rsidP="00AE52F0">
            <w:pPr>
              <w:spacing w:line="240" w:lineRule="auto"/>
              <w:ind w:firstLine="0"/>
            </w:pPr>
            <w:r w:rsidRPr="005A7F38">
              <w:t xml:space="preserve">1: Multi-Organ </w:t>
            </w:r>
            <w:r w:rsidR="00ED4770" w:rsidRPr="005A7F38">
              <w:t>Involvement</w:t>
            </w:r>
          </w:p>
        </w:tc>
        <w:tc>
          <w:tcPr>
            <w:tcW w:w="2624" w:type="dxa"/>
          </w:tcPr>
          <w:p w14:paraId="5678F71A" w14:textId="77777777" w:rsidR="0098648B" w:rsidRPr="005A7F38" w:rsidRDefault="0098648B" w:rsidP="00AE52F0">
            <w:pPr>
              <w:spacing w:line="240" w:lineRule="auto"/>
              <w:ind w:firstLine="0"/>
              <w:jc w:val="center"/>
            </w:pPr>
            <w:r w:rsidRPr="005A7F38">
              <w:t>8 (13.79)</w:t>
            </w:r>
          </w:p>
        </w:tc>
      </w:tr>
      <w:tr w:rsidR="00AE52F0" w:rsidRPr="005A7F38" w14:paraId="2858DEA9" w14:textId="77777777" w:rsidTr="00AE52F0">
        <w:trPr>
          <w:trHeight w:val="365"/>
          <w:jc w:val="center"/>
        </w:trPr>
        <w:tc>
          <w:tcPr>
            <w:tcW w:w="3578" w:type="dxa"/>
          </w:tcPr>
          <w:p w14:paraId="6869195D" w14:textId="77777777" w:rsidR="0098648B" w:rsidRPr="005A7F38" w:rsidRDefault="0098648B" w:rsidP="00AE52F0">
            <w:pPr>
              <w:spacing w:line="240" w:lineRule="auto"/>
              <w:ind w:firstLine="0"/>
            </w:pPr>
            <w:r w:rsidRPr="005A7F38">
              <w:t>2: Non-Acute, Stage I, untreated</w:t>
            </w:r>
          </w:p>
        </w:tc>
        <w:tc>
          <w:tcPr>
            <w:tcW w:w="2624" w:type="dxa"/>
          </w:tcPr>
          <w:p w14:paraId="22FEE9B7" w14:textId="77777777" w:rsidR="0098648B" w:rsidRPr="005A7F38" w:rsidRDefault="0098648B" w:rsidP="00AE52F0">
            <w:pPr>
              <w:spacing w:line="240" w:lineRule="auto"/>
              <w:ind w:firstLine="0"/>
              <w:jc w:val="center"/>
            </w:pPr>
            <w:r w:rsidRPr="005A7F38">
              <w:t>6 (10.34)</w:t>
            </w:r>
          </w:p>
        </w:tc>
      </w:tr>
      <w:tr w:rsidR="00AE52F0" w:rsidRPr="005A7F38" w14:paraId="36F6F1EF" w14:textId="77777777" w:rsidTr="00AE52F0">
        <w:trPr>
          <w:trHeight w:val="373"/>
          <w:jc w:val="center"/>
        </w:trPr>
        <w:tc>
          <w:tcPr>
            <w:tcW w:w="3578" w:type="dxa"/>
          </w:tcPr>
          <w:p w14:paraId="7462B050" w14:textId="77777777" w:rsidR="0098648B" w:rsidRPr="005A7F38" w:rsidRDefault="0098648B" w:rsidP="00AE52F0">
            <w:pPr>
              <w:spacing w:line="240" w:lineRule="auto"/>
              <w:ind w:firstLine="0"/>
            </w:pPr>
            <w:r w:rsidRPr="005A7F38">
              <w:t>3: Stage II-III, treated</w:t>
            </w:r>
          </w:p>
        </w:tc>
        <w:tc>
          <w:tcPr>
            <w:tcW w:w="2624" w:type="dxa"/>
          </w:tcPr>
          <w:p w14:paraId="0912F2BD" w14:textId="77777777" w:rsidR="0098648B" w:rsidRPr="005A7F38" w:rsidRDefault="0098648B" w:rsidP="00AE52F0">
            <w:pPr>
              <w:spacing w:line="240" w:lineRule="auto"/>
              <w:ind w:firstLine="0"/>
              <w:jc w:val="center"/>
            </w:pPr>
            <w:r w:rsidRPr="005A7F38">
              <w:t>13 (22.41)</w:t>
            </w:r>
          </w:p>
        </w:tc>
      </w:tr>
      <w:tr w:rsidR="00AE52F0" w:rsidRPr="005A7F38" w14:paraId="349BC927" w14:textId="77777777" w:rsidTr="00AE52F0">
        <w:trPr>
          <w:trHeight w:val="365"/>
          <w:jc w:val="center"/>
        </w:trPr>
        <w:tc>
          <w:tcPr>
            <w:tcW w:w="3578" w:type="dxa"/>
          </w:tcPr>
          <w:p w14:paraId="3AAC3D49" w14:textId="77777777" w:rsidR="0098648B" w:rsidRPr="005A7F38" w:rsidRDefault="0098648B" w:rsidP="00AE52F0">
            <w:pPr>
              <w:spacing w:line="240" w:lineRule="auto"/>
              <w:ind w:firstLine="0"/>
            </w:pPr>
            <w:r w:rsidRPr="005A7F38">
              <w:t>4: Stage II-III, untreated</w:t>
            </w:r>
          </w:p>
        </w:tc>
        <w:tc>
          <w:tcPr>
            <w:tcW w:w="2624" w:type="dxa"/>
          </w:tcPr>
          <w:p w14:paraId="7CB7DCBA" w14:textId="77777777" w:rsidR="0098648B" w:rsidRPr="005A7F38" w:rsidRDefault="0098648B" w:rsidP="00AE52F0">
            <w:pPr>
              <w:spacing w:line="240" w:lineRule="auto"/>
              <w:ind w:firstLine="0"/>
              <w:jc w:val="center"/>
            </w:pPr>
            <w:r w:rsidRPr="005A7F38">
              <w:t>13 (22.41)</w:t>
            </w:r>
          </w:p>
        </w:tc>
      </w:tr>
      <w:tr w:rsidR="00AE52F0" w:rsidRPr="005A7F38" w14:paraId="5D2DEF5E" w14:textId="77777777" w:rsidTr="00AE52F0">
        <w:trPr>
          <w:trHeight w:val="365"/>
          <w:jc w:val="center"/>
        </w:trPr>
        <w:tc>
          <w:tcPr>
            <w:tcW w:w="3578" w:type="dxa"/>
          </w:tcPr>
          <w:p w14:paraId="5780A120" w14:textId="77777777" w:rsidR="0098648B" w:rsidRPr="005A7F38" w:rsidRDefault="0098648B" w:rsidP="00AE52F0">
            <w:pPr>
              <w:spacing w:line="240" w:lineRule="auto"/>
              <w:ind w:firstLine="0"/>
            </w:pPr>
            <w:r w:rsidRPr="005A7F38">
              <w:t>5: Stage IV, treated</w:t>
            </w:r>
          </w:p>
        </w:tc>
        <w:tc>
          <w:tcPr>
            <w:tcW w:w="2624" w:type="dxa"/>
          </w:tcPr>
          <w:p w14:paraId="7CB23F28" w14:textId="77777777" w:rsidR="0098648B" w:rsidRPr="005A7F38" w:rsidRDefault="0098648B" w:rsidP="00AE52F0">
            <w:pPr>
              <w:spacing w:line="240" w:lineRule="auto"/>
              <w:ind w:firstLine="0"/>
              <w:jc w:val="center"/>
            </w:pPr>
            <w:r w:rsidRPr="005A7F38">
              <w:t>6 (10.34)</w:t>
            </w:r>
          </w:p>
        </w:tc>
      </w:tr>
      <w:tr w:rsidR="00AE52F0" w:rsidRPr="005A7F38" w14:paraId="24E8F311" w14:textId="77777777" w:rsidTr="00AE52F0">
        <w:trPr>
          <w:trHeight w:val="373"/>
          <w:jc w:val="center"/>
        </w:trPr>
        <w:tc>
          <w:tcPr>
            <w:tcW w:w="3578" w:type="dxa"/>
          </w:tcPr>
          <w:p w14:paraId="4644E382" w14:textId="77777777" w:rsidR="0098648B" w:rsidRPr="005A7F38" w:rsidRDefault="0098648B" w:rsidP="00AE52F0">
            <w:pPr>
              <w:spacing w:line="240" w:lineRule="auto"/>
              <w:ind w:firstLine="0"/>
            </w:pPr>
            <w:r w:rsidRPr="005A7F38">
              <w:t>6: Stage IV, untreated</w:t>
            </w:r>
          </w:p>
        </w:tc>
        <w:tc>
          <w:tcPr>
            <w:tcW w:w="2624" w:type="dxa"/>
          </w:tcPr>
          <w:p w14:paraId="5BD8BD74" w14:textId="77777777" w:rsidR="0098648B" w:rsidRPr="005A7F38" w:rsidRDefault="0098648B" w:rsidP="00AE52F0">
            <w:pPr>
              <w:spacing w:line="240" w:lineRule="auto"/>
              <w:ind w:firstLine="0"/>
              <w:jc w:val="center"/>
            </w:pPr>
            <w:r w:rsidRPr="005A7F38">
              <w:t>3 (5.17)</w:t>
            </w:r>
          </w:p>
        </w:tc>
      </w:tr>
      <w:tr w:rsidR="00AE52F0" w:rsidRPr="005A7F38" w14:paraId="6C89B29F" w14:textId="77777777" w:rsidTr="00AE52F0">
        <w:trPr>
          <w:trHeight w:val="365"/>
          <w:jc w:val="center"/>
        </w:trPr>
        <w:tc>
          <w:tcPr>
            <w:tcW w:w="3578" w:type="dxa"/>
          </w:tcPr>
          <w:p w14:paraId="17C1AA8C" w14:textId="77777777" w:rsidR="0098648B" w:rsidRPr="005A7F38" w:rsidRDefault="0098648B" w:rsidP="00AE52F0">
            <w:pPr>
              <w:spacing w:line="240" w:lineRule="auto"/>
              <w:ind w:firstLine="0"/>
            </w:pPr>
            <w:r w:rsidRPr="005A7F38">
              <w:t>7: Acute Sarcoidosis, untreated</w:t>
            </w:r>
          </w:p>
        </w:tc>
        <w:tc>
          <w:tcPr>
            <w:tcW w:w="2624" w:type="dxa"/>
          </w:tcPr>
          <w:p w14:paraId="7BB86864" w14:textId="77777777" w:rsidR="0098648B" w:rsidRPr="005A7F38" w:rsidRDefault="0098648B" w:rsidP="00AE52F0">
            <w:pPr>
              <w:spacing w:line="240" w:lineRule="auto"/>
              <w:ind w:firstLine="0"/>
              <w:jc w:val="center"/>
            </w:pPr>
            <w:r w:rsidRPr="005A7F38">
              <w:t>1 (1.72)</w:t>
            </w:r>
          </w:p>
        </w:tc>
      </w:tr>
      <w:tr w:rsidR="00AE52F0" w:rsidRPr="005A7F38" w14:paraId="5E4451BD" w14:textId="77777777" w:rsidTr="00AE52F0">
        <w:trPr>
          <w:trHeight w:val="373"/>
          <w:jc w:val="center"/>
        </w:trPr>
        <w:tc>
          <w:tcPr>
            <w:tcW w:w="3578" w:type="dxa"/>
          </w:tcPr>
          <w:p w14:paraId="799665FC" w14:textId="77777777" w:rsidR="0098648B" w:rsidRPr="005A7F38" w:rsidRDefault="0098648B" w:rsidP="00AE52F0">
            <w:pPr>
              <w:spacing w:line="240" w:lineRule="auto"/>
              <w:ind w:firstLine="0"/>
            </w:pPr>
            <w:r w:rsidRPr="005A7F38">
              <w:t>8: Remitting, untreated</w:t>
            </w:r>
          </w:p>
        </w:tc>
        <w:tc>
          <w:tcPr>
            <w:tcW w:w="2624" w:type="dxa"/>
          </w:tcPr>
          <w:p w14:paraId="19D367DD" w14:textId="77777777" w:rsidR="0098648B" w:rsidRPr="005A7F38" w:rsidRDefault="0098648B" w:rsidP="00AE52F0">
            <w:pPr>
              <w:spacing w:line="240" w:lineRule="auto"/>
              <w:ind w:firstLine="0"/>
              <w:jc w:val="center"/>
            </w:pPr>
            <w:r w:rsidRPr="005A7F38">
              <w:t>8 (13.79)</w:t>
            </w:r>
          </w:p>
        </w:tc>
      </w:tr>
      <w:tr w:rsidR="00AE52F0" w:rsidRPr="005A7F38" w14:paraId="512B7C42" w14:textId="77777777" w:rsidTr="00AE52F0">
        <w:trPr>
          <w:trHeight w:val="146"/>
          <w:jc w:val="center"/>
        </w:trPr>
        <w:tc>
          <w:tcPr>
            <w:tcW w:w="3578" w:type="dxa"/>
          </w:tcPr>
          <w:p w14:paraId="7E00B24C" w14:textId="77777777" w:rsidR="0098648B" w:rsidRPr="005A7F38" w:rsidRDefault="0098648B" w:rsidP="00AE52F0">
            <w:pPr>
              <w:spacing w:line="240" w:lineRule="auto"/>
              <w:ind w:firstLine="0"/>
            </w:pPr>
            <w:r w:rsidRPr="005A7F38">
              <w:t>9: Cardiac Defining Therapy</w:t>
            </w:r>
          </w:p>
        </w:tc>
        <w:tc>
          <w:tcPr>
            <w:tcW w:w="2624" w:type="dxa"/>
          </w:tcPr>
          <w:p w14:paraId="7BC50A5D" w14:textId="77777777" w:rsidR="0098648B" w:rsidRPr="005A7F38" w:rsidRDefault="0098648B" w:rsidP="00AE52F0">
            <w:pPr>
              <w:spacing w:line="240" w:lineRule="auto"/>
              <w:ind w:firstLine="0"/>
              <w:jc w:val="center"/>
            </w:pPr>
            <w:r w:rsidRPr="005A7F38">
              <w:t>0</w:t>
            </w:r>
          </w:p>
        </w:tc>
      </w:tr>
    </w:tbl>
    <w:p w14:paraId="0C4ACE2A" w14:textId="77777777" w:rsidR="0031140E" w:rsidRPr="005A7F38" w:rsidRDefault="0031140E" w:rsidP="00890809">
      <w:pPr>
        <w:pStyle w:val="Heading2"/>
        <w:rPr>
          <w:rFonts w:cs="Times New Roman"/>
        </w:rPr>
      </w:pPr>
      <w:bookmarkStart w:id="73" w:name="_Toc506540046"/>
      <w:r w:rsidRPr="005A7F38">
        <w:rPr>
          <w:rFonts w:cs="Times New Roman"/>
        </w:rPr>
        <w:lastRenderedPageBreak/>
        <w:t>Characterization of exposures in sarcoidosis</w:t>
      </w:r>
      <w:bookmarkEnd w:id="73"/>
    </w:p>
    <w:p w14:paraId="2CD3E119" w14:textId="77777777" w:rsidR="00044DF6" w:rsidRPr="005A7F38" w:rsidRDefault="00121494" w:rsidP="00A820E1">
      <w:pPr>
        <w:pStyle w:val="Heading3"/>
        <w:rPr>
          <w:rFonts w:cs="Times New Roman"/>
        </w:rPr>
      </w:pPr>
      <w:bookmarkStart w:id="74" w:name="_Toc506540047"/>
      <w:r w:rsidRPr="005A7F38">
        <w:rPr>
          <w:rFonts w:cs="Times New Roman"/>
        </w:rPr>
        <w:t>Occupational</w:t>
      </w:r>
      <w:r w:rsidR="00044DF6" w:rsidRPr="005A7F38">
        <w:rPr>
          <w:rFonts w:cs="Times New Roman"/>
        </w:rPr>
        <w:t xml:space="preserve"> Exposures</w:t>
      </w:r>
      <w:bookmarkEnd w:id="74"/>
    </w:p>
    <w:p w14:paraId="78D89BAC" w14:textId="6CAF7F4B" w:rsidR="00E011E9" w:rsidRDefault="00044DF6" w:rsidP="00E011E9">
      <w:pPr>
        <w:pStyle w:val="Noindent"/>
      </w:pPr>
      <w:r w:rsidRPr="005A7F38">
        <w:t xml:space="preserve">Participants were asked if they had ever been exposed to several organic and inorganic exposures in their work place. </w:t>
      </w:r>
      <w:r w:rsidR="001A7B01">
        <w:t>In our univariate analysis using Chi Square tests and Fisher Exact test to calculate odd’s ratios, we found no significant association between any of the occupational exposur</w:t>
      </w:r>
      <w:r w:rsidR="0057282B">
        <w:t xml:space="preserve">es of interest and sarcoidosis (Table 6). </w:t>
      </w:r>
      <w:r w:rsidR="00E67725" w:rsidRPr="005A7F38">
        <w:t>W</w:t>
      </w:r>
      <w:r w:rsidR="006F41F5">
        <w:t xml:space="preserve">hen adjusting for age, </w:t>
      </w:r>
      <w:r w:rsidR="00E67725">
        <w:t xml:space="preserve">education level and </w:t>
      </w:r>
      <w:r w:rsidR="00F60513">
        <w:t>smoking status</w:t>
      </w:r>
      <w:r w:rsidR="00E67725">
        <w:t>, w</w:t>
      </w:r>
      <w:r w:rsidR="00890809" w:rsidRPr="005A7F38">
        <w:t>e failed to find an association betwe</w:t>
      </w:r>
      <w:r w:rsidR="00935BFA">
        <w:t xml:space="preserve">en exposures to metals, such as </w:t>
      </w:r>
      <w:r w:rsidR="00890809" w:rsidRPr="005A7F38">
        <w:t>beryllium, chromium, cobalt, gold, nickel</w:t>
      </w:r>
      <w:r w:rsidR="006512AE" w:rsidRPr="005A7F38">
        <w:t xml:space="preserve">, platinum, </w:t>
      </w:r>
      <w:r w:rsidR="00890809" w:rsidRPr="005A7F38">
        <w:t>titanium and</w:t>
      </w:r>
      <w:r w:rsidR="006512AE" w:rsidRPr="005A7F38">
        <w:t xml:space="preserve"> zirconium and</w:t>
      </w:r>
      <w:r w:rsidR="00890809" w:rsidRPr="005A7F38">
        <w:t xml:space="preserve"> sarcoidosis. Workplace exposure to other organic exposures such as animals, animal feces or dust from vegetables was not associated with sarcoidosis in this analysis. No association was found </w:t>
      </w:r>
      <w:r w:rsidR="006512AE" w:rsidRPr="005A7F38">
        <w:t>between workplace exposure to inorganic substances including pesticides and silica and sarcoidosis in this population</w:t>
      </w:r>
      <w:r w:rsidR="00E67725">
        <w:t xml:space="preserve"> when adjusting for age, </w:t>
      </w:r>
      <w:r w:rsidR="00F60513">
        <w:t xml:space="preserve">education level and </w:t>
      </w:r>
      <w:r w:rsidR="00E67725">
        <w:t>smoking status</w:t>
      </w:r>
      <w:r w:rsidR="006512AE" w:rsidRPr="005A7F38">
        <w:t>.</w:t>
      </w:r>
      <w:r w:rsidR="00935BFA">
        <w:t xml:space="preserve"> While not statistically significant using an alpha of 0.05, our model identified aluminum as an exposure of interest that should b</w:t>
      </w:r>
      <w:r w:rsidR="00E011E9">
        <w:t>e further investigated (OR: 2.94, CI:0.76-11.35, p=0.119</w:t>
      </w:r>
      <w:r w:rsidR="00935BFA">
        <w:t xml:space="preserve">). A dose response relationship may be at play or additional confounders not included in our model may impact these results. </w:t>
      </w:r>
      <w:r w:rsidR="006512AE" w:rsidRPr="005A7F38">
        <w:t xml:space="preserve">Our failure to find a statistically significant association may be due to the small number of participants endorsing a workplace exposure. Participants were asked if they had ever been exposed to any of the identified metallurgic, organic or inorganic exposures of interest outside of their workplace and no statistically significant association was found when assessing </w:t>
      </w:r>
      <w:r w:rsidR="003C25D2">
        <w:t>exposure before diagnosis</w:t>
      </w:r>
      <w:r w:rsidR="006512AE" w:rsidRPr="005A7F38">
        <w:t xml:space="preserve"> to the compounds indicated above.</w:t>
      </w:r>
    </w:p>
    <w:p w14:paraId="27F64AB1" w14:textId="29D6C810" w:rsidR="002A3BE7" w:rsidRPr="005A7F38" w:rsidRDefault="002A3BE7" w:rsidP="002A3BE7">
      <w:pPr>
        <w:pStyle w:val="Caption"/>
        <w:rPr>
          <w:b w:val="0"/>
        </w:rPr>
      </w:pPr>
      <w:bookmarkStart w:id="75" w:name="_Toc500493165"/>
      <w:bookmarkStart w:id="76" w:name="_Toc506540066"/>
      <w:r w:rsidRPr="005A7F38">
        <w:lastRenderedPageBreak/>
        <w:t xml:space="preserve">Table </w:t>
      </w:r>
      <w:fldSimple w:instr=" SEQ Table \* ARABIC ">
        <w:r w:rsidR="001F73C6">
          <w:rPr>
            <w:noProof/>
          </w:rPr>
          <w:t>6</w:t>
        </w:r>
      </w:fldSimple>
      <w:r w:rsidRPr="005A7F38">
        <w:t xml:space="preserve">. </w:t>
      </w:r>
      <w:r w:rsidRPr="005A7F38">
        <w:rPr>
          <w:b w:val="0"/>
        </w:rPr>
        <w:t>Occupational Exposures Among Sarcoidosis Cases and Controls</w:t>
      </w:r>
      <w:bookmarkEnd w:id="75"/>
      <w:bookmarkEnd w:id="76"/>
    </w:p>
    <w:tbl>
      <w:tblPr>
        <w:tblStyle w:val="TableGrid"/>
        <w:tblW w:w="10159" w:type="dxa"/>
        <w:jc w:val="center"/>
        <w:tblLook w:val="04A0" w:firstRow="1" w:lastRow="0" w:firstColumn="1" w:lastColumn="0" w:noHBand="0" w:noVBand="1"/>
      </w:tblPr>
      <w:tblGrid>
        <w:gridCol w:w="3364"/>
        <w:gridCol w:w="1588"/>
        <w:gridCol w:w="1327"/>
        <w:gridCol w:w="1051"/>
        <w:gridCol w:w="1778"/>
        <w:gridCol w:w="1051"/>
      </w:tblGrid>
      <w:tr w:rsidR="002A3BE7" w:rsidRPr="005A7F38" w14:paraId="525D3B5E" w14:textId="77777777" w:rsidTr="0057282B">
        <w:trPr>
          <w:trHeight w:val="917"/>
          <w:jc w:val="center"/>
        </w:trPr>
        <w:tc>
          <w:tcPr>
            <w:tcW w:w="3364" w:type="dxa"/>
          </w:tcPr>
          <w:p w14:paraId="2E9C2811" w14:textId="77777777" w:rsidR="002A3BE7" w:rsidRPr="005A7F38" w:rsidRDefault="002A3BE7" w:rsidP="002A3BE7">
            <w:pPr>
              <w:spacing w:line="240" w:lineRule="auto"/>
              <w:ind w:firstLine="0"/>
            </w:pPr>
          </w:p>
        </w:tc>
        <w:tc>
          <w:tcPr>
            <w:tcW w:w="1588" w:type="dxa"/>
            <w:vAlign w:val="bottom"/>
          </w:tcPr>
          <w:p w14:paraId="37B9DDC2" w14:textId="77777777" w:rsidR="002A3BE7" w:rsidRPr="005A7F38" w:rsidRDefault="002A3BE7" w:rsidP="002A3BE7">
            <w:pPr>
              <w:spacing w:line="240" w:lineRule="auto"/>
              <w:ind w:firstLine="0"/>
              <w:jc w:val="center"/>
              <w:rPr>
                <w:b/>
                <w:bCs/>
                <w:color w:val="000000"/>
              </w:rPr>
            </w:pPr>
            <w:r w:rsidRPr="005A7F38">
              <w:rPr>
                <w:b/>
                <w:bCs/>
                <w:color w:val="000000"/>
              </w:rPr>
              <w:t>Sarcoidosis</w:t>
            </w:r>
          </w:p>
          <w:p w14:paraId="707D1D30" w14:textId="77777777" w:rsidR="002A3BE7" w:rsidRPr="005A7F38" w:rsidRDefault="002A3BE7" w:rsidP="002A3BE7">
            <w:pPr>
              <w:spacing w:line="240" w:lineRule="auto"/>
              <w:ind w:firstLine="0"/>
              <w:jc w:val="center"/>
              <w:rPr>
                <w:b/>
                <w:bCs/>
                <w:color w:val="000000"/>
              </w:rPr>
            </w:pPr>
            <w:r w:rsidRPr="005A7F38">
              <w:rPr>
                <w:b/>
                <w:bCs/>
                <w:color w:val="000000"/>
              </w:rPr>
              <w:t xml:space="preserve">Cases, </w:t>
            </w:r>
          </w:p>
          <w:p w14:paraId="0AD59FBE" w14:textId="77777777" w:rsidR="002A3BE7" w:rsidRPr="005A7F38" w:rsidRDefault="002A3BE7" w:rsidP="002A3BE7">
            <w:pPr>
              <w:spacing w:line="240" w:lineRule="auto"/>
              <w:ind w:firstLine="0"/>
              <w:jc w:val="center"/>
            </w:pPr>
            <w:r w:rsidRPr="005A7F38">
              <w:rPr>
                <w:b/>
                <w:bCs/>
                <w:color w:val="000000"/>
              </w:rPr>
              <w:t>N</w:t>
            </w:r>
            <w:r>
              <w:rPr>
                <w:b/>
                <w:bCs/>
                <w:color w:val="000000"/>
              </w:rPr>
              <w:t>=58</w:t>
            </w:r>
            <w:r w:rsidRPr="005A7F38">
              <w:rPr>
                <w:b/>
                <w:bCs/>
                <w:color w:val="000000"/>
              </w:rPr>
              <w:t xml:space="preserve"> (%)</w:t>
            </w:r>
          </w:p>
        </w:tc>
        <w:tc>
          <w:tcPr>
            <w:tcW w:w="1327" w:type="dxa"/>
            <w:vAlign w:val="bottom"/>
          </w:tcPr>
          <w:p w14:paraId="405E05AE" w14:textId="77777777" w:rsidR="002A3BE7" w:rsidRPr="005A7F38" w:rsidRDefault="002A3BE7" w:rsidP="002A3BE7">
            <w:pPr>
              <w:spacing w:line="240" w:lineRule="auto"/>
              <w:ind w:firstLine="0"/>
              <w:jc w:val="center"/>
            </w:pPr>
            <w:r w:rsidRPr="005A7F38">
              <w:rPr>
                <w:b/>
                <w:bCs/>
                <w:color w:val="000000"/>
              </w:rPr>
              <w:t>AATD Controls, N</w:t>
            </w:r>
            <w:r>
              <w:rPr>
                <w:b/>
                <w:bCs/>
                <w:color w:val="000000"/>
              </w:rPr>
              <w:t xml:space="preserve">=38 </w:t>
            </w:r>
            <w:r w:rsidRPr="005A7F38">
              <w:rPr>
                <w:b/>
                <w:bCs/>
                <w:color w:val="000000"/>
              </w:rPr>
              <w:t>(%)</w:t>
            </w:r>
          </w:p>
        </w:tc>
        <w:tc>
          <w:tcPr>
            <w:tcW w:w="1051" w:type="dxa"/>
            <w:vAlign w:val="center"/>
          </w:tcPr>
          <w:p w14:paraId="720CACE3" w14:textId="77777777" w:rsidR="002A3BE7" w:rsidRPr="005A7F38" w:rsidRDefault="002A3BE7" w:rsidP="002A3BE7">
            <w:pPr>
              <w:spacing w:line="240" w:lineRule="auto"/>
              <w:ind w:firstLine="0"/>
              <w:jc w:val="center"/>
            </w:pPr>
            <w:r w:rsidRPr="005A7F38">
              <w:rPr>
                <w:b/>
                <w:bCs/>
                <w:color w:val="000000"/>
              </w:rPr>
              <w:t>Odds Ratio</w:t>
            </w:r>
          </w:p>
        </w:tc>
        <w:tc>
          <w:tcPr>
            <w:tcW w:w="1778" w:type="dxa"/>
            <w:vAlign w:val="center"/>
          </w:tcPr>
          <w:p w14:paraId="6B518802" w14:textId="77777777" w:rsidR="002A3BE7" w:rsidRPr="005A7F38" w:rsidRDefault="002A3BE7" w:rsidP="002A3BE7">
            <w:pPr>
              <w:spacing w:line="240" w:lineRule="auto"/>
              <w:ind w:firstLine="0"/>
              <w:jc w:val="center"/>
            </w:pPr>
            <w:r w:rsidRPr="005A7F38">
              <w:rPr>
                <w:b/>
                <w:bCs/>
                <w:color w:val="000000"/>
              </w:rPr>
              <w:t>Confidence Interval</w:t>
            </w:r>
          </w:p>
        </w:tc>
        <w:tc>
          <w:tcPr>
            <w:tcW w:w="1051" w:type="dxa"/>
            <w:vAlign w:val="center"/>
          </w:tcPr>
          <w:p w14:paraId="31DBA532" w14:textId="77777777" w:rsidR="002A3BE7" w:rsidRPr="005A7F38" w:rsidRDefault="002A3BE7" w:rsidP="002A3BE7">
            <w:pPr>
              <w:spacing w:line="240" w:lineRule="auto"/>
              <w:ind w:firstLine="0"/>
              <w:jc w:val="center"/>
            </w:pPr>
            <w:r w:rsidRPr="005A7F38">
              <w:rPr>
                <w:b/>
                <w:bCs/>
                <w:color w:val="000000"/>
              </w:rPr>
              <w:t>P-Value</w:t>
            </w:r>
          </w:p>
        </w:tc>
      </w:tr>
      <w:tr w:rsidR="002A3BE7" w:rsidRPr="005A7F38" w14:paraId="381229E4" w14:textId="77777777" w:rsidTr="0057282B">
        <w:trPr>
          <w:trHeight w:val="270"/>
          <w:jc w:val="center"/>
        </w:trPr>
        <w:tc>
          <w:tcPr>
            <w:tcW w:w="3364" w:type="dxa"/>
            <w:vAlign w:val="bottom"/>
          </w:tcPr>
          <w:p w14:paraId="5DBB5492" w14:textId="77777777" w:rsidR="002A3BE7" w:rsidRPr="005A7F38" w:rsidRDefault="002A3BE7" w:rsidP="002A3BE7">
            <w:pPr>
              <w:spacing w:line="240" w:lineRule="auto"/>
              <w:ind w:firstLine="0"/>
              <w:jc w:val="left"/>
            </w:pPr>
            <w:r w:rsidRPr="005A7F38">
              <w:rPr>
                <w:color w:val="000000"/>
              </w:rPr>
              <w:t>Aluminum Exposure: Ever</w:t>
            </w:r>
          </w:p>
        </w:tc>
        <w:tc>
          <w:tcPr>
            <w:tcW w:w="1588" w:type="dxa"/>
            <w:vAlign w:val="center"/>
          </w:tcPr>
          <w:p w14:paraId="76A8538E" w14:textId="77777777" w:rsidR="002A3BE7" w:rsidRPr="005A7F38" w:rsidRDefault="002A3BE7" w:rsidP="002A3BE7">
            <w:pPr>
              <w:spacing w:line="240" w:lineRule="auto"/>
              <w:ind w:firstLine="0"/>
              <w:jc w:val="center"/>
            </w:pPr>
            <w:r w:rsidRPr="005A7F38">
              <w:rPr>
                <w:color w:val="000000"/>
              </w:rPr>
              <w:t>10 (17.24)</w:t>
            </w:r>
          </w:p>
        </w:tc>
        <w:tc>
          <w:tcPr>
            <w:tcW w:w="1327" w:type="dxa"/>
            <w:vAlign w:val="center"/>
          </w:tcPr>
          <w:p w14:paraId="329A6BB8" w14:textId="77777777" w:rsidR="002A3BE7" w:rsidRPr="005A7F38" w:rsidRDefault="002A3BE7" w:rsidP="002A3BE7">
            <w:pPr>
              <w:spacing w:line="240" w:lineRule="auto"/>
              <w:ind w:firstLine="0"/>
              <w:jc w:val="center"/>
            </w:pPr>
            <w:r w:rsidRPr="005A7F38">
              <w:rPr>
                <w:color w:val="000000"/>
              </w:rPr>
              <w:t>4 (10.53)</w:t>
            </w:r>
          </w:p>
        </w:tc>
        <w:tc>
          <w:tcPr>
            <w:tcW w:w="1051" w:type="dxa"/>
            <w:vAlign w:val="center"/>
          </w:tcPr>
          <w:p w14:paraId="69233281" w14:textId="3E0ACB7C" w:rsidR="002A3BE7" w:rsidRPr="005A7F38" w:rsidRDefault="002A3BE7" w:rsidP="002A3BE7">
            <w:pPr>
              <w:spacing w:line="240" w:lineRule="auto"/>
              <w:ind w:firstLine="0"/>
              <w:jc w:val="center"/>
            </w:pPr>
            <w:r w:rsidRPr="005A7F38">
              <w:rPr>
                <w:color w:val="000000"/>
              </w:rPr>
              <w:t>1.77</w:t>
            </w:r>
          </w:p>
        </w:tc>
        <w:tc>
          <w:tcPr>
            <w:tcW w:w="1778" w:type="dxa"/>
            <w:vAlign w:val="center"/>
          </w:tcPr>
          <w:p w14:paraId="065575B4" w14:textId="088D63FE" w:rsidR="002A3BE7" w:rsidRPr="005A7F38" w:rsidRDefault="004E7D11" w:rsidP="002A3BE7">
            <w:pPr>
              <w:spacing w:line="240" w:lineRule="auto"/>
              <w:ind w:firstLine="0"/>
              <w:jc w:val="center"/>
            </w:pPr>
            <w:r>
              <w:rPr>
                <w:color w:val="000000"/>
              </w:rPr>
              <w:t>0.51</w:t>
            </w:r>
            <w:r w:rsidR="002A3BE7" w:rsidRPr="005A7F38">
              <w:rPr>
                <w:color w:val="000000"/>
              </w:rPr>
              <w:t>-6.11</w:t>
            </w:r>
          </w:p>
        </w:tc>
        <w:tc>
          <w:tcPr>
            <w:tcW w:w="1051" w:type="dxa"/>
            <w:vAlign w:val="center"/>
          </w:tcPr>
          <w:p w14:paraId="17913104" w14:textId="77777777" w:rsidR="002A3BE7" w:rsidRPr="005A7F38" w:rsidRDefault="002A3BE7" w:rsidP="002A3BE7">
            <w:pPr>
              <w:spacing w:line="240" w:lineRule="auto"/>
              <w:ind w:firstLine="0"/>
              <w:jc w:val="center"/>
            </w:pPr>
            <w:r w:rsidRPr="005A7F38">
              <w:rPr>
                <w:color w:val="000000"/>
              </w:rPr>
              <w:t>0.362</w:t>
            </w:r>
          </w:p>
        </w:tc>
      </w:tr>
      <w:tr w:rsidR="002A3BE7" w:rsidRPr="005A7F38" w14:paraId="15C3F0C2" w14:textId="77777777" w:rsidTr="0057282B">
        <w:trPr>
          <w:trHeight w:val="270"/>
          <w:jc w:val="center"/>
        </w:trPr>
        <w:tc>
          <w:tcPr>
            <w:tcW w:w="3364" w:type="dxa"/>
            <w:vAlign w:val="bottom"/>
          </w:tcPr>
          <w:p w14:paraId="2BDDD597" w14:textId="77777777" w:rsidR="002A3BE7" w:rsidRPr="005A7F38" w:rsidRDefault="002A3BE7" w:rsidP="002A3BE7">
            <w:pPr>
              <w:spacing w:line="240" w:lineRule="auto"/>
              <w:ind w:firstLine="0"/>
              <w:jc w:val="left"/>
            </w:pPr>
            <w:r w:rsidRPr="005A7F38">
              <w:rPr>
                <w:color w:val="000000"/>
              </w:rPr>
              <w:t>Beryllium Exposure: Ever</w:t>
            </w:r>
          </w:p>
        </w:tc>
        <w:tc>
          <w:tcPr>
            <w:tcW w:w="1588" w:type="dxa"/>
            <w:vAlign w:val="center"/>
          </w:tcPr>
          <w:p w14:paraId="7857B973" w14:textId="77777777" w:rsidR="002A3BE7" w:rsidRPr="005A7F38" w:rsidRDefault="002A3BE7" w:rsidP="002A3BE7">
            <w:pPr>
              <w:spacing w:line="240" w:lineRule="auto"/>
              <w:ind w:firstLine="0"/>
              <w:jc w:val="center"/>
            </w:pPr>
            <w:r w:rsidRPr="005A7F38">
              <w:rPr>
                <w:color w:val="000000"/>
              </w:rPr>
              <w:t>1 (1.72)</w:t>
            </w:r>
          </w:p>
        </w:tc>
        <w:tc>
          <w:tcPr>
            <w:tcW w:w="1327" w:type="dxa"/>
            <w:vAlign w:val="center"/>
          </w:tcPr>
          <w:p w14:paraId="58726870" w14:textId="77777777" w:rsidR="002A3BE7" w:rsidRPr="005A7F38" w:rsidRDefault="002A3BE7" w:rsidP="002A3BE7">
            <w:pPr>
              <w:spacing w:line="240" w:lineRule="auto"/>
              <w:ind w:firstLine="0"/>
              <w:jc w:val="center"/>
            </w:pPr>
            <w:r w:rsidRPr="005A7F38">
              <w:rPr>
                <w:color w:val="000000"/>
              </w:rPr>
              <w:t>1 (2.63)</w:t>
            </w:r>
          </w:p>
        </w:tc>
        <w:tc>
          <w:tcPr>
            <w:tcW w:w="1051" w:type="dxa"/>
            <w:vAlign w:val="center"/>
          </w:tcPr>
          <w:p w14:paraId="381D6DAD" w14:textId="577901E6" w:rsidR="002A3BE7" w:rsidRPr="005A7F38" w:rsidRDefault="002A3BE7" w:rsidP="002A3BE7">
            <w:pPr>
              <w:spacing w:line="240" w:lineRule="auto"/>
              <w:ind w:firstLine="0"/>
              <w:jc w:val="center"/>
            </w:pPr>
            <w:r w:rsidRPr="005A7F38">
              <w:rPr>
                <w:color w:val="000000"/>
              </w:rPr>
              <w:t>0.6</w:t>
            </w:r>
            <w:r w:rsidR="004E7D11">
              <w:rPr>
                <w:color w:val="000000"/>
              </w:rPr>
              <w:t>5</w:t>
            </w:r>
          </w:p>
        </w:tc>
        <w:tc>
          <w:tcPr>
            <w:tcW w:w="1778" w:type="dxa"/>
            <w:vAlign w:val="center"/>
          </w:tcPr>
          <w:p w14:paraId="5C054948" w14:textId="75A856D2" w:rsidR="002A3BE7" w:rsidRPr="005A7F38" w:rsidRDefault="004E7D11" w:rsidP="002A3BE7">
            <w:pPr>
              <w:spacing w:line="240" w:lineRule="auto"/>
              <w:ind w:firstLine="0"/>
              <w:jc w:val="center"/>
            </w:pPr>
            <w:r>
              <w:rPr>
                <w:color w:val="000000"/>
              </w:rPr>
              <w:t>0.03</w:t>
            </w:r>
            <w:r w:rsidR="002A3BE7" w:rsidRPr="005A7F38">
              <w:rPr>
                <w:color w:val="000000"/>
              </w:rPr>
              <w:t>-10.70</w:t>
            </w:r>
          </w:p>
        </w:tc>
        <w:tc>
          <w:tcPr>
            <w:tcW w:w="1051" w:type="dxa"/>
            <w:vAlign w:val="center"/>
          </w:tcPr>
          <w:p w14:paraId="51D93B47" w14:textId="7F0928ED" w:rsidR="002A3BE7" w:rsidRPr="005A7F38" w:rsidRDefault="002A3BE7" w:rsidP="002A3BE7">
            <w:pPr>
              <w:spacing w:line="240" w:lineRule="auto"/>
              <w:ind w:firstLine="0"/>
              <w:jc w:val="center"/>
            </w:pPr>
            <w:r w:rsidRPr="005A7F38">
              <w:rPr>
                <w:color w:val="000000"/>
              </w:rPr>
              <w:t>0.76</w:t>
            </w:r>
            <w:r w:rsidR="0057282B">
              <w:rPr>
                <w:color w:val="000000"/>
              </w:rPr>
              <w:t>1</w:t>
            </w:r>
          </w:p>
        </w:tc>
      </w:tr>
      <w:tr w:rsidR="002A3BE7" w:rsidRPr="005A7F38" w14:paraId="7FB30BBD" w14:textId="77777777" w:rsidTr="0057282B">
        <w:trPr>
          <w:trHeight w:val="269"/>
          <w:jc w:val="center"/>
        </w:trPr>
        <w:tc>
          <w:tcPr>
            <w:tcW w:w="3364" w:type="dxa"/>
            <w:vAlign w:val="bottom"/>
          </w:tcPr>
          <w:p w14:paraId="18F7ED6A" w14:textId="77777777" w:rsidR="002A3BE7" w:rsidRPr="005A7F38" w:rsidRDefault="002A3BE7" w:rsidP="002A3BE7">
            <w:pPr>
              <w:spacing w:line="240" w:lineRule="auto"/>
              <w:ind w:firstLine="0"/>
              <w:jc w:val="left"/>
            </w:pPr>
            <w:r w:rsidRPr="005A7F38">
              <w:rPr>
                <w:color w:val="000000"/>
              </w:rPr>
              <w:t>Chromium Exposure: Ever</w:t>
            </w:r>
          </w:p>
        </w:tc>
        <w:tc>
          <w:tcPr>
            <w:tcW w:w="1588" w:type="dxa"/>
            <w:vAlign w:val="center"/>
          </w:tcPr>
          <w:p w14:paraId="7A5BB20D" w14:textId="77777777" w:rsidR="002A3BE7" w:rsidRPr="005A7F38" w:rsidRDefault="002A3BE7" w:rsidP="002A3BE7">
            <w:pPr>
              <w:spacing w:line="240" w:lineRule="auto"/>
              <w:ind w:firstLine="0"/>
              <w:jc w:val="center"/>
            </w:pPr>
            <w:r w:rsidRPr="005A7F38">
              <w:rPr>
                <w:color w:val="000000"/>
              </w:rPr>
              <w:t>3 (5.17)</w:t>
            </w:r>
          </w:p>
        </w:tc>
        <w:tc>
          <w:tcPr>
            <w:tcW w:w="1327" w:type="dxa"/>
            <w:vAlign w:val="center"/>
          </w:tcPr>
          <w:p w14:paraId="2ACAA5EB" w14:textId="77777777" w:rsidR="002A3BE7" w:rsidRPr="005A7F38" w:rsidRDefault="002A3BE7" w:rsidP="002A3BE7">
            <w:pPr>
              <w:spacing w:line="240" w:lineRule="auto"/>
              <w:ind w:firstLine="0"/>
              <w:jc w:val="center"/>
            </w:pPr>
            <w:r w:rsidRPr="005A7F38">
              <w:rPr>
                <w:color w:val="000000"/>
              </w:rPr>
              <w:t>2 (5.26)</w:t>
            </w:r>
          </w:p>
        </w:tc>
        <w:tc>
          <w:tcPr>
            <w:tcW w:w="1051" w:type="dxa"/>
            <w:vAlign w:val="center"/>
          </w:tcPr>
          <w:p w14:paraId="3B4BF253" w14:textId="4613B337" w:rsidR="002A3BE7" w:rsidRPr="005A7F38" w:rsidRDefault="002A3BE7" w:rsidP="002A3BE7">
            <w:pPr>
              <w:spacing w:line="240" w:lineRule="auto"/>
              <w:ind w:firstLine="0"/>
              <w:jc w:val="center"/>
            </w:pPr>
            <w:r w:rsidRPr="005A7F38">
              <w:rPr>
                <w:color w:val="000000"/>
              </w:rPr>
              <w:t>0.98</w:t>
            </w:r>
          </w:p>
        </w:tc>
        <w:tc>
          <w:tcPr>
            <w:tcW w:w="1778" w:type="dxa"/>
            <w:vAlign w:val="center"/>
          </w:tcPr>
          <w:p w14:paraId="6B9C3EB4" w14:textId="3E29CFDD" w:rsidR="002A3BE7" w:rsidRPr="005A7F38" w:rsidRDefault="004E7D11" w:rsidP="002A3BE7">
            <w:pPr>
              <w:spacing w:line="240" w:lineRule="auto"/>
              <w:ind w:firstLine="0"/>
              <w:jc w:val="center"/>
            </w:pPr>
            <w:r>
              <w:rPr>
                <w:color w:val="000000"/>
              </w:rPr>
              <w:t>0.15</w:t>
            </w:r>
            <w:r w:rsidR="002A3BE7" w:rsidRPr="005A7F38">
              <w:rPr>
                <w:color w:val="000000"/>
              </w:rPr>
              <w:t>-6.16</w:t>
            </w:r>
          </w:p>
        </w:tc>
        <w:tc>
          <w:tcPr>
            <w:tcW w:w="1051" w:type="dxa"/>
            <w:vAlign w:val="center"/>
          </w:tcPr>
          <w:p w14:paraId="641E7673" w14:textId="1D74063C" w:rsidR="002A3BE7" w:rsidRPr="005A7F38" w:rsidRDefault="002A3BE7" w:rsidP="002A3BE7">
            <w:pPr>
              <w:spacing w:line="240" w:lineRule="auto"/>
              <w:ind w:firstLine="0"/>
              <w:jc w:val="center"/>
            </w:pPr>
            <w:r w:rsidRPr="005A7F38">
              <w:rPr>
                <w:color w:val="000000"/>
              </w:rPr>
              <w:t>0.984</w:t>
            </w:r>
          </w:p>
        </w:tc>
      </w:tr>
      <w:tr w:rsidR="002A3BE7" w:rsidRPr="005A7F38" w14:paraId="01C9D680" w14:textId="77777777" w:rsidTr="0057282B">
        <w:trPr>
          <w:trHeight w:val="270"/>
          <w:jc w:val="center"/>
        </w:trPr>
        <w:tc>
          <w:tcPr>
            <w:tcW w:w="3364" w:type="dxa"/>
            <w:vAlign w:val="bottom"/>
          </w:tcPr>
          <w:p w14:paraId="12D65C6E" w14:textId="77777777" w:rsidR="002A3BE7" w:rsidRPr="005A7F38" w:rsidRDefault="002A3BE7" w:rsidP="002A3BE7">
            <w:pPr>
              <w:spacing w:line="240" w:lineRule="auto"/>
              <w:ind w:firstLine="0"/>
              <w:jc w:val="left"/>
            </w:pPr>
            <w:r w:rsidRPr="005A7F38">
              <w:rPr>
                <w:color w:val="000000"/>
              </w:rPr>
              <w:t>Cobalt Exposure: Ever</w:t>
            </w:r>
          </w:p>
        </w:tc>
        <w:tc>
          <w:tcPr>
            <w:tcW w:w="1588" w:type="dxa"/>
            <w:vAlign w:val="center"/>
          </w:tcPr>
          <w:p w14:paraId="44A4AAB9" w14:textId="77777777" w:rsidR="002A3BE7" w:rsidRPr="005A7F38" w:rsidRDefault="002A3BE7" w:rsidP="002A3BE7">
            <w:pPr>
              <w:spacing w:line="240" w:lineRule="auto"/>
              <w:ind w:firstLine="0"/>
              <w:jc w:val="center"/>
            </w:pPr>
            <w:r w:rsidRPr="005A7F38">
              <w:rPr>
                <w:color w:val="000000"/>
              </w:rPr>
              <w:t>2 (3.45)</w:t>
            </w:r>
          </w:p>
        </w:tc>
        <w:tc>
          <w:tcPr>
            <w:tcW w:w="1327" w:type="dxa"/>
            <w:vAlign w:val="center"/>
          </w:tcPr>
          <w:p w14:paraId="7C364EF9" w14:textId="77777777" w:rsidR="002A3BE7" w:rsidRPr="005A7F38" w:rsidRDefault="002A3BE7" w:rsidP="002A3BE7">
            <w:pPr>
              <w:spacing w:line="240" w:lineRule="auto"/>
              <w:ind w:firstLine="0"/>
              <w:jc w:val="center"/>
            </w:pPr>
            <w:r w:rsidRPr="005A7F38">
              <w:rPr>
                <w:color w:val="000000"/>
              </w:rPr>
              <w:t>1 (2.63)</w:t>
            </w:r>
          </w:p>
        </w:tc>
        <w:tc>
          <w:tcPr>
            <w:tcW w:w="1051" w:type="dxa"/>
            <w:vAlign w:val="center"/>
          </w:tcPr>
          <w:p w14:paraId="4A80A982" w14:textId="2F7C9FDF" w:rsidR="002A3BE7" w:rsidRPr="005A7F38" w:rsidRDefault="002A3BE7" w:rsidP="002A3BE7">
            <w:pPr>
              <w:spacing w:line="240" w:lineRule="auto"/>
              <w:ind w:firstLine="0"/>
              <w:jc w:val="center"/>
            </w:pPr>
            <w:r w:rsidRPr="005A7F38">
              <w:rPr>
                <w:color w:val="000000"/>
              </w:rPr>
              <w:t>1.32</w:t>
            </w:r>
          </w:p>
        </w:tc>
        <w:tc>
          <w:tcPr>
            <w:tcW w:w="1778" w:type="dxa"/>
            <w:vAlign w:val="center"/>
          </w:tcPr>
          <w:p w14:paraId="44F3AE3A" w14:textId="4832E4FA" w:rsidR="002A3BE7" w:rsidRPr="005A7F38" w:rsidRDefault="004E7D11" w:rsidP="002A3BE7">
            <w:pPr>
              <w:spacing w:line="240" w:lineRule="auto"/>
              <w:ind w:firstLine="0"/>
              <w:jc w:val="center"/>
            </w:pPr>
            <w:r>
              <w:rPr>
                <w:color w:val="000000"/>
              </w:rPr>
              <w:t>0.11</w:t>
            </w:r>
            <w:r w:rsidR="002A3BE7" w:rsidRPr="005A7F38">
              <w:rPr>
                <w:color w:val="000000"/>
              </w:rPr>
              <w:t>-15.10</w:t>
            </w:r>
          </w:p>
        </w:tc>
        <w:tc>
          <w:tcPr>
            <w:tcW w:w="1051" w:type="dxa"/>
            <w:vAlign w:val="center"/>
          </w:tcPr>
          <w:p w14:paraId="536FC448" w14:textId="071FE246" w:rsidR="002A3BE7" w:rsidRPr="005A7F38" w:rsidRDefault="002A3BE7" w:rsidP="002A3BE7">
            <w:pPr>
              <w:spacing w:line="240" w:lineRule="auto"/>
              <w:ind w:firstLine="0"/>
              <w:jc w:val="center"/>
            </w:pPr>
            <w:r w:rsidRPr="005A7F38">
              <w:rPr>
                <w:color w:val="000000"/>
              </w:rPr>
              <w:t>0.822</w:t>
            </w:r>
          </w:p>
        </w:tc>
      </w:tr>
      <w:tr w:rsidR="002A3BE7" w:rsidRPr="005A7F38" w14:paraId="354F5A25" w14:textId="77777777" w:rsidTr="0057282B">
        <w:trPr>
          <w:trHeight w:val="270"/>
          <w:jc w:val="center"/>
        </w:trPr>
        <w:tc>
          <w:tcPr>
            <w:tcW w:w="3364" w:type="dxa"/>
            <w:vAlign w:val="bottom"/>
          </w:tcPr>
          <w:p w14:paraId="3736A5E5" w14:textId="77777777" w:rsidR="002A3BE7" w:rsidRPr="005A7F38" w:rsidRDefault="002A3BE7" w:rsidP="002A3BE7">
            <w:pPr>
              <w:spacing w:line="240" w:lineRule="auto"/>
              <w:ind w:firstLine="0"/>
              <w:jc w:val="left"/>
            </w:pPr>
            <w:r w:rsidRPr="005A7F38">
              <w:rPr>
                <w:color w:val="000000"/>
              </w:rPr>
              <w:t>Gold Exposure: Ever</w:t>
            </w:r>
          </w:p>
        </w:tc>
        <w:tc>
          <w:tcPr>
            <w:tcW w:w="1588" w:type="dxa"/>
            <w:vAlign w:val="center"/>
          </w:tcPr>
          <w:p w14:paraId="46872147" w14:textId="77777777" w:rsidR="002A3BE7" w:rsidRPr="005A7F38" w:rsidRDefault="002A3BE7" w:rsidP="002A3BE7">
            <w:pPr>
              <w:spacing w:line="240" w:lineRule="auto"/>
              <w:ind w:firstLine="0"/>
              <w:jc w:val="center"/>
            </w:pPr>
            <w:r w:rsidRPr="005A7F38">
              <w:rPr>
                <w:color w:val="000000"/>
              </w:rPr>
              <w:t>6 (10.34)</w:t>
            </w:r>
          </w:p>
        </w:tc>
        <w:tc>
          <w:tcPr>
            <w:tcW w:w="1327" w:type="dxa"/>
            <w:vAlign w:val="center"/>
          </w:tcPr>
          <w:p w14:paraId="49147E87" w14:textId="77777777" w:rsidR="002A3BE7" w:rsidRPr="005A7F38" w:rsidRDefault="002A3BE7" w:rsidP="002A3BE7">
            <w:pPr>
              <w:spacing w:line="240" w:lineRule="auto"/>
              <w:ind w:firstLine="0"/>
              <w:jc w:val="center"/>
            </w:pPr>
            <w:r w:rsidRPr="005A7F38">
              <w:rPr>
                <w:color w:val="000000"/>
              </w:rPr>
              <w:t>3 (7.89)</w:t>
            </w:r>
          </w:p>
        </w:tc>
        <w:tc>
          <w:tcPr>
            <w:tcW w:w="1051" w:type="dxa"/>
            <w:vAlign w:val="center"/>
          </w:tcPr>
          <w:p w14:paraId="3246E3CD" w14:textId="02A3E022" w:rsidR="002A3BE7" w:rsidRPr="005A7F38" w:rsidRDefault="002A3BE7" w:rsidP="002A3BE7">
            <w:pPr>
              <w:spacing w:line="240" w:lineRule="auto"/>
              <w:ind w:firstLine="0"/>
              <w:jc w:val="center"/>
            </w:pPr>
            <w:r w:rsidRPr="005A7F38">
              <w:rPr>
                <w:color w:val="000000"/>
              </w:rPr>
              <w:t>1.3</w:t>
            </w:r>
            <w:r w:rsidR="004E7D11">
              <w:rPr>
                <w:color w:val="000000"/>
              </w:rPr>
              <w:t>5</w:t>
            </w:r>
          </w:p>
        </w:tc>
        <w:tc>
          <w:tcPr>
            <w:tcW w:w="1778" w:type="dxa"/>
            <w:vAlign w:val="center"/>
          </w:tcPr>
          <w:p w14:paraId="649DF262" w14:textId="466E37A3" w:rsidR="002A3BE7" w:rsidRPr="005A7F38" w:rsidRDefault="004E7D11" w:rsidP="002A3BE7">
            <w:pPr>
              <w:spacing w:line="240" w:lineRule="auto"/>
              <w:ind w:firstLine="0"/>
              <w:jc w:val="center"/>
            </w:pPr>
            <w:r>
              <w:rPr>
                <w:color w:val="000000"/>
              </w:rPr>
              <w:t>0.31</w:t>
            </w:r>
            <w:r w:rsidR="002A3BE7" w:rsidRPr="005A7F38">
              <w:rPr>
                <w:color w:val="000000"/>
              </w:rPr>
              <w:t>-5.74</w:t>
            </w:r>
          </w:p>
        </w:tc>
        <w:tc>
          <w:tcPr>
            <w:tcW w:w="1051" w:type="dxa"/>
            <w:vAlign w:val="center"/>
          </w:tcPr>
          <w:p w14:paraId="1A687B50" w14:textId="6D384CED" w:rsidR="002A3BE7" w:rsidRPr="005A7F38" w:rsidRDefault="002A3BE7" w:rsidP="002A3BE7">
            <w:pPr>
              <w:spacing w:line="240" w:lineRule="auto"/>
              <w:ind w:firstLine="0"/>
              <w:jc w:val="center"/>
            </w:pPr>
            <w:r w:rsidRPr="005A7F38">
              <w:rPr>
                <w:color w:val="000000"/>
              </w:rPr>
              <w:t>0.687</w:t>
            </w:r>
          </w:p>
        </w:tc>
      </w:tr>
      <w:tr w:rsidR="002A3BE7" w:rsidRPr="005A7F38" w14:paraId="7A85F742" w14:textId="77777777" w:rsidTr="0057282B">
        <w:trPr>
          <w:trHeight w:val="238"/>
          <w:jc w:val="center"/>
        </w:trPr>
        <w:tc>
          <w:tcPr>
            <w:tcW w:w="3364" w:type="dxa"/>
            <w:vAlign w:val="bottom"/>
          </w:tcPr>
          <w:p w14:paraId="40420C1E" w14:textId="77777777" w:rsidR="002A3BE7" w:rsidRPr="005A7F38" w:rsidRDefault="002A3BE7" w:rsidP="002A3BE7">
            <w:pPr>
              <w:spacing w:line="240" w:lineRule="auto"/>
              <w:ind w:firstLine="0"/>
              <w:jc w:val="left"/>
            </w:pPr>
            <w:r w:rsidRPr="005A7F38">
              <w:rPr>
                <w:color w:val="000000"/>
              </w:rPr>
              <w:t>Nickel Exposure: Ever</w:t>
            </w:r>
          </w:p>
        </w:tc>
        <w:tc>
          <w:tcPr>
            <w:tcW w:w="1588" w:type="dxa"/>
            <w:vAlign w:val="center"/>
          </w:tcPr>
          <w:p w14:paraId="40D7AA19" w14:textId="77777777" w:rsidR="002A3BE7" w:rsidRPr="005A7F38" w:rsidRDefault="002A3BE7" w:rsidP="002A3BE7">
            <w:pPr>
              <w:spacing w:line="240" w:lineRule="auto"/>
              <w:ind w:firstLine="0"/>
              <w:jc w:val="center"/>
            </w:pPr>
            <w:r w:rsidRPr="005A7F38">
              <w:rPr>
                <w:color w:val="000000"/>
              </w:rPr>
              <w:t>6 (10.34)</w:t>
            </w:r>
          </w:p>
        </w:tc>
        <w:tc>
          <w:tcPr>
            <w:tcW w:w="1327" w:type="dxa"/>
            <w:vAlign w:val="center"/>
          </w:tcPr>
          <w:p w14:paraId="2CA55AB3" w14:textId="77777777" w:rsidR="002A3BE7" w:rsidRPr="005A7F38" w:rsidRDefault="002A3BE7" w:rsidP="002A3BE7">
            <w:pPr>
              <w:spacing w:line="240" w:lineRule="auto"/>
              <w:ind w:firstLine="0"/>
              <w:jc w:val="center"/>
            </w:pPr>
            <w:r w:rsidRPr="005A7F38">
              <w:rPr>
                <w:color w:val="000000"/>
              </w:rPr>
              <w:t>1 (2.63)</w:t>
            </w:r>
          </w:p>
        </w:tc>
        <w:tc>
          <w:tcPr>
            <w:tcW w:w="1051" w:type="dxa"/>
            <w:vAlign w:val="center"/>
          </w:tcPr>
          <w:p w14:paraId="5E9541CB" w14:textId="5FF9F7F5" w:rsidR="002A3BE7" w:rsidRPr="005A7F38" w:rsidRDefault="002A3BE7" w:rsidP="002A3BE7">
            <w:pPr>
              <w:spacing w:line="240" w:lineRule="auto"/>
              <w:ind w:firstLine="0"/>
              <w:jc w:val="center"/>
            </w:pPr>
            <w:r w:rsidRPr="005A7F38">
              <w:rPr>
                <w:color w:val="000000"/>
              </w:rPr>
              <w:t>4.2</w:t>
            </w:r>
            <w:r w:rsidR="004E7D11">
              <w:rPr>
                <w:color w:val="000000"/>
              </w:rPr>
              <w:t>7</w:t>
            </w:r>
          </w:p>
        </w:tc>
        <w:tc>
          <w:tcPr>
            <w:tcW w:w="1778" w:type="dxa"/>
            <w:vAlign w:val="center"/>
          </w:tcPr>
          <w:p w14:paraId="1F09EE80" w14:textId="4168E14F" w:rsidR="002A3BE7" w:rsidRPr="005A7F38" w:rsidRDefault="0057282B" w:rsidP="002A3BE7">
            <w:pPr>
              <w:spacing w:line="240" w:lineRule="auto"/>
              <w:ind w:firstLine="0"/>
              <w:jc w:val="center"/>
            </w:pPr>
            <w:r>
              <w:rPr>
                <w:color w:val="000000"/>
              </w:rPr>
              <w:t>0.49</w:t>
            </w:r>
            <w:r w:rsidR="002A3BE7" w:rsidRPr="005A7F38">
              <w:rPr>
                <w:color w:val="000000"/>
              </w:rPr>
              <w:t>-36.96</w:t>
            </w:r>
          </w:p>
        </w:tc>
        <w:tc>
          <w:tcPr>
            <w:tcW w:w="1051" w:type="dxa"/>
            <w:vAlign w:val="center"/>
          </w:tcPr>
          <w:p w14:paraId="5B0F719A" w14:textId="23EC1477" w:rsidR="002A3BE7" w:rsidRPr="005A7F38" w:rsidRDefault="002A3BE7" w:rsidP="002A3BE7">
            <w:pPr>
              <w:spacing w:line="240" w:lineRule="auto"/>
              <w:ind w:firstLine="0"/>
              <w:jc w:val="center"/>
            </w:pPr>
            <w:r w:rsidRPr="005A7F38">
              <w:rPr>
                <w:color w:val="000000"/>
              </w:rPr>
              <w:t>0.155</w:t>
            </w:r>
          </w:p>
        </w:tc>
      </w:tr>
      <w:tr w:rsidR="002A3BE7" w:rsidRPr="005A7F38" w14:paraId="2A800D39" w14:textId="77777777" w:rsidTr="0057282B">
        <w:trPr>
          <w:trHeight w:val="270"/>
          <w:jc w:val="center"/>
        </w:trPr>
        <w:tc>
          <w:tcPr>
            <w:tcW w:w="3364" w:type="dxa"/>
            <w:vAlign w:val="bottom"/>
          </w:tcPr>
          <w:p w14:paraId="006BA8C6" w14:textId="77777777" w:rsidR="002A3BE7" w:rsidRPr="005A7F38" w:rsidRDefault="002A3BE7" w:rsidP="002A3BE7">
            <w:pPr>
              <w:spacing w:line="240" w:lineRule="auto"/>
              <w:ind w:firstLine="0"/>
              <w:jc w:val="left"/>
            </w:pPr>
            <w:r w:rsidRPr="005A7F38">
              <w:rPr>
                <w:color w:val="000000"/>
              </w:rPr>
              <w:t>Pesticides Exposure: Ever</w:t>
            </w:r>
          </w:p>
        </w:tc>
        <w:tc>
          <w:tcPr>
            <w:tcW w:w="1588" w:type="dxa"/>
            <w:vAlign w:val="center"/>
          </w:tcPr>
          <w:p w14:paraId="3D3668E8" w14:textId="77777777" w:rsidR="002A3BE7" w:rsidRPr="005A7F38" w:rsidRDefault="002A3BE7" w:rsidP="002A3BE7">
            <w:pPr>
              <w:spacing w:line="240" w:lineRule="auto"/>
              <w:ind w:firstLine="0"/>
              <w:jc w:val="center"/>
            </w:pPr>
            <w:r w:rsidRPr="005A7F38">
              <w:rPr>
                <w:color w:val="000000"/>
              </w:rPr>
              <w:t>31 (53.45)</w:t>
            </w:r>
          </w:p>
        </w:tc>
        <w:tc>
          <w:tcPr>
            <w:tcW w:w="1327" w:type="dxa"/>
            <w:vAlign w:val="center"/>
          </w:tcPr>
          <w:p w14:paraId="6B634FDE" w14:textId="77777777" w:rsidR="002A3BE7" w:rsidRPr="005A7F38" w:rsidRDefault="002A3BE7" w:rsidP="002A3BE7">
            <w:pPr>
              <w:spacing w:line="240" w:lineRule="auto"/>
              <w:ind w:firstLine="0"/>
              <w:jc w:val="center"/>
            </w:pPr>
            <w:r w:rsidRPr="005A7F38">
              <w:rPr>
                <w:color w:val="000000"/>
              </w:rPr>
              <w:t>20 (52.63)</w:t>
            </w:r>
          </w:p>
        </w:tc>
        <w:tc>
          <w:tcPr>
            <w:tcW w:w="1051" w:type="dxa"/>
            <w:vAlign w:val="center"/>
          </w:tcPr>
          <w:p w14:paraId="5BFBD6CE" w14:textId="0AB5E668" w:rsidR="002A3BE7" w:rsidRPr="005A7F38" w:rsidRDefault="002A3BE7" w:rsidP="002A3BE7">
            <w:pPr>
              <w:spacing w:line="240" w:lineRule="auto"/>
              <w:ind w:firstLine="0"/>
              <w:jc w:val="center"/>
            </w:pPr>
            <w:r w:rsidRPr="005A7F38">
              <w:rPr>
                <w:color w:val="000000"/>
              </w:rPr>
              <w:t>1.03</w:t>
            </w:r>
          </w:p>
        </w:tc>
        <w:tc>
          <w:tcPr>
            <w:tcW w:w="1778" w:type="dxa"/>
            <w:vAlign w:val="center"/>
          </w:tcPr>
          <w:p w14:paraId="676C910C" w14:textId="2295F462" w:rsidR="002A3BE7" w:rsidRPr="005A7F38" w:rsidRDefault="0057282B" w:rsidP="002A3BE7">
            <w:pPr>
              <w:spacing w:line="240" w:lineRule="auto"/>
              <w:ind w:firstLine="0"/>
              <w:jc w:val="center"/>
            </w:pPr>
            <w:r>
              <w:rPr>
                <w:color w:val="000000"/>
              </w:rPr>
              <w:t>0.45</w:t>
            </w:r>
            <w:r w:rsidR="002A3BE7" w:rsidRPr="005A7F38">
              <w:rPr>
                <w:color w:val="000000"/>
              </w:rPr>
              <w:t>-2.34</w:t>
            </w:r>
          </w:p>
        </w:tc>
        <w:tc>
          <w:tcPr>
            <w:tcW w:w="1051" w:type="dxa"/>
            <w:vAlign w:val="center"/>
          </w:tcPr>
          <w:p w14:paraId="4B056EFF" w14:textId="32D9D027" w:rsidR="002A3BE7" w:rsidRPr="005A7F38" w:rsidRDefault="002A3BE7" w:rsidP="002A3BE7">
            <w:pPr>
              <w:spacing w:line="240" w:lineRule="auto"/>
              <w:ind w:firstLine="0"/>
              <w:jc w:val="center"/>
            </w:pPr>
            <w:r w:rsidRPr="005A7F38">
              <w:rPr>
                <w:color w:val="000000"/>
              </w:rPr>
              <w:t>0.937</w:t>
            </w:r>
          </w:p>
        </w:tc>
      </w:tr>
      <w:tr w:rsidR="002A3BE7" w:rsidRPr="005A7F38" w14:paraId="02F3267F" w14:textId="77777777" w:rsidTr="0057282B">
        <w:trPr>
          <w:trHeight w:val="269"/>
          <w:jc w:val="center"/>
        </w:trPr>
        <w:tc>
          <w:tcPr>
            <w:tcW w:w="3364" w:type="dxa"/>
            <w:vAlign w:val="bottom"/>
          </w:tcPr>
          <w:p w14:paraId="0D87FC5B" w14:textId="77777777" w:rsidR="002A3BE7" w:rsidRPr="005A7F38" w:rsidRDefault="002A3BE7" w:rsidP="002A3BE7">
            <w:pPr>
              <w:spacing w:line="240" w:lineRule="auto"/>
              <w:ind w:firstLine="0"/>
              <w:jc w:val="left"/>
            </w:pPr>
            <w:r w:rsidRPr="005A7F38">
              <w:rPr>
                <w:color w:val="000000"/>
              </w:rPr>
              <w:t>Platinum Exposure: Ever</w:t>
            </w:r>
          </w:p>
        </w:tc>
        <w:tc>
          <w:tcPr>
            <w:tcW w:w="1588" w:type="dxa"/>
            <w:vAlign w:val="center"/>
          </w:tcPr>
          <w:p w14:paraId="34E8EED3" w14:textId="77777777" w:rsidR="002A3BE7" w:rsidRPr="005A7F38" w:rsidRDefault="002A3BE7" w:rsidP="002A3BE7">
            <w:pPr>
              <w:spacing w:line="240" w:lineRule="auto"/>
              <w:ind w:firstLine="0"/>
              <w:jc w:val="center"/>
            </w:pPr>
            <w:r w:rsidRPr="005A7F38">
              <w:rPr>
                <w:color w:val="000000"/>
              </w:rPr>
              <w:t>4 (6.90)</w:t>
            </w:r>
          </w:p>
        </w:tc>
        <w:tc>
          <w:tcPr>
            <w:tcW w:w="1327" w:type="dxa"/>
            <w:vAlign w:val="center"/>
          </w:tcPr>
          <w:p w14:paraId="671EDE3B" w14:textId="77777777" w:rsidR="002A3BE7" w:rsidRPr="005A7F38" w:rsidRDefault="002A3BE7" w:rsidP="002A3BE7">
            <w:pPr>
              <w:spacing w:line="240" w:lineRule="auto"/>
              <w:ind w:firstLine="0"/>
              <w:jc w:val="center"/>
            </w:pPr>
            <w:r w:rsidRPr="005A7F38">
              <w:rPr>
                <w:color w:val="000000"/>
              </w:rPr>
              <w:t>2 (5.26)</w:t>
            </w:r>
          </w:p>
        </w:tc>
        <w:tc>
          <w:tcPr>
            <w:tcW w:w="1051" w:type="dxa"/>
            <w:vAlign w:val="center"/>
          </w:tcPr>
          <w:p w14:paraId="26406583" w14:textId="75B026B0" w:rsidR="002A3BE7" w:rsidRPr="005A7F38" w:rsidRDefault="002A3BE7" w:rsidP="002A3BE7">
            <w:pPr>
              <w:spacing w:line="240" w:lineRule="auto"/>
              <w:ind w:firstLine="0"/>
              <w:jc w:val="center"/>
            </w:pPr>
            <w:r w:rsidRPr="005A7F38">
              <w:rPr>
                <w:color w:val="000000"/>
              </w:rPr>
              <w:t>1.33</w:t>
            </w:r>
          </w:p>
        </w:tc>
        <w:tc>
          <w:tcPr>
            <w:tcW w:w="1778" w:type="dxa"/>
            <w:vAlign w:val="center"/>
          </w:tcPr>
          <w:p w14:paraId="0F831188" w14:textId="54B97BEF" w:rsidR="002A3BE7" w:rsidRPr="005A7F38" w:rsidRDefault="0057282B" w:rsidP="002A3BE7">
            <w:pPr>
              <w:spacing w:line="240" w:lineRule="auto"/>
              <w:ind w:firstLine="0"/>
              <w:jc w:val="center"/>
            </w:pPr>
            <w:r>
              <w:rPr>
                <w:color w:val="000000"/>
              </w:rPr>
              <w:t>0.23</w:t>
            </w:r>
            <w:r w:rsidR="002A3BE7" w:rsidRPr="005A7F38">
              <w:rPr>
                <w:color w:val="000000"/>
              </w:rPr>
              <w:t>-7.66</w:t>
            </w:r>
          </w:p>
        </w:tc>
        <w:tc>
          <w:tcPr>
            <w:tcW w:w="1051" w:type="dxa"/>
            <w:vAlign w:val="center"/>
          </w:tcPr>
          <w:p w14:paraId="32445810" w14:textId="69134779" w:rsidR="002A3BE7" w:rsidRPr="005A7F38" w:rsidRDefault="002A3BE7" w:rsidP="002A3BE7">
            <w:pPr>
              <w:spacing w:line="240" w:lineRule="auto"/>
              <w:ind w:firstLine="0"/>
              <w:jc w:val="center"/>
            </w:pPr>
            <w:r w:rsidRPr="005A7F38">
              <w:rPr>
                <w:color w:val="000000"/>
              </w:rPr>
              <w:t>0.746</w:t>
            </w:r>
          </w:p>
        </w:tc>
      </w:tr>
      <w:tr w:rsidR="002A3BE7" w:rsidRPr="005A7F38" w14:paraId="066CDE13" w14:textId="77777777" w:rsidTr="0057282B">
        <w:trPr>
          <w:trHeight w:val="270"/>
          <w:jc w:val="center"/>
        </w:trPr>
        <w:tc>
          <w:tcPr>
            <w:tcW w:w="3364" w:type="dxa"/>
            <w:vAlign w:val="bottom"/>
          </w:tcPr>
          <w:p w14:paraId="451890F5" w14:textId="77777777" w:rsidR="002A3BE7" w:rsidRPr="005A7F38" w:rsidRDefault="002A3BE7" w:rsidP="002A3BE7">
            <w:pPr>
              <w:spacing w:line="240" w:lineRule="auto"/>
              <w:ind w:firstLine="0"/>
              <w:jc w:val="left"/>
            </w:pPr>
            <w:r w:rsidRPr="005A7F38">
              <w:rPr>
                <w:color w:val="000000"/>
              </w:rPr>
              <w:t>Silica Exposure: Ever</w:t>
            </w:r>
          </w:p>
        </w:tc>
        <w:tc>
          <w:tcPr>
            <w:tcW w:w="1588" w:type="dxa"/>
            <w:vAlign w:val="center"/>
          </w:tcPr>
          <w:p w14:paraId="5A7DD109" w14:textId="77777777" w:rsidR="002A3BE7" w:rsidRPr="005A7F38" w:rsidRDefault="002A3BE7" w:rsidP="002A3BE7">
            <w:pPr>
              <w:spacing w:line="240" w:lineRule="auto"/>
              <w:ind w:firstLine="0"/>
              <w:jc w:val="center"/>
            </w:pPr>
            <w:r w:rsidRPr="005A7F38">
              <w:rPr>
                <w:color w:val="000000"/>
              </w:rPr>
              <w:t>7 (12.07)</w:t>
            </w:r>
          </w:p>
        </w:tc>
        <w:tc>
          <w:tcPr>
            <w:tcW w:w="1327" w:type="dxa"/>
            <w:vAlign w:val="center"/>
          </w:tcPr>
          <w:p w14:paraId="27C9226F" w14:textId="77777777" w:rsidR="002A3BE7" w:rsidRPr="005A7F38" w:rsidRDefault="002A3BE7" w:rsidP="002A3BE7">
            <w:pPr>
              <w:spacing w:line="240" w:lineRule="auto"/>
              <w:ind w:firstLine="0"/>
              <w:jc w:val="center"/>
            </w:pPr>
            <w:r w:rsidRPr="005A7F38">
              <w:rPr>
                <w:color w:val="000000"/>
              </w:rPr>
              <w:t>5 (13.16)</w:t>
            </w:r>
          </w:p>
        </w:tc>
        <w:tc>
          <w:tcPr>
            <w:tcW w:w="1051" w:type="dxa"/>
            <w:vAlign w:val="center"/>
          </w:tcPr>
          <w:p w14:paraId="6A3ABFD5" w14:textId="562CA5FF" w:rsidR="002A3BE7" w:rsidRPr="005A7F38" w:rsidRDefault="002A3BE7" w:rsidP="002A3BE7">
            <w:pPr>
              <w:spacing w:line="240" w:lineRule="auto"/>
              <w:ind w:firstLine="0"/>
              <w:jc w:val="center"/>
            </w:pPr>
            <w:r w:rsidRPr="005A7F38">
              <w:rPr>
                <w:color w:val="000000"/>
              </w:rPr>
              <w:t>0.9</w:t>
            </w:r>
            <w:r w:rsidR="004E7D11">
              <w:rPr>
                <w:color w:val="000000"/>
              </w:rPr>
              <w:t>1</w:t>
            </w:r>
          </w:p>
        </w:tc>
        <w:tc>
          <w:tcPr>
            <w:tcW w:w="1778" w:type="dxa"/>
            <w:vAlign w:val="center"/>
          </w:tcPr>
          <w:p w14:paraId="6ADE4177" w14:textId="2FA00425" w:rsidR="002A3BE7" w:rsidRPr="005A7F38" w:rsidRDefault="0057282B" w:rsidP="002A3BE7">
            <w:pPr>
              <w:spacing w:line="240" w:lineRule="auto"/>
              <w:ind w:firstLine="0"/>
              <w:jc w:val="center"/>
            </w:pPr>
            <w:r>
              <w:rPr>
                <w:color w:val="000000"/>
              </w:rPr>
              <w:t>0.26</w:t>
            </w:r>
            <w:r w:rsidR="002A3BE7" w:rsidRPr="005A7F38">
              <w:rPr>
                <w:color w:val="000000"/>
              </w:rPr>
              <w:t>-3.09</w:t>
            </w:r>
          </w:p>
        </w:tc>
        <w:tc>
          <w:tcPr>
            <w:tcW w:w="1051" w:type="dxa"/>
            <w:vAlign w:val="center"/>
          </w:tcPr>
          <w:p w14:paraId="6B82726E" w14:textId="23A9EEF6" w:rsidR="002A3BE7" w:rsidRPr="005A7F38" w:rsidRDefault="002A3BE7" w:rsidP="002A3BE7">
            <w:pPr>
              <w:spacing w:line="240" w:lineRule="auto"/>
              <w:ind w:firstLine="0"/>
              <w:jc w:val="center"/>
            </w:pPr>
            <w:r w:rsidRPr="005A7F38">
              <w:rPr>
                <w:color w:val="000000"/>
              </w:rPr>
              <w:t>0.874</w:t>
            </w:r>
          </w:p>
        </w:tc>
      </w:tr>
      <w:tr w:rsidR="002A3BE7" w:rsidRPr="005A7F38" w14:paraId="1B5DD150" w14:textId="77777777" w:rsidTr="0057282B">
        <w:trPr>
          <w:trHeight w:val="270"/>
          <w:jc w:val="center"/>
        </w:trPr>
        <w:tc>
          <w:tcPr>
            <w:tcW w:w="3364" w:type="dxa"/>
            <w:vAlign w:val="bottom"/>
          </w:tcPr>
          <w:p w14:paraId="199038F9" w14:textId="77777777" w:rsidR="002A3BE7" w:rsidRPr="005A7F38" w:rsidRDefault="002A3BE7" w:rsidP="002A3BE7">
            <w:pPr>
              <w:spacing w:line="240" w:lineRule="auto"/>
              <w:ind w:firstLine="0"/>
              <w:jc w:val="left"/>
            </w:pPr>
            <w:r w:rsidRPr="005A7F38">
              <w:rPr>
                <w:color w:val="000000"/>
              </w:rPr>
              <w:t>Titanium Exposure: Ever</w:t>
            </w:r>
          </w:p>
        </w:tc>
        <w:tc>
          <w:tcPr>
            <w:tcW w:w="1588" w:type="dxa"/>
            <w:vAlign w:val="center"/>
          </w:tcPr>
          <w:p w14:paraId="4CE67987" w14:textId="77777777" w:rsidR="002A3BE7" w:rsidRPr="005A7F38" w:rsidRDefault="002A3BE7" w:rsidP="002A3BE7">
            <w:pPr>
              <w:spacing w:line="240" w:lineRule="auto"/>
              <w:ind w:firstLine="0"/>
              <w:jc w:val="center"/>
            </w:pPr>
            <w:r w:rsidRPr="005A7F38">
              <w:rPr>
                <w:color w:val="000000"/>
              </w:rPr>
              <w:t>3 (5.17)</w:t>
            </w:r>
          </w:p>
        </w:tc>
        <w:tc>
          <w:tcPr>
            <w:tcW w:w="1327" w:type="dxa"/>
            <w:vAlign w:val="center"/>
          </w:tcPr>
          <w:p w14:paraId="40D11E6A" w14:textId="77777777" w:rsidR="002A3BE7" w:rsidRPr="005A7F38" w:rsidRDefault="002A3BE7" w:rsidP="002A3BE7">
            <w:pPr>
              <w:spacing w:line="240" w:lineRule="auto"/>
              <w:ind w:firstLine="0"/>
              <w:jc w:val="center"/>
            </w:pPr>
            <w:r w:rsidRPr="005A7F38">
              <w:rPr>
                <w:color w:val="000000"/>
              </w:rPr>
              <w:t>0</w:t>
            </w:r>
          </w:p>
        </w:tc>
        <w:tc>
          <w:tcPr>
            <w:tcW w:w="1051" w:type="dxa"/>
            <w:vAlign w:val="center"/>
          </w:tcPr>
          <w:p w14:paraId="31889157" w14:textId="1FD3D3DF" w:rsidR="002A3BE7" w:rsidRPr="005A7F38" w:rsidRDefault="002A3BE7" w:rsidP="002A3BE7">
            <w:pPr>
              <w:spacing w:line="240" w:lineRule="auto"/>
              <w:ind w:firstLine="0"/>
              <w:jc w:val="center"/>
            </w:pPr>
            <w:r w:rsidRPr="005A7F38">
              <w:rPr>
                <w:color w:val="000000"/>
              </w:rPr>
              <w:t>1.0</w:t>
            </w:r>
            <w:r w:rsidR="004E7D11">
              <w:rPr>
                <w:color w:val="000000"/>
              </w:rPr>
              <w:t>6</w:t>
            </w:r>
          </w:p>
        </w:tc>
        <w:tc>
          <w:tcPr>
            <w:tcW w:w="1778" w:type="dxa"/>
            <w:vAlign w:val="center"/>
          </w:tcPr>
          <w:p w14:paraId="5F3C7F5C" w14:textId="34E410A0" w:rsidR="002A3BE7" w:rsidRPr="005A7F38" w:rsidRDefault="0057282B" w:rsidP="002A3BE7">
            <w:pPr>
              <w:spacing w:line="240" w:lineRule="auto"/>
              <w:ind w:firstLine="0"/>
              <w:jc w:val="center"/>
            </w:pPr>
            <w:r>
              <w:rPr>
                <w:color w:val="000000"/>
              </w:rPr>
              <w:t>0.99</w:t>
            </w:r>
            <w:r w:rsidR="002A3BE7" w:rsidRPr="005A7F38">
              <w:rPr>
                <w:color w:val="000000"/>
              </w:rPr>
              <w:t>1.11</w:t>
            </w:r>
          </w:p>
        </w:tc>
        <w:tc>
          <w:tcPr>
            <w:tcW w:w="1051" w:type="dxa"/>
            <w:vAlign w:val="center"/>
          </w:tcPr>
          <w:p w14:paraId="2EEED493" w14:textId="49410C76" w:rsidR="002A3BE7" w:rsidRPr="005A7F38" w:rsidRDefault="002A3BE7" w:rsidP="002A3BE7">
            <w:pPr>
              <w:spacing w:line="240" w:lineRule="auto"/>
              <w:ind w:firstLine="0"/>
              <w:jc w:val="center"/>
            </w:pPr>
            <w:r w:rsidRPr="005A7F38">
              <w:rPr>
                <w:color w:val="000000"/>
              </w:rPr>
              <w:t>0.154</w:t>
            </w:r>
          </w:p>
        </w:tc>
      </w:tr>
      <w:tr w:rsidR="002A3BE7" w:rsidRPr="005A7F38" w14:paraId="27BC2730" w14:textId="77777777" w:rsidTr="0057282B">
        <w:trPr>
          <w:trHeight w:val="207"/>
          <w:jc w:val="center"/>
        </w:trPr>
        <w:tc>
          <w:tcPr>
            <w:tcW w:w="3364" w:type="dxa"/>
            <w:vAlign w:val="bottom"/>
          </w:tcPr>
          <w:p w14:paraId="7933AF98" w14:textId="77777777" w:rsidR="002A3BE7" w:rsidRPr="005A7F38" w:rsidRDefault="002A3BE7" w:rsidP="002A3BE7">
            <w:pPr>
              <w:spacing w:line="240" w:lineRule="auto"/>
              <w:ind w:firstLine="0"/>
              <w:jc w:val="left"/>
            </w:pPr>
            <w:r w:rsidRPr="005A7F38">
              <w:rPr>
                <w:color w:val="000000"/>
              </w:rPr>
              <w:t>Vegetable Dust Exposure: Ever</w:t>
            </w:r>
          </w:p>
        </w:tc>
        <w:tc>
          <w:tcPr>
            <w:tcW w:w="1588" w:type="dxa"/>
            <w:vAlign w:val="center"/>
          </w:tcPr>
          <w:p w14:paraId="4EE449A3" w14:textId="77777777" w:rsidR="002A3BE7" w:rsidRPr="005A7F38" w:rsidRDefault="002A3BE7" w:rsidP="002A3BE7">
            <w:pPr>
              <w:spacing w:line="240" w:lineRule="auto"/>
              <w:ind w:firstLine="0"/>
              <w:jc w:val="center"/>
            </w:pPr>
            <w:r w:rsidRPr="005A7F38">
              <w:rPr>
                <w:color w:val="000000"/>
              </w:rPr>
              <w:t>9 (15.52)</w:t>
            </w:r>
          </w:p>
        </w:tc>
        <w:tc>
          <w:tcPr>
            <w:tcW w:w="1327" w:type="dxa"/>
            <w:vAlign w:val="center"/>
          </w:tcPr>
          <w:p w14:paraId="26E9CFF4" w14:textId="77777777" w:rsidR="002A3BE7" w:rsidRPr="005A7F38" w:rsidRDefault="002A3BE7" w:rsidP="002A3BE7">
            <w:pPr>
              <w:spacing w:line="240" w:lineRule="auto"/>
              <w:ind w:firstLine="0"/>
              <w:jc w:val="center"/>
            </w:pPr>
            <w:r w:rsidRPr="005A7F38">
              <w:rPr>
                <w:color w:val="000000"/>
              </w:rPr>
              <w:t>9 (23.68)</w:t>
            </w:r>
          </w:p>
        </w:tc>
        <w:tc>
          <w:tcPr>
            <w:tcW w:w="1051" w:type="dxa"/>
            <w:vAlign w:val="center"/>
          </w:tcPr>
          <w:p w14:paraId="72DB8008" w14:textId="21E78D03" w:rsidR="002A3BE7" w:rsidRPr="005A7F38" w:rsidRDefault="002A3BE7" w:rsidP="002A3BE7">
            <w:pPr>
              <w:spacing w:line="240" w:lineRule="auto"/>
              <w:ind w:firstLine="0"/>
              <w:jc w:val="center"/>
            </w:pPr>
            <w:r w:rsidRPr="005A7F38">
              <w:rPr>
                <w:color w:val="000000"/>
              </w:rPr>
              <w:t>0.59</w:t>
            </w:r>
          </w:p>
        </w:tc>
        <w:tc>
          <w:tcPr>
            <w:tcW w:w="1778" w:type="dxa"/>
            <w:vAlign w:val="center"/>
          </w:tcPr>
          <w:p w14:paraId="69CB9C2E" w14:textId="4FAE5F47" w:rsidR="002A3BE7" w:rsidRPr="005A7F38" w:rsidRDefault="0057282B" w:rsidP="002A3BE7">
            <w:pPr>
              <w:spacing w:line="240" w:lineRule="auto"/>
              <w:ind w:firstLine="0"/>
              <w:jc w:val="center"/>
            </w:pPr>
            <w:r>
              <w:rPr>
                <w:color w:val="000000"/>
              </w:rPr>
              <w:t>0.21</w:t>
            </w:r>
            <w:r w:rsidR="002A3BE7" w:rsidRPr="005A7F38">
              <w:rPr>
                <w:color w:val="000000"/>
              </w:rPr>
              <w:t>-1.66</w:t>
            </w:r>
          </w:p>
        </w:tc>
        <w:tc>
          <w:tcPr>
            <w:tcW w:w="1051" w:type="dxa"/>
            <w:vAlign w:val="center"/>
          </w:tcPr>
          <w:p w14:paraId="4333727E" w14:textId="5F87F471" w:rsidR="002A3BE7" w:rsidRPr="005A7F38" w:rsidRDefault="002A3BE7" w:rsidP="002A3BE7">
            <w:pPr>
              <w:spacing w:line="240" w:lineRule="auto"/>
              <w:ind w:firstLine="0"/>
              <w:jc w:val="center"/>
            </w:pPr>
            <w:r w:rsidRPr="005A7F38">
              <w:rPr>
                <w:color w:val="000000"/>
              </w:rPr>
              <w:t>0.316</w:t>
            </w:r>
          </w:p>
        </w:tc>
      </w:tr>
      <w:tr w:rsidR="002A3BE7" w:rsidRPr="005A7F38" w14:paraId="55059468" w14:textId="77777777" w:rsidTr="0057282B">
        <w:trPr>
          <w:trHeight w:val="215"/>
          <w:jc w:val="center"/>
        </w:trPr>
        <w:tc>
          <w:tcPr>
            <w:tcW w:w="3364" w:type="dxa"/>
            <w:vAlign w:val="bottom"/>
          </w:tcPr>
          <w:p w14:paraId="783826FD" w14:textId="77777777" w:rsidR="002A3BE7" w:rsidRPr="005A7F38" w:rsidRDefault="002A3BE7" w:rsidP="002A3BE7">
            <w:pPr>
              <w:spacing w:line="240" w:lineRule="auto"/>
              <w:ind w:firstLine="0"/>
              <w:jc w:val="left"/>
            </w:pPr>
            <w:r w:rsidRPr="005A7F38">
              <w:rPr>
                <w:color w:val="000000"/>
              </w:rPr>
              <w:t>Zirconium Exposure: Ever</w:t>
            </w:r>
          </w:p>
        </w:tc>
        <w:tc>
          <w:tcPr>
            <w:tcW w:w="1588" w:type="dxa"/>
            <w:vAlign w:val="center"/>
          </w:tcPr>
          <w:p w14:paraId="1D3CADDA" w14:textId="77777777" w:rsidR="002A3BE7" w:rsidRPr="005A7F38" w:rsidRDefault="002A3BE7" w:rsidP="002A3BE7">
            <w:pPr>
              <w:spacing w:line="240" w:lineRule="auto"/>
              <w:ind w:firstLine="0"/>
              <w:jc w:val="center"/>
            </w:pPr>
            <w:r w:rsidRPr="005A7F38">
              <w:rPr>
                <w:color w:val="000000"/>
              </w:rPr>
              <w:t>1</w:t>
            </w:r>
          </w:p>
        </w:tc>
        <w:tc>
          <w:tcPr>
            <w:tcW w:w="1327" w:type="dxa"/>
            <w:vAlign w:val="center"/>
          </w:tcPr>
          <w:p w14:paraId="3BE63413" w14:textId="77777777" w:rsidR="002A3BE7" w:rsidRPr="005A7F38" w:rsidRDefault="002A3BE7" w:rsidP="002A3BE7">
            <w:pPr>
              <w:spacing w:line="240" w:lineRule="auto"/>
              <w:ind w:firstLine="0"/>
              <w:jc w:val="center"/>
            </w:pPr>
            <w:r w:rsidRPr="005A7F38">
              <w:rPr>
                <w:color w:val="000000"/>
              </w:rPr>
              <w:t>0</w:t>
            </w:r>
          </w:p>
        </w:tc>
        <w:tc>
          <w:tcPr>
            <w:tcW w:w="1051" w:type="dxa"/>
            <w:vAlign w:val="center"/>
          </w:tcPr>
          <w:p w14:paraId="0968995E" w14:textId="06421562" w:rsidR="002A3BE7" w:rsidRPr="005A7F38" w:rsidRDefault="002A3BE7" w:rsidP="002A3BE7">
            <w:pPr>
              <w:spacing w:line="240" w:lineRule="auto"/>
              <w:ind w:firstLine="0"/>
              <w:jc w:val="center"/>
            </w:pPr>
            <w:r w:rsidRPr="005A7F38">
              <w:rPr>
                <w:color w:val="000000"/>
              </w:rPr>
              <w:t>1.0</w:t>
            </w:r>
            <w:r w:rsidR="004E7D11">
              <w:rPr>
                <w:color w:val="000000"/>
              </w:rPr>
              <w:t>2</w:t>
            </w:r>
          </w:p>
        </w:tc>
        <w:tc>
          <w:tcPr>
            <w:tcW w:w="1778" w:type="dxa"/>
            <w:vAlign w:val="center"/>
          </w:tcPr>
          <w:p w14:paraId="0CD0642C" w14:textId="2EAD1AE5" w:rsidR="002A3BE7" w:rsidRPr="005A7F38" w:rsidRDefault="0057282B" w:rsidP="002A3BE7">
            <w:pPr>
              <w:spacing w:line="240" w:lineRule="auto"/>
              <w:ind w:firstLine="0"/>
              <w:jc w:val="center"/>
            </w:pPr>
            <w:r>
              <w:rPr>
                <w:color w:val="000000"/>
              </w:rPr>
              <w:t>0.98</w:t>
            </w:r>
            <w:r w:rsidR="002A3BE7" w:rsidRPr="005A7F38">
              <w:rPr>
                <w:color w:val="000000"/>
              </w:rPr>
              <w:t>-1.05</w:t>
            </w:r>
          </w:p>
        </w:tc>
        <w:tc>
          <w:tcPr>
            <w:tcW w:w="1051" w:type="dxa"/>
            <w:vAlign w:val="center"/>
          </w:tcPr>
          <w:p w14:paraId="319FA83A" w14:textId="7DB96A44" w:rsidR="002A3BE7" w:rsidRPr="005A7F38" w:rsidRDefault="002A3BE7" w:rsidP="002A3BE7">
            <w:pPr>
              <w:spacing w:line="240" w:lineRule="auto"/>
              <w:ind w:firstLine="0"/>
              <w:jc w:val="center"/>
            </w:pPr>
            <w:r w:rsidRPr="005A7F38">
              <w:rPr>
                <w:color w:val="000000"/>
              </w:rPr>
              <w:t>0.415</w:t>
            </w:r>
          </w:p>
        </w:tc>
      </w:tr>
    </w:tbl>
    <w:p w14:paraId="6B474386" w14:textId="77777777" w:rsidR="002A3BE7" w:rsidRPr="002A3BE7" w:rsidRDefault="002A3BE7" w:rsidP="0057282B">
      <w:pPr>
        <w:ind w:firstLine="0"/>
      </w:pPr>
    </w:p>
    <w:p w14:paraId="069B5C3B" w14:textId="77777777" w:rsidR="0031140E" w:rsidRPr="005A7F38" w:rsidRDefault="0031140E" w:rsidP="002446BB">
      <w:pPr>
        <w:pStyle w:val="Heading3"/>
        <w:rPr>
          <w:rFonts w:cs="Times New Roman"/>
        </w:rPr>
      </w:pPr>
      <w:bookmarkStart w:id="77" w:name="_Toc506540048"/>
      <w:r w:rsidRPr="005A7F38">
        <w:rPr>
          <w:rFonts w:cs="Times New Roman"/>
        </w:rPr>
        <w:t xml:space="preserve">Animal </w:t>
      </w:r>
      <w:r w:rsidR="00044DF6" w:rsidRPr="005A7F38">
        <w:rPr>
          <w:rFonts w:cs="Times New Roman"/>
        </w:rPr>
        <w:t>Exposures</w:t>
      </w:r>
      <w:bookmarkEnd w:id="77"/>
    </w:p>
    <w:p w14:paraId="70630D5F" w14:textId="3CFEC18B" w:rsidR="0057282B" w:rsidRDefault="00B9515D" w:rsidP="007B524C">
      <w:pPr>
        <w:pStyle w:val="Noindent"/>
      </w:pPr>
      <w:r>
        <w:t>Data were</w:t>
      </w:r>
      <w:r w:rsidR="00852803" w:rsidRPr="005A7F38">
        <w:t xml:space="preserve"> collected </w:t>
      </w:r>
      <w:r w:rsidR="00B837DC" w:rsidRPr="005A7F38">
        <w:t>regarding participant exposure to different animals. Animal exposures are possible in an occupational or resid</w:t>
      </w:r>
      <w:r w:rsidR="003C25D2">
        <w:t>ential setting and were examined using exposure to these agents before diagnosis versus no exposure before diagnosis</w:t>
      </w:r>
      <w:r w:rsidR="00B837DC" w:rsidRPr="005A7F38">
        <w:t>.</w:t>
      </w:r>
      <w:r w:rsidR="00E67725">
        <w:t xml:space="preserve"> </w:t>
      </w:r>
      <w:r w:rsidR="0057282B" w:rsidRPr="005A7F38">
        <w:t>A negative associati</w:t>
      </w:r>
      <w:r w:rsidR="0057282B">
        <w:t xml:space="preserve">on between exposure to cats and </w:t>
      </w:r>
      <w:r w:rsidR="0057282B" w:rsidRPr="005A7F38">
        <w:t>sarcoidosis (OR=0.3802, CI=0.1593-0.907, p=0.0274) indicating that those with sarcoidosis were 62% less l</w:t>
      </w:r>
      <w:r w:rsidR="0057282B">
        <w:t>ikely to be exposed to cats than</w:t>
      </w:r>
      <w:r w:rsidR="0057282B" w:rsidRPr="005A7F38">
        <w:t xml:space="preserve"> those with AATD</w:t>
      </w:r>
      <w:r w:rsidR="0057282B">
        <w:t xml:space="preserve"> in a univariate analysis</w:t>
      </w:r>
      <w:r w:rsidR="0057282B" w:rsidRPr="005A7F38">
        <w:t>.</w:t>
      </w:r>
      <w:r w:rsidR="0057282B">
        <w:t xml:space="preserve"> We</w:t>
      </w:r>
      <w:r w:rsidR="0057282B" w:rsidRPr="005A7F38">
        <w:t xml:space="preserve"> found no association between exposure to amphibians, chickens, pigeons, turkeys, birds in general, animal feces, rat feces or fish tanks. This could be due to the small sample size included in this analysis and could be further elucidated by examining lengths of exposure in more detail than e</w:t>
      </w:r>
      <w:r w:rsidR="0057282B">
        <w:t>ver versus never. Using a Chi Square test, we</w:t>
      </w:r>
      <w:r w:rsidR="0057282B" w:rsidRPr="005A7F38">
        <w:t xml:space="preserve"> did find a negative association between exposu</w:t>
      </w:r>
      <w:r w:rsidR="0057282B">
        <w:t>re to parakeets and</w:t>
      </w:r>
      <w:r w:rsidR="0057282B" w:rsidRPr="005A7F38">
        <w:t xml:space="preserve"> sarcoidosis (OR=0.273, CI=0.1013-0.7424, p=0.0086) indicating that those with sarcoidosis are nearly 75% less likely to have been exposed to a parakeet. A similar </w:t>
      </w:r>
      <w:r w:rsidR="0057282B" w:rsidRPr="005A7F38">
        <w:lastRenderedPageBreak/>
        <w:t xml:space="preserve">association with bird feathers and decreased risk of sarcoidosis was also found. A negative association between pillows stuffed with down feathers and incidence of sarcoidosis was found in this analysis (OR=0.311, CI=0.1639-0.9842, p=0.0301). </w:t>
      </w:r>
      <w:r w:rsidR="0057282B">
        <w:t>Univariate analyses are detailed in Table 7.</w:t>
      </w:r>
    </w:p>
    <w:p w14:paraId="2CBD5ED3" w14:textId="2304F138" w:rsidR="00B818BF" w:rsidRDefault="00E67725" w:rsidP="0057282B">
      <w:pPr>
        <w:pStyle w:val="Noindent"/>
        <w:ind w:firstLine="720"/>
      </w:pPr>
      <w:r w:rsidRPr="005A7F38">
        <w:t>W</w:t>
      </w:r>
      <w:r>
        <w:t xml:space="preserve">hen adjusting for age, </w:t>
      </w:r>
      <w:r w:rsidR="00F60513">
        <w:t xml:space="preserve">education level and </w:t>
      </w:r>
      <w:r>
        <w:t>smoking status, w</w:t>
      </w:r>
      <w:r w:rsidRPr="005A7F38">
        <w:t xml:space="preserve">e found no association between exposure to </w:t>
      </w:r>
      <w:r>
        <w:t>lizards, salamanders, frogs, turtles, snakes</w:t>
      </w:r>
      <w:r w:rsidRPr="005A7F38">
        <w:t>, chickens, pige</w:t>
      </w:r>
      <w:r>
        <w:t xml:space="preserve">ons, turkeys, birds in general </w:t>
      </w:r>
      <w:r w:rsidRPr="005A7F38">
        <w:t xml:space="preserve">or fish tanks. This could be due to the small sample size included in this analysis and could be further elucidated by examining lengths of exposure in </w:t>
      </w:r>
      <w:r w:rsidR="002770AD">
        <w:t>a dose response model</w:t>
      </w:r>
      <w:r w:rsidRPr="005A7F38">
        <w:t xml:space="preserve">. </w:t>
      </w:r>
      <w:r w:rsidR="00B818BF">
        <w:t>However, we did identify an association between parakeets and sarcoidosis (OR: 0.23, CI:</w:t>
      </w:r>
      <w:r w:rsidR="007B524C">
        <w:t xml:space="preserve"> 0.08-0.66, P=0.006). This result is contrary to others seen in previous research that implicated exposure to birds as a risk factor for sarcoidosis. There may be socioeconomic and racial confounders or other unidentified cofounders in our sample that provide this opposite conclusion. There is not a strong biological explanation for why parakeets would be protective and is not a plausible finding. </w:t>
      </w:r>
      <w:r w:rsidR="002770AD">
        <w:t>When adjusting for age, education level and smoking status, we did find a negative association between sarcoidosis and exposu</w:t>
      </w:r>
      <w:r w:rsidR="00B818BF">
        <w:t>re to animal droppings (OR:0.41, CI:0.17-0.96, p=0.04</w:t>
      </w:r>
      <w:r w:rsidR="002770AD">
        <w:t xml:space="preserve">). Exposure to animal feces may be associated with a more diverse microbiome that provides a protective factor. Further research into the dose response relationship of animal droppings </w:t>
      </w:r>
      <w:r w:rsidR="00597CC1">
        <w:t xml:space="preserve">and investigation into potential cofounders not included in this model. </w:t>
      </w:r>
    </w:p>
    <w:p w14:paraId="23B34B05" w14:textId="77777777" w:rsidR="0057282B" w:rsidRDefault="0057282B" w:rsidP="0057282B"/>
    <w:p w14:paraId="4DD5C5BF" w14:textId="77777777" w:rsidR="0057282B" w:rsidRDefault="0057282B" w:rsidP="0057282B">
      <w:pPr>
        <w:ind w:firstLine="0"/>
      </w:pPr>
    </w:p>
    <w:p w14:paraId="1D100642" w14:textId="77777777" w:rsidR="0057282B" w:rsidRPr="0057282B" w:rsidRDefault="0057282B" w:rsidP="0057282B">
      <w:pPr>
        <w:ind w:firstLine="0"/>
      </w:pPr>
    </w:p>
    <w:p w14:paraId="3ED67DFB" w14:textId="450957AE" w:rsidR="004E7D11" w:rsidRPr="005A7F38" w:rsidRDefault="004E7D11" w:rsidP="004E7D11">
      <w:pPr>
        <w:pStyle w:val="Caption"/>
      </w:pPr>
      <w:bookmarkStart w:id="78" w:name="_Toc500493166"/>
      <w:bookmarkStart w:id="79" w:name="_Toc506540067"/>
      <w:r w:rsidRPr="005A7F38">
        <w:lastRenderedPageBreak/>
        <w:t xml:space="preserve">Table </w:t>
      </w:r>
      <w:fldSimple w:instr=" SEQ Table \* ARABIC ">
        <w:r w:rsidR="001F73C6">
          <w:rPr>
            <w:noProof/>
          </w:rPr>
          <w:t>7</w:t>
        </w:r>
      </w:fldSimple>
      <w:r w:rsidRPr="005A7F38">
        <w:t xml:space="preserve">. </w:t>
      </w:r>
      <w:r w:rsidRPr="005A7F38">
        <w:rPr>
          <w:b w:val="0"/>
        </w:rPr>
        <w:t>Animal Exposures Among Sarcoidosis Cases and Controls</w:t>
      </w:r>
      <w:bookmarkEnd w:id="78"/>
      <w:bookmarkEnd w:id="79"/>
    </w:p>
    <w:tbl>
      <w:tblPr>
        <w:tblStyle w:val="TableGrid"/>
        <w:tblW w:w="10172" w:type="dxa"/>
        <w:jc w:val="center"/>
        <w:tblLook w:val="04A0" w:firstRow="1" w:lastRow="0" w:firstColumn="1" w:lastColumn="0" w:noHBand="0" w:noVBand="1"/>
      </w:tblPr>
      <w:tblGrid>
        <w:gridCol w:w="3992"/>
        <w:gridCol w:w="1378"/>
        <w:gridCol w:w="1668"/>
        <w:gridCol w:w="776"/>
        <w:gridCol w:w="1376"/>
        <w:gridCol w:w="982"/>
      </w:tblGrid>
      <w:tr w:rsidR="0057282B" w:rsidRPr="005A7F38" w14:paraId="7C8A66B3" w14:textId="77777777" w:rsidTr="0057282B">
        <w:trPr>
          <w:trHeight w:val="917"/>
          <w:jc w:val="center"/>
        </w:trPr>
        <w:tc>
          <w:tcPr>
            <w:tcW w:w="3992" w:type="dxa"/>
          </w:tcPr>
          <w:p w14:paraId="45ABCBB8" w14:textId="77777777" w:rsidR="004E7D11" w:rsidRPr="005A7F38" w:rsidRDefault="004E7D11" w:rsidP="00C20687">
            <w:pPr>
              <w:spacing w:line="240" w:lineRule="auto"/>
              <w:ind w:firstLine="0"/>
              <w:jc w:val="left"/>
            </w:pPr>
          </w:p>
        </w:tc>
        <w:tc>
          <w:tcPr>
            <w:tcW w:w="1378" w:type="dxa"/>
            <w:vAlign w:val="bottom"/>
          </w:tcPr>
          <w:p w14:paraId="6AB331E6" w14:textId="77777777" w:rsidR="004E7D11" w:rsidRPr="005A7F38" w:rsidRDefault="004E7D11" w:rsidP="00C20687">
            <w:pPr>
              <w:spacing w:line="240" w:lineRule="auto"/>
              <w:ind w:firstLine="0"/>
              <w:jc w:val="center"/>
              <w:rPr>
                <w:b/>
                <w:bCs/>
                <w:color w:val="000000"/>
              </w:rPr>
            </w:pPr>
            <w:r w:rsidRPr="005A7F38">
              <w:rPr>
                <w:b/>
                <w:bCs/>
                <w:color w:val="000000"/>
              </w:rPr>
              <w:t>Sarcoidosis</w:t>
            </w:r>
          </w:p>
          <w:p w14:paraId="778E3F82" w14:textId="77777777" w:rsidR="004E7D11" w:rsidRPr="005A7F38" w:rsidRDefault="004E7D11" w:rsidP="00C20687">
            <w:pPr>
              <w:spacing w:line="240" w:lineRule="auto"/>
              <w:ind w:firstLine="0"/>
              <w:jc w:val="center"/>
              <w:rPr>
                <w:b/>
                <w:bCs/>
                <w:color w:val="000000"/>
              </w:rPr>
            </w:pPr>
            <w:r w:rsidRPr="005A7F38">
              <w:rPr>
                <w:b/>
                <w:bCs/>
                <w:color w:val="000000"/>
              </w:rPr>
              <w:t xml:space="preserve">Cases, </w:t>
            </w:r>
          </w:p>
          <w:p w14:paraId="27276134" w14:textId="77777777" w:rsidR="004E7D11" w:rsidRPr="005A7F38" w:rsidRDefault="004E7D11" w:rsidP="00C20687">
            <w:pPr>
              <w:spacing w:line="240" w:lineRule="auto"/>
              <w:ind w:firstLine="0"/>
              <w:jc w:val="center"/>
            </w:pPr>
            <w:r w:rsidRPr="005A7F38">
              <w:rPr>
                <w:b/>
                <w:bCs/>
                <w:color w:val="000000"/>
              </w:rPr>
              <w:t>N</w:t>
            </w:r>
            <w:r>
              <w:rPr>
                <w:b/>
                <w:bCs/>
                <w:color w:val="000000"/>
              </w:rPr>
              <w:t>=58</w:t>
            </w:r>
            <w:r w:rsidRPr="005A7F38">
              <w:rPr>
                <w:b/>
                <w:bCs/>
                <w:color w:val="000000"/>
              </w:rPr>
              <w:t xml:space="preserve"> (%)</w:t>
            </w:r>
          </w:p>
        </w:tc>
        <w:tc>
          <w:tcPr>
            <w:tcW w:w="1668" w:type="dxa"/>
            <w:vAlign w:val="bottom"/>
          </w:tcPr>
          <w:p w14:paraId="2CC8CED9" w14:textId="77777777" w:rsidR="004E7D11" w:rsidRPr="005A7F38" w:rsidRDefault="004E7D11" w:rsidP="00C20687">
            <w:pPr>
              <w:spacing w:line="240" w:lineRule="auto"/>
              <w:ind w:firstLine="0"/>
              <w:jc w:val="center"/>
              <w:rPr>
                <w:b/>
                <w:bCs/>
                <w:color w:val="000000"/>
              </w:rPr>
            </w:pPr>
            <w:r w:rsidRPr="005A7F38">
              <w:rPr>
                <w:b/>
                <w:bCs/>
                <w:color w:val="000000"/>
              </w:rPr>
              <w:t>AATD Controls,</w:t>
            </w:r>
          </w:p>
          <w:p w14:paraId="2EB43532" w14:textId="77777777" w:rsidR="004E7D11" w:rsidRPr="005A7F38" w:rsidRDefault="004E7D11" w:rsidP="00C20687">
            <w:pPr>
              <w:spacing w:line="240" w:lineRule="auto"/>
              <w:ind w:firstLine="0"/>
              <w:jc w:val="center"/>
            </w:pPr>
            <w:r w:rsidRPr="005A7F38">
              <w:rPr>
                <w:b/>
                <w:bCs/>
                <w:color w:val="000000"/>
              </w:rPr>
              <w:t>N</w:t>
            </w:r>
            <w:r>
              <w:rPr>
                <w:b/>
                <w:bCs/>
                <w:color w:val="000000"/>
              </w:rPr>
              <w:t xml:space="preserve">=38 </w:t>
            </w:r>
            <w:r w:rsidRPr="005A7F38">
              <w:rPr>
                <w:b/>
                <w:bCs/>
                <w:color w:val="000000"/>
              </w:rPr>
              <w:t>(%)</w:t>
            </w:r>
          </w:p>
        </w:tc>
        <w:tc>
          <w:tcPr>
            <w:tcW w:w="776" w:type="dxa"/>
            <w:vAlign w:val="center"/>
          </w:tcPr>
          <w:p w14:paraId="52699B40" w14:textId="77777777" w:rsidR="004E7D11" w:rsidRPr="005A7F38" w:rsidRDefault="004E7D11" w:rsidP="00C20687">
            <w:pPr>
              <w:spacing w:line="240" w:lineRule="auto"/>
              <w:ind w:firstLine="0"/>
              <w:jc w:val="center"/>
            </w:pPr>
            <w:r w:rsidRPr="005A7F38">
              <w:rPr>
                <w:b/>
                <w:bCs/>
                <w:color w:val="000000"/>
              </w:rPr>
              <w:t>Odds Ratio</w:t>
            </w:r>
          </w:p>
        </w:tc>
        <w:tc>
          <w:tcPr>
            <w:tcW w:w="1376" w:type="dxa"/>
            <w:vAlign w:val="center"/>
          </w:tcPr>
          <w:p w14:paraId="3875C928" w14:textId="77777777" w:rsidR="004E7D11" w:rsidRPr="005A7F38" w:rsidRDefault="004E7D11" w:rsidP="00C20687">
            <w:pPr>
              <w:spacing w:line="240" w:lineRule="auto"/>
              <w:ind w:firstLine="0"/>
              <w:jc w:val="center"/>
            </w:pPr>
            <w:r w:rsidRPr="005A7F38">
              <w:rPr>
                <w:b/>
                <w:bCs/>
                <w:color w:val="000000"/>
              </w:rPr>
              <w:t>Confidence Interval</w:t>
            </w:r>
          </w:p>
        </w:tc>
        <w:tc>
          <w:tcPr>
            <w:tcW w:w="982" w:type="dxa"/>
            <w:vAlign w:val="center"/>
          </w:tcPr>
          <w:p w14:paraId="19B2D462" w14:textId="77777777" w:rsidR="004E7D11" w:rsidRPr="005A7F38" w:rsidRDefault="004E7D11" w:rsidP="00C20687">
            <w:pPr>
              <w:spacing w:line="240" w:lineRule="auto"/>
              <w:ind w:firstLine="0"/>
              <w:jc w:val="center"/>
            </w:pPr>
            <w:r w:rsidRPr="005A7F38">
              <w:rPr>
                <w:b/>
                <w:bCs/>
                <w:color w:val="000000"/>
              </w:rPr>
              <w:t>P-Value</w:t>
            </w:r>
          </w:p>
        </w:tc>
      </w:tr>
      <w:tr w:rsidR="0057282B" w:rsidRPr="005A7F38" w14:paraId="5631B056" w14:textId="77777777" w:rsidTr="0057282B">
        <w:trPr>
          <w:trHeight w:val="345"/>
          <w:jc w:val="center"/>
        </w:trPr>
        <w:tc>
          <w:tcPr>
            <w:tcW w:w="3992" w:type="dxa"/>
            <w:vAlign w:val="bottom"/>
          </w:tcPr>
          <w:p w14:paraId="6492DC95" w14:textId="77777777" w:rsidR="004E7D11" w:rsidRPr="005A7F38" w:rsidRDefault="004E7D11" w:rsidP="00C20687">
            <w:pPr>
              <w:spacing w:line="240" w:lineRule="auto"/>
              <w:ind w:firstLine="0"/>
              <w:jc w:val="left"/>
            </w:pPr>
            <w:r w:rsidRPr="005A7F38">
              <w:rPr>
                <w:color w:val="000000"/>
              </w:rPr>
              <w:t>Amphibian Exposure: Ever</w:t>
            </w:r>
          </w:p>
        </w:tc>
        <w:tc>
          <w:tcPr>
            <w:tcW w:w="1378" w:type="dxa"/>
            <w:vAlign w:val="center"/>
          </w:tcPr>
          <w:p w14:paraId="71252E32" w14:textId="77777777" w:rsidR="004E7D11" w:rsidRPr="005A7F38" w:rsidRDefault="004E7D11" w:rsidP="00C20687">
            <w:pPr>
              <w:spacing w:line="240" w:lineRule="auto"/>
              <w:ind w:firstLine="0"/>
              <w:jc w:val="center"/>
            </w:pPr>
            <w:r w:rsidRPr="005A7F38">
              <w:rPr>
                <w:color w:val="000000"/>
              </w:rPr>
              <w:t>6 (10.34)</w:t>
            </w:r>
          </w:p>
        </w:tc>
        <w:tc>
          <w:tcPr>
            <w:tcW w:w="1668" w:type="dxa"/>
            <w:vAlign w:val="center"/>
          </w:tcPr>
          <w:p w14:paraId="3A6A2DD9" w14:textId="77777777" w:rsidR="004E7D11" w:rsidRPr="005A7F38" w:rsidRDefault="004E7D11" w:rsidP="00C20687">
            <w:pPr>
              <w:spacing w:line="240" w:lineRule="auto"/>
              <w:ind w:firstLine="0"/>
              <w:jc w:val="center"/>
            </w:pPr>
            <w:r w:rsidRPr="005A7F38">
              <w:rPr>
                <w:color w:val="000000"/>
              </w:rPr>
              <w:t>6 (15.79)</w:t>
            </w:r>
          </w:p>
        </w:tc>
        <w:tc>
          <w:tcPr>
            <w:tcW w:w="776" w:type="dxa"/>
            <w:vAlign w:val="center"/>
          </w:tcPr>
          <w:p w14:paraId="166DB713" w14:textId="104AE5CB" w:rsidR="004E7D11" w:rsidRPr="005A7F38" w:rsidRDefault="004E7D11" w:rsidP="00C20687">
            <w:pPr>
              <w:spacing w:line="240" w:lineRule="auto"/>
              <w:ind w:firstLine="0"/>
              <w:jc w:val="center"/>
            </w:pPr>
            <w:r w:rsidRPr="005A7F38">
              <w:rPr>
                <w:color w:val="000000"/>
              </w:rPr>
              <w:t>0.61</w:t>
            </w:r>
          </w:p>
        </w:tc>
        <w:tc>
          <w:tcPr>
            <w:tcW w:w="1376" w:type="dxa"/>
            <w:vAlign w:val="center"/>
          </w:tcPr>
          <w:p w14:paraId="0A151432" w14:textId="4C52E0DB" w:rsidR="004E7D11" w:rsidRPr="005A7F38" w:rsidRDefault="0057282B" w:rsidP="00C20687">
            <w:pPr>
              <w:spacing w:line="240" w:lineRule="auto"/>
              <w:ind w:firstLine="0"/>
              <w:jc w:val="center"/>
            </w:pPr>
            <w:r>
              <w:rPr>
                <w:color w:val="000000"/>
              </w:rPr>
              <w:t>0.18</w:t>
            </w:r>
            <w:r w:rsidR="004E7D11" w:rsidRPr="005A7F38">
              <w:rPr>
                <w:color w:val="000000"/>
              </w:rPr>
              <w:t>-2.07</w:t>
            </w:r>
          </w:p>
        </w:tc>
        <w:tc>
          <w:tcPr>
            <w:tcW w:w="982" w:type="dxa"/>
            <w:vAlign w:val="center"/>
          </w:tcPr>
          <w:p w14:paraId="65B46FCB" w14:textId="22BF6736" w:rsidR="004E7D11" w:rsidRPr="005A7F38" w:rsidRDefault="004E7D11" w:rsidP="00C20687">
            <w:pPr>
              <w:spacing w:line="240" w:lineRule="auto"/>
              <w:ind w:firstLine="0"/>
              <w:jc w:val="center"/>
            </w:pPr>
            <w:r w:rsidRPr="005A7F38">
              <w:rPr>
                <w:color w:val="000000"/>
              </w:rPr>
              <w:t>0.531</w:t>
            </w:r>
          </w:p>
        </w:tc>
      </w:tr>
      <w:tr w:rsidR="0057282B" w:rsidRPr="005A7F38" w14:paraId="00CD6C8B" w14:textId="77777777" w:rsidTr="0057282B">
        <w:trPr>
          <w:trHeight w:val="163"/>
          <w:jc w:val="center"/>
        </w:trPr>
        <w:tc>
          <w:tcPr>
            <w:tcW w:w="3992" w:type="dxa"/>
            <w:vAlign w:val="bottom"/>
          </w:tcPr>
          <w:p w14:paraId="4B46BB2B" w14:textId="77777777" w:rsidR="004E7D11" w:rsidRPr="005A7F38" w:rsidRDefault="004E7D11" w:rsidP="00C20687">
            <w:pPr>
              <w:spacing w:line="240" w:lineRule="auto"/>
              <w:ind w:firstLine="0"/>
              <w:jc w:val="left"/>
            </w:pPr>
            <w:r w:rsidRPr="005A7F38">
              <w:rPr>
                <w:color w:val="000000"/>
              </w:rPr>
              <w:t>Cat Exposure: Ever</w:t>
            </w:r>
          </w:p>
        </w:tc>
        <w:tc>
          <w:tcPr>
            <w:tcW w:w="1378" w:type="dxa"/>
            <w:vAlign w:val="center"/>
          </w:tcPr>
          <w:p w14:paraId="738737FC" w14:textId="77777777" w:rsidR="004E7D11" w:rsidRPr="005A7F38" w:rsidRDefault="004E7D11" w:rsidP="00C20687">
            <w:pPr>
              <w:spacing w:line="240" w:lineRule="auto"/>
              <w:ind w:firstLine="0"/>
              <w:jc w:val="center"/>
            </w:pPr>
            <w:r w:rsidRPr="005A7F38">
              <w:rPr>
                <w:color w:val="000000"/>
              </w:rPr>
              <w:t>28 (48.28)</w:t>
            </w:r>
          </w:p>
        </w:tc>
        <w:tc>
          <w:tcPr>
            <w:tcW w:w="1668" w:type="dxa"/>
            <w:vAlign w:val="center"/>
          </w:tcPr>
          <w:p w14:paraId="257BB6CF" w14:textId="77777777" w:rsidR="004E7D11" w:rsidRPr="005A7F38" w:rsidRDefault="004E7D11" w:rsidP="00C20687">
            <w:pPr>
              <w:spacing w:line="240" w:lineRule="auto"/>
              <w:ind w:firstLine="0"/>
              <w:jc w:val="center"/>
            </w:pPr>
            <w:r w:rsidRPr="005A7F38">
              <w:rPr>
                <w:color w:val="000000"/>
              </w:rPr>
              <w:t>27 (71.05)</w:t>
            </w:r>
          </w:p>
        </w:tc>
        <w:tc>
          <w:tcPr>
            <w:tcW w:w="776" w:type="dxa"/>
            <w:vAlign w:val="center"/>
          </w:tcPr>
          <w:p w14:paraId="1620EB35" w14:textId="544EE8D0" w:rsidR="004E7D11" w:rsidRPr="005A7F38" w:rsidRDefault="004E7D11" w:rsidP="00C20687">
            <w:pPr>
              <w:spacing w:line="240" w:lineRule="auto"/>
              <w:ind w:firstLine="0"/>
              <w:jc w:val="center"/>
            </w:pPr>
            <w:r w:rsidRPr="005A7F38">
              <w:rPr>
                <w:color w:val="000000"/>
              </w:rPr>
              <w:t>0.38</w:t>
            </w:r>
          </w:p>
        </w:tc>
        <w:tc>
          <w:tcPr>
            <w:tcW w:w="1376" w:type="dxa"/>
            <w:vAlign w:val="center"/>
          </w:tcPr>
          <w:p w14:paraId="07EC1917" w14:textId="5E901972" w:rsidR="004E7D11" w:rsidRPr="005A7F38" w:rsidRDefault="0057282B" w:rsidP="00C20687">
            <w:pPr>
              <w:spacing w:line="240" w:lineRule="auto"/>
              <w:ind w:firstLine="0"/>
              <w:jc w:val="center"/>
            </w:pPr>
            <w:r>
              <w:rPr>
                <w:color w:val="000000"/>
              </w:rPr>
              <w:t>0.15</w:t>
            </w:r>
            <w:r w:rsidR="004E7D11" w:rsidRPr="005A7F38">
              <w:rPr>
                <w:color w:val="000000"/>
              </w:rPr>
              <w:t>-0.90</w:t>
            </w:r>
          </w:p>
        </w:tc>
        <w:tc>
          <w:tcPr>
            <w:tcW w:w="982" w:type="dxa"/>
            <w:vAlign w:val="center"/>
          </w:tcPr>
          <w:p w14:paraId="078B29C0" w14:textId="23E759C3" w:rsidR="004E7D11" w:rsidRPr="005A7F38" w:rsidRDefault="004E7D11" w:rsidP="00C20687">
            <w:pPr>
              <w:spacing w:line="240" w:lineRule="auto"/>
              <w:ind w:firstLine="0"/>
              <w:jc w:val="center"/>
            </w:pPr>
            <w:r w:rsidRPr="005A7F38">
              <w:rPr>
                <w:color w:val="000000"/>
              </w:rPr>
              <w:t>0.027</w:t>
            </w:r>
          </w:p>
        </w:tc>
      </w:tr>
      <w:tr w:rsidR="0057282B" w:rsidRPr="005A7F38" w14:paraId="28AF89EF" w14:textId="77777777" w:rsidTr="0057282B">
        <w:trPr>
          <w:trHeight w:val="163"/>
          <w:jc w:val="center"/>
        </w:trPr>
        <w:tc>
          <w:tcPr>
            <w:tcW w:w="3992" w:type="dxa"/>
            <w:vAlign w:val="bottom"/>
          </w:tcPr>
          <w:p w14:paraId="63C9B00A" w14:textId="77777777" w:rsidR="004E7D11" w:rsidRPr="005A7F38" w:rsidRDefault="004E7D11" w:rsidP="00C20687">
            <w:pPr>
              <w:spacing w:line="240" w:lineRule="auto"/>
              <w:ind w:firstLine="0"/>
              <w:jc w:val="left"/>
            </w:pPr>
            <w:r w:rsidRPr="005A7F38">
              <w:rPr>
                <w:color w:val="000000"/>
              </w:rPr>
              <w:t>Chicken Exposure: Ever</w:t>
            </w:r>
          </w:p>
        </w:tc>
        <w:tc>
          <w:tcPr>
            <w:tcW w:w="1378" w:type="dxa"/>
            <w:vAlign w:val="center"/>
          </w:tcPr>
          <w:p w14:paraId="4B735B88" w14:textId="77777777" w:rsidR="004E7D11" w:rsidRPr="005A7F38" w:rsidRDefault="004E7D11" w:rsidP="00C20687">
            <w:pPr>
              <w:spacing w:line="240" w:lineRule="auto"/>
              <w:ind w:firstLine="0"/>
              <w:jc w:val="center"/>
            </w:pPr>
            <w:r w:rsidRPr="005A7F38">
              <w:rPr>
                <w:color w:val="000000"/>
              </w:rPr>
              <w:t>12 (20.69)</w:t>
            </w:r>
          </w:p>
        </w:tc>
        <w:tc>
          <w:tcPr>
            <w:tcW w:w="1668" w:type="dxa"/>
            <w:vAlign w:val="center"/>
          </w:tcPr>
          <w:p w14:paraId="238B44ED" w14:textId="77777777" w:rsidR="004E7D11" w:rsidRPr="005A7F38" w:rsidRDefault="004E7D11" w:rsidP="00C20687">
            <w:pPr>
              <w:spacing w:line="240" w:lineRule="auto"/>
              <w:ind w:firstLine="0"/>
              <w:jc w:val="center"/>
            </w:pPr>
            <w:r w:rsidRPr="005A7F38">
              <w:rPr>
                <w:color w:val="000000"/>
              </w:rPr>
              <w:t>9 (23.66)</w:t>
            </w:r>
          </w:p>
        </w:tc>
        <w:tc>
          <w:tcPr>
            <w:tcW w:w="776" w:type="dxa"/>
            <w:vAlign w:val="center"/>
          </w:tcPr>
          <w:p w14:paraId="30E00DBE" w14:textId="10A67C7A" w:rsidR="004E7D11" w:rsidRPr="005A7F38" w:rsidRDefault="004E7D11" w:rsidP="00C20687">
            <w:pPr>
              <w:spacing w:line="240" w:lineRule="auto"/>
              <w:ind w:firstLine="0"/>
              <w:jc w:val="center"/>
            </w:pPr>
            <w:r w:rsidRPr="005A7F38">
              <w:rPr>
                <w:color w:val="000000"/>
              </w:rPr>
              <w:t>0.84</w:t>
            </w:r>
          </w:p>
        </w:tc>
        <w:tc>
          <w:tcPr>
            <w:tcW w:w="1376" w:type="dxa"/>
            <w:vAlign w:val="center"/>
          </w:tcPr>
          <w:p w14:paraId="1E7BFD1B" w14:textId="7DA403F1" w:rsidR="004E7D11" w:rsidRPr="005A7F38" w:rsidRDefault="0057282B" w:rsidP="00C20687">
            <w:pPr>
              <w:spacing w:line="240" w:lineRule="auto"/>
              <w:ind w:firstLine="0"/>
              <w:jc w:val="center"/>
            </w:pPr>
            <w:r>
              <w:rPr>
                <w:color w:val="000000"/>
              </w:rPr>
              <w:t>0.31</w:t>
            </w:r>
            <w:r w:rsidR="004E7D11" w:rsidRPr="005A7F38">
              <w:rPr>
                <w:color w:val="000000"/>
              </w:rPr>
              <w:t>-2.24</w:t>
            </w:r>
          </w:p>
        </w:tc>
        <w:tc>
          <w:tcPr>
            <w:tcW w:w="982" w:type="dxa"/>
            <w:vAlign w:val="center"/>
          </w:tcPr>
          <w:p w14:paraId="15A9A870" w14:textId="7D6B4AD4" w:rsidR="004E7D11" w:rsidRPr="005A7F38" w:rsidRDefault="004E7D11" w:rsidP="00C20687">
            <w:pPr>
              <w:spacing w:line="240" w:lineRule="auto"/>
              <w:ind w:firstLine="0"/>
              <w:jc w:val="center"/>
            </w:pPr>
            <w:r w:rsidRPr="005A7F38">
              <w:rPr>
                <w:color w:val="000000"/>
              </w:rPr>
              <w:t>0.728</w:t>
            </w:r>
          </w:p>
        </w:tc>
      </w:tr>
      <w:tr w:rsidR="0057282B" w:rsidRPr="005A7F38" w14:paraId="4D69BC9D" w14:textId="77777777" w:rsidTr="0057282B">
        <w:trPr>
          <w:trHeight w:val="163"/>
          <w:jc w:val="center"/>
        </w:trPr>
        <w:tc>
          <w:tcPr>
            <w:tcW w:w="3992" w:type="dxa"/>
            <w:vAlign w:val="bottom"/>
          </w:tcPr>
          <w:p w14:paraId="714B66F8" w14:textId="77777777" w:rsidR="004E7D11" w:rsidRPr="005A7F38" w:rsidRDefault="004E7D11" w:rsidP="00C20687">
            <w:pPr>
              <w:spacing w:line="240" w:lineRule="auto"/>
              <w:ind w:firstLine="0"/>
              <w:jc w:val="left"/>
            </w:pPr>
            <w:r w:rsidRPr="005A7F38">
              <w:rPr>
                <w:color w:val="000000"/>
              </w:rPr>
              <w:t>Pigeon Exposure: Ever</w:t>
            </w:r>
          </w:p>
        </w:tc>
        <w:tc>
          <w:tcPr>
            <w:tcW w:w="1378" w:type="dxa"/>
            <w:vAlign w:val="center"/>
          </w:tcPr>
          <w:p w14:paraId="74BA2D6E" w14:textId="77777777" w:rsidR="004E7D11" w:rsidRPr="005A7F38" w:rsidRDefault="004E7D11" w:rsidP="00C20687">
            <w:pPr>
              <w:spacing w:line="240" w:lineRule="auto"/>
              <w:ind w:firstLine="0"/>
              <w:jc w:val="center"/>
            </w:pPr>
            <w:r w:rsidRPr="005A7F38">
              <w:rPr>
                <w:color w:val="000000"/>
              </w:rPr>
              <w:t>1 (1.72)</w:t>
            </w:r>
          </w:p>
        </w:tc>
        <w:tc>
          <w:tcPr>
            <w:tcW w:w="1668" w:type="dxa"/>
            <w:vAlign w:val="center"/>
          </w:tcPr>
          <w:p w14:paraId="256DC02F" w14:textId="77777777" w:rsidR="004E7D11" w:rsidRPr="005A7F38" w:rsidRDefault="004E7D11" w:rsidP="00C20687">
            <w:pPr>
              <w:spacing w:line="240" w:lineRule="auto"/>
              <w:ind w:firstLine="0"/>
              <w:jc w:val="center"/>
            </w:pPr>
            <w:r w:rsidRPr="005A7F38">
              <w:rPr>
                <w:color w:val="000000"/>
              </w:rPr>
              <w:t>3 (7.89)</w:t>
            </w:r>
          </w:p>
        </w:tc>
        <w:tc>
          <w:tcPr>
            <w:tcW w:w="776" w:type="dxa"/>
            <w:vAlign w:val="center"/>
          </w:tcPr>
          <w:p w14:paraId="7E72A236" w14:textId="1130D4EB" w:rsidR="004E7D11" w:rsidRPr="005A7F38" w:rsidRDefault="004E7D11" w:rsidP="00C20687">
            <w:pPr>
              <w:spacing w:line="240" w:lineRule="auto"/>
              <w:ind w:firstLine="0"/>
              <w:jc w:val="center"/>
            </w:pPr>
            <w:r w:rsidRPr="005A7F38">
              <w:rPr>
                <w:color w:val="000000"/>
              </w:rPr>
              <w:t>0.20</w:t>
            </w:r>
          </w:p>
        </w:tc>
        <w:tc>
          <w:tcPr>
            <w:tcW w:w="1376" w:type="dxa"/>
            <w:vAlign w:val="center"/>
          </w:tcPr>
          <w:p w14:paraId="0EC5FB57" w14:textId="24EC989C" w:rsidR="004E7D11" w:rsidRPr="005A7F38" w:rsidRDefault="0057282B" w:rsidP="00C20687">
            <w:pPr>
              <w:spacing w:line="240" w:lineRule="auto"/>
              <w:ind w:firstLine="0"/>
              <w:jc w:val="center"/>
            </w:pPr>
            <w:r>
              <w:rPr>
                <w:color w:val="000000"/>
              </w:rPr>
              <w:t>0.02</w:t>
            </w:r>
            <w:r w:rsidR="004E7D11" w:rsidRPr="005A7F38">
              <w:rPr>
                <w:color w:val="000000"/>
              </w:rPr>
              <w:t>-2.04</w:t>
            </w:r>
          </w:p>
        </w:tc>
        <w:tc>
          <w:tcPr>
            <w:tcW w:w="982" w:type="dxa"/>
            <w:vAlign w:val="center"/>
          </w:tcPr>
          <w:p w14:paraId="5C47E6AF" w14:textId="77777777" w:rsidR="004E7D11" w:rsidRPr="005A7F38" w:rsidRDefault="004E7D11" w:rsidP="00C20687">
            <w:pPr>
              <w:spacing w:line="240" w:lineRule="auto"/>
              <w:ind w:firstLine="0"/>
              <w:jc w:val="center"/>
            </w:pPr>
            <w:r w:rsidRPr="005A7F38">
              <w:rPr>
                <w:color w:val="000000"/>
              </w:rPr>
              <w:t>0.139</w:t>
            </w:r>
          </w:p>
        </w:tc>
      </w:tr>
      <w:tr w:rsidR="0057282B" w:rsidRPr="005A7F38" w14:paraId="6DF0A463" w14:textId="77777777" w:rsidTr="0057282B">
        <w:trPr>
          <w:trHeight w:val="296"/>
          <w:jc w:val="center"/>
        </w:trPr>
        <w:tc>
          <w:tcPr>
            <w:tcW w:w="3992" w:type="dxa"/>
            <w:vAlign w:val="bottom"/>
          </w:tcPr>
          <w:p w14:paraId="6C75A23B" w14:textId="77777777" w:rsidR="004E7D11" w:rsidRPr="005A7F38" w:rsidRDefault="004E7D11" w:rsidP="00C20687">
            <w:pPr>
              <w:spacing w:line="240" w:lineRule="auto"/>
              <w:ind w:firstLine="0"/>
              <w:jc w:val="left"/>
            </w:pPr>
            <w:r w:rsidRPr="005A7F38">
              <w:rPr>
                <w:color w:val="000000"/>
              </w:rPr>
              <w:t>Turkey Exposure: Ever</w:t>
            </w:r>
          </w:p>
        </w:tc>
        <w:tc>
          <w:tcPr>
            <w:tcW w:w="1378" w:type="dxa"/>
            <w:vAlign w:val="center"/>
          </w:tcPr>
          <w:p w14:paraId="77DDB168" w14:textId="77777777" w:rsidR="004E7D11" w:rsidRPr="005A7F38" w:rsidRDefault="004E7D11" w:rsidP="00C20687">
            <w:pPr>
              <w:spacing w:line="240" w:lineRule="auto"/>
              <w:ind w:firstLine="0"/>
              <w:jc w:val="center"/>
            </w:pPr>
            <w:r w:rsidRPr="005A7F38">
              <w:rPr>
                <w:color w:val="000000"/>
              </w:rPr>
              <w:t>3 (5.17)</w:t>
            </w:r>
          </w:p>
        </w:tc>
        <w:tc>
          <w:tcPr>
            <w:tcW w:w="1668" w:type="dxa"/>
            <w:vAlign w:val="center"/>
          </w:tcPr>
          <w:p w14:paraId="0EEBEC47" w14:textId="77777777" w:rsidR="004E7D11" w:rsidRPr="005A7F38" w:rsidRDefault="004E7D11" w:rsidP="00C20687">
            <w:pPr>
              <w:spacing w:line="240" w:lineRule="auto"/>
              <w:ind w:firstLine="0"/>
              <w:jc w:val="center"/>
            </w:pPr>
            <w:r w:rsidRPr="005A7F38">
              <w:rPr>
                <w:color w:val="000000"/>
              </w:rPr>
              <w:t>3 (7.89)</w:t>
            </w:r>
          </w:p>
        </w:tc>
        <w:tc>
          <w:tcPr>
            <w:tcW w:w="776" w:type="dxa"/>
            <w:vAlign w:val="center"/>
          </w:tcPr>
          <w:p w14:paraId="0BD41F43" w14:textId="53116B23" w:rsidR="004E7D11" w:rsidRPr="005A7F38" w:rsidRDefault="004E7D11" w:rsidP="00C20687">
            <w:pPr>
              <w:spacing w:line="240" w:lineRule="auto"/>
              <w:ind w:firstLine="0"/>
              <w:jc w:val="center"/>
            </w:pPr>
            <w:r w:rsidRPr="005A7F38">
              <w:rPr>
                <w:color w:val="000000"/>
              </w:rPr>
              <w:t>0.63</w:t>
            </w:r>
          </w:p>
        </w:tc>
        <w:tc>
          <w:tcPr>
            <w:tcW w:w="1376" w:type="dxa"/>
            <w:vAlign w:val="center"/>
          </w:tcPr>
          <w:p w14:paraId="63BFFB0B" w14:textId="0F04DC3C" w:rsidR="004E7D11" w:rsidRPr="005A7F38" w:rsidRDefault="0057282B" w:rsidP="00C20687">
            <w:pPr>
              <w:spacing w:line="240" w:lineRule="auto"/>
              <w:ind w:firstLine="0"/>
              <w:jc w:val="center"/>
            </w:pPr>
            <w:r>
              <w:rPr>
                <w:color w:val="000000"/>
              </w:rPr>
              <w:t>0.12</w:t>
            </w:r>
            <w:r w:rsidR="004E7D11" w:rsidRPr="005A7F38">
              <w:rPr>
                <w:color w:val="000000"/>
              </w:rPr>
              <w:t>-3.33</w:t>
            </w:r>
          </w:p>
        </w:tc>
        <w:tc>
          <w:tcPr>
            <w:tcW w:w="982" w:type="dxa"/>
            <w:vAlign w:val="center"/>
          </w:tcPr>
          <w:p w14:paraId="570ECD8E" w14:textId="1822A1AD" w:rsidR="004E7D11" w:rsidRPr="005A7F38" w:rsidRDefault="004E7D11" w:rsidP="00C20687">
            <w:pPr>
              <w:spacing w:line="240" w:lineRule="auto"/>
              <w:ind w:firstLine="0"/>
              <w:jc w:val="center"/>
            </w:pPr>
            <w:r w:rsidRPr="005A7F38">
              <w:rPr>
                <w:color w:val="000000"/>
              </w:rPr>
              <w:t>0.59</w:t>
            </w:r>
            <w:r w:rsidR="0057282B">
              <w:rPr>
                <w:color w:val="000000"/>
              </w:rPr>
              <w:t>0</w:t>
            </w:r>
          </w:p>
        </w:tc>
      </w:tr>
      <w:tr w:rsidR="0057282B" w:rsidRPr="005A7F38" w14:paraId="17F8356F" w14:textId="77777777" w:rsidTr="0057282B">
        <w:trPr>
          <w:trHeight w:val="308"/>
          <w:jc w:val="center"/>
        </w:trPr>
        <w:tc>
          <w:tcPr>
            <w:tcW w:w="3992" w:type="dxa"/>
            <w:vAlign w:val="bottom"/>
          </w:tcPr>
          <w:p w14:paraId="43DF6812" w14:textId="77777777" w:rsidR="004E7D11" w:rsidRPr="005A7F38" w:rsidRDefault="004E7D11" w:rsidP="00C20687">
            <w:pPr>
              <w:spacing w:line="240" w:lineRule="auto"/>
              <w:ind w:firstLine="0"/>
              <w:jc w:val="left"/>
            </w:pPr>
            <w:r w:rsidRPr="005A7F38">
              <w:rPr>
                <w:color w:val="000000"/>
              </w:rPr>
              <w:t>Bird Exposure: Ever</w:t>
            </w:r>
          </w:p>
        </w:tc>
        <w:tc>
          <w:tcPr>
            <w:tcW w:w="1378" w:type="dxa"/>
            <w:vAlign w:val="center"/>
          </w:tcPr>
          <w:p w14:paraId="6CA848FD" w14:textId="77777777" w:rsidR="004E7D11" w:rsidRPr="005A7F38" w:rsidRDefault="004E7D11" w:rsidP="00C20687">
            <w:pPr>
              <w:spacing w:line="240" w:lineRule="auto"/>
              <w:ind w:firstLine="0"/>
              <w:jc w:val="center"/>
            </w:pPr>
            <w:r w:rsidRPr="005A7F38">
              <w:rPr>
                <w:color w:val="000000"/>
              </w:rPr>
              <w:t>12 (20.69)</w:t>
            </w:r>
          </w:p>
        </w:tc>
        <w:tc>
          <w:tcPr>
            <w:tcW w:w="1668" w:type="dxa"/>
            <w:vAlign w:val="center"/>
          </w:tcPr>
          <w:p w14:paraId="0F04F292" w14:textId="77777777" w:rsidR="004E7D11" w:rsidRPr="005A7F38" w:rsidRDefault="004E7D11" w:rsidP="00C20687">
            <w:pPr>
              <w:spacing w:line="240" w:lineRule="auto"/>
              <w:ind w:firstLine="0"/>
              <w:jc w:val="center"/>
            </w:pPr>
            <w:r w:rsidRPr="005A7F38">
              <w:rPr>
                <w:color w:val="000000"/>
              </w:rPr>
              <w:t>5 (13.16)</w:t>
            </w:r>
          </w:p>
        </w:tc>
        <w:tc>
          <w:tcPr>
            <w:tcW w:w="776" w:type="dxa"/>
            <w:vAlign w:val="center"/>
          </w:tcPr>
          <w:p w14:paraId="4BDA8ACD" w14:textId="0B834228" w:rsidR="004E7D11" w:rsidRPr="005A7F38" w:rsidRDefault="004E7D11" w:rsidP="00C20687">
            <w:pPr>
              <w:spacing w:line="240" w:lineRule="auto"/>
              <w:ind w:firstLine="0"/>
              <w:jc w:val="center"/>
            </w:pPr>
            <w:r w:rsidRPr="005A7F38">
              <w:rPr>
                <w:color w:val="000000"/>
              </w:rPr>
              <w:t>1.72</w:t>
            </w:r>
          </w:p>
        </w:tc>
        <w:tc>
          <w:tcPr>
            <w:tcW w:w="1376" w:type="dxa"/>
            <w:vAlign w:val="center"/>
          </w:tcPr>
          <w:p w14:paraId="1A0BCA6B" w14:textId="75FFB5E9" w:rsidR="004E7D11" w:rsidRPr="005A7F38" w:rsidRDefault="0057282B" w:rsidP="00C20687">
            <w:pPr>
              <w:spacing w:line="240" w:lineRule="auto"/>
              <w:ind w:firstLine="0"/>
              <w:jc w:val="center"/>
            </w:pPr>
            <w:r>
              <w:rPr>
                <w:color w:val="000000"/>
              </w:rPr>
              <w:t>0.55</w:t>
            </w:r>
            <w:r w:rsidR="004E7D11" w:rsidRPr="005A7F38">
              <w:rPr>
                <w:color w:val="000000"/>
              </w:rPr>
              <w:t>-5.35</w:t>
            </w:r>
          </w:p>
        </w:tc>
        <w:tc>
          <w:tcPr>
            <w:tcW w:w="982" w:type="dxa"/>
            <w:vAlign w:val="center"/>
          </w:tcPr>
          <w:p w14:paraId="51612C95" w14:textId="03A12AAA" w:rsidR="004E7D11" w:rsidRPr="005A7F38" w:rsidRDefault="004E7D11" w:rsidP="00C20687">
            <w:pPr>
              <w:spacing w:line="240" w:lineRule="auto"/>
              <w:ind w:firstLine="0"/>
              <w:jc w:val="center"/>
            </w:pPr>
            <w:r w:rsidRPr="005A7F38">
              <w:rPr>
                <w:color w:val="000000"/>
              </w:rPr>
              <w:t>0.344</w:t>
            </w:r>
          </w:p>
        </w:tc>
      </w:tr>
      <w:tr w:rsidR="0057282B" w:rsidRPr="005A7F38" w14:paraId="79E9D02F" w14:textId="77777777" w:rsidTr="0057282B">
        <w:trPr>
          <w:trHeight w:val="163"/>
          <w:jc w:val="center"/>
        </w:trPr>
        <w:tc>
          <w:tcPr>
            <w:tcW w:w="3992" w:type="dxa"/>
            <w:vAlign w:val="bottom"/>
          </w:tcPr>
          <w:p w14:paraId="2826ACFB" w14:textId="77777777" w:rsidR="004E7D11" w:rsidRPr="005A7F38" w:rsidRDefault="004E7D11" w:rsidP="00C20687">
            <w:pPr>
              <w:spacing w:line="240" w:lineRule="auto"/>
              <w:ind w:firstLine="0"/>
              <w:jc w:val="left"/>
            </w:pPr>
            <w:r w:rsidRPr="005A7F38">
              <w:rPr>
                <w:color w:val="000000"/>
              </w:rPr>
              <w:t>Parakeet Exposure: Ever</w:t>
            </w:r>
          </w:p>
        </w:tc>
        <w:tc>
          <w:tcPr>
            <w:tcW w:w="1378" w:type="dxa"/>
            <w:vAlign w:val="center"/>
          </w:tcPr>
          <w:p w14:paraId="6EC6E1DD" w14:textId="77777777" w:rsidR="004E7D11" w:rsidRPr="005A7F38" w:rsidRDefault="004E7D11" w:rsidP="00C20687">
            <w:pPr>
              <w:spacing w:line="240" w:lineRule="auto"/>
              <w:ind w:firstLine="0"/>
              <w:jc w:val="center"/>
            </w:pPr>
            <w:r w:rsidRPr="005A7F38">
              <w:rPr>
                <w:color w:val="000000"/>
              </w:rPr>
              <w:t>8 (13.79)</w:t>
            </w:r>
          </w:p>
        </w:tc>
        <w:tc>
          <w:tcPr>
            <w:tcW w:w="1668" w:type="dxa"/>
            <w:vAlign w:val="center"/>
          </w:tcPr>
          <w:p w14:paraId="5ED3BC77" w14:textId="77777777" w:rsidR="004E7D11" w:rsidRPr="005A7F38" w:rsidRDefault="004E7D11" w:rsidP="00C20687">
            <w:pPr>
              <w:spacing w:line="240" w:lineRule="auto"/>
              <w:ind w:firstLine="0"/>
              <w:jc w:val="center"/>
            </w:pPr>
            <w:r w:rsidRPr="005A7F38">
              <w:rPr>
                <w:color w:val="000000"/>
              </w:rPr>
              <w:t>14 (36.84)</w:t>
            </w:r>
          </w:p>
        </w:tc>
        <w:tc>
          <w:tcPr>
            <w:tcW w:w="776" w:type="dxa"/>
            <w:vAlign w:val="center"/>
          </w:tcPr>
          <w:p w14:paraId="7BF211B2" w14:textId="66C1DDC2" w:rsidR="004E7D11" w:rsidRPr="005A7F38" w:rsidRDefault="004E7D11" w:rsidP="00C20687">
            <w:pPr>
              <w:spacing w:line="240" w:lineRule="auto"/>
              <w:ind w:firstLine="0"/>
              <w:jc w:val="center"/>
            </w:pPr>
            <w:r w:rsidRPr="005A7F38">
              <w:rPr>
                <w:color w:val="000000"/>
              </w:rPr>
              <w:t>0.27</w:t>
            </w:r>
          </w:p>
        </w:tc>
        <w:tc>
          <w:tcPr>
            <w:tcW w:w="1376" w:type="dxa"/>
            <w:vAlign w:val="center"/>
          </w:tcPr>
          <w:p w14:paraId="109DCC28" w14:textId="682D9FDE" w:rsidR="004E7D11" w:rsidRPr="005A7F38" w:rsidRDefault="0057282B" w:rsidP="00C20687">
            <w:pPr>
              <w:spacing w:line="240" w:lineRule="auto"/>
              <w:ind w:firstLine="0"/>
              <w:jc w:val="center"/>
            </w:pPr>
            <w:r>
              <w:rPr>
                <w:color w:val="000000"/>
              </w:rPr>
              <w:t>0.10</w:t>
            </w:r>
            <w:r w:rsidR="004E7D11" w:rsidRPr="005A7F38">
              <w:rPr>
                <w:color w:val="000000"/>
              </w:rPr>
              <w:t>-0.74</w:t>
            </w:r>
          </w:p>
        </w:tc>
        <w:tc>
          <w:tcPr>
            <w:tcW w:w="982" w:type="dxa"/>
            <w:vAlign w:val="center"/>
          </w:tcPr>
          <w:p w14:paraId="10ADE2FD" w14:textId="58EE73CE" w:rsidR="004E7D11" w:rsidRPr="005A7F38" w:rsidRDefault="004E7D11" w:rsidP="00C20687">
            <w:pPr>
              <w:spacing w:line="240" w:lineRule="auto"/>
              <w:ind w:firstLine="0"/>
              <w:jc w:val="center"/>
            </w:pPr>
            <w:r w:rsidRPr="005A7F38">
              <w:rPr>
                <w:color w:val="000000"/>
              </w:rPr>
              <w:t>0.008</w:t>
            </w:r>
          </w:p>
        </w:tc>
      </w:tr>
      <w:tr w:rsidR="0057282B" w:rsidRPr="005A7F38" w14:paraId="5BDE9DFB" w14:textId="77777777" w:rsidTr="0057282B">
        <w:trPr>
          <w:trHeight w:val="345"/>
          <w:jc w:val="center"/>
        </w:trPr>
        <w:tc>
          <w:tcPr>
            <w:tcW w:w="3992" w:type="dxa"/>
            <w:vAlign w:val="bottom"/>
          </w:tcPr>
          <w:p w14:paraId="19E497D5" w14:textId="77777777" w:rsidR="004E7D11" w:rsidRPr="005A7F38" w:rsidRDefault="004E7D11" w:rsidP="00C20687">
            <w:pPr>
              <w:spacing w:line="240" w:lineRule="auto"/>
              <w:ind w:firstLine="0"/>
              <w:jc w:val="left"/>
            </w:pPr>
            <w:r w:rsidRPr="005A7F38">
              <w:rPr>
                <w:color w:val="000000"/>
              </w:rPr>
              <w:t>Animal Dropping Exposure: Ever</w:t>
            </w:r>
          </w:p>
        </w:tc>
        <w:tc>
          <w:tcPr>
            <w:tcW w:w="1378" w:type="dxa"/>
            <w:vAlign w:val="center"/>
          </w:tcPr>
          <w:p w14:paraId="71A18A7C" w14:textId="77777777" w:rsidR="004E7D11" w:rsidRPr="005A7F38" w:rsidRDefault="004E7D11" w:rsidP="00C20687">
            <w:pPr>
              <w:spacing w:line="240" w:lineRule="auto"/>
              <w:ind w:firstLine="0"/>
              <w:jc w:val="center"/>
            </w:pPr>
            <w:r w:rsidRPr="005A7F38">
              <w:rPr>
                <w:color w:val="000000"/>
              </w:rPr>
              <w:t>28 (48.28)</w:t>
            </w:r>
          </w:p>
        </w:tc>
        <w:tc>
          <w:tcPr>
            <w:tcW w:w="1668" w:type="dxa"/>
            <w:vAlign w:val="center"/>
          </w:tcPr>
          <w:p w14:paraId="5D4ABB85" w14:textId="77777777" w:rsidR="004E7D11" w:rsidRPr="005A7F38" w:rsidRDefault="004E7D11" w:rsidP="00C20687">
            <w:pPr>
              <w:spacing w:line="240" w:lineRule="auto"/>
              <w:ind w:firstLine="0"/>
              <w:jc w:val="center"/>
            </w:pPr>
            <w:r w:rsidRPr="005A7F38">
              <w:rPr>
                <w:color w:val="000000"/>
              </w:rPr>
              <w:t>23 (60.53)</w:t>
            </w:r>
          </w:p>
        </w:tc>
        <w:tc>
          <w:tcPr>
            <w:tcW w:w="776" w:type="dxa"/>
            <w:vAlign w:val="center"/>
          </w:tcPr>
          <w:p w14:paraId="1708BC8E" w14:textId="6839025D" w:rsidR="004E7D11" w:rsidRPr="005A7F38" w:rsidRDefault="004E7D11" w:rsidP="00C20687">
            <w:pPr>
              <w:spacing w:line="240" w:lineRule="auto"/>
              <w:ind w:firstLine="0"/>
              <w:jc w:val="center"/>
            </w:pPr>
            <w:r w:rsidRPr="005A7F38">
              <w:rPr>
                <w:color w:val="000000"/>
              </w:rPr>
              <w:t>0.60</w:t>
            </w:r>
          </w:p>
        </w:tc>
        <w:tc>
          <w:tcPr>
            <w:tcW w:w="1376" w:type="dxa"/>
            <w:vAlign w:val="center"/>
          </w:tcPr>
          <w:p w14:paraId="453641E4" w14:textId="7CA176F3" w:rsidR="004E7D11" w:rsidRPr="005A7F38" w:rsidRDefault="0057282B" w:rsidP="00C20687">
            <w:pPr>
              <w:spacing w:line="240" w:lineRule="auto"/>
              <w:ind w:firstLine="0"/>
              <w:jc w:val="center"/>
            </w:pPr>
            <w:r>
              <w:rPr>
                <w:color w:val="000000"/>
              </w:rPr>
              <w:t>0.26</w:t>
            </w:r>
            <w:r w:rsidR="004E7D11" w:rsidRPr="005A7F38">
              <w:rPr>
                <w:color w:val="000000"/>
              </w:rPr>
              <w:t>-1.39</w:t>
            </w:r>
          </w:p>
        </w:tc>
        <w:tc>
          <w:tcPr>
            <w:tcW w:w="982" w:type="dxa"/>
            <w:vAlign w:val="center"/>
          </w:tcPr>
          <w:p w14:paraId="4D8AAB68" w14:textId="4EDD7A94" w:rsidR="004E7D11" w:rsidRPr="005A7F38" w:rsidRDefault="004E7D11" w:rsidP="00C20687">
            <w:pPr>
              <w:spacing w:line="240" w:lineRule="auto"/>
              <w:ind w:firstLine="0"/>
              <w:jc w:val="center"/>
            </w:pPr>
            <w:r w:rsidRPr="005A7F38">
              <w:rPr>
                <w:color w:val="000000"/>
              </w:rPr>
              <w:t>0.239</w:t>
            </w:r>
          </w:p>
        </w:tc>
      </w:tr>
      <w:tr w:rsidR="0057282B" w:rsidRPr="005A7F38" w14:paraId="73426AAF" w14:textId="77777777" w:rsidTr="0057282B">
        <w:trPr>
          <w:trHeight w:val="323"/>
          <w:jc w:val="center"/>
        </w:trPr>
        <w:tc>
          <w:tcPr>
            <w:tcW w:w="3992" w:type="dxa"/>
            <w:vAlign w:val="bottom"/>
          </w:tcPr>
          <w:p w14:paraId="065F80ED" w14:textId="77777777" w:rsidR="004E7D11" w:rsidRPr="005A7F38" w:rsidRDefault="004E7D11" w:rsidP="00C20687">
            <w:pPr>
              <w:spacing w:line="240" w:lineRule="auto"/>
              <w:ind w:firstLine="0"/>
              <w:jc w:val="left"/>
            </w:pPr>
            <w:r w:rsidRPr="005A7F38">
              <w:rPr>
                <w:color w:val="000000"/>
              </w:rPr>
              <w:t>Rat Dropping Exposure: Ever</w:t>
            </w:r>
          </w:p>
        </w:tc>
        <w:tc>
          <w:tcPr>
            <w:tcW w:w="1378" w:type="dxa"/>
            <w:vAlign w:val="center"/>
          </w:tcPr>
          <w:p w14:paraId="18E1B64D" w14:textId="77777777" w:rsidR="004E7D11" w:rsidRPr="005A7F38" w:rsidRDefault="004E7D11" w:rsidP="00C20687">
            <w:pPr>
              <w:spacing w:line="240" w:lineRule="auto"/>
              <w:ind w:firstLine="0"/>
              <w:jc w:val="center"/>
            </w:pPr>
            <w:r w:rsidRPr="005A7F38">
              <w:rPr>
                <w:color w:val="000000"/>
              </w:rPr>
              <w:t>28 (48.28)</w:t>
            </w:r>
          </w:p>
        </w:tc>
        <w:tc>
          <w:tcPr>
            <w:tcW w:w="1668" w:type="dxa"/>
            <w:vAlign w:val="center"/>
          </w:tcPr>
          <w:p w14:paraId="261B7646" w14:textId="77777777" w:rsidR="004E7D11" w:rsidRPr="005A7F38" w:rsidRDefault="004E7D11" w:rsidP="00C20687">
            <w:pPr>
              <w:spacing w:line="240" w:lineRule="auto"/>
              <w:ind w:firstLine="0"/>
              <w:jc w:val="center"/>
            </w:pPr>
            <w:r w:rsidRPr="005A7F38">
              <w:rPr>
                <w:color w:val="000000"/>
              </w:rPr>
              <w:t>18 (47.37)</w:t>
            </w:r>
          </w:p>
        </w:tc>
        <w:tc>
          <w:tcPr>
            <w:tcW w:w="776" w:type="dxa"/>
            <w:vAlign w:val="center"/>
          </w:tcPr>
          <w:p w14:paraId="06952E28" w14:textId="6E1CAABC" w:rsidR="004E7D11" w:rsidRPr="005A7F38" w:rsidRDefault="004E7D11" w:rsidP="00C20687">
            <w:pPr>
              <w:spacing w:line="240" w:lineRule="auto"/>
              <w:ind w:firstLine="0"/>
              <w:jc w:val="center"/>
            </w:pPr>
            <w:r w:rsidRPr="005A7F38">
              <w:rPr>
                <w:color w:val="000000"/>
              </w:rPr>
              <w:t>1.03</w:t>
            </w:r>
          </w:p>
        </w:tc>
        <w:tc>
          <w:tcPr>
            <w:tcW w:w="1376" w:type="dxa"/>
            <w:vAlign w:val="center"/>
          </w:tcPr>
          <w:p w14:paraId="24185607" w14:textId="698E8C0C" w:rsidR="004E7D11" w:rsidRPr="005A7F38" w:rsidRDefault="0057282B" w:rsidP="00C20687">
            <w:pPr>
              <w:spacing w:line="240" w:lineRule="auto"/>
              <w:ind w:firstLine="0"/>
              <w:jc w:val="center"/>
            </w:pPr>
            <w:r>
              <w:rPr>
                <w:color w:val="000000"/>
              </w:rPr>
              <w:t>0.45</w:t>
            </w:r>
            <w:r w:rsidR="004E7D11" w:rsidRPr="005A7F38">
              <w:rPr>
                <w:color w:val="000000"/>
              </w:rPr>
              <w:t>-2.35</w:t>
            </w:r>
          </w:p>
        </w:tc>
        <w:tc>
          <w:tcPr>
            <w:tcW w:w="982" w:type="dxa"/>
            <w:vAlign w:val="center"/>
          </w:tcPr>
          <w:p w14:paraId="54A90570" w14:textId="215F6425" w:rsidR="004E7D11" w:rsidRPr="005A7F38" w:rsidRDefault="0057282B" w:rsidP="00C20687">
            <w:pPr>
              <w:spacing w:line="240" w:lineRule="auto"/>
              <w:ind w:firstLine="0"/>
              <w:jc w:val="center"/>
            </w:pPr>
            <w:r>
              <w:rPr>
                <w:color w:val="000000"/>
              </w:rPr>
              <w:t>0.930</w:t>
            </w:r>
          </w:p>
        </w:tc>
      </w:tr>
      <w:tr w:rsidR="0057282B" w:rsidRPr="005A7F38" w14:paraId="19509B8E" w14:textId="77777777" w:rsidTr="0057282B">
        <w:trPr>
          <w:trHeight w:val="242"/>
          <w:jc w:val="center"/>
        </w:trPr>
        <w:tc>
          <w:tcPr>
            <w:tcW w:w="3992" w:type="dxa"/>
            <w:vAlign w:val="bottom"/>
          </w:tcPr>
          <w:p w14:paraId="5603A2F9" w14:textId="77777777" w:rsidR="004E7D11" w:rsidRPr="005A7F38" w:rsidRDefault="004E7D11" w:rsidP="00C20687">
            <w:pPr>
              <w:spacing w:line="240" w:lineRule="auto"/>
              <w:ind w:firstLine="0"/>
              <w:jc w:val="left"/>
            </w:pPr>
            <w:r w:rsidRPr="005A7F38">
              <w:rPr>
                <w:color w:val="000000"/>
              </w:rPr>
              <w:t>Fish Tank Exposure: Ever</w:t>
            </w:r>
          </w:p>
        </w:tc>
        <w:tc>
          <w:tcPr>
            <w:tcW w:w="1378" w:type="dxa"/>
            <w:vAlign w:val="center"/>
          </w:tcPr>
          <w:p w14:paraId="64901DC5" w14:textId="77777777" w:rsidR="004E7D11" w:rsidRPr="005A7F38" w:rsidRDefault="004E7D11" w:rsidP="00C20687">
            <w:pPr>
              <w:spacing w:line="240" w:lineRule="auto"/>
              <w:ind w:firstLine="0"/>
              <w:jc w:val="center"/>
            </w:pPr>
            <w:r w:rsidRPr="005A7F38">
              <w:rPr>
                <w:color w:val="000000"/>
              </w:rPr>
              <w:t>27 (46.55)</w:t>
            </w:r>
          </w:p>
        </w:tc>
        <w:tc>
          <w:tcPr>
            <w:tcW w:w="1668" w:type="dxa"/>
            <w:vAlign w:val="center"/>
          </w:tcPr>
          <w:p w14:paraId="07D2FD50" w14:textId="77777777" w:rsidR="004E7D11" w:rsidRPr="005A7F38" w:rsidRDefault="004E7D11" w:rsidP="00C20687">
            <w:pPr>
              <w:spacing w:line="240" w:lineRule="auto"/>
              <w:ind w:firstLine="0"/>
              <w:jc w:val="center"/>
            </w:pPr>
            <w:r w:rsidRPr="005A7F38">
              <w:rPr>
                <w:color w:val="000000"/>
              </w:rPr>
              <w:t>17 (44.74)</w:t>
            </w:r>
          </w:p>
        </w:tc>
        <w:tc>
          <w:tcPr>
            <w:tcW w:w="776" w:type="dxa"/>
            <w:vAlign w:val="center"/>
          </w:tcPr>
          <w:p w14:paraId="444CAB5F" w14:textId="0758F06E" w:rsidR="004E7D11" w:rsidRPr="005A7F38" w:rsidRDefault="004E7D11" w:rsidP="00C20687">
            <w:pPr>
              <w:spacing w:line="240" w:lineRule="auto"/>
              <w:ind w:firstLine="0"/>
              <w:jc w:val="center"/>
            </w:pPr>
            <w:r w:rsidRPr="005A7F38">
              <w:rPr>
                <w:color w:val="000000"/>
              </w:rPr>
              <w:t>1.07</w:t>
            </w:r>
          </w:p>
        </w:tc>
        <w:tc>
          <w:tcPr>
            <w:tcW w:w="1376" w:type="dxa"/>
            <w:vAlign w:val="center"/>
          </w:tcPr>
          <w:p w14:paraId="4C573606" w14:textId="2B64942F" w:rsidR="004E7D11" w:rsidRPr="005A7F38" w:rsidRDefault="0057282B" w:rsidP="00C20687">
            <w:pPr>
              <w:spacing w:line="240" w:lineRule="auto"/>
              <w:ind w:firstLine="0"/>
              <w:jc w:val="center"/>
            </w:pPr>
            <w:r>
              <w:rPr>
                <w:color w:val="000000"/>
              </w:rPr>
              <w:t>0.47</w:t>
            </w:r>
            <w:r w:rsidR="004E7D11" w:rsidRPr="005A7F38">
              <w:rPr>
                <w:color w:val="000000"/>
              </w:rPr>
              <w:t>-2.44</w:t>
            </w:r>
          </w:p>
        </w:tc>
        <w:tc>
          <w:tcPr>
            <w:tcW w:w="982" w:type="dxa"/>
            <w:vAlign w:val="center"/>
          </w:tcPr>
          <w:p w14:paraId="48C06E34" w14:textId="63919430" w:rsidR="004E7D11" w:rsidRPr="005A7F38" w:rsidRDefault="004E7D11" w:rsidP="00C20687">
            <w:pPr>
              <w:spacing w:line="240" w:lineRule="auto"/>
              <w:ind w:firstLine="0"/>
              <w:jc w:val="center"/>
            </w:pPr>
            <w:r w:rsidRPr="005A7F38">
              <w:rPr>
                <w:color w:val="000000"/>
              </w:rPr>
              <w:t>0.861</w:t>
            </w:r>
          </w:p>
        </w:tc>
      </w:tr>
    </w:tbl>
    <w:p w14:paraId="01C6B33B" w14:textId="77777777" w:rsidR="004E7D11" w:rsidRPr="004E7D11" w:rsidRDefault="004E7D11" w:rsidP="0057282B">
      <w:pPr>
        <w:ind w:firstLine="0"/>
      </w:pPr>
    </w:p>
    <w:p w14:paraId="7D93A842" w14:textId="77777777" w:rsidR="009A3C3F" w:rsidRPr="005A7F38" w:rsidRDefault="009A3C3F" w:rsidP="009A3C3F">
      <w:pPr>
        <w:pStyle w:val="Heading3"/>
        <w:rPr>
          <w:rFonts w:cs="Times New Roman"/>
        </w:rPr>
      </w:pPr>
      <w:bookmarkStart w:id="80" w:name="_Toc506540049"/>
      <w:r w:rsidRPr="005A7F38">
        <w:rPr>
          <w:rFonts w:cs="Times New Roman"/>
        </w:rPr>
        <w:t>Residential Exposures</w:t>
      </w:r>
      <w:bookmarkEnd w:id="80"/>
    </w:p>
    <w:p w14:paraId="697F731C" w14:textId="4AC9DDF5" w:rsidR="00C27CE1" w:rsidRDefault="009A3C3F" w:rsidP="009A3C3F">
      <w:pPr>
        <w:pStyle w:val="Noindent"/>
      </w:pPr>
      <w:r w:rsidRPr="005A7F38">
        <w:t>Participants were asked about exposures that could arise from features of their living environment including water leaks in basements, the presence of wet carpets, mold and different heating and cooling systems, fire places, wood or coal burning stoves or vaporizers. No statistically significant association was found between these potential residential exposures and sarcoidosis</w:t>
      </w:r>
      <w:r w:rsidR="0057282B">
        <w:t xml:space="preserve"> using univariate analysis (Table 8).</w:t>
      </w:r>
      <w:r w:rsidR="006F41F5">
        <w:t xml:space="preserve"> When adjusting for </w:t>
      </w:r>
      <w:r w:rsidR="00935BFA">
        <w:t>a</w:t>
      </w:r>
      <w:r w:rsidR="008A5656">
        <w:t xml:space="preserve">ge, education level and </w:t>
      </w:r>
      <w:r w:rsidR="00935BFA">
        <w:t>smoking status, a negative association was found between air conditioning and sarcoidosis wa</w:t>
      </w:r>
      <w:r w:rsidR="00B818BF">
        <w:t>s found (OR:0.19</w:t>
      </w:r>
      <w:r w:rsidR="00935BFA">
        <w:t>, CI: 0.051</w:t>
      </w:r>
      <w:r w:rsidR="00B818BF">
        <w:t>-0.71, p=0.014</w:t>
      </w:r>
      <w:r w:rsidR="00CD2150">
        <w:t>). While this finding may be impacted by confounders not included in our model, a plausible reason that air conditioner use may be protective in sarcoidosis may have to do with having windows open allowing air carrying environmental exposures, allowing an increased exposure to</w:t>
      </w:r>
      <w:r w:rsidR="009930CB">
        <w:t xml:space="preserve"> various</w:t>
      </w:r>
      <w:r w:rsidR="00CD2150">
        <w:t xml:space="preserve"> </w:t>
      </w:r>
      <w:r w:rsidR="009930CB">
        <w:t>airborne environmental agents.</w:t>
      </w:r>
      <w:r w:rsidR="00CD2150">
        <w:t xml:space="preserve"> </w:t>
      </w:r>
      <w:r w:rsidRPr="005A7F38">
        <w:t xml:space="preserve"> While previous studies have found an association between living in a rural area and sarcoidosis, we did not see a statistically significant association in our population.</w:t>
      </w:r>
      <w:r w:rsidRPr="005A7F38">
        <w:fldChar w:fldCharType="begin"/>
      </w:r>
      <w:r w:rsidR="00B775CB">
        <w:instrText>ADDIN F1000_CSL_CITATION&lt;~#@#~&gt;[{"First":false,"Last":false,"PMID":"11164127","abstract":"&lt;strong&gt;PURPOSE:&lt;/strong&gt; To identify and quantify the risk of developing sarcoidosis associated with specific rural exposures previously recognized as potential risk factors for this disease.\n&lt;br&gt;\n&lt;br&gt;\n&lt;strong&gt;METHODS:&lt;/strong&gt; A matched case-control design was carried out with a 2-to-1 ratio of controls to cases. Case exposure histories were determine from a detailed questionnaire collecting self-reported information covering the period from birth through disease development and comparing that to exposure histories for the corresponding period in age-, race-, and gender-matched controls identified using Random Digit Dial survey methodology. Conditional logistic regression was used to analyze the matched data while controlling for several baseline variables.\n&lt;br&gt;\n&lt;br&gt;\n&lt;strong&gt;RESULTS:&lt;/strong&gt; A number of exposures were found to be univariately associated with the development of sarcoidosis including: the use of wood stoves, the use of fireplaces, the use of nonpublic water supplies, and living or working on a farm. A dose-response gradient was detected from exposure to wood stoves and fireplaces continued to be significantly associated with sarcoidosis in multivariable models.\n&lt;br&gt;\n&lt;br&gt;\n&lt;strong&gt;CONCLUSIONS:&lt;/strong&gt; The results of this study provide further support for the hypothesis that behaviors associated with rural living play some role in the development of sarcoidosis. This study further suggests that exposures involving the handling or burning of wood such as using wood stoves or fireplaces for home heating may, in part, explain this rural association.","author":[{"family":"Kajdasz","given":"D K"},{"family":"Lackland","given":"D T"},{"family":"Mohr","given":"L C"},{"family":"Judson","given":"M A"}],"authorYearDisplayFormat":false,"citation-label":"1249546","container-title":"Annals of Epidemiology","container-title-short":"Ann Epidemiol","id":"1249546","invisible":false,"issue":"2","issued":{"date-parts":[["2001","2"]]},"journalAbbreviation":"Ann Epidemiol","page":"111-117","suppress-author":false,"title":"A current assessment of rurally linked exposures as potential risk factors for sarcoidosis.","type":"article-journal","volume":"11"},{"DOI":"10.1164/rccm.200402-249OC","First":false,"Last":false,"PMID":"15347561","abstract":"Past research suggests that environmental factors may be associated with sarcoidosis risk. We conducted a case control study to test a priori hypotheses that environmental and occupational exposures are associated with sarcoidosis. Ten centers recruited 706 newly diagnosed patients with sarcoidosis and an equal number of age-, race-, and sex-matched control subjects. Interviewers administered questionnaires containing questions regarding occupational and nonoccupational exposures that we assessed in univariable and multivariable analyses. We observed positive associations between sarcoidosis and specific occupations (e.g., agricultural employment, odds ratio [OR] 1.46, confidence interval [CI] 1.13-1.89), exposures (e.g., insecticides at work, OR 1.52, CI 1.14-2.04, and work environments with mold/mildew exposures [environments with possible exposures to microbial bioaerosols], OR 1.61, CI 1.13-2.31). A history of ever smoking cigarettes was less frequent among cases than control subjects (OR 0.62, CI 0.50-0.77). In multivariable modeling, we observed elevated ORs for work in areas with musty odors (OR 1.62, CI 1.24-2.11) and with occupational exposure to insecticides (OR 1.61, CI 1.13-2.28), and a decreased OR related to ever smoking cigarettes (OR 0.65, CI 0.51-0.82). The study did not identify a single, predominant cause of sarcoidosis. We identified several exposures associated with sarcoidosis risk, including insecticides, agricultural employment, and microbial bioaerosols.","author":[{"family":"Newman","given":"Lee S"},{"family":"Rose","given":"Cecile S"},{"family":"Bresnitz","given":"Eddy A"},{"family":"Rossman","given":"Milton D"},{"family":"Barnard","given":"Juliana"},{"family":"Frederick","given":"Margaret"},{"family":"Terrin","given":"Michael L"},{"family":"Weinberger","given":"Steven E"},{"family":"Moller","given":"David R"},{"family":"McLennan","given":"Geoffrey"},{"family":"Hunninghake","given":"Gary"},{"family":"DePalo","given":"Louis"},{"family":"Baughman","given":"Robert P"},{"family":"Iannuzzi","given":"Michael C"},{"family":"Judson","given":"Marc A"},{"family":"Knatterud","given":"Genell L"},{"family":"Thompson","given":"Bruce W"},{"family":"Teirstein","given":"Alvin S"},{"family":"Yeager","given":"Henry"},{"family":"Johns","given":"Carol J"},{"family":"Rabin","given":"David L"},{"family":"Rybicki","given":"Benjamin A"},{"family":"Cherniack","given":"Reuben"},{"family":"ACCESS Research Group"}],"authorYearDisplayFormat":false,"citation-label":"1328213","container-title":"American Journal of Respiratory and Critical Care Medicine","container-title-short":"Am J Respir Crit Care Med","id":"1328213","invisible":false,"issue":"12","issued":{"date-parts":[["2004","12","15"]]},"journalAbbreviation":"Am J Respir Crit Care Med","page":"1324-1330","suppress-author":false,"title":"A case control etiologic study of sarcoidosis: environmental and occupational risk factors.","type":"article-journal","volume":"170"}]</w:instrText>
      </w:r>
      <w:r w:rsidRPr="005A7F38">
        <w:fldChar w:fldCharType="separate"/>
      </w:r>
      <w:r w:rsidR="00B775CB" w:rsidRPr="00B775CB">
        <w:rPr>
          <w:noProof/>
          <w:vertAlign w:val="superscript"/>
        </w:rPr>
        <w:t>4,47</w:t>
      </w:r>
      <w:r w:rsidRPr="005A7F38">
        <w:fldChar w:fldCharType="end"/>
      </w:r>
      <w:r w:rsidR="009930CB">
        <w:t xml:space="preserve"> This may be due to an attainment bias, as the majority of our </w:t>
      </w:r>
      <w:r w:rsidR="009930CB">
        <w:lastRenderedPageBreak/>
        <w:t>participants were recruited from academic clinical centers, but additional analysis by zip code for years and after diagnosis may provide increased insight into the impact of geographic location on sarcoidosis.</w:t>
      </w:r>
    </w:p>
    <w:p w14:paraId="14438DF0" w14:textId="119D40E2" w:rsidR="0057282B" w:rsidRPr="005A7F38" w:rsidRDefault="0057282B" w:rsidP="0057282B">
      <w:pPr>
        <w:pStyle w:val="Caption"/>
      </w:pPr>
      <w:bookmarkStart w:id="81" w:name="_Toc500493167"/>
      <w:bookmarkStart w:id="82" w:name="_Toc506540068"/>
      <w:r w:rsidRPr="005A7F38">
        <w:t xml:space="preserve">Table </w:t>
      </w:r>
      <w:fldSimple w:instr=" SEQ Table \* ARABIC ">
        <w:r w:rsidR="001F73C6">
          <w:rPr>
            <w:noProof/>
          </w:rPr>
          <w:t>8</w:t>
        </w:r>
      </w:fldSimple>
      <w:r w:rsidRPr="005A7F38">
        <w:t xml:space="preserve">. </w:t>
      </w:r>
      <w:r w:rsidRPr="005A7F38">
        <w:rPr>
          <w:b w:val="0"/>
        </w:rPr>
        <w:t>Residential Exposures Among Cases and Controls</w:t>
      </w:r>
      <w:bookmarkEnd w:id="81"/>
      <w:bookmarkEnd w:id="82"/>
    </w:p>
    <w:tbl>
      <w:tblPr>
        <w:tblStyle w:val="TableGrid"/>
        <w:tblW w:w="9447" w:type="dxa"/>
        <w:jc w:val="center"/>
        <w:tblLook w:val="04A0" w:firstRow="1" w:lastRow="0" w:firstColumn="1" w:lastColumn="0" w:noHBand="0" w:noVBand="1"/>
      </w:tblPr>
      <w:tblGrid>
        <w:gridCol w:w="3687"/>
        <w:gridCol w:w="1518"/>
        <w:gridCol w:w="1274"/>
        <w:gridCol w:w="776"/>
        <w:gridCol w:w="1376"/>
        <w:gridCol w:w="816"/>
      </w:tblGrid>
      <w:tr w:rsidR="004C5194" w:rsidRPr="005A7F38" w14:paraId="7B9D93DD" w14:textId="77777777" w:rsidTr="004C5194">
        <w:trPr>
          <w:trHeight w:val="96"/>
          <w:jc w:val="center"/>
        </w:trPr>
        <w:tc>
          <w:tcPr>
            <w:tcW w:w="3687" w:type="dxa"/>
            <w:vAlign w:val="bottom"/>
          </w:tcPr>
          <w:p w14:paraId="7EA8DA5E" w14:textId="77777777" w:rsidR="0057282B" w:rsidRPr="005A7F38" w:rsidRDefault="0057282B" w:rsidP="00C20687">
            <w:pPr>
              <w:spacing w:line="240" w:lineRule="auto"/>
              <w:ind w:firstLine="0"/>
              <w:jc w:val="left"/>
              <w:rPr>
                <w:color w:val="000000"/>
              </w:rPr>
            </w:pPr>
          </w:p>
        </w:tc>
        <w:tc>
          <w:tcPr>
            <w:tcW w:w="1518" w:type="dxa"/>
            <w:vAlign w:val="bottom"/>
          </w:tcPr>
          <w:p w14:paraId="2ECE5278" w14:textId="77777777" w:rsidR="0057282B" w:rsidRPr="005A7F38" w:rsidRDefault="0057282B" w:rsidP="00C20687">
            <w:pPr>
              <w:spacing w:line="240" w:lineRule="auto"/>
              <w:ind w:firstLine="0"/>
              <w:jc w:val="center"/>
              <w:rPr>
                <w:b/>
                <w:bCs/>
                <w:color w:val="000000"/>
              </w:rPr>
            </w:pPr>
            <w:r w:rsidRPr="005A7F38">
              <w:rPr>
                <w:b/>
                <w:bCs/>
                <w:color w:val="000000"/>
              </w:rPr>
              <w:t>Sarcoidosis</w:t>
            </w:r>
          </w:p>
          <w:p w14:paraId="3C3E850F" w14:textId="77777777" w:rsidR="0057282B" w:rsidRPr="005A7F38" w:rsidRDefault="0057282B" w:rsidP="00C20687">
            <w:pPr>
              <w:spacing w:line="240" w:lineRule="auto"/>
              <w:ind w:firstLine="0"/>
              <w:jc w:val="center"/>
              <w:rPr>
                <w:b/>
                <w:bCs/>
                <w:color w:val="000000"/>
              </w:rPr>
            </w:pPr>
            <w:r w:rsidRPr="005A7F38">
              <w:rPr>
                <w:b/>
                <w:bCs/>
                <w:color w:val="000000"/>
              </w:rPr>
              <w:t xml:space="preserve">Cases, </w:t>
            </w:r>
          </w:p>
          <w:p w14:paraId="45836485" w14:textId="77777777" w:rsidR="0057282B" w:rsidRPr="005A7F38" w:rsidRDefault="0057282B" w:rsidP="00C20687">
            <w:pPr>
              <w:spacing w:line="240" w:lineRule="auto"/>
              <w:ind w:firstLine="0"/>
              <w:jc w:val="center"/>
              <w:rPr>
                <w:color w:val="000000"/>
              </w:rPr>
            </w:pPr>
            <w:r w:rsidRPr="005A7F38">
              <w:rPr>
                <w:b/>
                <w:bCs/>
                <w:color w:val="000000"/>
              </w:rPr>
              <w:t>N</w:t>
            </w:r>
            <w:r>
              <w:rPr>
                <w:b/>
                <w:bCs/>
                <w:color w:val="000000"/>
              </w:rPr>
              <w:t>=58</w:t>
            </w:r>
            <w:r w:rsidRPr="005A7F38">
              <w:rPr>
                <w:b/>
                <w:bCs/>
                <w:color w:val="000000"/>
              </w:rPr>
              <w:t xml:space="preserve"> (%)</w:t>
            </w:r>
          </w:p>
        </w:tc>
        <w:tc>
          <w:tcPr>
            <w:tcW w:w="1274" w:type="dxa"/>
            <w:vAlign w:val="bottom"/>
          </w:tcPr>
          <w:p w14:paraId="5CB41483" w14:textId="77777777" w:rsidR="0057282B" w:rsidRPr="005A7F38" w:rsidRDefault="0057282B" w:rsidP="00C20687">
            <w:pPr>
              <w:spacing w:line="240" w:lineRule="auto"/>
              <w:ind w:firstLine="0"/>
              <w:jc w:val="center"/>
              <w:rPr>
                <w:color w:val="000000"/>
              </w:rPr>
            </w:pPr>
            <w:r w:rsidRPr="005A7F38">
              <w:rPr>
                <w:b/>
                <w:bCs/>
                <w:color w:val="000000"/>
              </w:rPr>
              <w:t>AATD Controls, N</w:t>
            </w:r>
            <w:r>
              <w:rPr>
                <w:b/>
                <w:bCs/>
                <w:color w:val="000000"/>
              </w:rPr>
              <w:t xml:space="preserve">=38 </w:t>
            </w:r>
            <w:r w:rsidRPr="005A7F38">
              <w:rPr>
                <w:b/>
                <w:bCs/>
                <w:color w:val="000000"/>
              </w:rPr>
              <w:t>(%)</w:t>
            </w:r>
          </w:p>
        </w:tc>
        <w:tc>
          <w:tcPr>
            <w:tcW w:w="776" w:type="dxa"/>
            <w:vAlign w:val="center"/>
          </w:tcPr>
          <w:p w14:paraId="0383C966" w14:textId="77777777" w:rsidR="0057282B" w:rsidRPr="005A7F38" w:rsidRDefault="0057282B" w:rsidP="00C20687">
            <w:pPr>
              <w:spacing w:line="240" w:lineRule="auto"/>
              <w:ind w:firstLine="0"/>
              <w:jc w:val="center"/>
              <w:rPr>
                <w:color w:val="000000"/>
              </w:rPr>
            </w:pPr>
            <w:r w:rsidRPr="005A7F38">
              <w:rPr>
                <w:b/>
                <w:bCs/>
                <w:color w:val="000000"/>
              </w:rPr>
              <w:t>Odds Ratio</w:t>
            </w:r>
          </w:p>
        </w:tc>
        <w:tc>
          <w:tcPr>
            <w:tcW w:w="1376" w:type="dxa"/>
            <w:vAlign w:val="center"/>
          </w:tcPr>
          <w:p w14:paraId="71D1FF6E" w14:textId="77777777" w:rsidR="0057282B" w:rsidRPr="005A7F38" w:rsidRDefault="0057282B" w:rsidP="00C20687">
            <w:pPr>
              <w:spacing w:line="240" w:lineRule="auto"/>
              <w:ind w:firstLine="0"/>
              <w:jc w:val="center"/>
              <w:rPr>
                <w:color w:val="000000"/>
              </w:rPr>
            </w:pPr>
            <w:r w:rsidRPr="005A7F38">
              <w:rPr>
                <w:b/>
                <w:bCs/>
                <w:color w:val="000000"/>
              </w:rPr>
              <w:t>Confidence Interval</w:t>
            </w:r>
          </w:p>
        </w:tc>
        <w:tc>
          <w:tcPr>
            <w:tcW w:w="816" w:type="dxa"/>
            <w:vAlign w:val="center"/>
          </w:tcPr>
          <w:p w14:paraId="204113B4" w14:textId="77777777" w:rsidR="0057282B" w:rsidRPr="005A7F38" w:rsidRDefault="0057282B" w:rsidP="00C20687">
            <w:pPr>
              <w:spacing w:line="240" w:lineRule="auto"/>
              <w:ind w:firstLine="0"/>
              <w:jc w:val="center"/>
              <w:rPr>
                <w:color w:val="000000"/>
              </w:rPr>
            </w:pPr>
            <w:r w:rsidRPr="005A7F38">
              <w:rPr>
                <w:b/>
                <w:bCs/>
                <w:color w:val="000000"/>
              </w:rPr>
              <w:t>P-Value</w:t>
            </w:r>
          </w:p>
        </w:tc>
      </w:tr>
      <w:tr w:rsidR="004C5194" w:rsidRPr="005A7F38" w14:paraId="2C4B5682" w14:textId="77777777" w:rsidTr="004C5194">
        <w:trPr>
          <w:trHeight w:val="287"/>
          <w:jc w:val="center"/>
        </w:trPr>
        <w:tc>
          <w:tcPr>
            <w:tcW w:w="3687" w:type="dxa"/>
            <w:vAlign w:val="bottom"/>
          </w:tcPr>
          <w:p w14:paraId="673E7D51" w14:textId="77777777" w:rsidR="0057282B" w:rsidRPr="005A7F38" w:rsidRDefault="0057282B" w:rsidP="00C20687">
            <w:pPr>
              <w:spacing w:line="240" w:lineRule="auto"/>
              <w:ind w:firstLine="0"/>
              <w:jc w:val="left"/>
            </w:pPr>
            <w:r w:rsidRPr="005A7F38">
              <w:rPr>
                <w:color w:val="000000"/>
              </w:rPr>
              <w:t>Down Pillow Exposure: Ever</w:t>
            </w:r>
          </w:p>
        </w:tc>
        <w:tc>
          <w:tcPr>
            <w:tcW w:w="1518" w:type="dxa"/>
            <w:vAlign w:val="center"/>
          </w:tcPr>
          <w:p w14:paraId="635A8C54" w14:textId="77777777" w:rsidR="0057282B" w:rsidRPr="005A7F38" w:rsidRDefault="0057282B" w:rsidP="00C20687">
            <w:pPr>
              <w:spacing w:line="240" w:lineRule="auto"/>
              <w:ind w:firstLine="0"/>
              <w:jc w:val="center"/>
            </w:pPr>
            <w:r w:rsidRPr="005A7F38">
              <w:rPr>
                <w:color w:val="000000"/>
              </w:rPr>
              <w:t>39 (67.24)</w:t>
            </w:r>
          </w:p>
        </w:tc>
        <w:tc>
          <w:tcPr>
            <w:tcW w:w="1274" w:type="dxa"/>
            <w:vAlign w:val="center"/>
          </w:tcPr>
          <w:p w14:paraId="23C64EAE" w14:textId="77777777" w:rsidR="0057282B" w:rsidRPr="005A7F38" w:rsidRDefault="0057282B" w:rsidP="00C20687">
            <w:pPr>
              <w:spacing w:line="240" w:lineRule="auto"/>
              <w:ind w:firstLine="0"/>
              <w:jc w:val="center"/>
            </w:pPr>
            <w:r w:rsidRPr="005A7F38">
              <w:rPr>
                <w:color w:val="000000"/>
              </w:rPr>
              <w:t>33 (86.84)</w:t>
            </w:r>
          </w:p>
        </w:tc>
        <w:tc>
          <w:tcPr>
            <w:tcW w:w="776" w:type="dxa"/>
            <w:vAlign w:val="center"/>
          </w:tcPr>
          <w:p w14:paraId="09C52CBA" w14:textId="77777777" w:rsidR="0057282B" w:rsidRPr="005A7F38" w:rsidRDefault="0057282B" w:rsidP="00C20687">
            <w:pPr>
              <w:spacing w:line="240" w:lineRule="auto"/>
              <w:ind w:firstLine="0"/>
              <w:jc w:val="center"/>
            </w:pPr>
            <w:r w:rsidRPr="005A7F38">
              <w:rPr>
                <w:color w:val="000000"/>
              </w:rPr>
              <w:t>0.311</w:t>
            </w:r>
          </w:p>
        </w:tc>
        <w:tc>
          <w:tcPr>
            <w:tcW w:w="1376" w:type="dxa"/>
            <w:vAlign w:val="center"/>
          </w:tcPr>
          <w:p w14:paraId="6C5181EE" w14:textId="77777777" w:rsidR="0057282B" w:rsidRPr="005A7F38" w:rsidRDefault="0057282B" w:rsidP="00C20687">
            <w:pPr>
              <w:spacing w:line="240" w:lineRule="auto"/>
              <w:ind w:firstLine="0"/>
              <w:jc w:val="center"/>
            </w:pPr>
            <w:r>
              <w:rPr>
                <w:color w:val="000000"/>
              </w:rPr>
              <w:t>0.16</w:t>
            </w:r>
            <w:r w:rsidRPr="005A7F38">
              <w:rPr>
                <w:color w:val="000000"/>
              </w:rPr>
              <w:t>-0.98</w:t>
            </w:r>
          </w:p>
        </w:tc>
        <w:tc>
          <w:tcPr>
            <w:tcW w:w="816" w:type="dxa"/>
          </w:tcPr>
          <w:p w14:paraId="0DF287AB" w14:textId="77777777" w:rsidR="0057282B" w:rsidRPr="005A7F38" w:rsidRDefault="0057282B" w:rsidP="00C20687">
            <w:pPr>
              <w:spacing w:line="240" w:lineRule="auto"/>
              <w:ind w:firstLine="0"/>
              <w:jc w:val="center"/>
              <w:rPr>
                <w:color w:val="000000"/>
              </w:rPr>
            </w:pPr>
            <w:r>
              <w:rPr>
                <w:color w:val="000000"/>
              </w:rPr>
              <w:t>0.03</w:t>
            </w:r>
          </w:p>
        </w:tc>
      </w:tr>
      <w:tr w:rsidR="004C5194" w:rsidRPr="005A7F38" w14:paraId="61333342" w14:textId="77777777" w:rsidTr="004C5194">
        <w:trPr>
          <w:trHeight w:val="57"/>
          <w:jc w:val="center"/>
        </w:trPr>
        <w:tc>
          <w:tcPr>
            <w:tcW w:w="3687" w:type="dxa"/>
            <w:vAlign w:val="bottom"/>
          </w:tcPr>
          <w:p w14:paraId="61427338" w14:textId="77777777" w:rsidR="0057282B" w:rsidRPr="005A7F38" w:rsidRDefault="0057282B" w:rsidP="00C20687">
            <w:pPr>
              <w:spacing w:line="240" w:lineRule="auto"/>
              <w:ind w:firstLine="0"/>
              <w:jc w:val="left"/>
            </w:pPr>
            <w:r w:rsidRPr="005A7F38">
              <w:rPr>
                <w:color w:val="000000"/>
              </w:rPr>
              <w:t>Foam Pillow Exposure: Ever</w:t>
            </w:r>
          </w:p>
        </w:tc>
        <w:tc>
          <w:tcPr>
            <w:tcW w:w="1518" w:type="dxa"/>
            <w:vAlign w:val="center"/>
          </w:tcPr>
          <w:p w14:paraId="4D4B1BD0" w14:textId="77777777" w:rsidR="0057282B" w:rsidRPr="005A7F38" w:rsidRDefault="0057282B" w:rsidP="00C20687">
            <w:pPr>
              <w:spacing w:line="240" w:lineRule="auto"/>
              <w:ind w:firstLine="0"/>
              <w:jc w:val="center"/>
            </w:pPr>
            <w:r w:rsidRPr="005A7F38">
              <w:rPr>
                <w:color w:val="000000"/>
              </w:rPr>
              <w:t>1 (1.75)</w:t>
            </w:r>
          </w:p>
        </w:tc>
        <w:tc>
          <w:tcPr>
            <w:tcW w:w="1274" w:type="dxa"/>
            <w:vAlign w:val="center"/>
          </w:tcPr>
          <w:p w14:paraId="5576C6B0" w14:textId="77777777" w:rsidR="0057282B" w:rsidRPr="005A7F38" w:rsidRDefault="0057282B" w:rsidP="00C20687">
            <w:pPr>
              <w:spacing w:line="240" w:lineRule="auto"/>
              <w:ind w:firstLine="0"/>
              <w:jc w:val="center"/>
            </w:pPr>
            <w:r w:rsidRPr="005A7F38">
              <w:rPr>
                <w:color w:val="000000"/>
              </w:rPr>
              <w:t>2 (5.41)</w:t>
            </w:r>
          </w:p>
        </w:tc>
        <w:tc>
          <w:tcPr>
            <w:tcW w:w="776" w:type="dxa"/>
            <w:vAlign w:val="center"/>
          </w:tcPr>
          <w:p w14:paraId="48B13CC2" w14:textId="77777777" w:rsidR="0057282B" w:rsidRPr="005A7F38" w:rsidRDefault="0057282B" w:rsidP="00C20687">
            <w:pPr>
              <w:spacing w:line="240" w:lineRule="auto"/>
              <w:ind w:firstLine="0"/>
              <w:jc w:val="center"/>
            </w:pPr>
            <w:r w:rsidRPr="005A7F38">
              <w:rPr>
                <w:color w:val="000000"/>
              </w:rPr>
              <w:t>0.312</w:t>
            </w:r>
          </w:p>
        </w:tc>
        <w:tc>
          <w:tcPr>
            <w:tcW w:w="1376" w:type="dxa"/>
            <w:vAlign w:val="center"/>
          </w:tcPr>
          <w:p w14:paraId="5274AAC1" w14:textId="77777777" w:rsidR="0057282B" w:rsidRPr="005A7F38" w:rsidRDefault="0057282B" w:rsidP="00C20687">
            <w:pPr>
              <w:spacing w:line="240" w:lineRule="auto"/>
              <w:ind w:firstLine="0"/>
              <w:jc w:val="center"/>
            </w:pPr>
            <w:r>
              <w:rPr>
                <w:color w:val="000000"/>
              </w:rPr>
              <w:t>0.03-43.57</w:t>
            </w:r>
          </w:p>
        </w:tc>
        <w:tc>
          <w:tcPr>
            <w:tcW w:w="816" w:type="dxa"/>
          </w:tcPr>
          <w:p w14:paraId="60C78481" w14:textId="77777777" w:rsidR="0057282B" w:rsidRPr="005A7F38" w:rsidRDefault="0057282B" w:rsidP="00C20687">
            <w:pPr>
              <w:spacing w:line="240" w:lineRule="auto"/>
              <w:ind w:firstLine="0"/>
              <w:jc w:val="center"/>
              <w:rPr>
                <w:color w:val="000000"/>
              </w:rPr>
            </w:pPr>
            <w:r>
              <w:rPr>
                <w:color w:val="000000"/>
              </w:rPr>
              <w:t>0.33</w:t>
            </w:r>
          </w:p>
        </w:tc>
      </w:tr>
      <w:tr w:rsidR="004C5194" w:rsidRPr="005A7F38" w14:paraId="53D0D69C" w14:textId="77777777" w:rsidTr="004C5194">
        <w:trPr>
          <w:trHeight w:val="57"/>
          <w:jc w:val="center"/>
        </w:trPr>
        <w:tc>
          <w:tcPr>
            <w:tcW w:w="3687" w:type="dxa"/>
            <w:vAlign w:val="bottom"/>
          </w:tcPr>
          <w:p w14:paraId="0442687C" w14:textId="77777777" w:rsidR="0057282B" w:rsidRPr="005A7F38" w:rsidRDefault="0057282B" w:rsidP="00C20687">
            <w:pPr>
              <w:spacing w:line="240" w:lineRule="auto"/>
              <w:ind w:firstLine="0"/>
              <w:jc w:val="left"/>
            </w:pPr>
            <w:r w:rsidRPr="005A7F38">
              <w:rPr>
                <w:color w:val="000000"/>
              </w:rPr>
              <w:t>Basement Leak Exposure: Ever</w:t>
            </w:r>
          </w:p>
        </w:tc>
        <w:tc>
          <w:tcPr>
            <w:tcW w:w="1518" w:type="dxa"/>
            <w:vAlign w:val="center"/>
          </w:tcPr>
          <w:p w14:paraId="02AF1A0B" w14:textId="77777777" w:rsidR="0057282B" w:rsidRPr="005A7F38" w:rsidRDefault="0057282B" w:rsidP="00C20687">
            <w:pPr>
              <w:spacing w:line="240" w:lineRule="auto"/>
              <w:ind w:firstLine="0"/>
              <w:jc w:val="center"/>
            </w:pPr>
            <w:r w:rsidRPr="005A7F38">
              <w:rPr>
                <w:color w:val="000000"/>
              </w:rPr>
              <w:t>19 (32.76)</w:t>
            </w:r>
          </w:p>
        </w:tc>
        <w:tc>
          <w:tcPr>
            <w:tcW w:w="1274" w:type="dxa"/>
            <w:vAlign w:val="center"/>
          </w:tcPr>
          <w:p w14:paraId="1286C5EE" w14:textId="77777777" w:rsidR="0057282B" w:rsidRPr="005A7F38" w:rsidRDefault="0057282B" w:rsidP="00C20687">
            <w:pPr>
              <w:spacing w:line="240" w:lineRule="auto"/>
              <w:ind w:firstLine="0"/>
              <w:jc w:val="center"/>
            </w:pPr>
            <w:r w:rsidRPr="005A7F38">
              <w:rPr>
                <w:color w:val="000000"/>
              </w:rPr>
              <w:t>14 (36.84)</w:t>
            </w:r>
          </w:p>
        </w:tc>
        <w:tc>
          <w:tcPr>
            <w:tcW w:w="776" w:type="dxa"/>
            <w:vAlign w:val="center"/>
          </w:tcPr>
          <w:p w14:paraId="5763FC33" w14:textId="77777777" w:rsidR="0057282B" w:rsidRPr="005A7F38" w:rsidRDefault="0057282B" w:rsidP="00C20687">
            <w:pPr>
              <w:spacing w:line="240" w:lineRule="auto"/>
              <w:ind w:firstLine="0"/>
              <w:jc w:val="center"/>
            </w:pPr>
            <w:r>
              <w:rPr>
                <w:color w:val="000000"/>
              </w:rPr>
              <w:t>0.84</w:t>
            </w:r>
          </w:p>
        </w:tc>
        <w:tc>
          <w:tcPr>
            <w:tcW w:w="1376" w:type="dxa"/>
            <w:vAlign w:val="center"/>
          </w:tcPr>
          <w:p w14:paraId="31CF1EF9" w14:textId="77777777" w:rsidR="0057282B" w:rsidRPr="005A7F38" w:rsidRDefault="0057282B" w:rsidP="00C20687">
            <w:pPr>
              <w:spacing w:line="240" w:lineRule="auto"/>
              <w:ind w:firstLine="0"/>
              <w:jc w:val="center"/>
            </w:pPr>
            <w:r>
              <w:rPr>
                <w:color w:val="000000"/>
              </w:rPr>
              <w:t>0.35-1.97</w:t>
            </w:r>
          </w:p>
        </w:tc>
        <w:tc>
          <w:tcPr>
            <w:tcW w:w="816" w:type="dxa"/>
          </w:tcPr>
          <w:p w14:paraId="71E40641" w14:textId="77777777" w:rsidR="0057282B" w:rsidRPr="005A7F38" w:rsidRDefault="0057282B" w:rsidP="00C20687">
            <w:pPr>
              <w:spacing w:line="240" w:lineRule="auto"/>
              <w:ind w:firstLine="0"/>
              <w:jc w:val="center"/>
              <w:rPr>
                <w:color w:val="000000"/>
              </w:rPr>
            </w:pPr>
            <w:r>
              <w:rPr>
                <w:color w:val="000000"/>
              </w:rPr>
              <w:t>0.68</w:t>
            </w:r>
          </w:p>
        </w:tc>
      </w:tr>
      <w:tr w:rsidR="004C5194" w:rsidRPr="005A7F38" w14:paraId="021A2496" w14:textId="77777777" w:rsidTr="004C5194">
        <w:trPr>
          <w:trHeight w:val="57"/>
          <w:jc w:val="center"/>
        </w:trPr>
        <w:tc>
          <w:tcPr>
            <w:tcW w:w="3687" w:type="dxa"/>
            <w:vAlign w:val="bottom"/>
          </w:tcPr>
          <w:p w14:paraId="0DC60733" w14:textId="77777777" w:rsidR="0057282B" w:rsidRPr="005A7F38" w:rsidRDefault="0057282B" w:rsidP="00C20687">
            <w:pPr>
              <w:spacing w:line="240" w:lineRule="auto"/>
              <w:ind w:firstLine="0"/>
              <w:jc w:val="left"/>
            </w:pPr>
            <w:r w:rsidRPr="005A7F38">
              <w:rPr>
                <w:color w:val="000000"/>
              </w:rPr>
              <w:t>Wet Carpet Exposure: Ever</w:t>
            </w:r>
          </w:p>
        </w:tc>
        <w:tc>
          <w:tcPr>
            <w:tcW w:w="1518" w:type="dxa"/>
            <w:vAlign w:val="center"/>
          </w:tcPr>
          <w:p w14:paraId="010EF1EB" w14:textId="77777777" w:rsidR="0057282B" w:rsidRPr="005A7F38" w:rsidRDefault="0057282B" w:rsidP="00C20687">
            <w:pPr>
              <w:spacing w:line="240" w:lineRule="auto"/>
              <w:ind w:firstLine="0"/>
              <w:jc w:val="center"/>
            </w:pPr>
            <w:r w:rsidRPr="005A7F38">
              <w:rPr>
                <w:color w:val="000000"/>
              </w:rPr>
              <w:t>10 (17.24)</w:t>
            </w:r>
          </w:p>
        </w:tc>
        <w:tc>
          <w:tcPr>
            <w:tcW w:w="1274" w:type="dxa"/>
            <w:vAlign w:val="center"/>
          </w:tcPr>
          <w:p w14:paraId="3563754D" w14:textId="77777777" w:rsidR="0057282B" w:rsidRPr="005A7F38" w:rsidRDefault="0057282B" w:rsidP="00C20687">
            <w:pPr>
              <w:spacing w:line="240" w:lineRule="auto"/>
              <w:ind w:firstLine="0"/>
              <w:jc w:val="center"/>
            </w:pPr>
            <w:r w:rsidRPr="005A7F38">
              <w:rPr>
                <w:color w:val="000000"/>
              </w:rPr>
              <w:t>4 (10.53)</w:t>
            </w:r>
          </w:p>
        </w:tc>
        <w:tc>
          <w:tcPr>
            <w:tcW w:w="776" w:type="dxa"/>
            <w:vAlign w:val="center"/>
          </w:tcPr>
          <w:p w14:paraId="4397D5E7" w14:textId="77777777" w:rsidR="0057282B" w:rsidRPr="005A7F38" w:rsidRDefault="0057282B" w:rsidP="00C20687">
            <w:pPr>
              <w:spacing w:line="240" w:lineRule="auto"/>
              <w:ind w:firstLine="0"/>
              <w:jc w:val="center"/>
            </w:pPr>
            <w:r>
              <w:rPr>
                <w:color w:val="000000"/>
              </w:rPr>
              <w:t>1.77</w:t>
            </w:r>
          </w:p>
        </w:tc>
        <w:tc>
          <w:tcPr>
            <w:tcW w:w="1376" w:type="dxa"/>
            <w:vAlign w:val="center"/>
          </w:tcPr>
          <w:p w14:paraId="32F5D66F" w14:textId="77777777" w:rsidR="0057282B" w:rsidRPr="005A7F38" w:rsidRDefault="0057282B" w:rsidP="00C20687">
            <w:pPr>
              <w:spacing w:line="240" w:lineRule="auto"/>
              <w:ind w:firstLine="0"/>
              <w:jc w:val="center"/>
            </w:pPr>
            <w:r>
              <w:rPr>
                <w:color w:val="000000"/>
              </w:rPr>
              <w:t>0.51-6.12</w:t>
            </w:r>
          </w:p>
        </w:tc>
        <w:tc>
          <w:tcPr>
            <w:tcW w:w="816" w:type="dxa"/>
          </w:tcPr>
          <w:p w14:paraId="1C304029" w14:textId="77777777" w:rsidR="0057282B" w:rsidRPr="005A7F38" w:rsidRDefault="0057282B" w:rsidP="00C20687">
            <w:pPr>
              <w:spacing w:line="240" w:lineRule="auto"/>
              <w:ind w:firstLine="0"/>
              <w:jc w:val="center"/>
              <w:rPr>
                <w:color w:val="000000"/>
              </w:rPr>
            </w:pPr>
            <w:r>
              <w:rPr>
                <w:color w:val="000000"/>
              </w:rPr>
              <w:t>0.36</w:t>
            </w:r>
          </w:p>
        </w:tc>
      </w:tr>
      <w:tr w:rsidR="004C5194" w:rsidRPr="005A7F38" w14:paraId="200C2839" w14:textId="77777777" w:rsidTr="004C5194">
        <w:trPr>
          <w:trHeight w:val="332"/>
          <w:jc w:val="center"/>
        </w:trPr>
        <w:tc>
          <w:tcPr>
            <w:tcW w:w="3687" w:type="dxa"/>
            <w:vAlign w:val="bottom"/>
          </w:tcPr>
          <w:p w14:paraId="3FFA511B" w14:textId="77777777" w:rsidR="0057282B" w:rsidRPr="005A7F38" w:rsidRDefault="0057282B" w:rsidP="00C20687">
            <w:pPr>
              <w:spacing w:line="240" w:lineRule="auto"/>
              <w:ind w:firstLine="0"/>
              <w:jc w:val="left"/>
            </w:pPr>
            <w:r w:rsidRPr="005A7F38">
              <w:rPr>
                <w:color w:val="000000"/>
              </w:rPr>
              <w:t>Household Mold Exposure: Ever</w:t>
            </w:r>
          </w:p>
        </w:tc>
        <w:tc>
          <w:tcPr>
            <w:tcW w:w="1518" w:type="dxa"/>
            <w:vAlign w:val="center"/>
          </w:tcPr>
          <w:p w14:paraId="01063EA6" w14:textId="77777777" w:rsidR="0057282B" w:rsidRPr="005A7F38" w:rsidRDefault="0057282B" w:rsidP="00C20687">
            <w:pPr>
              <w:spacing w:line="240" w:lineRule="auto"/>
              <w:ind w:firstLine="0"/>
              <w:jc w:val="center"/>
            </w:pPr>
            <w:r w:rsidRPr="005A7F38">
              <w:rPr>
                <w:color w:val="000000"/>
              </w:rPr>
              <w:t>18 (31.03)</w:t>
            </w:r>
          </w:p>
        </w:tc>
        <w:tc>
          <w:tcPr>
            <w:tcW w:w="1274" w:type="dxa"/>
            <w:vAlign w:val="center"/>
          </w:tcPr>
          <w:p w14:paraId="679E1582" w14:textId="77777777" w:rsidR="0057282B" w:rsidRPr="005A7F38" w:rsidRDefault="0057282B" w:rsidP="00C20687">
            <w:pPr>
              <w:spacing w:line="240" w:lineRule="auto"/>
              <w:ind w:firstLine="0"/>
              <w:jc w:val="center"/>
            </w:pPr>
            <w:r w:rsidRPr="005A7F38">
              <w:rPr>
                <w:color w:val="000000"/>
              </w:rPr>
              <w:t>11 (28.95)</w:t>
            </w:r>
          </w:p>
        </w:tc>
        <w:tc>
          <w:tcPr>
            <w:tcW w:w="776" w:type="dxa"/>
            <w:vAlign w:val="center"/>
          </w:tcPr>
          <w:p w14:paraId="36AC06B4" w14:textId="77777777" w:rsidR="0057282B" w:rsidRPr="005A7F38" w:rsidRDefault="0057282B" w:rsidP="00C20687">
            <w:pPr>
              <w:spacing w:line="240" w:lineRule="auto"/>
              <w:ind w:firstLine="0"/>
              <w:jc w:val="center"/>
            </w:pPr>
            <w:r>
              <w:rPr>
                <w:color w:val="000000"/>
              </w:rPr>
              <w:t>1.10</w:t>
            </w:r>
          </w:p>
        </w:tc>
        <w:tc>
          <w:tcPr>
            <w:tcW w:w="1376" w:type="dxa"/>
            <w:vAlign w:val="center"/>
          </w:tcPr>
          <w:p w14:paraId="0089EA9B" w14:textId="77777777" w:rsidR="0057282B" w:rsidRPr="005A7F38" w:rsidRDefault="0057282B" w:rsidP="00C20687">
            <w:pPr>
              <w:spacing w:line="240" w:lineRule="auto"/>
              <w:ind w:firstLine="0"/>
              <w:jc w:val="center"/>
            </w:pPr>
            <w:r>
              <w:rPr>
                <w:color w:val="000000"/>
              </w:rPr>
              <w:t>0.45-2.70</w:t>
            </w:r>
          </w:p>
        </w:tc>
        <w:tc>
          <w:tcPr>
            <w:tcW w:w="816" w:type="dxa"/>
          </w:tcPr>
          <w:p w14:paraId="45F9ED29" w14:textId="77777777" w:rsidR="0057282B" w:rsidRPr="005A7F38" w:rsidRDefault="0057282B" w:rsidP="00C20687">
            <w:pPr>
              <w:spacing w:line="240" w:lineRule="auto"/>
              <w:ind w:firstLine="0"/>
              <w:jc w:val="center"/>
            </w:pPr>
            <w:r>
              <w:t>0.83</w:t>
            </w:r>
          </w:p>
        </w:tc>
      </w:tr>
      <w:tr w:rsidR="004C5194" w:rsidRPr="005A7F38" w14:paraId="412096B1" w14:textId="77777777" w:rsidTr="004C5194">
        <w:trPr>
          <w:trHeight w:val="242"/>
          <w:jc w:val="center"/>
        </w:trPr>
        <w:tc>
          <w:tcPr>
            <w:tcW w:w="3687" w:type="dxa"/>
            <w:vAlign w:val="bottom"/>
          </w:tcPr>
          <w:p w14:paraId="0D6FC7FC" w14:textId="77777777" w:rsidR="0057282B" w:rsidRPr="005A7F38" w:rsidRDefault="0057282B" w:rsidP="00C20687">
            <w:pPr>
              <w:spacing w:line="240" w:lineRule="auto"/>
              <w:ind w:firstLine="0"/>
              <w:jc w:val="left"/>
            </w:pPr>
            <w:r w:rsidRPr="005A7F38">
              <w:rPr>
                <w:color w:val="000000"/>
              </w:rPr>
              <w:t>Bathroom Mold Exposure: Ever</w:t>
            </w:r>
          </w:p>
        </w:tc>
        <w:tc>
          <w:tcPr>
            <w:tcW w:w="1518" w:type="dxa"/>
            <w:vAlign w:val="center"/>
          </w:tcPr>
          <w:p w14:paraId="1457C7A5" w14:textId="77777777" w:rsidR="0057282B" w:rsidRPr="005A7F38" w:rsidRDefault="0057282B" w:rsidP="00C20687">
            <w:pPr>
              <w:spacing w:line="240" w:lineRule="auto"/>
              <w:ind w:firstLine="0"/>
              <w:jc w:val="center"/>
            </w:pPr>
            <w:r w:rsidRPr="005A7F38">
              <w:rPr>
                <w:color w:val="000000"/>
              </w:rPr>
              <w:t>20 (34.48)</w:t>
            </w:r>
          </w:p>
        </w:tc>
        <w:tc>
          <w:tcPr>
            <w:tcW w:w="1274" w:type="dxa"/>
            <w:vAlign w:val="center"/>
          </w:tcPr>
          <w:p w14:paraId="0692C828" w14:textId="77777777" w:rsidR="0057282B" w:rsidRPr="005A7F38" w:rsidRDefault="0057282B" w:rsidP="00C20687">
            <w:pPr>
              <w:spacing w:line="240" w:lineRule="auto"/>
              <w:ind w:firstLine="0"/>
              <w:jc w:val="center"/>
            </w:pPr>
            <w:r w:rsidRPr="005A7F38">
              <w:rPr>
                <w:color w:val="000000"/>
              </w:rPr>
              <w:t>16 (42.11)</w:t>
            </w:r>
          </w:p>
        </w:tc>
        <w:tc>
          <w:tcPr>
            <w:tcW w:w="776" w:type="dxa"/>
            <w:vAlign w:val="center"/>
          </w:tcPr>
          <w:p w14:paraId="48155762" w14:textId="77777777" w:rsidR="0057282B" w:rsidRPr="005A7F38" w:rsidRDefault="0057282B" w:rsidP="00C20687">
            <w:pPr>
              <w:spacing w:line="240" w:lineRule="auto"/>
              <w:ind w:firstLine="0"/>
              <w:jc w:val="center"/>
            </w:pPr>
            <w:r>
              <w:rPr>
                <w:color w:val="000000"/>
              </w:rPr>
              <w:t>0.72</w:t>
            </w:r>
          </w:p>
        </w:tc>
        <w:tc>
          <w:tcPr>
            <w:tcW w:w="1376" w:type="dxa"/>
            <w:vAlign w:val="center"/>
          </w:tcPr>
          <w:p w14:paraId="75C634EC" w14:textId="77777777" w:rsidR="0057282B" w:rsidRPr="005A7F38" w:rsidRDefault="0057282B" w:rsidP="00C20687">
            <w:pPr>
              <w:spacing w:line="240" w:lineRule="auto"/>
              <w:ind w:firstLine="0"/>
              <w:jc w:val="center"/>
            </w:pPr>
            <w:r>
              <w:rPr>
                <w:color w:val="000000"/>
              </w:rPr>
              <w:t>0.31-1.68</w:t>
            </w:r>
          </w:p>
        </w:tc>
        <w:tc>
          <w:tcPr>
            <w:tcW w:w="816" w:type="dxa"/>
          </w:tcPr>
          <w:p w14:paraId="4FE93845" w14:textId="77777777" w:rsidR="0057282B" w:rsidRPr="005A7F38" w:rsidRDefault="0057282B" w:rsidP="00C20687">
            <w:pPr>
              <w:spacing w:line="240" w:lineRule="auto"/>
              <w:ind w:firstLine="0"/>
              <w:jc w:val="center"/>
              <w:rPr>
                <w:color w:val="000000"/>
              </w:rPr>
            </w:pPr>
            <w:r>
              <w:rPr>
                <w:color w:val="000000"/>
              </w:rPr>
              <w:t>0.45</w:t>
            </w:r>
          </w:p>
        </w:tc>
      </w:tr>
      <w:tr w:rsidR="004C5194" w:rsidRPr="005A7F38" w14:paraId="4B250A07" w14:textId="77777777" w:rsidTr="004C5194">
        <w:trPr>
          <w:trHeight w:val="57"/>
          <w:jc w:val="center"/>
        </w:trPr>
        <w:tc>
          <w:tcPr>
            <w:tcW w:w="3687" w:type="dxa"/>
            <w:vAlign w:val="bottom"/>
          </w:tcPr>
          <w:p w14:paraId="1A41E629" w14:textId="77777777" w:rsidR="0057282B" w:rsidRPr="005A7F38" w:rsidRDefault="0057282B" w:rsidP="00C20687">
            <w:pPr>
              <w:spacing w:line="240" w:lineRule="auto"/>
              <w:ind w:firstLine="0"/>
              <w:jc w:val="left"/>
            </w:pPr>
            <w:r w:rsidRPr="005A7F38">
              <w:rPr>
                <w:color w:val="000000"/>
              </w:rPr>
              <w:t>Vaporizer Exposure: Ever</w:t>
            </w:r>
          </w:p>
        </w:tc>
        <w:tc>
          <w:tcPr>
            <w:tcW w:w="1518" w:type="dxa"/>
            <w:vAlign w:val="center"/>
          </w:tcPr>
          <w:p w14:paraId="6D276EE9" w14:textId="77777777" w:rsidR="0057282B" w:rsidRPr="005A7F38" w:rsidRDefault="0057282B" w:rsidP="00C20687">
            <w:pPr>
              <w:spacing w:line="240" w:lineRule="auto"/>
              <w:ind w:firstLine="0"/>
              <w:jc w:val="center"/>
            </w:pPr>
            <w:r w:rsidRPr="005A7F38">
              <w:rPr>
                <w:color w:val="000000"/>
              </w:rPr>
              <w:t>17 (29.31)</w:t>
            </w:r>
          </w:p>
        </w:tc>
        <w:tc>
          <w:tcPr>
            <w:tcW w:w="1274" w:type="dxa"/>
            <w:vAlign w:val="center"/>
          </w:tcPr>
          <w:p w14:paraId="1CD6CD71" w14:textId="77777777" w:rsidR="0057282B" w:rsidRPr="005A7F38" w:rsidRDefault="0057282B" w:rsidP="00C20687">
            <w:pPr>
              <w:spacing w:line="240" w:lineRule="auto"/>
              <w:ind w:firstLine="0"/>
              <w:jc w:val="center"/>
            </w:pPr>
            <w:r w:rsidRPr="005A7F38">
              <w:rPr>
                <w:color w:val="000000"/>
              </w:rPr>
              <w:t>13 (34.21)</w:t>
            </w:r>
          </w:p>
        </w:tc>
        <w:tc>
          <w:tcPr>
            <w:tcW w:w="776" w:type="dxa"/>
            <w:vAlign w:val="center"/>
          </w:tcPr>
          <w:p w14:paraId="779437FF" w14:textId="77777777" w:rsidR="0057282B" w:rsidRPr="005A7F38" w:rsidRDefault="0057282B" w:rsidP="00C20687">
            <w:pPr>
              <w:spacing w:line="240" w:lineRule="auto"/>
              <w:ind w:firstLine="0"/>
              <w:jc w:val="center"/>
            </w:pPr>
            <w:r>
              <w:rPr>
                <w:color w:val="000000"/>
              </w:rPr>
              <w:t>0.80</w:t>
            </w:r>
          </w:p>
        </w:tc>
        <w:tc>
          <w:tcPr>
            <w:tcW w:w="1376" w:type="dxa"/>
            <w:vAlign w:val="center"/>
          </w:tcPr>
          <w:p w14:paraId="0C352A93" w14:textId="77777777" w:rsidR="0057282B" w:rsidRPr="005A7F38" w:rsidRDefault="0057282B" w:rsidP="00C20687">
            <w:pPr>
              <w:spacing w:line="240" w:lineRule="auto"/>
              <w:ind w:firstLine="0"/>
              <w:jc w:val="center"/>
            </w:pPr>
            <w:r>
              <w:rPr>
                <w:color w:val="000000"/>
              </w:rPr>
              <w:t>0.33-1.92</w:t>
            </w:r>
          </w:p>
        </w:tc>
        <w:tc>
          <w:tcPr>
            <w:tcW w:w="816" w:type="dxa"/>
            <w:vAlign w:val="center"/>
          </w:tcPr>
          <w:p w14:paraId="6EAF0378" w14:textId="77777777" w:rsidR="0057282B" w:rsidRPr="005A7F38" w:rsidRDefault="0057282B" w:rsidP="00C20687">
            <w:pPr>
              <w:spacing w:line="240" w:lineRule="auto"/>
              <w:ind w:firstLine="0"/>
              <w:jc w:val="center"/>
            </w:pPr>
            <w:r w:rsidRPr="005A7F38">
              <w:rPr>
                <w:color w:val="000000"/>
              </w:rPr>
              <w:t>0.61</w:t>
            </w:r>
          </w:p>
        </w:tc>
      </w:tr>
      <w:tr w:rsidR="004C5194" w:rsidRPr="005A7F38" w14:paraId="2EC72473" w14:textId="77777777" w:rsidTr="004C5194">
        <w:trPr>
          <w:trHeight w:val="57"/>
          <w:jc w:val="center"/>
        </w:trPr>
        <w:tc>
          <w:tcPr>
            <w:tcW w:w="3687" w:type="dxa"/>
            <w:vAlign w:val="bottom"/>
          </w:tcPr>
          <w:p w14:paraId="66FE9D0F" w14:textId="77777777" w:rsidR="0057282B" w:rsidRPr="005A7F38" w:rsidRDefault="0057282B" w:rsidP="00C20687">
            <w:pPr>
              <w:spacing w:line="240" w:lineRule="auto"/>
              <w:ind w:firstLine="0"/>
              <w:jc w:val="left"/>
            </w:pPr>
            <w:r w:rsidRPr="005A7F38">
              <w:rPr>
                <w:color w:val="000000"/>
              </w:rPr>
              <w:t>Fireplace Exposure: Ever</w:t>
            </w:r>
          </w:p>
        </w:tc>
        <w:tc>
          <w:tcPr>
            <w:tcW w:w="1518" w:type="dxa"/>
            <w:vAlign w:val="center"/>
          </w:tcPr>
          <w:p w14:paraId="50DC4594" w14:textId="77777777" w:rsidR="0057282B" w:rsidRPr="005A7F38" w:rsidRDefault="0057282B" w:rsidP="00C20687">
            <w:pPr>
              <w:spacing w:line="240" w:lineRule="auto"/>
              <w:ind w:firstLine="0"/>
              <w:jc w:val="center"/>
            </w:pPr>
            <w:r w:rsidRPr="005A7F38">
              <w:rPr>
                <w:color w:val="000000"/>
              </w:rPr>
              <w:t>29 (50)</w:t>
            </w:r>
          </w:p>
        </w:tc>
        <w:tc>
          <w:tcPr>
            <w:tcW w:w="1274" w:type="dxa"/>
            <w:vAlign w:val="center"/>
          </w:tcPr>
          <w:p w14:paraId="2D6625A5" w14:textId="77777777" w:rsidR="0057282B" w:rsidRPr="005A7F38" w:rsidRDefault="0057282B" w:rsidP="00C20687">
            <w:pPr>
              <w:spacing w:line="240" w:lineRule="auto"/>
              <w:ind w:firstLine="0"/>
              <w:jc w:val="center"/>
            </w:pPr>
            <w:r w:rsidRPr="005A7F38">
              <w:rPr>
                <w:color w:val="000000"/>
              </w:rPr>
              <w:t>17 (44.74)</w:t>
            </w:r>
          </w:p>
        </w:tc>
        <w:tc>
          <w:tcPr>
            <w:tcW w:w="776" w:type="dxa"/>
            <w:vAlign w:val="center"/>
          </w:tcPr>
          <w:p w14:paraId="42BEED7A" w14:textId="77777777" w:rsidR="0057282B" w:rsidRPr="005A7F38" w:rsidRDefault="0057282B" w:rsidP="00C20687">
            <w:pPr>
              <w:spacing w:line="240" w:lineRule="auto"/>
              <w:ind w:firstLine="0"/>
              <w:jc w:val="center"/>
            </w:pPr>
            <w:r>
              <w:rPr>
                <w:color w:val="000000"/>
              </w:rPr>
              <w:t>1.24</w:t>
            </w:r>
          </w:p>
        </w:tc>
        <w:tc>
          <w:tcPr>
            <w:tcW w:w="1376" w:type="dxa"/>
            <w:vAlign w:val="center"/>
          </w:tcPr>
          <w:p w14:paraId="31A9468D" w14:textId="77777777" w:rsidR="0057282B" w:rsidRPr="005A7F38" w:rsidRDefault="0057282B" w:rsidP="00C20687">
            <w:pPr>
              <w:spacing w:line="240" w:lineRule="auto"/>
              <w:ind w:firstLine="0"/>
              <w:jc w:val="center"/>
            </w:pPr>
            <w:r>
              <w:rPr>
                <w:color w:val="000000"/>
              </w:rPr>
              <w:t>0.54-2.81</w:t>
            </w:r>
          </w:p>
        </w:tc>
        <w:tc>
          <w:tcPr>
            <w:tcW w:w="816" w:type="dxa"/>
            <w:vAlign w:val="center"/>
          </w:tcPr>
          <w:p w14:paraId="460451E9" w14:textId="77777777" w:rsidR="0057282B" w:rsidRPr="005A7F38" w:rsidRDefault="0057282B" w:rsidP="00C20687">
            <w:pPr>
              <w:spacing w:line="240" w:lineRule="auto"/>
              <w:ind w:firstLine="0"/>
              <w:jc w:val="center"/>
            </w:pPr>
            <w:r>
              <w:rPr>
                <w:color w:val="000000"/>
              </w:rPr>
              <w:t>0.68</w:t>
            </w:r>
          </w:p>
        </w:tc>
      </w:tr>
      <w:tr w:rsidR="004C5194" w:rsidRPr="005A7F38" w14:paraId="3DE50EF6" w14:textId="77777777" w:rsidTr="004C5194">
        <w:trPr>
          <w:trHeight w:val="96"/>
          <w:jc w:val="center"/>
        </w:trPr>
        <w:tc>
          <w:tcPr>
            <w:tcW w:w="3687" w:type="dxa"/>
            <w:vAlign w:val="bottom"/>
          </w:tcPr>
          <w:p w14:paraId="28CE0A39" w14:textId="77777777" w:rsidR="0057282B" w:rsidRPr="005A7F38" w:rsidRDefault="0057282B" w:rsidP="00C20687">
            <w:pPr>
              <w:spacing w:line="240" w:lineRule="auto"/>
              <w:ind w:firstLine="0"/>
              <w:jc w:val="left"/>
            </w:pPr>
            <w:r w:rsidRPr="005A7F38">
              <w:rPr>
                <w:color w:val="000000"/>
              </w:rPr>
              <w:t>Wood/Coal Burning Stove Exposure: Ever</w:t>
            </w:r>
          </w:p>
        </w:tc>
        <w:tc>
          <w:tcPr>
            <w:tcW w:w="1518" w:type="dxa"/>
            <w:vAlign w:val="center"/>
          </w:tcPr>
          <w:p w14:paraId="036AFA43" w14:textId="77777777" w:rsidR="0057282B" w:rsidRPr="005A7F38" w:rsidRDefault="0057282B" w:rsidP="00C20687">
            <w:pPr>
              <w:spacing w:line="240" w:lineRule="auto"/>
              <w:ind w:firstLine="0"/>
              <w:jc w:val="center"/>
            </w:pPr>
            <w:r w:rsidRPr="005A7F38">
              <w:rPr>
                <w:color w:val="000000"/>
              </w:rPr>
              <w:t>19 (32.76)</w:t>
            </w:r>
          </w:p>
        </w:tc>
        <w:tc>
          <w:tcPr>
            <w:tcW w:w="1274" w:type="dxa"/>
            <w:vAlign w:val="center"/>
          </w:tcPr>
          <w:p w14:paraId="3A0F8FBE" w14:textId="77777777" w:rsidR="0057282B" w:rsidRPr="005A7F38" w:rsidRDefault="0057282B" w:rsidP="00C20687">
            <w:pPr>
              <w:spacing w:line="240" w:lineRule="auto"/>
              <w:ind w:firstLine="0"/>
              <w:jc w:val="center"/>
            </w:pPr>
            <w:r w:rsidRPr="005A7F38">
              <w:rPr>
                <w:color w:val="000000"/>
              </w:rPr>
              <w:t>16 (42.11)</w:t>
            </w:r>
          </w:p>
        </w:tc>
        <w:tc>
          <w:tcPr>
            <w:tcW w:w="776" w:type="dxa"/>
            <w:vAlign w:val="center"/>
          </w:tcPr>
          <w:p w14:paraId="020A36BB" w14:textId="77777777" w:rsidR="0057282B" w:rsidRPr="005A7F38" w:rsidRDefault="0057282B" w:rsidP="00C20687">
            <w:pPr>
              <w:spacing w:line="240" w:lineRule="auto"/>
              <w:ind w:firstLine="0"/>
              <w:jc w:val="center"/>
            </w:pPr>
            <w:r>
              <w:rPr>
                <w:color w:val="000000"/>
              </w:rPr>
              <w:t>0.67</w:t>
            </w:r>
          </w:p>
        </w:tc>
        <w:tc>
          <w:tcPr>
            <w:tcW w:w="1376" w:type="dxa"/>
            <w:vAlign w:val="center"/>
          </w:tcPr>
          <w:p w14:paraId="5CE25B14" w14:textId="77777777" w:rsidR="0057282B" w:rsidRPr="005A7F38" w:rsidRDefault="0057282B" w:rsidP="00C20687">
            <w:pPr>
              <w:spacing w:line="240" w:lineRule="auto"/>
              <w:ind w:firstLine="0"/>
              <w:jc w:val="center"/>
            </w:pPr>
            <w:r>
              <w:rPr>
                <w:color w:val="000000"/>
              </w:rPr>
              <w:t>0.29-1.56</w:t>
            </w:r>
          </w:p>
        </w:tc>
        <w:tc>
          <w:tcPr>
            <w:tcW w:w="816" w:type="dxa"/>
            <w:vAlign w:val="center"/>
          </w:tcPr>
          <w:p w14:paraId="72CD027B" w14:textId="77777777" w:rsidR="0057282B" w:rsidRPr="005A7F38" w:rsidRDefault="0057282B" w:rsidP="00C20687">
            <w:pPr>
              <w:spacing w:line="240" w:lineRule="auto"/>
              <w:ind w:firstLine="0"/>
              <w:jc w:val="center"/>
            </w:pPr>
            <w:r>
              <w:rPr>
                <w:color w:val="000000"/>
              </w:rPr>
              <w:t>0.35</w:t>
            </w:r>
          </w:p>
        </w:tc>
      </w:tr>
      <w:tr w:rsidR="004C5194" w:rsidRPr="005A7F38" w14:paraId="38309A39" w14:textId="77777777" w:rsidTr="004C5194">
        <w:trPr>
          <w:trHeight w:val="57"/>
          <w:jc w:val="center"/>
        </w:trPr>
        <w:tc>
          <w:tcPr>
            <w:tcW w:w="3687" w:type="dxa"/>
            <w:vAlign w:val="bottom"/>
          </w:tcPr>
          <w:p w14:paraId="177BCAF6" w14:textId="77777777" w:rsidR="0057282B" w:rsidRPr="005A7F38" w:rsidRDefault="0057282B" w:rsidP="00C20687">
            <w:pPr>
              <w:spacing w:line="240" w:lineRule="auto"/>
              <w:ind w:firstLine="0"/>
              <w:jc w:val="left"/>
            </w:pPr>
            <w:r w:rsidRPr="005A7F38">
              <w:rPr>
                <w:color w:val="000000"/>
              </w:rPr>
              <w:t>Air Conditioner Exposure: Ever</w:t>
            </w:r>
          </w:p>
        </w:tc>
        <w:tc>
          <w:tcPr>
            <w:tcW w:w="1518" w:type="dxa"/>
            <w:vAlign w:val="center"/>
          </w:tcPr>
          <w:p w14:paraId="0325FFCF" w14:textId="77777777" w:rsidR="0057282B" w:rsidRPr="005A7F38" w:rsidRDefault="0057282B" w:rsidP="00C20687">
            <w:pPr>
              <w:spacing w:line="240" w:lineRule="auto"/>
              <w:ind w:firstLine="0"/>
              <w:jc w:val="center"/>
            </w:pPr>
            <w:r w:rsidRPr="005A7F38">
              <w:rPr>
                <w:color w:val="000000"/>
              </w:rPr>
              <w:t>48 (82.76)</w:t>
            </w:r>
          </w:p>
        </w:tc>
        <w:tc>
          <w:tcPr>
            <w:tcW w:w="1274" w:type="dxa"/>
            <w:vAlign w:val="center"/>
          </w:tcPr>
          <w:p w14:paraId="63D363C4" w14:textId="77777777" w:rsidR="0057282B" w:rsidRPr="005A7F38" w:rsidRDefault="0057282B" w:rsidP="00C20687">
            <w:pPr>
              <w:spacing w:line="240" w:lineRule="auto"/>
              <w:ind w:firstLine="0"/>
              <w:jc w:val="center"/>
            </w:pPr>
            <w:r w:rsidRPr="005A7F38">
              <w:rPr>
                <w:color w:val="000000"/>
              </w:rPr>
              <w:t>35 (92.11)</w:t>
            </w:r>
          </w:p>
        </w:tc>
        <w:tc>
          <w:tcPr>
            <w:tcW w:w="776" w:type="dxa"/>
            <w:vAlign w:val="center"/>
          </w:tcPr>
          <w:p w14:paraId="3FA73F8E" w14:textId="77777777" w:rsidR="0057282B" w:rsidRPr="005A7F38" w:rsidRDefault="0057282B" w:rsidP="00C20687">
            <w:pPr>
              <w:spacing w:line="240" w:lineRule="auto"/>
              <w:ind w:firstLine="0"/>
              <w:jc w:val="center"/>
            </w:pPr>
            <w:r>
              <w:rPr>
                <w:color w:val="000000"/>
              </w:rPr>
              <w:t>0.41</w:t>
            </w:r>
          </w:p>
        </w:tc>
        <w:tc>
          <w:tcPr>
            <w:tcW w:w="1376" w:type="dxa"/>
            <w:vAlign w:val="center"/>
          </w:tcPr>
          <w:p w14:paraId="0E3E03E7" w14:textId="77777777" w:rsidR="0057282B" w:rsidRPr="005A7F38" w:rsidRDefault="0057282B" w:rsidP="00C20687">
            <w:pPr>
              <w:spacing w:line="240" w:lineRule="auto"/>
              <w:ind w:firstLine="0"/>
              <w:jc w:val="center"/>
            </w:pPr>
            <w:r>
              <w:rPr>
                <w:color w:val="000000"/>
              </w:rPr>
              <w:t>0.11</w:t>
            </w:r>
            <w:r w:rsidRPr="005A7F38">
              <w:rPr>
                <w:color w:val="000000"/>
              </w:rPr>
              <w:t>-1.6</w:t>
            </w:r>
            <w:r>
              <w:rPr>
                <w:color w:val="000000"/>
              </w:rPr>
              <w:t>1</w:t>
            </w:r>
          </w:p>
        </w:tc>
        <w:tc>
          <w:tcPr>
            <w:tcW w:w="816" w:type="dxa"/>
            <w:vAlign w:val="center"/>
          </w:tcPr>
          <w:p w14:paraId="7C287C2C" w14:textId="77777777" w:rsidR="0057282B" w:rsidRPr="005A7F38" w:rsidRDefault="0057282B" w:rsidP="00C20687">
            <w:pPr>
              <w:spacing w:line="240" w:lineRule="auto"/>
              <w:ind w:firstLine="0"/>
              <w:jc w:val="center"/>
            </w:pPr>
            <w:r>
              <w:rPr>
                <w:color w:val="000000"/>
              </w:rPr>
              <w:t>0.19</w:t>
            </w:r>
          </w:p>
        </w:tc>
      </w:tr>
    </w:tbl>
    <w:p w14:paraId="4F612AEE" w14:textId="77777777" w:rsidR="0057282B" w:rsidRPr="0057282B" w:rsidRDefault="0057282B" w:rsidP="004C5194">
      <w:pPr>
        <w:ind w:firstLine="0"/>
      </w:pPr>
    </w:p>
    <w:p w14:paraId="16A5685B" w14:textId="77777777" w:rsidR="00703F9E" w:rsidRDefault="00703F9E" w:rsidP="00703F9E"/>
    <w:p w14:paraId="5DF17357" w14:textId="1F07EA37" w:rsidR="00703F9E" w:rsidRPr="005A7F38" w:rsidRDefault="004C5194" w:rsidP="00703F9E">
      <w:pPr>
        <w:pStyle w:val="Caption"/>
        <w:rPr>
          <w:b w:val="0"/>
        </w:rPr>
      </w:pPr>
      <w:bookmarkStart w:id="83" w:name="_Toc506540069"/>
      <w:r w:rsidRPr="005A7F38">
        <w:t xml:space="preserve">Table </w:t>
      </w:r>
      <w:fldSimple w:instr=" SEQ Table \* ARABIC ">
        <w:r w:rsidR="001F73C6">
          <w:rPr>
            <w:noProof/>
          </w:rPr>
          <w:t>9</w:t>
        </w:r>
      </w:fldSimple>
      <w:r w:rsidRPr="005A7F38">
        <w:t>.</w:t>
      </w:r>
      <w:r w:rsidR="00703F9E" w:rsidRPr="005A7F38">
        <w:t xml:space="preserve"> </w:t>
      </w:r>
      <w:r w:rsidR="00703F9E">
        <w:rPr>
          <w:b w:val="0"/>
        </w:rPr>
        <w:t xml:space="preserve">Environmental </w:t>
      </w:r>
      <w:r w:rsidR="00703F9E" w:rsidRPr="005A7F38">
        <w:rPr>
          <w:b w:val="0"/>
        </w:rPr>
        <w:t>Exposures Among Sarcoidosis Cases and Controls</w:t>
      </w:r>
      <w:r>
        <w:rPr>
          <w:b w:val="0"/>
        </w:rPr>
        <w:t xml:space="preserve"> using a Multivariate Model</w:t>
      </w:r>
      <w:bookmarkEnd w:id="83"/>
    </w:p>
    <w:tbl>
      <w:tblPr>
        <w:tblStyle w:val="TableGrid"/>
        <w:tblW w:w="7244" w:type="dxa"/>
        <w:jc w:val="center"/>
        <w:tblLook w:val="04A0" w:firstRow="1" w:lastRow="0" w:firstColumn="1" w:lastColumn="0" w:noHBand="0" w:noVBand="1"/>
      </w:tblPr>
      <w:tblGrid>
        <w:gridCol w:w="3364"/>
        <w:gridCol w:w="1051"/>
        <w:gridCol w:w="1778"/>
        <w:gridCol w:w="1051"/>
      </w:tblGrid>
      <w:tr w:rsidR="00703F9E" w:rsidRPr="005A7F38" w14:paraId="322F484C" w14:textId="77777777" w:rsidTr="00605293">
        <w:trPr>
          <w:trHeight w:val="171"/>
          <w:jc w:val="center"/>
        </w:trPr>
        <w:tc>
          <w:tcPr>
            <w:tcW w:w="3364" w:type="dxa"/>
          </w:tcPr>
          <w:p w14:paraId="12E2B829" w14:textId="23B2AD78" w:rsidR="00703F9E" w:rsidRPr="00CD2150" w:rsidRDefault="00CD2150" w:rsidP="00CD2150">
            <w:pPr>
              <w:spacing w:line="240" w:lineRule="auto"/>
              <w:ind w:firstLine="0"/>
              <w:jc w:val="center"/>
              <w:rPr>
                <w:b/>
              </w:rPr>
            </w:pPr>
            <w:r w:rsidRPr="00CD2150">
              <w:rPr>
                <w:b/>
              </w:rPr>
              <w:t>Exposure</w:t>
            </w:r>
          </w:p>
        </w:tc>
        <w:tc>
          <w:tcPr>
            <w:tcW w:w="1051" w:type="dxa"/>
            <w:vAlign w:val="center"/>
          </w:tcPr>
          <w:p w14:paraId="1EBFB16C" w14:textId="77777777" w:rsidR="00703F9E" w:rsidRPr="005A7F38" w:rsidRDefault="00703F9E" w:rsidP="00605293">
            <w:pPr>
              <w:spacing w:line="240" w:lineRule="auto"/>
              <w:ind w:firstLine="0"/>
              <w:jc w:val="center"/>
            </w:pPr>
            <w:r w:rsidRPr="005A7F38">
              <w:rPr>
                <w:b/>
                <w:bCs/>
                <w:color w:val="000000"/>
              </w:rPr>
              <w:t>Odds Ratio</w:t>
            </w:r>
          </w:p>
        </w:tc>
        <w:tc>
          <w:tcPr>
            <w:tcW w:w="1778" w:type="dxa"/>
            <w:vAlign w:val="center"/>
          </w:tcPr>
          <w:p w14:paraId="3B063C60" w14:textId="77777777" w:rsidR="00703F9E" w:rsidRPr="005A7F38" w:rsidRDefault="00703F9E" w:rsidP="00605293">
            <w:pPr>
              <w:spacing w:line="240" w:lineRule="auto"/>
              <w:ind w:firstLine="0"/>
              <w:jc w:val="center"/>
            </w:pPr>
            <w:r w:rsidRPr="005A7F38">
              <w:rPr>
                <w:b/>
                <w:bCs/>
                <w:color w:val="000000"/>
              </w:rPr>
              <w:t>Confidence Interval</w:t>
            </w:r>
          </w:p>
        </w:tc>
        <w:tc>
          <w:tcPr>
            <w:tcW w:w="1051" w:type="dxa"/>
            <w:vAlign w:val="center"/>
          </w:tcPr>
          <w:p w14:paraId="7946F4EE" w14:textId="77777777" w:rsidR="00703F9E" w:rsidRPr="005A7F38" w:rsidRDefault="00703F9E" w:rsidP="00605293">
            <w:pPr>
              <w:spacing w:line="240" w:lineRule="auto"/>
              <w:ind w:firstLine="0"/>
              <w:jc w:val="center"/>
            </w:pPr>
            <w:r w:rsidRPr="005A7F38">
              <w:rPr>
                <w:b/>
                <w:bCs/>
                <w:color w:val="000000"/>
              </w:rPr>
              <w:t>P-Value</w:t>
            </w:r>
          </w:p>
        </w:tc>
      </w:tr>
      <w:tr w:rsidR="00703F9E" w:rsidRPr="005A7F38" w14:paraId="35C61814" w14:textId="77777777" w:rsidTr="00605293">
        <w:trPr>
          <w:trHeight w:val="270"/>
          <w:jc w:val="center"/>
        </w:trPr>
        <w:tc>
          <w:tcPr>
            <w:tcW w:w="3364" w:type="dxa"/>
            <w:tcBorders>
              <w:bottom w:val="single" w:sz="4" w:space="0" w:color="auto"/>
            </w:tcBorders>
            <w:vAlign w:val="bottom"/>
          </w:tcPr>
          <w:p w14:paraId="5AF54C92" w14:textId="77777777" w:rsidR="00703F9E" w:rsidRPr="00703F9E" w:rsidRDefault="00703F9E" w:rsidP="00605293">
            <w:pPr>
              <w:spacing w:line="240" w:lineRule="auto"/>
              <w:ind w:firstLine="0"/>
              <w:jc w:val="left"/>
            </w:pPr>
            <w:r w:rsidRPr="00703F9E">
              <w:rPr>
                <w:color w:val="000000"/>
              </w:rPr>
              <w:t>Aluminum</w:t>
            </w:r>
          </w:p>
        </w:tc>
        <w:tc>
          <w:tcPr>
            <w:tcW w:w="1051" w:type="dxa"/>
            <w:tcBorders>
              <w:bottom w:val="single" w:sz="4" w:space="0" w:color="auto"/>
            </w:tcBorders>
            <w:vAlign w:val="bottom"/>
          </w:tcPr>
          <w:p w14:paraId="0F876963" w14:textId="7E39132C" w:rsidR="00703F9E" w:rsidRPr="00703F9E" w:rsidRDefault="009F345A" w:rsidP="00605293">
            <w:pPr>
              <w:spacing w:line="240" w:lineRule="auto"/>
              <w:ind w:firstLine="0"/>
              <w:jc w:val="center"/>
            </w:pPr>
            <w:r>
              <w:rPr>
                <w:color w:val="000000"/>
              </w:rPr>
              <w:t>2.94</w:t>
            </w:r>
          </w:p>
        </w:tc>
        <w:tc>
          <w:tcPr>
            <w:tcW w:w="1778" w:type="dxa"/>
            <w:tcBorders>
              <w:bottom w:val="single" w:sz="4" w:space="0" w:color="auto"/>
            </w:tcBorders>
            <w:vAlign w:val="bottom"/>
          </w:tcPr>
          <w:p w14:paraId="58E2C777" w14:textId="31320EBD" w:rsidR="00703F9E" w:rsidRPr="00703F9E" w:rsidRDefault="00136E3D" w:rsidP="00605293">
            <w:pPr>
              <w:spacing w:line="240" w:lineRule="auto"/>
              <w:ind w:firstLine="0"/>
              <w:jc w:val="center"/>
            </w:pPr>
            <w:r>
              <w:rPr>
                <w:color w:val="000000"/>
              </w:rPr>
              <w:t>0.76</w:t>
            </w:r>
            <w:r w:rsidR="00703F9E" w:rsidRPr="00703F9E">
              <w:rPr>
                <w:color w:val="000000"/>
              </w:rPr>
              <w:t>-11.</w:t>
            </w:r>
            <w:r>
              <w:rPr>
                <w:color w:val="000000"/>
              </w:rPr>
              <w:t>35</w:t>
            </w:r>
          </w:p>
        </w:tc>
        <w:tc>
          <w:tcPr>
            <w:tcW w:w="1051" w:type="dxa"/>
            <w:tcBorders>
              <w:bottom w:val="single" w:sz="4" w:space="0" w:color="auto"/>
            </w:tcBorders>
            <w:vAlign w:val="bottom"/>
          </w:tcPr>
          <w:p w14:paraId="0F0B0B88" w14:textId="02D9E212" w:rsidR="00703F9E" w:rsidRPr="00703F9E" w:rsidRDefault="00136E3D" w:rsidP="00605293">
            <w:pPr>
              <w:spacing w:line="240" w:lineRule="auto"/>
              <w:ind w:firstLine="0"/>
              <w:jc w:val="center"/>
            </w:pPr>
            <w:r>
              <w:rPr>
                <w:color w:val="000000"/>
              </w:rPr>
              <w:t>0.119</w:t>
            </w:r>
          </w:p>
        </w:tc>
      </w:tr>
      <w:tr w:rsidR="00703F9E" w:rsidRPr="005A7F38" w14:paraId="5850F7FE" w14:textId="77777777" w:rsidTr="00605293">
        <w:trPr>
          <w:trHeight w:val="270"/>
          <w:jc w:val="center"/>
        </w:trPr>
        <w:tc>
          <w:tcPr>
            <w:tcW w:w="3364" w:type="dxa"/>
            <w:shd w:val="clear" w:color="auto" w:fill="FFFF00"/>
            <w:vAlign w:val="bottom"/>
          </w:tcPr>
          <w:p w14:paraId="0B968F89" w14:textId="77777777" w:rsidR="00703F9E" w:rsidRPr="00703F9E" w:rsidRDefault="00703F9E" w:rsidP="00605293">
            <w:pPr>
              <w:spacing w:line="240" w:lineRule="auto"/>
              <w:ind w:firstLine="0"/>
              <w:jc w:val="left"/>
            </w:pPr>
            <w:r w:rsidRPr="00703F9E">
              <w:rPr>
                <w:color w:val="000000"/>
              </w:rPr>
              <w:t>Animal Droppings</w:t>
            </w:r>
          </w:p>
        </w:tc>
        <w:tc>
          <w:tcPr>
            <w:tcW w:w="1051" w:type="dxa"/>
            <w:shd w:val="clear" w:color="auto" w:fill="FFFF00"/>
            <w:vAlign w:val="bottom"/>
          </w:tcPr>
          <w:p w14:paraId="2A0D2D33" w14:textId="538CB631" w:rsidR="00703F9E" w:rsidRPr="00703F9E" w:rsidRDefault="00703F9E" w:rsidP="00605293">
            <w:pPr>
              <w:spacing w:line="240" w:lineRule="auto"/>
              <w:ind w:firstLine="0"/>
              <w:jc w:val="center"/>
            </w:pPr>
            <w:r w:rsidRPr="00703F9E">
              <w:rPr>
                <w:color w:val="000000"/>
              </w:rPr>
              <w:t>0.</w:t>
            </w:r>
            <w:r w:rsidR="009F345A">
              <w:rPr>
                <w:color w:val="000000"/>
              </w:rPr>
              <w:t>41</w:t>
            </w:r>
          </w:p>
        </w:tc>
        <w:tc>
          <w:tcPr>
            <w:tcW w:w="1778" w:type="dxa"/>
            <w:shd w:val="clear" w:color="auto" w:fill="FFFF00"/>
            <w:vAlign w:val="bottom"/>
          </w:tcPr>
          <w:p w14:paraId="568BBA5E" w14:textId="2968B2F5" w:rsidR="00703F9E" w:rsidRPr="00703F9E" w:rsidRDefault="00136E3D" w:rsidP="00605293">
            <w:pPr>
              <w:spacing w:line="240" w:lineRule="auto"/>
              <w:ind w:firstLine="0"/>
              <w:jc w:val="center"/>
            </w:pPr>
            <w:r>
              <w:rPr>
                <w:color w:val="000000"/>
              </w:rPr>
              <w:t>0.17-0.96</w:t>
            </w:r>
          </w:p>
        </w:tc>
        <w:tc>
          <w:tcPr>
            <w:tcW w:w="1051" w:type="dxa"/>
            <w:shd w:val="clear" w:color="auto" w:fill="FFFF00"/>
            <w:vAlign w:val="bottom"/>
          </w:tcPr>
          <w:p w14:paraId="497994DE" w14:textId="24539BD0" w:rsidR="00703F9E" w:rsidRPr="00703F9E" w:rsidRDefault="00703F9E" w:rsidP="00605293">
            <w:pPr>
              <w:spacing w:line="240" w:lineRule="auto"/>
              <w:ind w:firstLine="0"/>
              <w:jc w:val="center"/>
            </w:pPr>
            <w:r w:rsidRPr="00703F9E">
              <w:rPr>
                <w:color w:val="000000"/>
              </w:rPr>
              <w:t>0.0</w:t>
            </w:r>
            <w:r w:rsidR="00136E3D">
              <w:rPr>
                <w:color w:val="000000"/>
              </w:rPr>
              <w:t>4</w:t>
            </w:r>
          </w:p>
        </w:tc>
      </w:tr>
      <w:tr w:rsidR="00703F9E" w:rsidRPr="005A7F38" w14:paraId="5F2F50D2" w14:textId="77777777" w:rsidTr="00605293">
        <w:trPr>
          <w:trHeight w:val="269"/>
          <w:jc w:val="center"/>
        </w:trPr>
        <w:tc>
          <w:tcPr>
            <w:tcW w:w="3364" w:type="dxa"/>
            <w:shd w:val="clear" w:color="auto" w:fill="FFFF00"/>
            <w:vAlign w:val="bottom"/>
          </w:tcPr>
          <w:p w14:paraId="3546A1F7" w14:textId="3AD5E86E" w:rsidR="00703F9E" w:rsidRPr="00703F9E" w:rsidRDefault="00703F9E" w:rsidP="00605293">
            <w:pPr>
              <w:spacing w:line="240" w:lineRule="auto"/>
              <w:ind w:firstLine="0"/>
              <w:jc w:val="left"/>
            </w:pPr>
            <w:r w:rsidRPr="00703F9E">
              <w:rPr>
                <w:color w:val="000000"/>
              </w:rPr>
              <w:t>Air Conditioning</w:t>
            </w:r>
            <w:r w:rsidR="009F166B">
              <w:rPr>
                <w:color w:val="000000"/>
              </w:rPr>
              <w:t xml:space="preserve"> Use</w:t>
            </w:r>
          </w:p>
        </w:tc>
        <w:tc>
          <w:tcPr>
            <w:tcW w:w="1051" w:type="dxa"/>
            <w:shd w:val="clear" w:color="auto" w:fill="FFFF00"/>
            <w:vAlign w:val="bottom"/>
          </w:tcPr>
          <w:p w14:paraId="71C060A3" w14:textId="7B528DCA" w:rsidR="00703F9E" w:rsidRPr="00703F9E" w:rsidRDefault="00703F9E" w:rsidP="00605293">
            <w:pPr>
              <w:spacing w:line="240" w:lineRule="auto"/>
              <w:ind w:firstLine="0"/>
              <w:jc w:val="center"/>
            </w:pPr>
            <w:r w:rsidRPr="00703F9E">
              <w:rPr>
                <w:color w:val="000000"/>
              </w:rPr>
              <w:t>0.1</w:t>
            </w:r>
            <w:r w:rsidR="009F345A">
              <w:rPr>
                <w:color w:val="000000"/>
              </w:rPr>
              <w:t>9</w:t>
            </w:r>
          </w:p>
        </w:tc>
        <w:tc>
          <w:tcPr>
            <w:tcW w:w="1778" w:type="dxa"/>
            <w:shd w:val="clear" w:color="auto" w:fill="FFFF00"/>
            <w:vAlign w:val="bottom"/>
          </w:tcPr>
          <w:p w14:paraId="7C483A3B" w14:textId="7D723996" w:rsidR="00703F9E" w:rsidRPr="00703F9E" w:rsidRDefault="00136E3D" w:rsidP="00605293">
            <w:pPr>
              <w:spacing w:line="240" w:lineRule="auto"/>
              <w:ind w:firstLine="0"/>
              <w:jc w:val="center"/>
            </w:pPr>
            <w:r>
              <w:rPr>
                <w:color w:val="000000"/>
              </w:rPr>
              <w:t>0.05</w:t>
            </w:r>
            <w:r w:rsidR="00703F9E" w:rsidRPr="00703F9E">
              <w:rPr>
                <w:color w:val="000000"/>
              </w:rPr>
              <w:t>-0.</w:t>
            </w:r>
            <w:r>
              <w:rPr>
                <w:color w:val="000000"/>
              </w:rPr>
              <w:t>71</w:t>
            </w:r>
          </w:p>
        </w:tc>
        <w:tc>
          <w:tcPr>
            <w:tcW w:w="1051" w:type="dxa"/>
            <w:shd w:val="clear" w:color="auto" w:fill="FFFF00"/>
            <w:vAlign w:val="bottom"/>
          </w:tcPr>
          <w:p w14:paraId="79EEF4B9" w14:textId="266EE381" w:rsidR="00703F9E" w:rsidRPr="00703F9E" w:rsidRDefault="00703F9E" w:rsidP="00605293">
            <w:pPr>
              <w:spacing w:line="240" w:lineRule="auto"/>
              <w:ind w:firstLine="0"/>
              <w:jc w:val="center"/>
            </w:pPr>
            <w:r w:rsidRPr="00703F9E">
              <w:rPr>
                <w:color w:val="000000"/>
              </w:rPr>
              <w:t>0.01</w:t>
            </w:r>
            <w:r w:rsidR="00136E3D">
              <w:rPr>
                <w:color w:val="000000"/>
              </w:rPr>
              <w:t>4</w:t>
            </w:r>
          </w:p>
        </w:tc>
      </w:tr>
      <w:tr w:rsidR="00703F9E" w:rsidRPr="005A7F38" w14:paraId="6EB17A4C" w14:textId="77777777" w:rsidTr="00CA72D0">
        <w:trPr>
          <w:trHeight w:val="270"/>
          <w:jc w:val="center"/>
        </w:trPr>
        <w:tc>
          <w:tcPr>
            <w:tcW w:w="3364" w:type="dxa"/>
            <w:tcBorders>
              <w:bottom w:val="single" w:sz="4" w:space="0" w:color="auto"/>
            </w:tcBorders>
            <w:vAlign w:val="bottom"/>
          </w:tcPr>
          <w:p w14:paraId="353C6C9E" w14:textId="75E705C9" w:rsidR="00703F9E" w:rsidRPr="00703F9E" w:rsidRDefault="00703F9E" w:rsidP="00605293">
            <w:pPr>
              <w:spacing w:line="240" w:lineRule="auto"/>
              <w:ind w:firstLine="0"/>
              <w:jc w:val="left"/>
            </w:pPr>
            <w:r w:rsidRPr="00703F9E">
              <w:rPr>
                <w:color w:val="000000"/>
              </w:rPr>
              <w:t>Foam</w:t>
            </w:r>
            <w:r w:rsidR="009F166B">
              <w:rPr>
                <w:color w:val="000000"/>
              </w:rPr>
              <w:t xml:space="preserve"> Pillow Use</w:t>
            </w:r>
          </w:p>
        </w:tc>
        <w:tc>
          <w:tcPr>
            <w:tcW w:w="1051" w:type="dxa"/>
            <w:tcBorders>
              <w:bottom w:val="single" w:sz="4" w:space="0" w:color="auto"/>
            </w:tcBorders>
            <w:vAlign w:val="bottom"/>
          </w:tcPr>
          <w:p w14:paraId="6A1FCB8D" w14:textId="4899C41E" w:rsidR="00703F9E" w:rsidRPr="00703F9E" w:rsidRDefault="00703F9E" w:rsidP="00605293">
            <w:pPr>
              <w:spacing w:line="240" w:lineRule="auto"/>
              <w:ind w:firstLine="0"/>
              <w:jc w:val="center"/>
            </w:pPr>
            <w:r w:rsidRPr="00703F9E">
              <w:rPr>
                <w:color w:val="000000"/>
              </w:rPr>
              <w:t>2.</w:t>
            </w:r>
            <w:r w:rsidR="0015313D">
              <w:rPr>
                <w:color w:val="000000"/>
              </w:rPr>
              <w:t>13</w:t>
            </w:r>
          </w:p>
        </w:tc>
        <w:tc>
          <w:tcPr>
            <w:tcW w:w="1778" w:type="dxa"/>
            <w:tcBorders>
              <w:bottom w:val="single" w:sz="4" w:space="0" w:color="auto"/>
            </w:tcBorders>
            <w:vAlign w:val="bottom"/>
          </w:tcPr>
          <w:p w14:paraId="60D0DE7A" w14:textId="4764EFC7" w:rsidR="00703F9E" w:rsidRPr="00703F9E" w:rsidRDefault="0015313D" w:rsidP="00605293">
            <w:pPr>
              <w:spacing w:line="240" w:lineRule="auto"/>
              <w:ind w:firstLine="0"/>
              <w:jc w:val="center"/>
            </w:pPr>
            <w:r>
              <w:rPr>
                <w:color w:val="000000"/>
              </w:rPr>
              <w:t>0.86-5.26</w:t>
            </w:r>
          </w:p>
        </w:tc>
        <w:tc>
          <w:tcPr>
            <w:tcW w:w="1051" w:type="dxa"/>
            <w:tcBorders>
              <w:bottom w:val="single" w:sz="4" w:space="0" w:color="auto"/>
            </w:tcBorders>
            <w:vAlign w:val="bottom"/>
          </w:tcPr>
          <w:p w14:paraId="47F3CAA2" w14:textId="4906B765" w:rsidR="00703F9E" w:rsidRPr="00703F9E" w:rsidRDefault="0015313D" w:rsidP="00605293">
            <w:pPr>
              <w:spacing w:line="240" w:lineRule="auto"/>
              <w:ind w:firstLine="0"/>
              <w:jc w:val="center"/>
            </w:pPr>
            <w:r>
              <w:rPr>
                <w:color w:val="000000"/>
              </w:rPr>
              <w:t>0.102</w:t>
            </w:r>
          </w:p>
        </w:tc>
      </w:tr>
      <w:tr w:rsidR="009F345A" w:rsidRPr="005A7F38" w14:paraId="514F9A66" w14:textId="77777777" w:rsidTr="00CA72D0">
        <w:trPr>
          <w:trHeight w:val="224"/>
          <w:jc w:val="center"/>
        </w:trPr>
        <w:tc>
          <w:tcPr>
            <w:tcW w:w="3364" w:type="dxa"/>
            <w:shd w:val="clear" w:color="auto" w:fill="FFFF00"/>
            <w:vAlign w:val="bottom"/>
          </w:tcPr>
          <w:p w14:paraId="2CD2FAE7" w14:textId="75E31DF5" w:rsidR="009F345A" w:rsidRPr="00703F9E" w:rsidRDefault="009F345A" w:rsidP="00605293">
            <w:pPr>
              <w:spacing w:line="240" w:lineRule="auto"/>
              <w:ind w:firstLine="0"/>
              <w:jc w:val="left"/>
              <w:rPr>
                <w:color w:val="000000"/>
              </w:rPr>
            </w:pPr>
            <w:r>
              <w:rPr>
                <w:color w:val="000000"/>
              </w:rPr>
              <w:t>Parakeet</w:t>
            </w:r>
          </w:p>
        </w:tc>
        <w:tc>
          <w:tcPr>
            <w:tcW w:w="1051" w:type="dxa"/>
            <w:shd w:val="clear" w:color="auto" w:fill="FFFF00"/>
            <w:vAlign w:val="bottom"/>
          </w:tcPr>
          <w:p w14:paraId="34F03D2C" w14:textId="25013737" w:rsidR="009F345A" w:rsidRPr="00703F9E" w:rsidRDefault="009F345A" w:rsidP="00605293">
            <w:pPr>
              <w:spacing w:line="240" w:lineRule="auto"/>
              <w:ind w:firstLine="0"/>
              <w:jc w:val="center"/>
              <w:rPr>
                <w:color w:val="000000"/>
              </w:rPr>
            </w:pPr>
            <w:r>
              <w:rPr>
                <w:color w:val="000000"/>
              </w:rPr>
              <w:t>0.23</w:t>
            </w:r>
          </w:p>
        </w:tc>
        <w:tc>
          <w:tcPr>
            <w:tcW w:w="1778" w:type="dxa"/>
            <w:shd w:val="clear" w:color="auto" w:fill="FFFF00"/>
            <w:vAlign w:val="bottom"/>
          </w:tcPr>
          <w:p w14:paraId="7F677EDF" w14:textId="5EBC40CF" w:rsidR="009F345A" w:rsidRDefault="00CA72D0" w:rsidP="00605293">
            <w:pPr>
              <w:spacing w:line="240" w:lineRule="auto"/>
              <w:ind w:firstLine="0"/>
              <w:jc w:val="center"/>
              <w:rPr>
                <w:color w:val="000000"/>
              </w:rPr>
            </w:pPr>
            <w:r>
              <w:rPr>
                <w:color w:val="000000"/>
              </w:rPr>
              <w:t>0.08</w:t>
            </w:r>
            <w:r w:rsidR="009F345A">
              <w:rPr>
                <w:color w:val="000000"/>
              </w:rPr>
              <w:t>-0.66</w:t>
            </w:r>
          </w:p>
        </w:tc>
        <w:tc>
          <w:tcPr>
            <w:tcW w:w="1051" w:type="dxa"/>
            <w:shd w:val="clear" w:color="auto" w:fill="FFFF00"/>
            <w:vAlign w:val="bottom"/>
          </w:tcPr>
          <w:p w14:paraId="407B3290" w14:textId="41E74539" w:rsidR="009F345A" w:rsidRDefault="009F345A" w:rsidP="00605293">
            <w:pPr>
              <w:spacing w:line="240" w:lineRule="auto"/>
              <w:ind w:firstLine="0"/>
              <w:jc w:val="center"/>
              <w:rPr>
                <w:color w:val="000000"/>
              </w:rPr>
            </w:pPr>
            <w:r>
              <w:rPr>
                <w:color w:val="000000"/>
              </w:rPr>
              <w:t>0.006</w:t>
            </w:r>
          </w:p>
        </w:tc>
      </w:tr>
    </w:tbl>
    <w:p w14:paraId="62A13815" w14:textId="77777777" w:rsidR="00703F9E" w:rsidRPr="00703F9E" w:rsidRDefault="00703F9E" w:rsidP="00703F9E">
      <w:pPr>
        <w:ind w:firstLine="0"/>
        <w:sectPr w:rsidR="00703F9E" w:rsidRPr="00703F9E" w:rsidSect="009A3C3F">
          <w:pgSz w:w="12240" w:h="15840"/>
          <w:pgMar w:top="1440" w:right="1440" w:bottom="1440" w:left="1440" w:header="720" w:footer="720" w:gutter="0"/>
          <w:cols w:space="720"/>
          <w:docGrid w:linePitch="360"/>
        </w:sectPr>
      </w:pPr>
    </w:p>
    <w:p w14:paraId="40D1D3C7" w14:textId="77777777" w:rsidR="009A3C3F" w:rsidRDefault="009A3C3F" w:rsidP="00C27CE1">
      <w:pPr>
        <w:ind w:firstLine="0"/>
        <w:sectPr w:rsidR="009A3C3F" w:rsidSect="009A3C3F">
          <w:type w:val="continuous"/>
          <w:pgSz w:w="12240" w:h="15840"/>
          <w:pgMar w:top="1440" w:right="1440" w:bottom="1440" w:left="1440" w:header="720" w:footer="720" w:gutter="0"/>
          <w:cols w:space="720"/>
          <w:docGrid w:linePitch="360"/>
        </w:sectPr>
      </w:pPr>
    </w:p>
    <w:p w14:paraId="738AEE2A" w14:textId="4391F3DE" w:rsidR="00747575" w:rsidRPr="005A7F38" w:rsidRDefault="009A3C3F" w:rsidP="009A3C3F">
      <w:pPr>
        <w:pStyle w:val="Heading3"/>
        <w:numPr>
          <w:ilvl w:val="0"/>
          <w:numId w:val="0"/>
        </w:numPr>
        <w:rPr>
          <w:rFonts w:cs="Times New Roman"/>
        </w:rPr>
      </w:pPr>
      <w:bookmarkStart w:id="84" w:name="_Toc506540050"/>
      <w:r>
        <w:rPr>
          <w:rFonts w:cs="Times New Roman"/>
        </w:rPr>
        <w:lastRenderedPageBreak/>
        <w:t xml:space="preserve">4.2.4 </w:t>
      </w:r>
      <w:r w:rsidR="00747575" w:rsidRPr="005A7F38">
        <w:rPr>
          <w:rFonts w:cs="Times New Roman"/>
        </w:rPr>
        <w:t>Personal Exposures</w:t>
      </w:r>
      <w:bookmarkEnd w:id="84"/>
    </w:p>
    <w:p w14:paraId="33DFAF2E" w14:textId="0F7BAFB0" w:rsidR="007F0209" w:rsidRPr="005A7F38" w:rsidRDefault="007F0209" w:rsidP="000114BE">
      <w:pPr>
        <w:ind w:firstLine="0"/>
      </w:pPr>
      <w:r w:rsidRPr="005A7F38">
        <w:t xml:space="preserve">No association was </w:t>
      </w:r>
      <w:r w:rsidR="00B73082" w:rsidRPr="005A7F38">
        <w:t>found between smoking or second</w:t>
      </w:r>
      <w:r w:rsidRPr="005A7F38">
        <w:t xml:space="preserve">hand smoke exposure and risk of sarcoidosis. As described above, </w:t>
      </w:r>
      <w:r w:rsidR="00E55C8D" w:rsidRPr="005A7F38">
        <w:t>a negative association with smoking and sarcoidosis incidence has been reported widely in the literature</w:t>
      </w:r>
      <w:r w:rsidR="00B73082" w:rsidRPr="005A7F38">
        <w:fldChar w:fldCharType="begin"/>
      </w:r>
      <w:r w:rsidR="00B775CB">
        <w:instrText>ADDIN F1000_CSL_CITATION&lt;~#@#~&gt;[{"First":false,"Last":false,"PMCID":"PMC461354","PMID":"2850637","abstract":"Patients with pulmonary sarcoidosis are less likely to smoke than persons of a similar age in the general population. This could be because smoking reduces the likelihood of developing sarcoidosis, or alternatively smoking could reduce the severity of the disease process so that smoking patients are underrepresented among patients with clinically overt disease. To evaluate these possibilities 64 patients with sarcoidosis of recent onset were studied at presentation and after a one year follow up period, clinical, functional, radiographic, and bronchoalveolar lavage fluid criteria being used to identify factors that might account for the lower incidence of sarcoidosis in smokers and to determine whether the disease is less severe in smoking patients. Smoking was less common in the patients with sarcoidosis (30%) than in the control subjects (46%). The study did not support the conclusion that sarcoidosis is less severe in smokers, as clinical, radiographic, and functional abnormalities were similar in smokers and non-smokers at initial evaluation and after a one year follow up period. Nevertheless, smoking did influence various indices used to assess disease \"activity.\" Cigarette smoking was associated with a significant increase in the serum angiotensin converting enzyme activity (SACE), and patients with very high SACE and pulmonary gallium-67 uptake were smokers. Furthermore, more CD8+ (but not CD4+) lymphocytes were recovered by lavage from smoking than from non-smoking patients, giving a lower CD4: CD8 ratio in smokers. Fewer alveolar macrophages were recovered by lavage from smokers with sarcoidosis than from normal subjects with a similar smoking history. These finding support the possibility that smokers, particularly those with a prominent accumulation of alveolar macrophages in the lower respiratory tract, may be less likely to develop sarcoidosis.","author":[{"family":"Valeyre","given":"D"},{"family":"Soler","given":"P"},{"family":"Clerici","given":"C"},{"family":"Pré","given":"J"},{"family":"Battesti","given":"J P"},{"family":"Georges","given":"R"},{"family":"Hance","given":"A J"}],"authorYearDisplayFormat":false,"citation-label":"4507672","container-title":"Thorax","container-title-short":"Thorax","id":"4507672","invisible":false,"issue":"7","issued":{"date-parts":[["1988","7"]]},"journalAbbreviation":"Thorax","page":"516-524","suppress-author":false,"title":"Smoking and pulmonary sarcoidosis: effect of cigarette smoking on prevalence, clinical manifestations, alveolitis, and evolution of the disease.","type":"article-journal","volume":"43"},{"DOI":"10.1164/rccm.200402-249OC","First":false,"Last":false,"PMID":"15347561","abstract":"Past research suggests that environmental factors may be associated with sarcoidosis risk. We conducted a case control study to test a priori hypotheses that environmental and occupational exposures are associated with sarcoidosis. Ten centers recruited 706 newly diagnosed patients with sarcoidosis and an equal number of age-, race-, and sex-matched control subjects. Interviewers administered questionnaires containing questions regarding occupational and nonoccupational exposures that we assessed in univariable and multivariable analyses. We observed positive associations between sarcoidosis and specific occupations (e.g., agricultural employment, odds ratio [OR] 1.46, confidence interval [CI] 1.13-1.89), exposures (e.g., insecticides at work, OR 1.52, CI 1.14-2.04, and work environments with mold/mildew exposures [environments with possible exposures to microbial bioaerosols], OR 1.61, CI 1.13-2.31). A history of ever smoking cigarettes was less frequent among cases than control subjects (OR 0.62, CI 0.50-0.77). In multivariable modeling, we observed elevated ORs for work in areas with musty odors (OR 1.62, CI 1.24-2.11) and with occupational exposure to insecticides (OR 1.61, CI 1.13-2.28), and a decreased OR related to ever smoking cigarettes (OR 0.65, CI 0.51-0.82). The study did not identify a single, predominant cause of sarcoidosis. We identified several exposures associated with sarcoidosis risk, including insecticides, agricultural employment, and microbial bioaerosols.","author":[{"family":"Newman","given":"Lee S"},{"family":"Rose","given":"Cecile S"},{"family":"Bresnitz","given":"Eddy A"},{"family":"Rossman","given":"Milton D"},{"family":"Barnard","given":"Juliana"},{"family":"Frederick","given":"Margaret"},{"family":"Terrin","given":"Michael L"},{"family":"Weinberger","given":"Steven E"},{"family":"Moller","given":"David R"},{"family":"McLennan","given":"Geoffrey"},{"family":"Hunninghake","given":"Gary"},{"family":"DePalo","given":"Louis"},{"family":"Baughman","given":"Robert P"},{"family":"Iannuzzi","given":"Michael C"},{"family":"Judson","given":"Marc A"},{"family":"Knatterud","given":"Genell L"},{"family":"Thompson","given":"Bruce W"},{"family":"Teirstein","given":"Alvin S"},{"family":"Yeager","given":"Henry"},{"family":"Johns","given":"Carol J"},{"family":"Rabin","given":"David L"},{"family":"Rybicki","given":"Benjamin A"},{"family":"Cherniack","given":"Reuben"},{"family":"ACCESS Research Group"}],"authorYearDisplayFormat":false,"citation-label":"1328213","container-title":"American Journal of Respiratory and Critical Care Medicine","container-title-short":"Am J Respir Crit Care Med","id":"1328213","invisible":false,"issue":"12","issued":{"date-parts":[["2004","12","15"]]},"journalAbbreviation":"Am J Respir Crit Care Med","page":"1324-1330","suppress-author":false,"title":"A case control etiologic study of sarcoidosis: environmental and occupational risk factors.","type":"article-journal","volume":"170"}]</w:instrText>
      </w:r>
      <w:r w:rsidR="00B73082" w:rsidRPr="005A7F38">
        <w:fldChar w:fldCharType="separate"/>
      </w:r>
      <w:r w:rsidR="00B775CB" w:rsidRPr="00B775CB">
        <w:rPr>
          <w:noProof/>
          <w:vertAlign w:val="superscript"/>
        </w:rPr>
        <w:t>4,107</w:t>
      </w:r>
      <w:r w:rsidR="00B73082" w:rsidRPr="005A7F38">
        <w:fldChar w:fldCharType="end"/>
      </w:r>
      <w:r w:rsidR="00E55C8D" w:rsidRPr="005A7F38">
        <w:t>. Our inability to find an association</w:t>
      </w:r>
      <w:r w:rsidR="00B73082" w:rsidRPr="005A7F38">
        <w:t xml:space="preserve"> may be due in part to sample size and the ever versus never assessment of the exposure.</w:t>
      </w:r>
      <w:r w:rsidR="007C4111" w:rsidRPr="005A7F38">
        <w:t xml:space="preserve"> No association between </w:t>
      </w:r>
      <w:r w:rsidR="00FC3800" w:rsidRPr="005A7F38">
        <w:t xml:space="preserve">recreational drug use including marijuana, heroin, methamphetamine, crack cocaine, and cocaine </w:t>
      </w:r>
      <w:r w:rsidR="00917E4B" w:rsidRPr="005A7F38">
        <w:t>and sarcoidosis incidence was not found. No statistically significant relationship between alcohol use and sarcoidosis was identified in this population.</w:t>
      </w:r>
    </w:p>
    <w:p w14:paraId="27503D2C" w14:textId="3CC44561" w:rsidR="00C009CF" w:rsidRPr="005A7F38" w:rsidRDefault="00C009CF" w:rsidP="001D6118">
      <w:r w:rsidRPr="005A7F38">
        <w:t>We examined some selected avocational exposures based on literature suggesting possible associations with sarcoidosis incidence. We did not find a statistically significant difference in sarcoidosis incidence and gardening, volunteering at a hospital, making pottery, using a sauna or indoor pool, using spray paint or wood working.</w:t>
      </w:r>
      <w:r w:rsidR="00FF57B3">
        <w:t xml:space="preserve"> </w:t>
      </w:r>
    </w:p>
    <w:p w14:paraId="6E7C2B51" w14:textId="77777777" w:rsidR="00917E4B" w:rsidRPr="005A7F38" w:rsidRDefault="00917E4B" w:rsidP="00917E4B">
      <w:pPr>
        <w:pStyle w:val="Heading4"/>
        <w:rPr>
          <w:rFonts w:cs="Times New Roman"/>
        </w:rPr>
      </w:pPr>
      <w:bookmarkStart w:id="85" w:name="_Toc506540051"/>
      <w:r w:rsidRPr="005A7F38">
        <w:rPr>
          <w:rFonts w:cs="Times New Roman"/>
        </w:rPr>
        <w:t>Medical History</w:t>
      </w:r>
      <w:bookmarkEnd w:id="85"/>
    </w:p>
    <w:p w14:paraId="2EF1C972" w14:textId="77777777" w:rsidR="00747575" w:rsidRPr="005A7F38" w:rsidRDefault="003A2A15" w:rsidP="000114BE">
      <w:pPr>
        <w:ind w:firstLine="0"/>
      </w:pPr>
      <w:r w:rsidRPr="005A7F38">
        <w:t>A negative association with</w:t>
      </w:r>
      <w:r w:rsidR="0016647A" w:rsidRPr="005A7F38">
        <w:t xml:space="preserve"> history of both </w:t>
      </w:r>
      <w:r w:rsidRPr="005A7F38">
        <w:t>pneumococcal infection</w:t>
      </w:r>
      <w:r w:rsidR="0016647A" w:rsidRPr="005A7F38">
        <w:t xml:space="preserve"> (OR=0.4020, CI=0.1707-0.9469, p=0.0351) and bacterial pneumonia (OR=0.3535, CI=0.1472-0.8488, p=0.0182)</w:t>
      </w:r>
      <w:r w:rsidRPr="005A7F38">
        <w:t xml:space="preserve"> and incidence of sarcoidosis was found</w:t>
      </w:r>
      <w:r w:rsidR="0016647A" w:rsidRPr="005A7F38">
        <w:t>.</w:t>
      </w:r>
      <w:r w:rsidR="009B03A6" w:rsidRPr="005A7F38">
        <w:t xml:space="preserve"> </w:t>
      </w:r>
      <w:r w:rsidR="0016647A" w:rsidRPr="005A7F38">
        <w:t xml:space="preserve">No association between history of other infections including tuberculosis, influenza and influenza H1N1, pneumocystis, </w:t>
      </w:r>
      <w:r w:rsidR="008F5985" w:rsidRPr="005A7F38">
        <w:t>pneumococcal</w:t>
      </w:r>
      <w:r w:rsidR="0016647A" w:rsidRPr="005A7F38">
        <w:t xml:space="preserve"> infection, histoplasmosis, herpes infection, coccidioidomyosis infection and candidiasis. </w:t>
      </w:r>
    </w:p>
    <w:p w14:paraId="0CC9E9FE" w14:textId="16DBD701" w:rsidR="009C32BE" w:rsidRPr="005A7F38" w:rsidRDefault="0016647A" w:rsidP="009C32BE">
      <w:r w:rsidRPr="005A7F38">
        <w:t>An expected negative association with emphysema</w:t>
      </w:r>
      <w:r w:rsidR="000C5D0C" w:rsidRPr="005A7F38">
        <w:t xml:space="preserve"> (OR=0.0175, CI=0.0022-0.1400, p&lt;0.0001)</w:t>
      </w:r>
      <w:r w:rsidRPr="005A7F38">
        <w:t xml:space="preserve"> and chronic bronchitis</w:t>
      </w:r>
      <w:r w:rsidR="000C5D0C" w:rsidRPr="005A7F38">
        <w:t xml:space="preserve"> (OR=0.1587, CI=0.0548-0.4591, p=0.0003)</w:t>
      </w:r>
      <w:r w:rsidRPr="005A7F38">
        <w:t>, both characteristic of AATD, was found in this population.</w:t>
      </w:r>
      <w:r w:rsidR="00AA1551" w:rsidRPr="005A7F38">
        <w:fldChar w:fldCharType="begin"/>
      </w:r>
      <w:r w:rsidR="00B775CB">
        <w:instrText>ADDIN F1000_CSL_CITATION&lt;~#@#~&gt;[{"First":false,"Last":false,"PMID":"1414450","abstract":"&lt;strong&gt;BACKGROUND:&lt;/strong&gt; A congenital cause of emphysema resulting from alpha 1-antitrypsin (A1AT) deficiency affects 1 in 2500 individuals and could account for emphysema in 2 percent of all persons with emphysema. Individuals aged 30 to 45 years with chronic shortness of breath and coughing could have A1AT deficiency.&lt;br&gt;&lt;br&gt;&lt;strong&gt;METHODS:&lt;/strong&gt; Using the key words \"alpha 1-antitrypsin deficiency,\" \"chronic obstructive pulmonary disease,\" and \"emphysema,\" the MEDLINE files were searched from 1985 to the present. Data from articles published before 1985 were accessed from cross-reference of the recent articles.&lt;br&gt;&lt;br&gt;&lt;strong&gt;RESULTS AND CONCLUSIONS:&lt;/strong&gt; Unlike smoker's emphysema, A1AT deficiency is panacinar, appears in middle-aged patients, and is more severe at the lung bases. Chronic bronchitis, mucous hypersecretion, and liver disease, as well as a family history of emphysema, are associated conditions. Clinical management includes the avoidance of smoking and atmospheric pollution. Also available is purified, functional human A1AT in quantities large enough for intravenous replacement or augmentation therapy. Future treatment for the disease includes synthetic elastase inhibitors and an aerosolized formulation of A1AT, which is currently under investigation.","author":[{"family":"Barker","given":"A F"}],"authorYearDisplayFormat":false,"citation-label":"4541906","container-title":"The Journal of the American Board of Family Practice / American Board of Family Practice","container-title-short":"J Am Board Fam Pract","id":"4541906","invisible":false,"issue":"5","issued":{"date-parts":[["1992","10"]]},"journalAbbreviation":"J Am Board Fam Pract","page":"489-493","suppress-author":false,"title":"Alpha 1-antitrypsin-deficiency-related emphysema.","type":"article-journal","volume":"5"},{"DOI":"10.1513/AnnalsATS.201503-143OC","First":false,"Last":false,"PMCID":"PMC4627425","PMID":"26153726","abstract":"Severe deficiency of alpha-1 antitrypsin has a highly variable clinical presentation. The Genomic Research in Alpha-1 Antitrypsin Deficiency and Sarcoidosis α1 Study is a prospective, multicenter, cross-sectional study of adults older than age 35 years with PiZZ or PiMZ alpha-1 antitrypsin genotypes. It is designed to better understand if microbial factors influence this heterogeneity. Clinical symptoms, pulmonary function testing, computed chest tomography, exercise capacity, and bronchoalveolar lavage (BAL) will be used to define chronic obstructive pulmonary disease (COPD) phenotypes that can be studied with an integrated systems biology approach that includes plasma proteomics; mouth, BAL, and stool microbiome and virome analysis; and blood microRNA and blood mononuclear cell RNA and DNA profiling. We will rely on global genome, transcriptome, proteome, and metabolome datasets. Matched cohorts of PiZZ participants on or off alpha-1 antitrypsin augmentation therapy, PiMZ participants not on augmentation therapy, and control participants from the Subpopulations and Intermediate Outcome Measures in COPD Study who match on FEV1 and age will be compared. In the primary analysis, we will determine if the PiZZ individuals on augmentation therapy have a difference in lower respiratory tract microbes identified compared with matched PiZZ individuals who are not on augmentation therapy. By characterizing the microbiome in alpha-1 antitrypsin deficiency (AATD), we hope to define new phenotypes of COPD that explain some of the diversity of clinical presentations. As a unique genetic cause of COPD, AATD may inform typical COPD pathogenesis, and better understanding of it may illuminate the complex interplay between environment and genetics. Although the biologic approaches are hypothesis generating, the results may lead to development of novel biomarkers, better understanding of COPD phenotypes, and development of novel diagnostic and therapeutic trials in AATD and COPD. Clinical trial registered with www.clinicaltrials.gov (NCT01832220).","author":[{"family":"Strange","given":"Charlie"},{"family":"Senior","given":"Robert M"},{"family":"Sciurba","given":"Frank"},{"family":"O'Neal","given":"Scott"},{"family":"Morris","given":"Alison"},{"family":"Wisniewski","given":"Stephen R"},{"family":"Bowler","given":"Russell"},{"family":"Hochheiser","given":"Harry S"},{"family":"Becich","given":"Michael J"},{"family":"Zhang","given":"Yingze"},{"family":"Leader","given":"Joseph K"},{"family":"Methé","given":"Barbara A"},{"family":"Kaminski","given":"Naftali"},{"family":"Sandhaus","given":"Robert A"},{"family":"GRADS Alpha-1 Study Group"}],"authorYearDisplayFormat":false,"citation-label":"1400044","container-title":"Annals of the American Thoracic Society","container-title-short":"Ann Am Thorac Soc","id":"1400044","invisible":false,"issue":"10","issued":{"date-parts":[["2015","10"]]},"journalAbbreviation":"Ann Am Thorac Soc","page":"1551-1560","suppress-author":false,"title":"Rationale and Design of the Genomic Research in Alpha-1 Antitrypsin Deficiency and Sarcoidosis Study. Alpha-1 Protocol.","type":"article-journal","volume":"12"}]</w:instrText>
      </w:r>
      <w:r w:rsidR="00AA1551" w:rsidRPr="005A7F38">
        <w:fldChar w:fldCharType="separate"/>
      </w:r>
      <w:r w:rsidR="00B775CB" w:rsidRPr="00B775CB">
        <w:rPr>
          <w:noProof/>
          <w:vertAlign w:val="superscript"/>
        </w:rPr>
        <w:t>191,212</w:t>
      </w:r>
      <w:r w:rsidR="00AA1551" w:rsidRPr="005A7F38">
        <w:fldChar w:fldCharType="end"/>
      </w:r>
      <w:r w:rsidR="00B92A8B" w:rsidRPr="005A7F38">
        <w:t xml:space="preserve"> Other non-sarcoidosis related medical conditions </w:t>
      </w:r>
      <w:r w:rsidR="00B92A8B" w:rsidRPr="005A7F38">
        <w:lastRenderedPageBreak/>
        <w:t xml:space="preserve">were not associated with an increased risk of sarcoidosis. Pulmonary symptoms including wheeze and cough were not significantly </w:t>
      </w:r>
      <w:r w:rsidR="009C32BE" w:rsidRPr="005A7F38">
        <w:t>associated</w:t>
      </w:r>
      <w:r w:rsidR="00B92A8B" w:rsidRPr="005A7F38">
        <w:t xml:space="preserve"> to sarcoidosis incidence. </w:t>
      </w:r>
    </w:p>
    <w:p w14:paraId="39226501" w14:textId="77777777" w:rsidR="005F6B89" w:rsidRPr="005A7F38" w:rsidRDefault="005F6B89" w:rsidP="009C32BE"/>
    <w:p w14:paraId="7789A5E3" w14:textId="3276C176" w:rsidR="005F6B89" w:rsidRPr="005A7F38" w:rsidRDefault="00870253" w:rsidP="005F6B89">
      <w:pPr>
        <w:pStyle w:val="Caption"/>
      </w:pPr>
      <w:bookmarkStart w:id="86" w:name="_Toc506540070"/>
      <w:r w:rsidRPr="005A7F38">
        <w:t xml:space="preserve">Table </w:t>
      </w:r>
      <w:fldSimple w:instr=" SEQ Table \* ARABIC ">
        <w:r w:rsidR="001F73C6">
          <w:rPr>
            <w:noProof/>
          </w:rPr>
          <w:t>10</w:t>
        </w:r>
      </w:fldSimple>
      <w:r w:rsidRPr="005A7F38">
        <w:t>.</w:t>
      </w:r>
      <w:r w:rsidR="005F6B89" w:rsidRPr="005A7F38">
        <w:t xml:space="preserve"> </w:t>
      </w:r>
      <w:r w:rsidR="005F6B89" w:rsidRPr="005A7F38">
        <w:rPr>
          <w:b w:val="0"/>
        </w:rPr>
        <w:t>Vitals Signs Among Sarcoidosis Cases and Controls</w:t>
      </w:r>
      <w:bookmarkEnd w:id="86"/>
    </w:p>
    <w:tbl>
      <w:tblPr>
        <w:tblStyle w:val="TableGrid"/>
        <w:tblW w:w="0" w:type="auto"/>
        <w:jc w:val="center"/>
        <w:tblLook w:val="04A0" w:firstRow="1" w:lastRow="0" w:firstColumn="1" w:lastColumn="0" w:noHBand="0" w:noVBand="1"/>
      </w:tblPr>
      <w:tblGrid>
        <w:gridCol w:w="3865"/>
        <w:gridCol w:w="1710"/>
        <w:gridCol w:w="1800"/>
        <w:gridCol w:w="885"/>
      </w:tblGrid>
      <w:tr w:rsidR="00EF03D3" w:rsidRPr="005A7F38" w14:paraId="14EA8DB8" w14:textId="77777777" w:rsidTr="005F6B89">
        <w:trPr>
          <w:jc w:val="center"/>
        </w:trPr>
        <w:tc>
          <w:tcPr>
            <w:tcW w:w="3865" w:type="dxa"/>
          </w:tcPr>
          <w:p w14:paraId="07079D4A" w14:textId="77777777" w:rsidR="009C4A9F" w:rsidRPr="005A7F38" w:rsidRDefault="009C4A9F" w:rsidP="005F6B89">
            <w:pPr>
              <w:spacing w:line="240" w:lineRule="auto"/>
              <w:ind w:firstLine="0"/>
            </w:pPr>
          </w:p>
        </w:tc>
        <w:tc>
          <w:tcPr>
            <w:tcW w:w="1710" w:type="dxa"/>
          </w:tcPr>
          <w:p w14:paraId="4A29E2F1" w14:textId="77777777" w:rsidR="009C4A9F" w:rsidRPr="005A7F38" w:rsidRDefault="00C54BF9" w:rsidP="005F6B89">
            <w:pPr>
              <w:spacing w:line="240" w:lineRule="auto"/>
              <w:ind w:firstLine="0"/>
              <w:jc w:val="center"/>
              <w:rPr>
                <w:b/>
              </w:rPr>
            </w:pPr>
            <w:r w:rsidRPr="005A7F38">
              <w:rPr>
                <w:b/>
              </w:rPr>
              <w:t>Sarcoidosis Cases</w:t>
            </w:r>
            <w:r w:rsidR="005F6B89" w:rsidRPr="005A7F38">
              <w:rPr>
                <w:b/>
              </w:rPr>
              <w:t xml:space="preserve">, </w:t>
            </w:r>
          </w:p>
          <w:p w14:paraId="43F42732" w14:textId="77777777" w:rsidR="005F6B89" w:rsidRPr="005A7F38" w:rsidRDefault="005F6B89" w:rsidP="00BC1BB9">
            <w:pPr>
              <w:spacing w:line="240" w:lineRule="auto"/>
              <w:ind w:firstLine="0"/>
              <w:jc w:val="center"/>
              <w:rPr>
                <w:b/>
              </w:rPr>
            </w:pPr>
            <w:r w:rsidRPr="005A7F38">
              <w:rPr>
                <w:b/>
              </w:rPr>
              <w:t>N</w:t>
            </w:r>
            <w:r w:rsidR="00BC1BB9">
              <w:rPr>
                <w:b/>
              </w:rPr>
              <w:t>=58</w:t>
            </w:r>
          </w:p>
        </w:tc>
        <w:tc>
          <w:tcPr>
            <w:tcW w:w="1800" w:type="dxa"/>
          </w:tcPr>
          <w:p w14:paraId="0890755F" w14:textId="77777777" w:rsidR="00BC1BB9" w:rsidRDefault="00C54BF9" w:rsidP="005F6B89">
            <w:pPr>
              <w:spacing w:line="240" w:lineRule="auto"/>
              <w:ind w:firstLine="0"/>
              <w:jc w:val="center"/>
              <w:rPr>
                <w:b/>
              </w:rPr>
            </w:pPr>
            <w:r w:rsidRPr="005A7F38">
              <w:rPr>
                <w:b/>
              </w:rPr>
              <w:t>AATD Controls</w:t>
            </w:r>
            <w:r w:rsidR="00BC1BB9">
              <w:rPr>
                <w:b/>
              </w:rPr>
              <w:t>,</w:t>
            </w:r>
          </w:p>
          <w:p w14:paraId="28F36693" w14:textId="77777777" w:rsidR="009C4A9F" w:rsidRPr="005A7F38" w:rsidRDefault="00BC1BB9" w:rsidP="005F6B89">
            <w:pPr>
              <w:spacing w:line="240" w:lineRule="auto"/>
              <w:ind w:firstLine="0"/>
              <w:jc w:val="center"/>
              <w:rPr>
                <w:b/>
              </w:rPr>
            </w:pPr>
            <w:r>
              <w:rPr>
                <w:b/>
              </w:rPr>
              <w:t xml:space="preserve"> N=58</w:t>
            </w:r>
          </w:p>
        </w:tc>
        <w:tc>
          <w:tcPr>
            <w:tcW w:w="885" w:type="dxa"/>
          </w:tcPr>
          <w:p w14:paraId="1CB2DD90" w14:textId="77777777" w:rsidR="009C4A9F" w:rsidRPr="005A7F38" w:rsidRDefault="00C54BF9" w:rsidP="005F6B89">
            <w:pPr>
              <w:spacing w:line="240" w:lineRule="auto"/>
              <w:ind w:firstLine="0"/>
              <w:jc w:val="center"/>
              <w:rPr>
                <w:b/>
              </w:rPr>
            </w:pPr>
            <w:r w:rsidRPr="005A7F38">
              <w:rPr>
                <w:b/>
              </w:rPr>
              <w:t>P-Value</w:t>
            </w:r>
          </w:p>
        </w:tc>
      </w:tr>
      <w:tr w:rsidR="00EF03D3" w:rsidRPr="005A7F38" w14:paraId="17C3A0DA" w14:textId="77777777" w:rsidTr="005F6B89">
        <w:trPr>
          <w:jc w:val="center"/>
        </w:trPr>
        <w:tc>
          <w:tcPr>
            <w:tcW w:w="3865" w:type="dxa"/>
          </w:tcPr>
          <w:p w14:paraId="054B8C5C" w14:textId="77777777" w:rsidR="00EF03D3" w:rsidRPr="005A7F38" w:rsidRDefault="00EF03D3" w:rsidP="005F6B89">
            <w:pPr>
              <w:spacing w:line="240" w:lineRule="auto"/>
              <w:ind w:firstLine="0"/>
              <w:jc w:val="left"/>
            </w:pPr>
            <w:r w:rsidRPr="005A7F38">
              <w:t>Diastolic Blood Pressure, Mean (SD)</w:t>
            </w:r>
          </w:p>
        </w:tc>
        <w:tc>
          <w:tcPr>
            <w:tcW w:w="1710" w:type="dxa"/>
            <w:vAlign w:val="bottom"/>
          </w:tcPr>
          <w:p w14:paraId="3E5467F5" w14:textId="77777777" w:rsidR="00EF03D3" w:rsidRPr="005A7F38" w:rsidRDefault="00EF03D3" w:rsidP="005F6B89">
            <w:pPr>
              <w:spacing w:line="240" w:lineRule="auto"/>
              <w:ind w:firstLine="0"/>
              <w:jc w:val="center"/>
            </w:pPr>
            <w:r w:rsidRPr="005A7F38">
              <w:rPr>
                <w:color w:val="000000"/>
              </w:rPr>
              <w:t>81.05 (9.31)</w:t>
            </w:r>
          </w:p>
        </w:tc>
        <w:tc>
          <w:tcPr>
            <w:tcW w:w="1800" w:type="dxa"/>
            <w:vAlign w:val="bottom"/>
          </w:tcPr>
          <w:p w14:paraId="4725073B" w14:textId="77777777" w:rsidR="00EF03D3" w:rsidRPr="005A7F38" w:rsidRDefault="00EF03D3" w:rsidP="005F6B89">
            <w:pPr>
              <w:spacing w:line="240" w:lineRule="auto"/>
              <w:ind w:firstLine="0"/>
              <w:jc w:val="center"/>
            </w:pPr>
            <w:r w:rsidRPr="005A7F38">
              <w:rPr>
                <w:color w:val="000000"/>
              </w:rPr>
              <w:t>77.13 (12.86)</w:t>
            </w:r>
          </w:p>
        </w:tc>
        <w:tc>
          <w:tcPr>
            <w:tcW w:w="885" w:type="dxa"/>
            <w:vAlign w:val="bottom"/>
          </w:tcPr>
          <w:p w14:paraId="72934B7B" w14:textId="71E19CD0" w:rsidR="00EF03D3" w:rsidRPr="005A7F38" w:rsidRDefault="00B9515D" w:rsidP="005F6B89">
            <w:pPr>
              <w:spacing w:line="240" w:lineRule="auto"/>
              <w:ind w:firstLine="0"/>
              <w:jc w:val="center"/>
            </w:pPr>
            <w:r>
              <w:rPr>
                <w:color w:val="000000"/>
              </w:rPr>
              <w:t>0.09</w:t>
            </w:r>
          </w:p>
        </w:tc>
      </w:tr>
      <w:tr w:rsidR="00EF03D3" w:rsidRPr="005A7F38" w14:paraId="35A001CE" w14:textId="77777777" w:rsidTr="005F6B89">
        <w:trPr>
          <w:trHeight w:val="296"/>
          <w:jc w:val="center"/>
        </w:trPr>
        <w:tc>
          <w:tcPr>
            <w:tcW w:w="3865" w:type="dxa"/>
          </w:tcPr>
          <w:p w14:paraId="46FE85B7" w14:textId="77777777" w:rsidR="00EF03D3" w:rsidRPr="005A7F38" w:rsidRDefault="00EF03D3" w:rsidP="005F6B89">
            <w:pPr>
              <w:spacing w:line="240" w:lineRule="auto"/>
              <w:ind w:firstLine="0"/>
              <w:jc w:val="left"/>
            </w:pPr>
            <w:r w:rsidRPr="005A7F38">
              <w:t>Systolic Blood Pressure, Mean (SD)</w:t>
            </w:r>
          </w:p>
        </w:tc>
        <w:tc>
          <w:tcPr>
            <w:tcW w:w="1710" w:type="dxa"/>
            <w:vAlign w:val="bottom"/>
          </w:tcPr>
          <w:p w14:paraId="2D5C9200" w14:textId="77777777" w:rsidR="00EF03D3" w:rsidRPr="005A7F38" w:rsidRDefault="00EF03D3" w:rsidP="005F6B89">
            <w:pPr>
              <w:spacing w:line="240" w:lineRule="auto"/>
              <w:ind w:firstLine="0"/>
              <w:jc w:val="center"/>
            </w:pPr>
            <w:r w:rsidRPr="005A7F38">
              <w:rPr>
                <w:color w:val="000000"/>
              </w:rPr>
              <w:t>130.22 (13.27)</w:t>
            </w:r>
          </w:p>
        </w:tc>
        <w:tc>
          <w:tcPr>
            <w:tcW w:w="1800" w:type="dxa"/>
            <w:vAlign w:val="bottom"/>
          </w:tcPr>
          <w:p w14:paraId="5359DFA4" w14:textId="77777777" w:rsidR="00EF03D3" w:rsidRPr="005A7F38" w:rsidRDefault="00EF03D3" w:rsidP="005F6B89">
            <w:pPr>
              <w:spacing w:line="240" w:lineRule="auto"/>
              <w:ind w:firstLine="0"/>
              <w:jc w:val="center"/>
            </w:pPr>
            <w:r w:rsidRPr="005A7F38">
              <w:rPr>
                <w:color w:val="000000"/>
              </w:rPr>
              <w:t>129.78 (18.23)</w:t>
            </w:r>
          </w:p>
        </w:tc>
        <w:tc>
          <w:tcPr>
            <w:tcW w:w="885" w:type="dxa"/>
            <w:vAlign w:val="bottom"/>
          </w:tcPr>
          <w:p w14:paraId="39E58805" w14:textId="01CEBFFB" w:rsidR="00EF03D3" w:rsidRPr="005A7F38" w:rsidRDefault="00B9515D" w:rsidP="005F6B89">
            <w:pPr>
              <w:spacing w:line="240" w:lineRule="auto"/>
              <w:ind w:firstLine="0"/>
              <w:jc w:val="center"/>
            </w:pPr>
            <w:r>
              <w:rPr>
                <w:color w:val="000000"/>
              </w:rPr>
              <w:t>0.89</w:t>
            </w:r>
          </w:p>
        </w:tc>
      </w:tr>
      <w:tr w:rsidR="00EF03D3" w:rsidRPr="005A7F38" w14:paraId="5CB72317" w14:textId="77777777" w:rsidTr="005F6B89">
        <w:trPr>
          <w:jc w:val="center"/>
        </w:trPr>
        <w:tc>
          <w:tcPr>
            <w:tcW w:w="3865" w:type="dxa"/>
          </w:tcPr>
          <w:p w14:paraId="56721B72" w14:textId="77777777" w:rsidR="00EF03D3" w:rsidRPr="005A7F38" w:rsidRDefault="00EF03D3" w:rsidP="005F6B89">
            <w:pPr>
              <w:spacing w:line="240" w:lineRule="auto"/>
              <w:ind w:firstLine="0"/>
              <w:jc w:val="left"/>
            </w:pPr>
            <w:r w:rsidRPr="005A7F38">
              <w:t>Pulse Rate, Mean (SD)</w:t>
            </w:r>
          </w:p>
        </w:tc>
        <w:tc>
          <w:tcPr>
            <w:tcW w:w="1710" w:type="dxa"/>
            <w:vAlign w:val="bottom"/>
          </w:tcPr>
          <w:p w14:paraId="7293B58F" w14:textId="77777777" w:rsidR="00EF03D3" w:rsidRPr="005A7F38" w:rsidRDefault="00EF03D3" w:rsidP="005F6B89">
            <w:pPr>
              <w:spacing w:line="240" w:lineRule="auto"/>
              <w:ind w:firstLine="0"/>
              <w:jc w:val="center"/>
            </w:pPr>
            <w:r w:rsidRPr="005A7F38">
              <w:rPr>
                <w:color w:val="000000"/>
              </w:rPr>
              <w:t>73.65 (12.75)</w:t>
            </w:r>
          </w:p>
        </w:tc>
        <w:tc>
          <w:tcPr>
            <w:tcW w:w="1800" w:type="dxa"/>
            <w:vAlign w:val="bottom"/>
          </w:tcPr>
          <w:p w14:paraId="27A9244A" w14:textId="77777777" w:rsidR="00EF03D3" w:rsidRPr="005A7F38" w:rsidRDefault="00EF03D3" w:rsidP="005F6B89">
            <w:pPr>
              <w:spacing w:line="240" w:lineRule="auto"/>
              <w:ind w:firstLine="0"/>
              <w:jc w:val="center"/>
            </w:pPr>
            <w:r w:rsidRPr="005A7F38">
              <w:rPr>
                <w:color w:val="000000"/>
              </w:rPr>
              <w:t>72.55 (13.25)</w:t>
            </w:r>
          </w:p>
        </w:tc>
        <w:tc>
          <w:tcPr>
            <w:tcW w:w="885" w:type="dxa"/>
            <w:vAlign w:val="bottom"/>
          </w:tcPr>
          <w:p w14:paraId="1EE1EFBF" w14:textId="115A0A0D" w:rsidR="00EF03D3" w:rsidRPr="005A7F38" w:rsidRDefault="00B9515D" w:rsidP="005F6B89">
            <w:pPr>
              <w:spacing w:line="240" w:lineRule="auto"/>
              <w:ind w:firstLine="0"/>
              <w:jc w:val="center"/>
            </w:pPr>
            <w:r>
              <w:rPr>
                <w:color w:val="000000"/>
              </w:rPr>
              <w:t>0.68</w:t>
            </w:r>
          </w:p>
        </w:tc>
      </w:tr>
      <w:tr w:rsidR="00EF03D3" w:rsidRPr="005A7F38" w14:paraId="152982F0" w14:textId="77777777" w:rsidTr="005F6B89">
        <w:trPr>
          <w:jc w:val="center"/>
        </w:trPr>
        <w:tc>
          <w:tcPr>
            <w:tcW w:w="3865" w:type="dxa"/>
          </w:tcPr>
          <w:p w14:paraId="78CA05BD" w14:textId="77777777" w:rsidR="00EF03D3" w:rsidRPr="005A7F38" w:rsidRDefault="00EF03D3" w:rsidP="005F6B89">
            <w:pPr>
              <w:spacing w:line="240" w:lineRule="auto"/>
              <w:ind w:firstLine="0"/>
              <w:jc w:val="left"/>
            </w:pPr>
            <w:r w:rsidRPr="005A7F38">
              <w:t>Respiration Rate, Mean (SD)</w:t>
            </w:r>
          </w:p>
        </w:tc>
        <w:tc>
          <w:tcPr>
            <w:tcW w:w="1710" w:type="dxa"/>
            <w:vAlign w:val="bottom"/>
          </w:tcPr>
          <w:p w14:paraId="794B2270" w14:textId="77777777" w:rsidR="00EF03D3" w:rsidRPr="005A7F38" w:rsidRDefault="00EF03D3" w:rsidP="005F6B89">
            <w:pPr>
              <w:spacing w:line="240" w:lineRule="auto"/>
              <w:ind w:firstLine="0"/>
              <w:jc w:val="center"/>
            </w:pPr>
            <w:r w:rsidRPr="005A7F38">
              <w:rPr>
                <w:color w:val="000000"/>
              </w:rPr>
              <w:t>17.22 (2.85)</w:t>
            </w:r>
          </w:p>
        </w:tc>
        <w:tc>
          <w:tcPr>
            <w:tcW w:w="1800" w:type="dxa"/>
            <w:vAlign w:val="bottom"/>
          </w:tcPr>
          <w:p w14:paraId="5275096A" w14:textId="77777777" w:rsidR="00EF03D3" w:rsidRPr="005A7F38" w:rsidRDefault="00EF03D3" w:rsidP="005F6B89">
            <w:pPr>
              <w:spacing w:line="240" w:lineRule="auto"/>
              <w:ind w:firstLine="0"/>
              <w:jc w:val="center"/>
            </w:pPr>
            <w:r w:rsidRPr="005A7F38">
              <w:rPr>
                <w:color w:val="000000"/>
              </w:rPr>
              <w:t>16.97 (3.02)</w:t>
            </w:r>
          </w:p>
        </w:tc>
        <w:tc>
          <w:tcPr>
            <w:tcW w:w="885" w:type="dxa"/>
            <w:vAlign w:val="bottom"/>
          </w:tcPr>
          <w:p w14:paraId="6EF7028B" w14:textId="637099D4" w:rsidR="00EF03D3" w:rsidRPr="005A7F38" w:rsidRDefault="00B9515D" w:rsidP="005F6B89">
            <w:pPr>
              <w:spacing w:line="240" w:lineRule="auto"/>
              <w:ind w:firstLine="0"/>
              <w:jc w:val="center"/>
            </w:pPr>
            <w:r>
              <w:rPr>
                <w:color w:val="000000"/>
              </w:rPr>
              <w:t>0.68</w:t>
            </w:r>
          </w:p>
        </w:tc>
      </w:tr>
    </w:tbl>
    <w:p w14:paraId="3E0FE5E6" w14:textId="77777777" w:rsidR="001319A0" w:rsidRDefault="001319A0" w:rsidP="00703F9E">
      <w:pPr>
        <w:ind w:firstLine="0"/>
      </w:pPr>
    </w:p>
    <w:p w14:paraId="71FB0671" w14:textId="77777777" w:rsidR="00D806E0" w:rsidRDefault="00D806E0" w:rsidP="00D806E0">
      <w:pPr>
        <w:pStyle w:val="Caption"/>
        <w:spacing w:line="240" w:lineRule="auto"/>
      </w:pPr>
    </w:p>
    <w:p w14:paraId="02F37D3A" w14:textId="5299C4CC" w:rsidR="00021695" w:rsidRPr="005A7F38" w:rsidRDefault="00870253" w:rsidP="00021695">
      <w:pPr>
        <w:pStyle w:val="Caption"/>
      </w:pPr>
      <w:bookmarkStart w:id="87" w:name="_Toc506540071"/>
      <w:r w:rsidRPr="005A7F38">
        <w:t xml:space="preserve">Table </w:t>
      </w:r>
      <w:fldSimple w:instr=" SEQ Table \* ARABIC ">
        <w:r w:rsidR="001F73C6">
          <w:rPr>
            <w:noProof/>
          </w:rPr>
          <w:t>11</w:t>
        </w:r>
      </w:fldSimple>
      <w:r w:rsidRPr="005A7F38">
        <w:t>.</w:t>
      </w:r>
      <w:r w:rsidR="00021695" w:rsidRPr="005A7F38">
        <w:t xml:space="preserve"> </w:t>
      </w:r>
      <w:r w:rsidR="00021695" w:rsidRPr="005A7F38">
        <w:rPr>
          <w:b w:val="0"/>
        </w:rPr>
        <w:t>Family Medical History Among Sarcoidosis Case and Controls</w:t>
      </w:r>
      <w:bookmarkEnd w:id="87"/>
    </w:p>
    <w:tbl>
      <w:tblPr>
        <w:tblStyle w:val="TableGrid"/>
        <w:tblW w:w="0" w:type="auto"/>
        <w:jc w:val="center"/>
        <w:tblLook w:val="04A0" w:firstRow="1" w:lastRow="0" w:firstColumn="1" w:lastColumn="0" w:noHBand="0" w:noVBand="1"/>
      </w:tblPr>
      <w:tblGrid>
        <w:gridCol w:w="5575"/>
        <w:gridCol w:w="1440"/>
        <w:gridCol w:w="1350"/>
        <w:gridCol w:w="985"/>
      </w:tblGrid>
      <w:tr w:rsidR="00021695" w:rsidRPr="005A7F38" w14:paraId="217E08DB" w14:textId="77777777" w:rsidTr="00021695">
        <w:trPr>
          <w:jc w:val="center"/>
        </w:trPr>
        <w:tc>
          <w:tcPr>
            <w:tcW w:w="5575" w:type="dxa"/>
          </w:tcPr>
          <w:p w14:paraId="77AAF4B8" w14:textId="77777777" w:rsidR="00705A3D" w:rsidRPr="005A7F38" w:rsidRDefault="00705A3D" w:rsidP="005F6B89">
            <w:pPr>
              <w:spacing w:line="240" w:lineRule="auto"/>
              <w:ind w:firstLine="0"/>
              <w:jc w:val="left"/>
            </w:pPr>
          </w:p>
        </w:tc>
        <w:tc>
          <w:tcPr>
            <w:tcW w:w="1440" w:type="dxa"/>
          </w:tcPr>
          <w:p w14:paraId="747B2895" w14:textId="77777777" w:rsidR="00021695" w:rsidRPr="005A7F38" w:rsidRDefault="00705A3D" w:rsidP="00021695">
            <w:pPr>
              <w:spacing w:line="240" w:lineRule="auto"/>
              <w:ind w:firstLine="0"/>
              <w:jc w:val="center"/>
              <w:rPr>
                <w:b/>
              </w:rPr>
            </w:pPr>
            <w:r w:rsidRPr="005A7F38">
              <w:rPr>
                <w:b/>
              </w:rPr>
              <w:t>Sarcoidosis Cases</w:t>
            </w:r>
            <w:r w:rsidR="00021695" w:rsidRPr="005A7F38">
              <w:rPr>
                <w:b/>
              </w:rPr>
              <w:t xml:space="preserve">, </w:t>
            </w:r>
          </w:p>
          <w:p w14:paraId="33D0D224" w14:textId="77777777" w:rsidR="00705A3D" w:rsidRPr="005A7F38" w:rsidRDefault="00021695" w:rsidP="00021695">
            <w:pPr>
              <w:spacing w:line="240" w:lineRule="auto"/>
              <w:ind w:firstLine="0"/>
              <w:jc w:val="center"/>
            </w:pPr>
            <w:r w:rsidRPr="005A7F38">
              <w:rPr>
                <w:b/>
              </w:rPr>
              <w:t>N</w:t>
            </w:r>
            <w:r w:rsidR="00D64590">
              <w:rPr>
                <w:b/>
              </w:rPr>
              <w:t>=58</w:t>
            </w:r>
            <w:r w:rsidRPr="005A7F38">
              <w:rPr>
                <w:b/>
              </w:rPr>
              <w:t xml:space="preserve"> (%)</w:t>
            </w:r>
          </w:p>
        </w:tc>
        <w:tc>
          <w:tcPr>
            <w:tcW w:w="1350" w:type="dxa"/>
          </w:tcPr>
          <w:p w14:paraId="6D1A8C36" w14:textId="77777777" w:rsidR="00705A3D" w:rsidRPr="005A7F38" w:rsidRDefault="00705A3D" w:rsidP="00021695">
            <w:pPr>
              <w:spacing w:line="240" w:lineRule="auto"/>
              <w:ind w:firstLine="0"/>
              <w:jc w:val="center"/>
              <w:rPr>
                <w:b/>
              </w:rPr>
            </w:pPr>
            <w:r w:rsidRPr="005A7F38">
              <w:rPr>
                <w:b/>
              </w:rPr>
              <w:t>AATD Controls</w:t>
            </w:r>
            <w:r w:rsidR="00021695" w:rsidRPr="005A7F38">
              <w:rPr>
                <w:b/>
              </w:rPr>
              <w:t xml:space="preserve">, </w:t>
            </w:r>
          </w:p>
          <w:p w14:paraId="2E81EB5B" w14:textId="77777777" w:rsidR="00021695" w:rsidRPr="005A7F38" w:rsidRDefault="00021695" w:rsidP="00021695">
            <w:pPr>
              <w:spacing w:line="240" w:lineRule="auto"/>
              <w:ind w:firstLine="0"/>
              <w:jc w:val="center"/>
            </w:pPr>
            <w:r w:rsidRPr="005A7F38">
              <w:rPr>
                <w:b/>
              </w:rPr>
              <w:t>N</w:t>
            </w:r>
            <w:r w:rsidR="00D64590">
              <w:rPr>
                <w:b/>
              </w:rPr>
              <w:t>=38</w:t>
            </w:r>
            <w:r w:rsidRPr="005A7F38">
              <w:rPr>
                <w:b/>
              </w:rPr>
              <w:t xml:space="preserve"> (%)</w:t>
            </w:r>
          </w:p>
        </w:tc>
        <w:tc>
          <w:tcPr>
            <w:tcW w:w="985" w:type="dxa"/>
          </w:tcPr>
          <w:p w14:paraId="492EBFB9" w14:textId="77777777" w:rsidR="00705A3D" w:rsidRPr="005A7F38" w:rsidRDefault="00705A3D" w:rsidP="00021695">
            <w:pPr>
              <w:spacing w:line="240" w:lineRule="auto"/>
              <w:ind w:firstLine="0"/>
              <w:jc w:val="center"/>
            </w:pPr>
            <w:r w:rsidRPr="005A7F38">
              <w:rPr>
                <w:b/>
              </w:rPr>
              <w:t>P-Value</w:t>
            </w:r>
          </w:p>
        </w:tc>
      </w:tr>
      <w:tr w:rsidR="00021695" w:rsidRPr="005A7F38" w14:paraId="241527C8" w14:textId="77777777" w:rsidTr="00021695">
        <w:trPr>
          <w:jc w:val="center"/>
        </w:trPr>
        <w:tc>
          <w:tcPr>
            <w:tcW w:w="5575" w:type="dxa"/>
            <w:vAlign w:val="bottom"/>
          </w:tcPr>
          <w:p w14:paraId="7B267B91" w14:textId="77777777" w:rsidR="00705A3D" w:rsidRPr="005A7F38" w:rsidRDefault="00705A3D" w:rsidP="005F6B89">
            <w:pPr>
              <w:spacing w:line="240" w:lineRule="auto"/>
              <w:ind w:firstLine="0"/>
              <w:jc w:val="left"/>
            </w:pPr>
            <w:r w:rsidRPr="005A7F38">
              <w:rPr>
                <w:b/>
                <w:bCs/>
                <w:color w:val="000000"/>
              </w:rPr>
              <w:t>History of Pulmonary Fibrosis</w:t>
            </w:r>
          </w:p>
        </w:tc>
        <w:tc>
          <w:tcPr>
            <w:tcW w:w="1440" w:type="dxa"/>
            <w:vAlign w:val="bottom"/>
          </w:tcPr>
          <w:p w14:paraId="0E5F6ADB" w14:textId="77777777" w:rsidR="00705A3D" w:rsidRPr="005A7F38" w:rsidRDefault="00705A3D" w:rsidP="00021695">
            <w:pPr>
              <w:spacing w:line="240" w:lineRule="auto"/>
              <w:ind w:firstLine="0"/>
            </w:pPr>
          </w:p>
        </w:tc>
        <w:tc>
          <w:tcPr>
            <w:tcW w:w="1350" w:type="dxa"/>
            <w:vAlign w:val="bottom"/>
          </w:tcPr>
          <w:p w14:paraId="7D930CBA" w14:textId="77777777" w:rsidR="00705A3D" w:rsidRPr="005A7F38" w:rsidRDefault="00705A3D" w:rsidP="00021695">
            <w:pPr>
              <w:spacing w:line="240" w:lineRule="auto"/>
              <w:ind w:firstLine="0"/>
            </w:pPr>
          </w:p>
        </w:tc>
        <w:tc>
          <w:tcPr>
            <w:tcW w:w="985" w:type="dxa"/>
            <w:vAlign w:val="bottom"/>
          </w:tcPr>
          <w:p w14:paraId="0D5C2C1E" w14:textId="77777777" w:rsidR="00705A3D" w:rsidRPr="005A7F38" w:rsidRDefault="00705A3D" w:rsidP="00021695">
            <w:pPr>
              <w:spacing w:line="240" w:lineRule="auto"/>
              <w:ind w:firstLine="0"/>
              <w:jc w:val="center"/>
            </w:pPr>
          </w:p>
        </w:tc>
      </w:tr>
      <w:tr w:rsidR="00021695" w:rsidRPr="005A7F38" w14:paraId="551F641D" w14:textId="77777777" w:rsidTr="00021695">
        <w:trPr>
          <w:jc w:val="center"/>
        </w:trPr>
        <w:tc>
          <w:tcPr>
            <w:tcW w:w="5575" w:type="dxa"/>
            <w:vAlign w:val="bottom"/>
          </w:tcPr>
          <w:p w14:paraId="5AA3F5ED" w14:textId="77777777" w:rsidR="00705A3D" w:rsidRPr="005A7F38" w:rsidRDefault="00705A3D" w:rsidP="005F6B89">
            <w:pPr>
              <w:spacing w:line="240" w:lineRule="auto"/>
              <w:ind w:firstLine="0"/>
              <w:jc w:val="left"/>
            </w:pPr>
            <w:r w:rsidRPr="005A7F38">
              <w:rPr>
                <w:color w:val="000000"/>
              </w:rPr>
              <w:t>Family History of Pulmonary Fibrosis</w:t>
            </w:r>
          </w:p>
        </w:tc>
        <w:tc>
          <w:tcPr>
            <w:tcW w:w="1440" w:type="dxa"/>
            <w:vAlign w:val="bottom"/>
          </w:tcPr>
          <w:p w14:paraId="5F1E6FDE" w14:textId="77777777" w:rsidR="00705A3D" w:rsidRPr="005A7F38" w:rsidRDefault="00705A3D" w:rsidP="00021695">
            <w:pPr>
              <w:spacing w:line="240" w:lineRule="auto"/>
              <w:ind w:firstLine="0"/>
              <w:jc w:val="center"/>
            </w:pPr>
            <w:r w:rsidRPr="005A7F38">
              <w:rPr>
                <w:color w:val="000000"/>
              </w:rPr>
              <w:t>8 (14.04)</w:t>
            </w:r>
          </w:p>
        </w:tc>
        <w:tc>
          <w:tcPr>
            <w:tcW w:w="1350" w:type="dxa"/>
            <w:vAlign w:val="bottom"/>
          </w:tcPr>
          <w:p w14:paraId="2DB691A2" w14:textId="77777777" w:rsidR="00705A3D" w:rsidRPr="005A7F38" w:rsidRDefault="00705A3D" w:rsidP="00021695">
            <w:pPr>
              <w:spacing w:line="240" w:lineRule="auto"/>
              <w:ind w:firstLine="0"/>
              <w:jc w:val="center"/>
            </w:pPr>
            <w:r w:rsidRPr="005A7F38">
              <w:rPr>
                <w:color w:val="000000"/>
              </w:rPr>
              <w:t>3 (8.11)</w:t>
            </w:r>
          </w:p>
        </w:tc>
        <w:tc>
          <w:tcPr>
            <w:tcW w:w="985" w:type="dxa"/>
            <w:vAlign w:val="bottom"/>
          </w:tcPr>
          <w:p w14:paraId="4FFDC29A" w14:textId="058DC883" w:rsidR="00705A3D" w:rsidRPr="005A7F38" w:rsidRDefault="00B9515D" w:rsidP="00021695">
            <w:pPr>
              <w:spacing w:line="240" w:lineRule="auto"/>
              <w:ind w:firstLine="0"/>
              <w:jc w:val="center"/>
            </w:pPr>
            <w:r>
              <w:rPr>
                <w:color w:val="000000"/>
              </w:rPr>
              <w:t>0.46</w:t>
            </w:r>
          </w:p>
        </w:tc>
      </w:tr>
      <w:tr w:rsidR="00021695" w:rsidRPr="005A7F38" w14:paraId="73B1D7AB" w14:textId="77777777" w:rsidTr="00021695">
        <w:trPr>
          <w:jc w:val="center"/>
        </w:trPr>
        <w:tc>
          <w:tcPr>
            <w:tcW w:w="5575" w:type="dxa"/>
            <w:vAlign w:val="bottom"/>
          </w:tcPr>
          <w:p w14:paraId="30508208" w14:textId="77777777" w:rsidR="00705A3D" w:rsidRPr="005A7F38" w:rsidRDefault="00705A3D" w:rsidP="005F6B89">
            <w:pPr>
              <w:spacing w:line="240" w:lineRule="auto"/>
              <w:ind w:firstLine="0"/>
              <w:jc w:val="left"/>
            </w:pPr>
            <w:r w:rsidRPr="005A7F38">
              <w:rPr>
                <w:color w:val="000000"/>
              </w:rPr>
              <w:t>Aunt or Uncle with History of Pulmonary Fibrosis</w:t>
            </w:r>
          </w:p>
        </w:tc>
        <w:tc>
          <w:tcPr>
            <w:tcW w:w="1440" w:type="dxa"/>
            <w:vAlign w:val="bottom"/>
          </w:tcPr>
          <w:p w14:paraId="1B992A0D" w14:textId="77777777" w:rsidR="00705A3D" w:rsidRPr="005A7F38" w:rsidRDefault="00705A3D" w:rsidP="00021695">
            <w:pPr>
              <w:spacing w:line="240" w:lineRule="auto"/>
              <w:ind w:firstLine="0"/>
              <w:jc w:val="center"/>
            </w:pPr>
            <w:r w:rsidRPr="005A7F38">
              <w:rPr>
                <w:color w:val="000000"/>
              </w:rPr>
              <w:t>0</w:t>
            </w:r>
          </w:p>
        </w:tc>
        <w:tc>
          <w:tcPr>
            <w:tcW w:w="1350" w:type="dxa"/>
            <w:vAlign w:val="bottom"/>
          </w:tcPr>
          <w:p w14:paraId="5DEEF097" w14:textId="77777777" w:rsidR="00705A3D" w:rsidRPr="005A7F38" w:rsidRDefault="00705A3D" w:rsidP="00021695">
            <w:pPr>
              <w:spacing w:line="240" w:lineRule="auto"/>
              <w:ind w:firstLine="0"/>
              <w:jc w:val="center"/>
            </w:pPr>
            <w:r w:rsidRPr="005A7F38">
              <w:rPr>
                <w:color w:val="000000"/>
              </w:rPr>
              <w:t>1 (2.70)</w:t>
            </w:r>
          </w:p>
        </w:tc>
        <w:tc>
          <w:tcPr>
            <w:tcW w:w="985" w:type="dxa"/>
            <w:vAlign w:val="bottom"/>
          </w:tcPr>
          <w:p w14:paraId="3290AFB7" w14:textId="072120B5" w:rsidR="00705A3D" w:rsidRPr="005A7F38" w:rsidRDefault="00B9515D" w:rsidP="00021695">
            <w:pPr>
              <w:spacing w:line="240" w:lineRule="auto"/>
              <w:ind w:firstLine="0"/>
              <w:jc w:val="center"/>
            </w:pPr>
            <w:r>
              <w:rPr>
                <w:color w:val="000000"/>
              </w:rPr>
              <w:t>0.20</w:t>
            </w:r>
          </w:p>
        </w:tc>
      </w:tr>
      <w:tr w:rsidR="00021695" w:rsidRPr="005A7F38" w14:paraId="638C9DFA" w14:textId="77777777" w:rsidTr="00021695">
        <w:trPr>
          <w:jc w:val="center"/>
        </w:trPr>
        <w:tc>
          <w:tcPr>
            <w:tcW w:w="5575" w:type="dxa"/>
            <w:vAlign w:val="bottom"/>
          </w:tcPr>
          <w:p w14:paraId="08ABB34F" w14:textId="77777777" w:rsidR="00705A3D" w:rsidRPr="005A7F38" w:rsidRDefault="00705A3D" w:rsidP="005F6B89">
            <w:pPr>
              <w:spacing w:line="240" w:lineRule="auto"/>
              <w:ind w:firstLine="0"/>
              <w:jc w:val="left"/>
            </w:pPr>
            <w:r w:rsidRPr="005A7F38">
              <w:rPr>
                <w:color w:val="000000"/>
              </w:rPr>
              <w:t>Grandparent with History of Pulmonary Fibrosis</w:t>
            </w:r>
          </w:p>
        </w:tc>
        <w:tc>
          <w:tcPr>
            <w:tcW w:w="1440" w:type="dxa"/>
            <w:vAlign w:val="bottom"/>
          </w:tcPr>
          <w:p w14:paraId="3E0A9EAA" w14:textId="77777777" w:rsidR="00705A3D" w:rsidRPr="005A7F38" w:rsidRDefault="00705A3D" w:rsidP="00021695">
            <w:pPr>
              <w:spacing w:line="240" w:lineRule="auto"/>
              <w:ind w:firstLine="0"/>
              <w:jc w:val="center"/>
            </w:pPr>
            <w:r w:rsidRPr="005A7F38">
              <w:rPr>
                <w:color w:val="000000"/>
              </w:rPr>
              <w:t>2 (3.51)</w:t>
            </w:r>
          </w:p>
        </w:tc>
        <w:tc>
          <w:tcPr>
            <w:tcW w:w="1350" w:type="dxa"/>
            <w:vAlign w:val="bottom"/>
          </w:tcPr>
          <w:p w14:paraId="3875A5BE" w14:textId="77777777" w:rsidR="00705A3D" w:rsidRPr="005A7F38" w:rsidRDefault="00705A3D" w:rsidP="00021695">
            <w:pPr>
              <w:spacing w:line="240" w:lineRule="auto"/>
              <w:ind w:firstLine="0"/>
              <w:jc w:val="center"/>
            </w:pPr>
            <w:r w:rsidRPr="005A7F38">
              <w:rPr>
                <w:color w:val="000000"/>
              </w:rPr>
              <w:t>1 (2.70)</w:t>
            </w:r>
          </w:p>
        </w:tc>
        <w:tc>
          <w:tcPr>
            <w:tcW w:w="985" w:type="dxa"/>
            <w:vAlign w:val="bottom"/>
          </w:tcPr>
          <w:p w14:paraId="14643687" w14:textId="526CCE7B" w:rsidR="00705A3D" w:rsidRPr="005A7F38" w:rsidRDefault="00705A3D" w:rsidP="00021695">
            <w:pPr>
              <w:spacing w:line="240" w:lineRule="auto"/>
              <w:ind w:firstLine="0"/>
              <w:jc w:val="center"/>
            </w:pPr>
            <w:r w:rsidRPr="005A7F38">
              <w:rPr>
                <w:color w:val="000000"/>
              </w:rPr>
              <w:t>0.64</w:t>
            </w:r>
          </w:p>
        </w:tc>
      </w:tr>
      <w:tr w:rsidR="00021695" w:rsidRPr="005A7F38" w14:paraId="6A249D55" w14:textId="77777777" w:rsidTr="00021695">
        <w:trPr>
          <w:jc w:val="center"/>
        </w:trPr>
        <w:tc>
          <w:tcPr>
            <w:tcW w:w="5575" w:type="dxa"/>
            <w:vAlign w:val="bottom"/>
          </w:tcPr>
          <w:p w14:paraId="24955DDB" w14:textId="77777777" w:rsidR="00705A3D" w:rsidRPr="005A7F38" w:rsidRDefault="00705A3D" w:rsidP="005F6B89">
            <w:pPr>
              <w:spacing w:line="240" w:lineRule="auto"/>
              <w:ind w:firstLine="0"/>
              <w:jc w:val="left"/>
            </w:pPr>
            <w:r w:rsidRPr="005A7F38">
              <w:rPr>
                <w:color w:val="000000"/>
              </w:rPr>
              <w:t>Parent with History of Pulmonary Fibrosis</w:t>
            </w:r>
          </w:p>
        </w:tc>
        <w:tc>
          <w:tcPr>
            <w:tcW w:w="1440" w:type="dxa"/>
            <w:vAlign w:val="bottom"/>
          </w:tcPr>
          <w:p w14:paraId="113E72D4" w14:textId="77777777" w:rsidR="00705A3D" w:rsidRPr="005A7F38" w:rsidRDefault="00705A3D" w:rsidP="00021695">
            <w:pPr>
              <w:spacing w:line="240" w:lineRule="auto"/>
              <w:ind w:firstLine="0"/>
              <w:jc w:val="center"/>
            </w:pPr>
            <w:r w:rsidRPr="005A7F38">
              <w:rPr>
                <w:color w:val="000000"/>
              </w:rPr>
              <w:t>6 (10.53)</w:t>
            </w:r>
          </w:p>
        </w:tc>
        <w:tc>
          <w:tcPr>
            <w:tcW w:w="1350" w:type="dxa"/>
            <w:vAlign w:val="bottom"/>
          </w:tcPr>
          <w:p w14:paraId="23C7E172" w14:textId="77777777" w:rsidR="00705A3D" w:rsidRPr="005A7F38" w:rsidRDefault="00705A3D" w:rsidP="00021695">
            <w:pPr>
              <w:spacing w:line="240" w:lineRule="auto"/>
              <w:ind w:firstLine="0"/>
              <w:jc w:val="center"/>
            </w:pPr>
            <w:r w:rsidRPr="005A7F38">
              <w:rPr>
                <w:color w:val="000000"/>
              </w:rPr>
              <w:t>2 (5.41)</w:t>
            </w:r>
          </w:p>
        </w:tc>
        <w:tc>
          <w:tcPr>
            <w:tcW w:w="985" w:type="dxa"/>
            <w:vAlign w:val="bottom"/>
          </w:tcPr>
          <w:p w14:paraId="46208F41" w14:textId="58080878" w:rsidR="00705A3D" w:rsidRPr="005A7F38" w:rsidRDefault="00705A3D" w:rsidP="00021695">
            <w:pPr>
              <w:spacing w:line="240" w:lineRule="auto"/>
              <w:ind w:firstLine="0"/>
              <w:jc w:val="center"/>
            </w:pPr>
            <w:r w:rsidRPr="005A7F38">
              <w:rPr>
                <w:color w:val="000000"/>
              </w:rPr>
              <w:t>0.34</w:t>
            </w:r>
          </w:p>
        </w:tc>
      </w:tr>
      <w:tr w:rsidR="00021695" w:rsidRPr="005A7F38" w14:paraId="4A5F2ED1" w14:textId="77777777" w:rsidTr="00021695">
        <w:trPr>
          <w:jc w:val="center"/>
        </w:trPr>
        <w:tc>
          <w:tcPr>
            <w:tcW w:w="5575" w:type="dxa"/>
            <w:vAlign w:val="bottom"/>
          </w:tcPr>
          <w:p w14:paraId="19B4B53A" w14:textId="77777777" w:rsidR="00705A3D" w:rsidRPr="005A7F38" w:rsidRDefault="00705A3D" w:rsidP="005F6B89">
            <w:pPr>
              <w:spacing w:line="240" w:lineRule="auto"/>
              <w:ind w:firstLine="0"/>
              <w:jc w:val="left"/>
            </w:pPr>
            <w:r w:rsidRPr="005A7F38">
              <w:rPr>
                <w:color w:val="000000"/>
              </w:rPr>
              <w:t>Sibling with History of Pulmonary Fibrosis</w:t>
            </w:r>
          </w:p>
        </w:tc>
        <w:tc>
          <w:tcPr>
            <w:tcW w:w="1440" w:type="dxa"/>
            <w:vAlign w:val="bottom"/>
          </w:tcPr>
          <w:p w14:paraId="44992266" w14:textId="77777777" w:rsidR="00705A3D" w:rsidRPr="005A7F38" w:rsidRDefault="00705A3D" w:rsidP="00021695">
            <w:pPr>
              <w:spacing w:line="240" w:lineRule="auto"/>
              <w:ind w:firstLine="0"/>
              <w:jc w:val="center"/>
            </w:pPr>
            <w:r w:rsidRPr="005A7F38">
              <w:rPr>
                <w:color w:val="000000"/>
              </w:rPr>
              <w:t>0</w:t>
            </w:r>
          </w:p>
        </w:tc>
        <w:tc>
          <w:tcPr>
            <w:tcW w:w="1350" w:type="dxa"/>
            <w:vAlign w:val="bottom"/>
          </w:tcPr>
          <w:p w14:paraId="41C982F7" w14:textId="77777777" w:rsidR="00705A3D" w:rsidRPr="005A7F38" w:rsidRDefault="00705A3D" w:rsidP="00021695">
            <w:pPr>
              <w:spacing w:line="240" w:lineRule="auto"/>
              <w:ind w:firstLine="0"/>
              <w:jc w:val="center"/>
            </w:pPr>
            <w:r w:rsidRPr="005A7F38">
              <w:rPr>
                <w:color w:val="000000"/>
              </w:rPr>
              <w:t>3 (8.11)</w:t>
            </w:r>
          </w:p>
        </w:tc>
        <w:tc>
          <w:tcPr>
            <w:tcW w:w="985" w:type="dxa"/>
            <w:vAlign w:val="bottom"/>
          </w:tcPr>
          <w:p w14:paraId="6AB20463" w14:textId="3FA8612B" w:rsidR="00705A3D" w:rsidRPr="005A7F38" w:rsidRDefault="00B9515D" w:rsidP="00021695">
            <w:pPr>
              <w:spacing w:line="240" w:lineRule="auto"/>
              <w:ind w:firstLine="0"/>
              <w:jc w:val="center"/>
            </w:pPr>
            <w:r>
              <w:rPr>
                <w:color w:val="000000"/>
              </w:rPr>
              <w:t>0.017</w:t>
            </w:r>
          </w:p>
        </w:tc>
      </w:tr>
      <w:tr w:rsidR="00021695" w:rsidRPr="005A7F38" w14:paraId="4C77CDF6" w14:textId="77777777" w:rsidTr="00021695">
        <w:trPr>
          <w:jc w:val="center"/>
        </w:trPr>
        <w:tc>
          <w:tcPr>
            <w:tcW w:w="5575" w:type="dxa"/>
            <w:vAlign w:val="bottom"/>
          </w:tcPr>
          <w:p w14:paraId="4093F47F" w14:textId="77777777" w:rsidR="00705A3D" w:rsidRPr="005A7F38" w:rsidRDefault="00705A3D" w:rsidP="005F6B89">
            <w:pPr>
              <w:spacing w:line="240" w:lineRule="auto"/>
              <w:ind w:firstLine="0"/>
              <w:jc w:val="left"/>
            </w:pPr>
            <w:r w:rsidRPr="005A7F38">
              <w:rPr>
                <w:b/>
                <w:bCs/>
                <w:color w:val="000000"/>
              </w:rPr>
              <w:t>History of Sarcoidosis</w:t>
            </w:r>
          </w:p>
        </w:tc>
        <w:tc>
          <w:tcPr>
            <w:tcW w:w="1440" w:type="dxa"/>
            <w:vAlign w:val="bottom"/>
          </w:tcPr>
          <w:p w14:paraId="07178D8C" w14:textId="77777777" w:rsidR="00705A3D" w:rsidRPr="005A7F38" w:rsidRDefault="00705A3D" w:rsidP="00021695">
            <w:pPr>
              <w:spacing w:line="240" w:lineRule="auto"/>
              <w:ind w:firstLine="0"/>
            </w:pPr>
          </w:p>
        </w:tc>
        <w:tc>
          <w:tcPr>
            <w:tcW w:w="1350" w:type="dxa"/>
            <w:vAlign w:val="bottom"/>
          </w:tcPr>
          <w:p w14:paraId="2D9DEC6F" w14:textId="77777777" w:rsidR="00705A3D" w:rsidRPr="005A7F38" w:rsidRDefault="00705A3D" w:rsidP="00021695">
            <w:pPr>
              <w:spacing w:line="240" w:lineRule="auto"/>
              <w:ind w:firstLine="0"/>
              <w:jc w:val="center"/>
            </w:pPr>
          </w:p>
        </w:tc>
        <w:tc>
          <w:tcPr>
            <w:tcW w:w="985" w:type="dxa"/>
            <w:vAlign w:val="bottom"/>
          </w:tcPr>
          <w:p w14:paraId="1E84171F" w14:textId="77777777" w:rsidR="00705A3D" w:rsidRPr="005A7F38" w:rsidRDefault="00705A3D" w:rsidP="00021695">
            <w:pPr>
              <w:spacing w:line="240" w:lineRule="auto"/>
              <w:ind w:firstLine="0"/>
              <w:jc w:val="center"/>
            </w:pPr>
          </w:p>
        </w:tc>
      </w:tr>
      <w:tr w:rsidR="00021695" w:rsidRPr="005A7F38" w14:paraId="3371A03C" w14:textId="77777777" w:rsidTr="00021695">
        <w:trPr>
          <w:jc w:val="center"/>
        </w:trPr>
        <w:tc>
          <w:tcPr>
            <w:tcW w:w="5575" w:type="dxa"/>
            <w:vAlign w:val="bottom"/>
          </w:tcPr>
          <w:p w14:paraId="2B253E12" w14:textId="77777777" w:rsidR="00705A3D" w:rsidRPr="005A7F38" w:rsidRDefault="00705A3D" w:rsidP="005F6B89">
            <w:pPr>
              <w:spacing w:line="240" w:lineRule="auto"/>
              <w:ind w:firstLine="0"/>
              <w:jc w:val="left"/>
            </w:pPr>
            <w:r w:rsidRPr="005A7F38">
              <w:rPr>
                <w:color w:val="000000"/>
              </w:rPr>
              <w:t>Family History of Sarcoidosis</w:t>
            </w:r>
          </w:p>
        </w:tc>
        <w:tc>
          <w:tcPr>
            <w:tcW w:w="1440" w:type="dxa"/>
            <w:vAlign w:val="bottom"/>
          </w:tcPr>
          <w:p w14:paraId="4ECAFB00" w14:textId="77777777" w:rsidR="00705A3D" w:rsidRPr="005A7F38" w:rsidRDefault="00705A3D" w:rsidP="00021695">
            <w:pPr>
              <w:spacing w:line="240" w:lineRule="auto"/>
              <w:ind w:firstLine="0"/>
              <w:jc w:val="center"/>
            </w:pPr>
            <w:r w:rsidRPr="005A7F38">
              <w:rPr>
                <w:color w:val="000000"/>
              </w:rPr>
              <w:t>6 (10.53)</w:t>
            </w:r>
          </w:p>
        </w:tc>
        <w:tc>
          <w:tcPr>
            <w:tcW w:w="1350" w:type="dxa"/>
            <w:vAlign w:val="bottom"/>
          </w:tcPr>
          <w:p w14:paraId="5C0C0D42" w14:textId="77777777" w:rsidR="00705A3D" w:rsidRPr="005A7F38" w:rsidRDefault="00705A3D" w:rsidP="00021695">
            <w:pPr>
              <w:spacing w:line="240" w:lineRule="auto"/>
              <w:ind w:firstLine="0"/>
              <w:jc w:val="center"/>
            </w:pPr>
            <w:r w:rsidRPr="005A7F38">
              <w:rPr>
                <w:rFonts w:ascii="Apple Color Emoji" w:eastAsia="Apple Color Emoji" w:hAnsi="Apple Color Emoji" w:cs="Apple Color Emoji"/>
                <w:color w:val="000000"/>
              </w:rPr>
              <w:t>➖</w:t>
            </w:r>
          </w:p>
        </w:tc>
        <w:tc>
          <w:tcPr>
            <w:tcW w:w="985" w:type="dxa"/>
            <w:vAlign w:val="bottom"/>
          </w:tcPr>
          <w:p w14:paraId="55658A25" w14:textId="77777777" w:rsidR="00705A3D" w:rsidRPr="005A7F38" w:rsidRDefault="00705A3D" w:rsidP="00021695">
            <w:pPr>
              <w:spacing w:line="240" w:lineRule="auto"/>
              <w:ind w:firstLine="0"/>
              <w:jc w:val="center"/>
            </w:pPr>
            <w:r w:rsidRPr="005A7F38">
              <w:rPr>
                <w:rFonts w:ascii="Apple Color Emoji" w:eastAsia="Apple Color Emoji" w:hAnsi="Apple Color Emoji" w:cs="Apple Color Emoji"/>
                <w:color w:val="000000"/>
              </w:rPr>
              <w:t>➖</w:t>
            </w:r>
          </w:p>
        </w:tc>
      </w:tr>
      <w:tr w:rsidR="00021695" w:rsidRPr="005A7F38" w14:paraId="44C41A81" w14:textId="77777777" w:rsidTr="00021695">
        <w:trPr>
          <w:jc w:val="center"/>
        </w:trPr>
        <w:tc>
          <w:tcPr>
            <w:tcW w:w="5575" w:type="dxa"/>
            <w:vAlign w:val="bottom"/>
          </w:tcPr>
          <w:p w14:paraId="291CDBC4" w14:textId="77777777" w:rsidR="00705A3D" w:rsidRPr="005A7F38" w:rsidRDefault="00705A3D" w:rsidP="005F6B89">
            <w:pPr>
              <w:spacing w:line="240" w:lineRule="auto"/>
              <w:ind w:firstLine="0"/>
              <w:jc w:val="left"/>
            </w:pPr>
            <w:r w:rsidRPr="005A7F38">
              <w:rPr>
                <w:color w:val="000000"/>
              </w:rPr>
              <w:t>Aunt or Uncle with History of Sarcoidosis</w:t>
            </w:r>
          </w:p>
        </w:tc>
        <w:tc>
          <w:tcPr>
            <w:tcW w:w="1440" w:type="dxa"/>
            <w:vAlign w:val="bottom"/>
          </w:tcPr>
          <w:p w14:paraId="5327A9FF" w14:textId="77777777" w:rsidR="00705A3D" w:rsidRPr="005A7F38" w:rsidRDefault="00705A3D" w:rsidP="00021695">
            <w:pPr>
              <w:spacing w:line="240" w:lineRule="auto"/>
              <w:ind w:firstLine="0"/>
              <w:jc w:val="center"/>
            </w:pPr>
            <w:r w:rsidRPr="005A7F38">
              <w:rPr>
                <w:color w:val="000000"/>
              </w:rPr>
              <w:t>3 (5.26)</w:t>
            </w:r>
          </w:p>
        </w:tc>
        <w:tc>
          <w:tcPr>
            <w:tcW w:w="1350" w:type="dxa"/>
            <w:vAlign w:val="bottom"/>
          </w:tcPr>
          <w:p w14:paraId="33B17387" w14:textId="77777777" w:rsidR="00705A3D" w:rsidRPr="005A7F38" w:rsidRDefault="00705A3D" w:rsidP="00021695">
            <w:pPr>
              <w:spacing w:line="240" w:lineRule="auto"/>
              <w:ind w:firstLine="0"/>
              <w:jc w:val="center"/>
            </w:pPr>
            <w:r w:rsidRPr="005A7F38">
              <w:rPr>
                <w:rFonts w:ascii="Apple Color Emoji" w:eastAsia="Apple Color Emoji" w:hAnsi="Apple Color Emoji" w:cs="Apple Color Emoji"/>
                <w:color w:val="000000"/>
              </w:rPr>
              <w:t>➖</w:t>
            </w:r>
          </w:p>
        </w:tc>
        <w:tc>
          <w:tcPr>
            <w:tcW w:w="985" w:type="dxa"/>
            <w:vAlign w:val="bottom"/>
          </w:tcPr>
          <w:p w14:paraId="39A9DE5B" w14:textId="77777777" w:rsidR="00705A3D" w:rsidRPr="005A7F38" w:rsidRDefault="00705A3D" w:rsidP="00021695">
            <w:pPr>
              <w:spacing w:line="240" w:lineRule="auto"/>
              <w:ind w:firstLine="0"/>
              <w:jc w:val="center"/>
            </w:pPr>
            <w:r w:rsidRPr="005A7F38">
              <w:rPr>
                <w:rFonts w:ascii="Apple Color Emoji" w:eastAsia="Apple Color Emoji" w:hAnsi="Apple Color Emoji" w:cs="Apple Color Emoji"/>
                <w:color w:val="000000"/>
              </w:rPr>
              <w:t>➖</w:t>
            </w:r>
          </w:p>
        </w:tc>
      </w:tr>
      <w:tr w:rsidR="00021695" w:rsidRPr="005A7F38" w14:paraId="0227E66B" w14:textId="77777777" w:rsidTr="00021695">
        <w:trPr>
          <w:jc w:val="center"/>
        </w:trPr>
        <w:tc>
          <w:tcPr>
            <w:tcW w:w="5575" w:type="dxa"/>
            <w:vAlign w:val="bottom"/>
          </w:tcPr>
          <w:p w14:paraId="3239B1B6" w14:textId="77777777" w:rsidR="00705A3D" w:rsidRPr="005A7F38" w:rsidRDefault="00705A3D" w:rsidP="005F6B89">
            <w:pPr>
              <w:spacing w:line="240" w:lineRule="auto"/>
              <w:ind w:firstLine="0"/>
              <w:jc w:val="left"/>
            </w:pPr>
            <w:r w:rsidRPr="005A7F38">
              <w:rPr>
                <w:color w:val="000000"/>
              </w:rPr>
              <w:t>Grandparent with History of Sarcoidosis</w:t>
            </w:r>
          </w:p>
        </w:tc>
        <w:tc>
          <w:tcPr>
            <w:tcW w:w="1440" w:type="dxa"/>
            <w:vAlign w:val="bottom"/>
          </w:tcPr>
          <w:p w14:paraId="6A636DB4" w14:textId="77777777" w:rsidR="00705A3D" w:rsidRPr="005A7F38" w:rsidRDefault="00705A3D" w:rsidP="00021695">
            <w:pPr>
              <w:spacing w:line="240" w:lineRule="auto"/>
              <w:ind w:firstLine="0"/>
              <w:jc w:val="center"/>
            </w:pPr>
            <w:r w:rsidRPr="005A7F38">
              <w:rPr>
                <w:color w:val="000000"/>
              </w:rPr>
              <w:t>1 (1.79)</w:t>
            </w:r>
          </w:p>
        </w:tc>
        <w:tc>
          <w:tcPr>
            <w:tcW w:w="1350" w:type="dxa"/>
            <w:vAlign w:val="bottom"/>
          </w:tcPr>
          <w:p w14:paraId="03748363" w14:textId="77777777" w:rsidR="00705A3D" w:rsidRPr="005A7F38" w:rsidRDefault="00705A3D" w:rsidP="00021695">
            <w:pPr>
              <w:spacing w:line="240" w:lineRule="auto"/>
              <w:ind w:firstLine="0"/>
              <w:jc w:val="center"/>
            </w:pPr>
            <w:r w:rsidRPr="005A7F38">
              <w:rPr>
                <w:rFonts w:ascii="Apple Color Emoji" w:eastAsia="Apple Color Emoji" w:hAnsi="Apple Color Emoji" w:cs="Apple Color Emoji"/>
                <w:color w:val="000000"/>
              </w:rPr>
              <w:t>➖</w:t>
            </w:r>
          </w:p>
        </w:tc>
        <w:tc>
          <w:tcPr>
            <w:tcW w:w="985" w:type="dxa"/>
            <w:vAlign w:val="bottom"/>
          </w:tcPr>
          <w:p w14:paraId="27E11D25" w14:textId="77777777" w:rsidR="00705A3D" w:rsidRPr="005A7F38" w:rsidRDefault="00705A3D" w:rsidP="00021695">
            <w:pPr>
              <w:spacing w:line="240" w:lineRule="auto"/>
              <w:ind w:firstLine="0"/>
              <w:jc w:val="center"/>
            </w:pPr>
            <w:r w:rsidRPr="005A7F38">
              <w:rPr>
                <w:rFonts w:ascii="Apple Color Emoji" w:eastAsia="Apple Color Emoji" w:hAnsi="Apple Color Emoji" w:cs="Apple Color Emoji"/>
                <w:color w:val="000000"/>
              </w:rPr>
              <w:t>➖</w:t>
            </w:r>
          </w:p>
        </w:tc>
      </w:tr>
      <w:tr w:rsidR="00021695" w:rsidRPr="005A7F38" w14:paraId="78C5B8BB" w14:textId="77777777" w:rsidTr="00021695">
        <w:trPr>
          <w:jc w:val="center"/>
        </w:trPr>
        <w:tc>
          <w:tcPr>
            <w:tcW w:w="5575" w:type="dxa"/>
            <w:vAlign w:val="bottom"/>
          </w:tcPr>
          <w:p w14:paraId="4FBF3F68" w14:textId="77777777" w:rsidR="00705A3D" w:rsidRPr="005A7F38" w:rsidRDefault="00705A3D" w:rsidP="005F6B89">
            <w:pPr>
              <w:spacing w:line="240" w:lineRule="auto"/>
              <w:ind w:firstLine="0"/>
              <w:jc w:val="left"/>
            </w:pPr>
            <w:r w:rsidRPr="005A7F38">
              <w:rPr>
                <w:color w:val="000000"/>
              </w:rPr>
              <w:t>Parent with History of Sarcoidosis</w:t>
            </w:r>
          </w:p>
        </w:tc>
        <w:tc>
          <w:tcPr>
            <w:tcW w:w="1440" w:type="dxa"/>
            <w:vAlign w:val="bottom"/>
          </w:tcPr>
          <w:p w14:paraId="76F05CE2" w14:textId="77777777" w:rsidR="00705A3D" w:rsidRPr="005A7F38" w:rsidRDefault="00705A3D" w:rsidP="00021695">
            <w:pPr>
              <w:spacing w:line="240" w:lineRule="auto"/>
              <w:ind w:firstLine="0"/>
              <w:jc w:val="center"/>
            </w:pPr>
            <w:r w:rsidRPr="005A7F38">
              <w:rPr>
                <w:color w:val="000000"/>
              </w:rPr>
              <w:t>4 (7.14)</w:t>
            </w:r>
          </w:p>
        </w:tc>
        <w:tc>
          <w:tcPr>
            <w:tcW w:w="1350" w:type="dxa"/>
            <w:vAlign w:val="bottom"/>
          </w:tcPr>
          <w:p w14:paraId="7E2854B7" w14:textId="77777777" w:rsidR="00705A3D" w:rsidRPr="005A7F38" w:rsidRDefault="00705A3D" w:rsidP="00021695">
            <w:pPr>
              <w:spacing w:line="240" w:lineRule="auto"/>
              <w:ind w:firstLine="0"/>
              <w:jc w:val="center"/>
            </w:pPr>
            <w:r w:rsidRPr="005A7F38">
              <w:rPr>
                <w:rFonts w:ascii="Apple Color Emoji" w:eastAsia="Apple Color Emoji" w:hAnsi="Apple Color Emoji" w:cs="Apple Color Emoji"/>
                <w:color w:val="000000"/>
              </w:rPr>
              <w:t>➖</w:t>
            </w:r>
          </w:p>
        </w:tc>
        <w:tc>
          <w:tcPr>
            <w:tcW w:w="985" w:type="dxa"/>
            <w:vAlign w:val="bottom"/>
          </w:tcPr>
          <w:p w14:paraId="6C46F22E" w14:textId="77777777" w:rsidR="00705A3D" w:rsidRPr="005A7F38" w:rsidRDefault="00705A3D" w:rsidP="00021695">
            <w:pPr>
              <w:spacing w:line="240" w:lineRule="auto"/>
              <w:ind w:firstLine="0"/>
              <w:jc w:val="center"/>
            </w:pPr>
            <w:r w:rsidRPr="005A7F38">
              <w:rPr>
                <w:rFonts w:ascii="Apple Color Emoji" w:eastAsia="Apple Color Emoji" w:hAnsi="Apple Color Emoji" w:cs="Apple Color Emoji"/>
                <w:color w:val="000000"/>
              </w:rPr>
              <w:t>➖</w:t>
            </w:r>
          </w:p>
        </w:tc>
      </w:tr>
      <w:tr w:rsidR="00021695" w:rsidRPr="005A7F38" w14:paraId="512C26E7" w14:textId="77777777" w:rsidTr="00021695">
        <w:trPr>
          <w:jc w:val="center"/>
        </w:trPr>
        <w:tc>
          <w:tcPr>
            <w:tcW w:w="5575" w:type="dxa"/>
            <w:vAlign w:val="bottom"/>
          </w:tcPr>
          <w:p w14:paraId="544CDF09" w14:textId="77777777" w:rsidR="00705A3D" w:rsidRPr="005A7F38" w:rsidRDefault="00705A3D" w:rsidP="005F6B89">
            <w:pPr>
              <w:spacing w:line="240" w:lineRule="auto"/>
              <w:ind w:firstLine="0"/>
              <w:jc w:val="left"/>
            </w:pPr>
            <w:r w:rsidRPr="005A7F38">
              <w:rPr>
                <w:color w:val="000000"/>
              </w:rPr>
              <w:t>Sibling with History of Sarcoidosis</w:t>
            </w:r>
          </w:p>
        </w:tc>
        <w:tc>
          <w:tcPr>
            <w:tcW w:w="1440" w:type="dxa"/>
            <w:vAlign w:val="bottom"/>
          </w:tcPr>
          <w:p w14:paraId="241534E9" w14:textId="77777777" w:rsidR="00705A3D" w:rsidRPr="005A7F38" w:rsidRDefault="00705A3D" w:rsidP="00021695">
            <w:pPr>
              <w:spacing w:line="240" w:lineRule="auto"/>
              <w:ind w:firstLine="0"/>
              <w:jc w:val="center"/>
            </w:pPr>
            <w:r w:rsidRPr="005A7F38">
              <w:rPr>
                <w:color w:val="000000"/>
              </w:rPr>
              <w:t>1 (1.79)</w:t>
            </w:r>
          </w:p>
        </w:tc>
        <w:tc>
          <w:tcPr>
            <w:tcW w:w="1350" w:type="dxa"/>
            <w:vAlign w:val="bottom"/>
          </w:tcPr>
          <w:p w14:paraId="5C9BA3E9" w14:textId="77777777" w:rsidR="00705A3D" w:rsidRPr="005A7F38" w:rsidRDefault="00705A3D" w:rsidP="00021695">
            <w:pPr>
              <w:spacing w:line="240" w:lineRule="auto"/>
              <w:ind w:firstLine="0"/>
              <w:jc w:val="center"/>
            </w:pPr>
            <w:r w:rsidRPr="005A7F38">
              <w:rPr>
                <w:rFonts w:ascii="Apple Color Emoji" w:eastAsia="Apple Color Emoji" w:hAnsi="Apple Color Emoji" w:cs="Apple Color Emoji"/>
                <w:color w:val="000000"/>
              </w:rPr>
              <w:t>➖</w:t>
            </w:r>
          </w:p>
        </w:tc>
        <w:tc>
          <w:tcPr>
            <w:tcW w:w="985" w:type="dxa"/>
            <w:vAlign w:val="bottom"/>
          </w:tcPr>
          <w:p w14:paraId="59EC169B" w14:textId="77777777" w:rsidR="00705A3D" w:rsidRPr="005A7F38" w:rsidRDefault="00705A3D" w:rsidP="00021695">
            <w:pPr>
              <w:spacing w:line="240" w:lineRule="auto"/>
              <w:ind w:firstLine="0"/>
              <w:jc w:val="center"/>
            </w:pPr>
            <w:r w:rsidRPr="005A7F38">
              <w:rPr>
                <w:rFonts w:ascii="Apple Color Emoji" w:eastAsia="Apple Color Emoji" w:hAnsi="Apple Color Emoji" w:cs="Apple Color Emoji"/>
                <w:color w:val="000000"/>
              </w:rPr>
              <w:t>➖</w:t>
            </w:r>
          </w:p>
        </w:tc>
      </w:tr>
      <w:tr w:rsidR="00021695" w:rsidRPr="005A7F38" w14:paraId="32F70F45" w14:textId="77777777" w:rsidTr="00021695">
        <w:trPr>
          <w:trHeight w:val="206"/>
          <w:jc w:val="center"/>
        </w:trPr>
        <w:tc>
          <w:tcPr>
            <w:tcW w:w="5575" w:type="dxa"/>
            <w:vAlign w:val="bottom"/>
          </w:tcPr>
          <w:p w14:paraId="25DD49A8" w14:textId="77777777" w:rsidR="00705A3D" w:rsidRPr="005A7F38" w:rsidRDefault="00705A3D" w:rsidP="005F6B89">
            <w:pPr>
              <w:spacing w:line="240" w:lineRule="auto"/>
              <w:ind w:firstLine="0"/>
              <w:jc w:val="left"/>
            </w:pPr>
            <w:r w:rsidRPr="005A7F38">
              <w:rPr>
                <w:b/>
                <w:bCs/>
                <w:color w:val="000000"/>
              </w:rPr>
              <w:t>History of AATDD</w:t>
            </w:r>
          </w:p>
        </w:tc>
        <w:tc>
          <w:tcPr>
            <w:tcW w:w="1440" w:type="dxa"/>
            <w:vAlign w:val="bottom"/>
          </w:tcPr>
          <w:p w14:paraId="355F6E6D" w14:textId="77777777" w:rsidR="00705A3D" w:rsidRPr="005A7F38" w:rsidRDefault="00705A3D" w:rsidP="00021695">
            <w:pPr>
              <w:spacing w:line="240" w:lineRule="auto"/>
              <w:ind w:firstLine="0"/>
              <w:jc w:val="center"/>
            </w:pPr>
          </w:p>
        </w:tc>
        <w:tc>
          <w:tcPr>
            <w:tcW w:w="1350" w:type="dxa"/>
            <w:vAlign w:val="bottom"/>
          </w:tcPr>
          <w:p w14:paraId="291C0E83" w14:textId="77777777" w:rsidR="00705A3D" w:rsidRPr="005A7F38" w:rsidRDefault="00705A3D" w:rsidP="00021695">
            <w:pPr>
              <w:spacing w:line="240" w:lineRule="auto"/>
              <w:ind w:firstLine="0"/>
            </w:pPr>
          </w:p>
        </w:tc>
        <w:tc>
          <w:tcPr>
            <w:tcW w:w="985" w:type="dxa"/>
            <w:vAlign w:val="bottom"/>
          </w:tcPr>
          <w:p w14:paraId="346572EF" w14:textId="77777777" w:rsidR="00705A3D" w:rsidRPr="005A7F38" w:rsidRDefault="00705A3D" w:rsidP="00021695">
            <w:pPr>
              <w:spacing w:line="240" w:lineRule="auto"/>
              <w:ind w:firstLine="0"/>
              <w:jc w:val="center"/>
            </w:pPr>
          </w:p>
        </w:tc>
      </w:tr>
      <w:tr w:rsidR="00021695" w:rsidRPr="005A7F38" w14:paraId="58101D33" w14:textId="77777777" w:rsidTr="00021695">
        <w:trPr>
          <w:jc w:val="center"/>
        </w:trPr>
        <w:tc>
          <w:tcPr>
            <w:tcW w:w="5575" w:type="dxa"/>
            <w:vAlign w:val="bottom"/>
          </w:tcPr>
          <w:p w14:paraId="4B1198BE" w14:textId="77777777" w:rsidR="00705A3D" w:rsidRPr="005A7F38" w:rsidRDefault="00705A3D" w:rsidP="005F6B89">
            <w:pPr>
              <w:spacing w:line="240" w:lineRule="auto"/>
              <w:ind w:firstLine="0"/>
              <w:jc w:val="left"/>
            </w:pPr>
            <w:r w:rsidRPr="005A7F38">
              <w:rPr>
                <w:color w:val="000000"/>
              </w:rPr>
              <w:t>Family History of AATD</w:t>
            </w:r>
          </w:p>
        </w:tc>
        <w:tc>
          <w:tcPr>
            <w:tcW w:w="1440" w:type="dxa"/>
            <w:vAlign w:val="bottom"/>
          </w:tcPr>
          <w:p w14:paraId="7D1D8038" w14:textId="77777777" w:rsidR="00705A3D" w:rsidRPr="005A7F38" w:rsidRDefault="00705A3D" w:rsidP="00021695">
            <w:pPr>
              <w:spacing w:line="240" w:lineRule="auto"/>
              <w:ind w:firstLine="0"/>
              <w:jc w:val="center"/>
            </w:pPr>
            <w:r w:rsidRPr="005A7F38">
              <w:rPr>
                <w:rFonts w:ascii="Apple Color Emoji" w:eastAsia="Apple Color Emoji" w:hAnsi="Apple Color Emoji" w:cs="Apple Color Emoji"/>
                <w:color w:val="000000"/>
              </w:rPr>
              <w:t>➖</w:t>
            </w:r>
          </w:p>
        </w:tc>
        <w:tc>
          <w:tcPr>
            <w:tcW w:w="1350" w:type="dxa"/>
            <w:vAlign w:val="bottom"/>
          </w:tcPr>
          <w:p w14:paraId="6FCCE452" w14:textId="77777777" w:rsidR="00705A3D" w:rsidRPr="005A7F38" w:rsidRDefault="00021695" w:rsidP="00021695">
            <w:pPr>
              <w:spacing w:line="240" w:lineRule="auto"/>
              <w:ind w:firstLine="0"/>
              <w:jc w:val="center"/>
            </w:pPr>
            <w:r w:rsidRPr="005A7F38">
              <w:rPr>
                <w:color w:val="000000"/>
              </w:rPr>
              <w:t>10 (</w:t>
            </w:r>
            <w:r w:rsidR="00705A3D" w:rsidRPr="005A7F38">
              <w:rPr>
                <w:color w:val="000000"/>
              </w:rPr>
              <w:t>27.03)</w:t>
            </w:r>
          </w:p>
        </w:tc>
        <w:tc>
          <w:tcPr>
            <w:tcW w:w="985" w:type="dxa"/>
            <w:vAlign w:val="bottom"/>
          </w:tcPr>
          <w:p w14:paraId="226000EC" w14:textId="77777777" w:rsidR="00705A3D" w:rsidRPr="005A7F38" w:rsidRDefault="00705A3D" w:rsidP="00021695">
            <w:pPr>
              <w:spacing w:line="240" w:lineRule="auto"/>
              <w:ind w:firstLine="0"/>
              <w:jc w:val="center"/>
            </w:pPr>
            <w:r w:rsidRPr="005A7F38">
              <w:rPr>
                <w:rFonts w:ascii="Apple Color Emoji" w:eastAsia="Apple Color Emoji" w:hAnsi="Apple Color Emoji" w:cs="Apple Color Emoji"/>
                <w:color w:val="000000"/>
              </w:rPr>
              <w:t>➖</w:t>
            </w:r>
          </w:p>
        </w:tc>
      </w:tr>
      <w:tr w:rsidR="00021695" w:rsidRPr="005A7F38" w14:paraId="47C3C6EB" w14:textId="77777777" w:rsidTr="00021695">
        <w:trPr>
          <w:jc w:val="center"/>
        </w:trPr>
        <w:tc>
          <w:tcPr>
            <w:tcW w:w="5575" w:type="dxa"/>
            <w:vAlign w:val="bottom"/>
          </w:tcPr>
          <w:p w14:paraId="7D3D0198" w14:textId="77777777" w:rsidR="00705A3D" w:rsidRPr="005A7F38" w:rsidRDefault="00705A3D" w:rsidP="005F6B89">
            <w:pPr>
              <w:spacing w:line="240" w:lineRule="auto"/>
              <w:ind w:firstLine="0"/>
              <w:jc w:val="left"/>
            </w:pPr>
            <w:r w:rsidRPr="005A7F38">
              <w:rPr>
                <w:color w:val="000000"/>
              </w:rPr>
              <w:t>Aunt or Uncle with History of AATD</w:t>
            </w:r>
          </w:p>
        </w:tc>
        <w:tc>
          <w:tcPr>
            <w:tcW w:w="1440" w:type="dxa"/>
            <w:vAlign w:val="bottom"/>
          </w:tcPr>
          <w:p w14:paraId="28731CC8" w14:textId="77777777" w:rsidR="00705A3D" w:rsidRPr="005A7F38" w:rsidRDefault="00705A3D" w:rsidP="00021695">
            <w:pPr>
              <w:spacing w:line="240" w:lineRule="auto"/>
              <w:ind w:firstLine="0"/>
              <w:jc w:val="center"/>
            </w:pPr>
            <w:r w:rsidRPr="005A7F38">
              <w:rPr>
                <w:rFonts w:ascii="Apple Color Emoji" w:eastAsia="Apple Color Emoji" w:hAnsi="Apple Color Emoji" w:cs="Apple Color Emoji"/>
                <w:color w:val="000000"/>
              </w:rPr>
              <w:t>➖</w:t>
            </w:r>
          </w:p>
        </w:tc>
        <w:tc>
          <w:tcPr>
            <w:tcW w:w="1350" w:type="dxa"/>
            <w:vAlign w:val="bottom"/>
          </w:tcPr>
          <w:p w14:paraId="6323E22C" w14:textId="77777777" w:rsidR="00705A3D" w:rsidRPr="005A7F38" w:rsidRDefault="00705A3D" w:rsidP="00021695">
            <w:pPr>
              <w:spacing w:line="240" w:lineRule="auto"/>
              <w:ind w:firstLine="0"/>
              <w:jc w:val="center"/>
            </w:pPr>
            <w:r w:rsidRPr="005A7F38">
              <w:rPr>
                <w:color w:val="000000"/>
              </w:rPr>
              <w:t>1 (2.7)</w:t>
            </w:r>
          </w:p>
        </w:tc>
        <w:tc>
          <w:tcPr>
            <w:tcW w:w="985" w:type="dxa"/>
            <w:vAlign w:val="bottom"/>
          </w:tcPr>
          <w:p w14:paraId="72A890B1" w14:textId="77777777" w:rsidR="00705A3D" w:rsidRPr="005A7F38" w:rsidRDefault="00705A3D" w:rsidP="00021695">
            <w:pPr>
              <w:spacing w:line="240" w:lineRule="auto"/>
              <w:ind w:firstLine="0"/>
              <w:jc w:val="center"/>
            </w:pPr>
            <w:r w:rsidRPr="005A7F38">
              <w:rPr>
                <w:rFonts w:ascii="Apple Color Emoji" w:eastAsia="Apple Color Emoji" w:hAnsi="Apple Color Emoji" w:cs="Apple Color Emoji"/>
                <w:color w:val="000000"/>
              </w:rPr>
              <w:t>➖</w:t>
            </w:r>
          </w:p>
        </w:tc>
      </w:tr>
      <w:tr w:rsidR="00021695" w:rsidRPr="005A7F38" w14:paraId="5F68C142" w14:textId="77777777" w:rsidTr="00021695">
        <w:trPr>
          <w:jc w:val="center"/>
        </w:trPr>
        <w:tc>
          <w:tcPr>
            <w:tcW w:w="5575" w:type="dxa"/>
            <w:vAlign w:val="bottom"/>
          </w:tcPr>
          <w:p w14:paraId="3CB2FF83" w14:textId="77777777" w:rsidR="00705A3D" w:rsidRPr="005A7F38" w:rsidRDefault="00705A3D" w:rsidP="005F6B89">
            <w:pPr>
              <w:spacing w:line="240" w:lineRule="auto"/>
              <w:ind w:firstLine="0"/>
              <w:jc w:val="left"/>
            </w:pPr>
            <w:r w:rsidRPr="005A7F38">
              <w:rPr>
                <w:color w:val="000000"/>
              </w:rPr>
              <w:t>Child with History of AATD</w:t>
            </w:r>
          </w:p>
        </w:tc>
        <w:tc>
          <w:tcPr>
            <w:tcW w:w="1440" w:type="dxa"/>
            <w:vAlign w:val="bottom"/>
          </w:tcPr>
          <w:p w14:paraId="3A010BC6" w14:textId="77777777" w:rsidR="00705A3D" w:rsidRPr="005A7F38" w:rsidRDefault="00705A3D" w:rsidP="00021695">
            <w:pPr>
              <w:spacing w:line="240" w:lineRule="auto"/>
              <w:ind w:firstLine="0"/>
              <w:jc w:val="center"/>
            </w:pPr>
            <w:r w:rsidRPr="005A7F38">
              <w:rPr>
                <w:rFonts w:ascii="Apple Color Emoji" w:eastAsia="Apple Color Emoji" w:hAnsi="Apple Color Emoji" w:cs="Apple Color Emoji"/>
                <w:color w:val="000000"/>
              </w:rPr>
              <w:t>➖</w:t>
            </w:r>
          </w:p>
        </w:tc>
        <w:tc>
          <w:tcPr>
            <w:tcW w:w="1350" w:type="dxa"/>
            <w:vAlign w:val="bottom"/>
          </w:tcPr>
          <w:p w14:paraId="552D73D5" w14:textId="77777777" w:rsidR="00705A3D" w:rsidRPr="005A7F38" w:rsidRDefault="00705A3D" w:rsidP="00021695">
            <w:pPr>
              <w:spacing w:line="240" w:lineRule="auto"/>
              <w:ind w:firstLine="0"/>
              <w:jc w:val="center"/>
            </w:pPr>
            <w:r w:rsidRPr="005A7F38">
              <w:rPr>
                <w:color w:val="000000"/>
              </w:rPr>
              <w:t>4 (12.5)</w:t>
            </w:r>
          </w:p>
        </w:tc>
        <w:tc>
          <w:tcPr>
            <w:tcW w:w="985" w:type="dxa"/>
            <w:vAlign w:val="bottom"/>
          </w:tcPr>
          <w:p w14:paraId="4BC1A877" w14:textId="77777777" w:rsidR="00705A3D" w:rsidRPr="005A7F38" w:rsidRDefault="00705A3D" w:rsidP="00021695">
            <w:pPr>
              <w:spacing w:line="240" w:lineRule="auto"/>
              <w:ind w:firstLine="0"/>
              <w:jc w:val="center"/>
            </w:pPr>
            <w:r w:rsidRPr="005A7F38">
              <w:rPr>
                <w:rFonts w:ascii="Apple Color Emoji" w:eastAsia="Apple Color Emoji" w:hAnsi="Apple Color Emoji" w:cs="Apple Color Emoji"/>
                <w:color w:val="000000"/>
              </w:rPr>
              <w:t>➖</w:t>
            </w:r>
          </w:p>
        </w:tc>
      </w:tr>
      <w:tr w:rsidR="00021695" w:rsidRPr="005A7F38" w14:paraId="0E4E3406" w14:textId="77777777" w:rsidTr="00021695">
        <w:trPr>
          <w:jc w:val="center"/>
        </w:trPr>
        <w:tc>
          <w:tcPr>
            <w:tcW w:w="5575" w:type="dxa"/>
            <w:vAlign w:val="bottom"/>
          </w:tcPr>
          <w:p w14:paraId="50CAED9F" w14:textId="77777777" w:rsidR="00705A3D" w:rsidRPr="005A7F38" w:rsidRDefault="00705A3D" w:rsidP="005F6B89">
            <w:pPr>
              <w:spacing w:line="240" w:lineRule="auto"/>
              <w:ind w:firstLine="0"/>
              <w:jc w:val="left"/>
            </w:pPr>
            <w:r w:rsidRPr="005A7F38">
              <w:rPr>
                <w:color w:val="000000"/>
              </w:rPr>
              <w:t>Grandparent with History of AATD</w:t>
            </w:r>
          </w:p>
        </w:tc>
        <w:tc>
          <w:tcPr>
            <w:tcW w:w="1440" w:type="dxa"/>
            <w:vAlign w:val="bottom"/>
          </w:tcPr>
          <w:p w14:paraId="140AD524" w14:textId="77777777" w:rsidR="00705A3D" w:rsidRPr="005A7F38" w:rsidRDefault="00705A3D" w:rsidP="00021695">
            <w:pPr>
              <w:spacing w:line="240" w:lineRule="auto"/>
              <w:ind w:firstLine="0"/>
              <w:jc w:val="center"/>
            </w:pPr>
            <w:r w:rsidRPr="005A7F38">
              <w:rPr>
                <w:rFonts w:ascii="Apple Color Emoji" w:eastAsia="Apple Color Emoji" w:hAnsi="Apple Color Emoji" w:cs="Apple Color Emoji"/>
                <w:color w:val="000000"/>
              </w:rPr>
              <w:t>➖</w:t>
            </w:r>
          </w:p>
        </w:tc>
        <w:tc>
          <w:tcPr>
            <w:tcW w:w="1350" w:type="dxa"/>
            <w:vAlign w:val="bottom"/>
          </w:tcPr>
          <w:p w14:paraId="7E9F7A86" w14:textId="77777777" w:rsidR="00705A3D" w:rsidRPr="005A7F38" w:rsidRDefault="00705A3D" w:rsidP="00021695">
            <w:pPr>
              <w:spacing w:line="240" w:lineRule="auto"/>
              <w:ind w:firstLine="0"/>
              <w:jc w:val="center"/>
            </w:pPr>
            <w:r w:rsidRPr="005A7F38">
              <w:rPr>
                <w:color w:val="000000"/>
              </w:rPr>
              <w:t>2 (6.67)</w:t>
            </w:r>
          </w:p>
        </w:tc>
        <w:tc>
          <w:tcPr>
            <w:tcW w:w="985" w:type="dxa"/>
            <w:vAlign w:val="bottom"/>
          </w:tcPr>
          <w:p w14:paraId="472C6C94" w14:textId="77777777" w:rsidR="00705A3D" w:rsidRPr="005A7F38" w:rsidRDefault="00705A3D" w:rsidP="00021695">
            <w:pPr>
              <w:spacing w:line="240" w:lineRule="auto"/>
              <w:ind w:firstLine="0"/>
              <w:jc w:val="center"/>
            </w:pPr>
            <w:r w:rsidRPr="005A7F38">
              <w:rPr>
                <w:rFonts w:ascii="Apple Color Emoji" w:eastAsia="Apple Color Emoji" w:hAnsi="Apple Color Emoji" w:cs="Apple Color Emoji"/>
                <w:color w:val="000000"/>
              </w:rPr>
              <w:t>➖</w:t>
            </w:r>
          </w:p>
        </w:tc>
      </w:tr>
      <w:tr w:rsidR="00021695" w:rsidRPr="005A7F38" w14:paraId="10BA02F7" w14:textId="77777777" w:rsidTr="00021695">
        <w:trPr>
          <w:jc w:val="center"/>
        </w:trPr>
        <w:tc>
          <w:tcPr>
            <w:tcW w:w="5575" w:type="dxa"/>
            <w:vAlign w:val="bottom"/>
          </w:tcPr>
          <w:p w14:paraId="692E7DE1" w14:textId="77777777" w:rsidR="00705A3D" w:rsidRPr="005A7F38" w:rsidRDefault="00705A3D" w:rsidP="005F6B89">
            <w:pPr>
              <w:spacing w:line="240" w:lineRule="auto"/>
              <w:ind w:firstLine="0"/>
              <w:jc w:val="left"/>
              <w:rPr>
                <w:color w:val="000000"/>
              </w:rPr>
            </w:pPr>
            <w:r w:rsidRPr="005A7F38">
              <w:rPr>
                <w:color w:val="000000"/>
              </w:rPr>
              <w:t>Parent with History of AATD</w:t>
            </w:r>
          </w:p>
        </w:tc>
        <w:tc>
          <w:tcPr>
            <w:tcW w:w="1440" w:type="dxa"/>
            <w:vAlign w:val="bottom"/>
          </w:tcPr>
          <w:p w14:paraId="37A00751" w14:textId="77777777" w:rsidR="00705A3D" w:rsidRPr="005A7F38" w:rsidRDefault="00705A3D" w:rsidP="00021695">
            <w:pPr>
              <w:spacing w:line="240" w:lineRule="auto"/>
              <w:ind w:firstLine="0"/>
              <w:jc w:val="center"/>
              <w:rPr>
                <w:rFonts w:eastAsia="Apple Color Emoji"/>
                <w:color w:val="000000"/>
              </w:rPr>
            </w:pPr>
            <w:r w:rsidRPr="005A7F38">
              <w:rPr>
                <w:rFonts w:ascii="Apple Color Emoji" w:eastAsia="Apple Color Emoji" w:hAnsi="Apple Color Emoji" w:cs="Apple Color Emoji"/>
                <w:color w:val="000000"/>
              </w:rPr>
              <w:t>➖</w:t>
            </w:r>
          </w:p>
        </w:tc>
        <w:tc>
          <w:tcPr>
            <w:tcW w:w="1350" w:type="dxa"/>
            <w:vAlign w:val="bottom"/>
          </w:tcPr>
          <w:p w14:paraId="11457B75" w14:textId="77777777" w:rsidR="00705A3D" w:rsidRPr="005A7F38" w:rsidRDefault="00705A3D" w:rsidP="00021695">
            <w:pPr>
              <w:spacing w:line="240" w:lineRule="auto"/>
              <w:ind w:firstLine="0"/>
              <w:jc w:val="center"/>
              <w:rPr>
                <w:color w:val="000000"/>
              </w:rPr>
            </w:pPr>
            <w:r w:rsidRPr="005A7F38">
              <w:rPr>
                <w:color w:val="000000"/>
              </w:rPr>
              <w:t>8 (21.62)</w:t>
            </w:r>
          </w:p>
        </w:tc>
        <w:tc>
          <w:tcPr>
            <w:tcW w:w="985" w:type="dxa"/>
            <w:vAlign w:val="bottom"/>
          </w:tcPr>
          <w:p w14:paraId="319DE07E" w14:textId="77777777" w:rsidR="00705A3D" w:rsidRPr="005A7F38" w:rsidRDefault="00705A3D" w:rsidP="00021695">
            <w:pPr>
              <w:spacing w:line="240" w:lineRule="auto"/>
              <w:ind w:firstLine="0"/>
              <w:jc w:val="center"/>
              <w:rPr>
                <w:rFonts w:eastAsia="Apple Color Emoji"/>
                <w:color w:val="000000"/>
              </w:rPr>
            </w:pPr>
            <w:r w:rsidRPr="005A7F38">
              <w:rPr>
                <w:rFonts w:ascii="Apple Color Emoji" w:eastAsia="Apple Color Emoji" w:hAnsi="Apple Color Emoji" w:cs="Apple Color Emoji"/>
                <w:color w:val="000000"/>
              </w:rPr>
              <w:t>➖</w:t>
            </w:r>
          </w:p>
        </w:tc>
      </w:tr>
      <w:tr w:rsidR="00021695" w:rsidRPr="005A7F38" w14:paraId="1C38D549" w14:textId="77777777" w:rsidTr="00021695">
        <w:trPr>
          <w:jc w:val="center"/>
        </w:trPr>
        <w:tc>
          <w:tcPr>
            <w:tcW w:w="5575" w:type="dxa"/>
            <w:vAlign w:val="bottom"/>
          </w:tcPr>
          <w:p w14:paraId="4B107241" w14:textId="77777777" w:rsidR="00705A3D" w:rsidRPr="005A7F38" w:rsidRDefault="00705A3D" w:rsidP="005F6B89">
            <w:pPr>
              <w:spacing w:line="240" w:lineRule="auto"/>
              <w:ind w:firstLine="0"/>
              <w:jc w:val="left"/>
              <w:rPr>
                <w:color w:val="000000"/>
              </w:rPr>
            </w:pPr>
            <w:r w:rsidRPr="005A7F38">
              <w:rPr>
                <w:color w:val="000000"/>
              </w:rPr>
              <w:t>Sibling with History of AATD</w:t>
            </w:r>
          </w:p>
        </w:tc>
        <w:tc>
          <w:tcPr>
            <w:tcW w:w="1440" w:type="dxa"/>
            <w:vAlign w:val="bottom"/>
          </w:tcPr>
          <w:p w14:paraId="50FC0E1D" w14:textId="77777777" w:rsidR="00705A3D" w:rsidRPr="005A7F38" w:rsidRDefault="00705A3D" w:rsidP="00021695">
            <w:pPr>
              <w:spacing w:line="240" w:lineRule="auto"/>
              <w:ind w:firstLine="0"/>
              <w:jc w:val="center"/>
              <w:rPr>
                <w:rFonts w:eastAsia="Apple Color Emoji"/>
                <w:color w:val="000000"/>
              </w:rPr>
            </w:pPr>
            <w:r w:rsidRPr="005A7F38">
              <w:rPr>
                <w:rFonts w:ascii="Apple Color Emoji" w:eastAsia="Apple Color Emoji" w:hAnsi="Apple Color Emoji" w:cs="Apple Color Emoji"/>
                <w:color w:val="000000"/>
              </w:rPr>
              <w:t>➖</w:t>
            </w:r>
          </w:p>
        </w:tc>
        <w:tc>
          <w:tcPr>
            <w:tcW w:w="1350" w:type="dxa"/>
            <w:vAlign w:val="bottom"/>
          </w:tcPr>
          <w:p w14:paraId="70B65AF4" w14:textId="77777777" w:rsidR="00705A3D" w:rsidRPr="005A7F38" w:rsidRDefault="00705A3D" w:rsidP="00021695">
            <w:pPr>
              <w:spacing w:line="240" w:lineRule="auto"/>
              <w:ind w:firstLine="0"/>
              <w:jc w:val="center"/>
              <w:rPr>
                <w:color w:val="000000"/>
              </w:rPr>
            </w:pPr>
            <w:r w:rsidRPr="005A7F38">
              <w:rPr>
                <w:color w:val="000000"/>
              </w:rPr>
              <w:t>6 (18.18)</w:t>
            </w:r>
          </w:p>
        </w:tc>
        <w:tc>
          <w:tcPr>
            <w:tcW w:w="985" w:type="dxa"/>
            <w:vAlign w:val="bottom"/>
          </w:tcPr>
          <w:p w14:paraId="1ECC3C7A" w14:textId="77777777" w:rsidR="00705A3D" w:rsidRPr="005A7F38" w:rsidRDefault="00705A3D" w:rsidP="00021695">
            <w:pPr>
              <w:spacing w:line="240" w:lineRule="auto"/>
              <w:ind w:firstLine="0"/>
              <w:jc w:val="center"/>
              <w:rPr>
                <w:rFonts w:eastAsia="Apple Color Emoji"/>
                <w:color w:val="000000"/>
              </w:rPr>
            </w:pPr>
            <w:r w:rsidRPr="005A7F38">
              <w:rPr>
                <w:rFonts w:ascii="Apple Color Emoji" w:eastAsia="Apple Color Emoji" w:hAnsi="Apple Color Emoji" w:cs="Apple Color Emoji"/>
                <w:color w:val="000000"/>
              </w:rPr>
              <w:t>➖</w:t>
            </w:r>
          </w:p>
        </w:tc>
      </w:tr>
    </w:tbl>
    <w:p w14:paraId="6AC2AB32" w14:textId="77777777" w:rsidR="001319A0" w:rsidRPr="005A7F38" w:rsidRDefault="001319A0" w:rsidP="00703F9E">
      <w:pPr>
        <w:ind w:firstLine="0"/>
      </w:pPr>
    </w:p>
    <w:p w14:paraId="534D9644" w14:textId="56A87906" w:rsidR="0031140E" w:rsidRPr="005A7F38" w:rsidRDefault="006E3504" w:rsidP="003D419E">
      <w:pPr>
        <w:pStyle w:val="Heading2"/>
        <w:spacing w:before="840"/>
        <w:rPr>
          <w:rFonts w:cs="Times New Roman"/>
        </w:rPr>
      </w:pPr>
      <w:bookmarkStart w:id="88" w:name="_Toc506540052"/>
      <w:r w:rsidRPr="005A7F38">
        <w:rPr>
          <w:rFonts w:cs="Times New Roman"/>
        </w:rPr>
        <w:lastRenderedPageBreak/>
        <w:t xml:space="preserve">Characterization of the </w:t>
      </w:r>
      <w:r w:rsidR="00927EE9">
        <w:rPr>
          <w:rFonts w:cs="Times New Roman"/>
        </w:rPr>
        <w:t xml:space="preserve">GUt </w:t>
      </w:r>
      <w:r w:rsidRPr="005A7F38">
        <w:rPr>
          <w:rFonts w:cs="Times New Roman"/>
        </w:rPr>
        <w:t>mycobiome in sarcoidosis</w:t>
      </w:r>
      <w:bookmarkEnd w:id="88"/>
    </w:p>
    <w:p w14:paraId="628AA2C4" w14:textId="77777777" w:rsidR="006E3504" w:rsidRPr="005A7F38" w:rsidRDefault="006E3504" w:rsidP="00261081">
      <w:pPr>
        <w:pStyle w:val="Heading3"/>
        <w:spacing w:before="360" w:after="120"/>
        <w:rPr>
          <w:rFonts w:cs="Times New Roman"/>
        </w:rPr>
      </w:pPr>
      <w:bookmarkStart w:id="89" w:name="_Toc506540053"/>
      <w:r w:rsidRPr="005A7F38">
        <w:rPr>
          <w:rFonts w:cs="Times New Roman"/>
        </w:rPr>
        <w:t>Abundance</w:t>
      </w:r>
      <w:bookmarkEnd w:id="89"/>
    </w:p>
    <w:p w14:paraId="7B9320E7" w14:textId="62EF800D" w:rsidR="005212B7" w:rsidRPr="005A7F38" w:rsidRDefault="003E23F2" w:rsidP="005212B7">
      <w:pPr>
        <w:pStyle w:val="Noindent"/>
      </w:pPr>
      <w:r w:rsidRPr="005A7F38">
        <w:t xml:space="preserve">At a phylum level, we found that the sample was dominated by </w:t>
      </w:r>
      <w:r w:rsidRPr="005A7F38">
        <w:rPr>
          <w:i/>
        </w:rPr>
        <w:t>Ascomycota</w:t>
      </w:r>
      <w:r w:rsidRPr="005A7F38">
        <w:t xml:space="preserve"> and </w:t>
      </w:r>
      <w:r w:rsidRPr="005A7F38">
        <w:rPr>
          <w:i/>
        </w:rPr>
        <w:t>Basidiomycota</w:t>
      </w:r>
      <w:r w:rsidRPr="005A7F38">
        <w:t xml:space="preserve"> as well as large amount (11%) of unclassified fungi. </w:t>
      </w:r>
      <w:r w:rsidRPr="005A7F38">
        <w:rPr>
          <w:i/>
        </w:rPr>
        <w:t>Ascomycota</w:t>
      </w:r>
      <w:r w:rsidRPr="005A7F38">
        <w:t xml:space="preserve"> comprised 80% of the fungi and 7% of fungi were classified as </w:t>
      </w:r>
      <w:r w:rsidRPr="005A7F38">
        <w:rPr>
          <w:i/>
        </w:rPr>
        <w:t>Basidiomycota</w:t>
      </w:r>
      <w:r w:rsidRPr="005A7F38">
        <w:t xml:space="preserve">.  Fungi from the phyla </w:t>
      </w:r>
      <w:r w:rsidRPr="005A7F38">
        <w:rPr>
          <w:i/>
        </w:rPr>
        <w:t>Anthopyta</w:t>
      </w:r>
      <w:r w:rsidRPr="005A7F38">
        <w:t xml:space="preserve">, </w:t>
      </w:r>
      <w:r w:rsidR="008F5985" w:rsidRPr="005A7F38">
        <w:rPr>
          <w:i/>
        </w:rPr>
        <w:t>Chytridiomycota</w:t>
      </w:r>
      <w:r w:rsidR="008F5985" w:rsidRPr="005A7F38">
        <w:t>, and</w:t>
      </w:r>
      <w:r w:rsidRPr="005A7F38">
        <w:t xml:space="preserve"> </w:t>
      </w:r>
      <w:r w:rsidRPr="005A7F38">
        <w:rPr>
          <w:i/>
        </w:rPr>
        <w:t>Zygomycota</w:t>
      </w:r>
      <w:r w:rsidRPr="005A7F38">
        <w:t xml:space="preserve"> were present in lower abundance</w:t>
      </w:r>
      <w:r w:rsidR="00F45D38">
        <w:t xml:space="preserve"> (Figure 5)</w:t>
      </w:r>
      <w:r w:rsidRPr="005A7F38">
        <w:t xml:space="preserve">. </w:t>
      </w:r>
      <w:r w:rsidR="00161ABE" w:rsidRPr="005A7F38">
        <w:t xml:space="preserve">At the level of phylum, the Shannon </w:t>
      </w:r>
      <w:r w:rsidR="008F5985" w:rsidRPr="005A7F38">
        <w:t>diversity</w:t>
      </w:r>
      <w:r w:rsidR="00161ABE" w:rsidRPr="005A7F38">
        <w:t xml:space="preserve"> index was 0.6210 and the Simpson’s diversity index was 0.3265 with an evenness of 0.3191.</w:t>
      </w:r>
    </w:p>
    <w:p w14:paraId="566226BE" w14:textId="77777777" w:rsidR="00ED0C84" w:rsidRDefault="00ED0C84" w:rsidP="00D1188A">
      <w:pPr>
        <w:spacing w:line="240" w:lineRule="auto"/>
        <w:jc w:val="center"/>
      </w:pPr>
      <w:r w:rsidRPr="005A7F38">
        <w:rPr>
          <w:noProof/>
        </w:rPr>
        <w:drawing>
          <wp:inline distT="0" distB="0" distL="0" distR="0" wp14:anchorId="10BE254C" wp14:editId="0D01E8F4">
            <wp:extent cx="3914582" cy="4574540"/>
            <wp:effectExtent l="0" t="0" r="0" b="0"/>
            <wp:docPr id="13" name="Picture 13" descr="Screen%20Shot%202017-11-29%20at%2012.58.2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7-11-29%20at%2012.58.23%20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4582" cy="4574540"/>
                    </a:xfrm>
                    <a:prstGeom prst="rect">
                      <a:avLst/>
                    </a:prstGeom>
                    <a:noFill/>
                    <a:ln>
                      <a:noFill/>
                    </a:ln>
                  </pic:spPr>
                </pic:pic>
              </a:graphicData>
            </a:graphic>
          </wp:inline>
        </w:drawing>
      </w:r>
    </w:p>
    <w:p w14:paraId="0E75255D" w14:textId="43E1D8A8" w:rsidR="00453BB9" w:rsidRDefault="00BE11F2" w:rsidP="00BC0424">
      <w:pPr>
        <w:pStyle w:val="Caption"/>
        <w:ind w:left="810"/>
        <w:rPr>
          <w:b w:val="0"/>
          <w:i/>
        </w:rPr>
      </w:pPr>
      <w:bookmarkStart w:id="90" w:name="_Toc506540076"/>
      <w:r>
        <w:t xml:space="preserve">Figure </w:t>
      </w:r>
      <w:fldSimple w:instr=" SEQ Figure \* ARABIC ">
        <w:r w:rsidR="001F73C6">
          <w:rPr>
            <w:noProof/>
          </w:rPr>
          <w:t>5</w:t>
        </w:r>
      </w:fldSimple>
      <w:r>
        <w:t xml:space="preserve">. </w:t>
      </w:r>
      <w:r w:rsidR="00453BB9" w:rsidRPr="001F185A">
        <w:rPr>
          <w:b w:val="0"/>
        </w:rPr>
        <w:t>Rank Abundance of Fungi at the Level of Phylum</w:t>
      </w:r>
      <w:bookmarkEnd w:id="90"/>
    </w:p>
    <w:p w14:paraId="3F270833" w14:textId="77777777" w:rsidR="00453BB9" w:rsidRPr="005A7F38" w:rsidRDefault="00453BB9" w:rsidP="00EB7829"/>
    <w:p w14:paraId="577254D5" w14:textId="340BA8C2" w:rsidR="000C1A5D" w:rsidRPr="005A7F38" w:rsidRDefault="00BB4149" w:rsidP="000C1A5D">
      <w:r w:rsidRPr="005A7F38">
        <w:lastRenderedPageBreak/>
        <w:t xml:space="preserve">At the level of order, </w:t>
      </w:r>
      <w:r w:rsidRPr="005A7F38">
        <w:rPr>
          <w:i/>
        </w:rPr>
        <w:t>Saccharomycetales</w:t>
      </w:r>
      <w:r w:rsidRPr="005A7F38">
        <w:t xml:space="preserve"> made up 63% of the fungi in the sample with </w:t>
      </w:r>
      <w:r w:rsidRPr="005A7F38">
        <w:rPr>
          <w:i/>
        </w:rPr>
        <w:t>Hypocreales</w:t>
      </w:r>
      <w:r w:rsidR="005C40BF" w:rsidRPr="005A7F38">
        <w:t xml:space="preserve"> </w:t>
      </w:r>
      <w:r w:rsidRPr="005A7F38">
        <w:t xml:space="preserve">(6.1%), </w:t>
      </w:r>
      <w:r w:rsidRPr="005A7F38">
        <w:rPr>
          <w:i/>
        </w:rPr>
        <w:t>Eurotiales</w:t>
      </w:r>
      <w:r w:rsidRPr="005A7F38">
        <w:t xml:space="preserve"> (4.7%), </w:t>
      </w:r>
      <w:r w:rsidRPr="005A7F38">
        <w:rPr>
          <w:i/>
        </w:rPr>
        <w:t>Pleosporales</w:t>
      </w:r>
      <w:r w:rsidRPr="005A7F38">
        <w:t xml:space="preserve"> (2.6%), </w:t>
      </w:r>
      <w:r w:rsidRPr="005A7F38">
        <w:rPr>
          <w:i/>
        </w:rPr>
        <w:t>Cystofilobasidaiales</w:t>
      </w:r>
      <w:r w:rsidRPr="005A7F38">
        <w:t xml:space="preserve"> (2.6%), </w:t>
      </w:r>
      <w:r w:rsidRPr="005A7F38">
        <w:rPr>
          <w:i/>
        </w:rPr>
        <w:t>Sporidiobolales</w:t>
      </w:r>
      <w:r w:rsidRPr="005A7F38">
        <w:t xml:space="preserve"> (1.9%), </w:t>
      </w:r>
      <w:r w:rsidRPr="005A7F38">
        <w:rPr>
          <w:i/>
        </w:rPr>
        <w:t>Agaricales</w:t>
      </w:r>
      <w:r w:rsidRPr="005A7F38">
        <w:t xml:space="preserve"> (1.5%) and </w:t>
      </w:r>
      <w:r w:rsidRPr="005A7F38">
        <w:rPr>
          <w:i/>
        </w:rPr>
        <w:t>Tremellales</w:t>
      </w:r>
      <w:r w:rsidRPr="005A7F38">
        <w:t xml:space="preserve"> (1.4%), </w:t>
      </w:r>
      <w:r w:rsidRPr="005A7F38">
        <w:rPr>
          <w:i/>
        </w:rPr>
        <w:t>Capnodiales</w:t>
      </w:r>
      <w:r w:rsidRPr="005A7F38">
        <w:t xml:space="preserve"> (0.8%), </w:t>
      </w:r>
      <w:r w:rsidRPr="005A7F38">
        <w:rPr>
          <w:i/>
        </w:rPr>
        <w:t>Helotiales</w:t>
      </w:r>
      <w:r w:rsidRPr="005A7F38">
        <w:t xml:space="preserve"> (0.7</w:t>
      </w:r>
      <w:r w:rsidR="008F5985" w:rsidRPr="005A7F38">
        <w:t>%) comprising</w:t>
      </w:r>
      <w:r w:rsidRPr="005A7F38">
        <w:t xml:space="preserve"> the ten most abundant fungi.</w:t>
      </w:r>
      <w:r w:rsidR="00C576C1" w:rsidRPr="005A7F38">
        <w:t xml:space="preserve"> </w:t>
      </w:r>
      <w:r w:rsidR="00C576C1" w:rsidRPr="005A7F38">
        <w:rPr>
          <w:i/>
        </w:rPr>
        <w:t>Eurotiomcyetes</w:t>
      </w:r>
      <w:r w:rsidR="00C576C1" w:rsidRPr="005A7F38">
        <w:t xml:space="preserve">, </w:t>
      </w:r>
      <w:r w:rsidR="00C576C1" w:rsidRPr="005A7F38">
        <w:rPr>
          <w:i/>
        </w:rPr>
        <w:t>Conciochaetales</w:t>
      </w:r>
      <w:r w:rsidR="00134054">
        <w:t xml:space="preserve"> (Figure 6).</w:t>
      </w:r>
      <w:r w:rsidR="00C576C1" w:rsidRPr="005A7F38">
        <w:t xml:space="preserve"> </w:t>
      </w:r>
      <w:r w:rsidR="00C576C1" w:rsidRPr="005A7F38">
        <w:rPr>
          <w:i/>
        </w:rPr>
        <w:t>Dothideales</w:t>
      </w:r>
      <w:r w:rsidR="00C576C1" w:rsidRPr="005A7F38">
        <w:t xml:space="preserve"> and </w:t>
      </w:r>
      <w:r w:rsidR="00C576C1" w:rsidRPr="005A7F38">
        <w:rPr>
          <w:i/>
        </w:rPr>
        <w:t>Botrysophaeriales</w:t>
      </w:r>
      <w:r w:rsidR="00C576C1" w:rsidRPr="005A7F38">
        <w:t xml:space="preserve"> were also identified at a lower level of abundance</w:t>
      </w:r>
      <w:r w:rsidR="00134054">
        <w:t xml:space="preserve"> (Figure 7</w:t>
      </w:r>
      <w:r w:rsidR="00F45D38">
        <w:t>)</w:t>
      </w:r>
      <w:r w:rsidR="00C576C1" w:rsidRPr="005A7F38">
        <w:t>.</w:t>
      </w:r>
      <w:r w:rsidR="001C4743" w:rsidRPr="005A7F38">
        <w:t xml:space="preserve"> </w:t>
      </w:r>
      <w:r w:rsidR="00161ABE" w:rsidRPr="005A7F38">
        <w:t xml:space="preserve">We calculated the Shannon diversity index to be 1.4980 and the Simpson’s diversity index to be 0.5788 with evenness of 0.3689 at the taxonomic level of order. </w:t>
      </w:r>
    </w:p>
    <w:p w14:paraId="582D5415" w14:textId="77777777" w:rsidR="000064CE" w:rsidRPr="005A7F38" w:rsidRDefault="000064CE" w:rsidP="00453BB9">
      <w:pPr>
        <w:pStyle w:val="Caption"/>
      </w:pPr>
      <w:r w:rsidRPr="005A7F38">
        <w:rPr>
          <w:noProof/>
        </w:rPr>
        <w:lastRenderedPageBreak/>
        <w:drawing>
          <wp:inline distT="0" distB="0" distL="0" distR="0" wp14:anchorId="26A8B33F" wp14:editId="30F135A1">
            <wp:extent cx="4051935" cy="5113099"/>
            <wp:effectExtent l="0" t="0" r="12065" b="0"/>
            <wp:docPr id="14" name="Picture 14" descr="Screen%20Shot%202017-11-29%20at%201.02.1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7-11-29%20at%201.02.17%20PM.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2652"/>
                    <a:stretch/>
                  </pic:blipFill>
                  <pic:spPr bwMode="auto">
                    <a:xfrm>
                      <a:off x="0" y="0"/>
                      <a:ext cx="4102538" cy="5176955"/>
                    </a:xfrm>
                    <a:prstGeom prst="rect">
                      <a:avLst/>
                    </a:prstGeom>
                    <a:noFill/>
                    <a:ln>
                      <a:noFill/>
                    </a:ln>
                    <a:extLst>
                      <a:ext uri="{53640926-AAD7-44D8-BBD7-CCE9431645EC}">
                        <a14:shadowObscured xmlns:a14="http://schemas.microsoft.com/office/drawing/2010/main"/>
                      </a:ext>
                    </a:extLst>
                  </pic:spPr>
                </pic:pic>
              </a:graphicData>
            </a:graphic>
          </wp:inline>
        </w:drawing>
      </w:r>
    </w:p>
    <w:p w14:paraId="5DFF8843" w14:textId="6BDC2915" w:rsidR="00453BB9" w:rsidRDefault="00BE11F2" w:rsidP="00453BB9">
      <w:pPr>
        <w:pStyle w:val="Caption"/>
        <w:rPr>
          <w:b w:val="0"/>
          <w:i/>
        </w:rPr>
      </w:pPr>
      <w:bookmarkStart w:id="91" w:name="_Toc506540077"/>
      <w:r>
        <w:t xml:space="preserve">Figure </w:t>
      </w:r>
      <w:fldSimple w:instr=" SEQ Figure \* ARABIC ">
        <w:r w:rsidR="001F73C6">
          <w:rPr>
            <w:noProof/>
          </w:rPr>
          <w:t>6</w:t>
        </w:r>
      </w:fldSimple>
      <w:r>
        <w:t>.</w:t>
      </w:r>
      <w:r w:rsidR="00453BB9">
        <w:t xml:space="preserve"> </w:t>
      </w:r>
      <w:r w:rsidR="00453BB9">
        <w:rPr>
          <w:b w:val="0"/>
        </w:rPr>
        <w:t>Rank Abundance of Fungi at the Level of Order</w:t>
      </w:r>
      <w:bookmarkEnd w:id="91"/>
    </w:p>
    <w:p w14:paraId="2F1B5BFD" w14:textId="77777777" w:rsidR="000C1A5D" w:rsidRPr="005A7F38" w:rsidRDefault="000C1A5D" w:rsidP="000C1A5D">
      <w:pPr>
        <w:pStyle w:val="Caption"/>
        <w:jc w:val="both"/>
      </w:pPr>
    </w:p>
    <w:p w14:paraId="47A4D718" w14:textId="77777777" w:rsidR="000C1A5D" w:rsidRPr="005A7F38" w:rsidRDefault="000C1A5D" w:rsidP="000C1A5D">
      <w:pPr>
        <w:pStyle w:val="Caption"/>
        <w:jc w:val="both"/>
      </w:pPr>
    </w:p>
    <w:p w14:paraId="19DC99EC" w14:textId="77777777" w:rsidR="000C1A5D" w:rsidRPr="005A7F38" w:rsidRDefault="000C1A5D" w:rsidP="000C1A5D">
      <w:pPr>
        <w:pStyle w:val="Caption"/>
        <w:jc w:val="both"/>
      </w:pPr>
    </w:p>
    <w:p w14:paraId="3F09C348" w14:textId="77777777" w:rsidR="000C1A5D" w:rsidRPr="005A7F38" w:rsidRDefault="000C1A5D" w:rsidP="000C1A5D">
      <w:pPr>
        <w:pStyle w:val="Caption"/>
        <w:jc w:val="both"/>
      </w:pPr>
    </w:p>
    <w:p w14:paraId="7495851C" w14:textId="77777777" w:rsidR="000C1A5D" w:rsidRPr="005A7F38" w:rsidRDefault="000C1A5D" w:rsidP="000C1A5D">
      <w:pPr>
        <w:pStyle w:val="Caption"/>
        <w:jc w:val="both"/>
      </w:pPr>
    </w:p>
    <w:p w14:paraId="272068DA" w14:textId="77777777" w:rsidR="000C1A5D" w:rsidRPr="005A7F38" w:rsidRDefault="000C1A5D" w:rsidP="000C1A5D">
      <w:pPr>
        <w:pStyle w:val="Caption"/>
        <w:jc w:val="both"/>
      </w:pPr>
    </w:p>
    <w:p w14:paraId="21633968" w14:textId="77777777" w:rsidR="000C1A5D" w:rsidRPr="005A7F38" w:rsidRDefault="000C1A5D" w:rsidP="000C1A5D">
      <w:pPr>
        <w:pStyle w:val="Caption"/>
        <w:jc w:val="both"/>
      </w:pPr>
    </w:p>
    <w:p w14:paraId="769E05D2" w14:textId="77777777" w:rsidR="000C1A5D" w:rsidRPr="005A7F38" w:rsidRDefault="000C1A5D" w:rsidP="000C1A5D">
      <w:pPr>
        <w:pStyle w:val="Caption"/>
        <w:jc w:val="both"/>
      </w:pPr>
    </w:p>
    <w:p w14:paraId="27524E97" w14:textId="77777777" w:rsidR="000C1A5D" w:rsidRPr="005A7F38" w:rsidRDefault="000C1A5D" w:rsidP="000C1A5D">
      <w:pPr>
        <w:pStyle w:val="Caption"/>
        <w:jc w:val="both"/>
      </w:pPr>
    </w:p>
    <w:p w14:paraId="1B9DAFBB" w14:textId="77777777" w:rsidR="000064CE" w:rsidRDefault="000C1A5D" w:rsidP="00453BB9">
      <w:pPr>
        <w:jc w:val="center"/>
      </w:pPr>
      <w:r w:rsidRPr="005A7F38">
        <w:rPr>
          <w:noProof/>
        </w:rPr>
        <w:lastRenderedPageBreak/>
        <w:drawing>
          <wp:inline distT="0" distB="0" distL="0" distR="0" wp14:anchorId="30A32EBE" wp14:editId="7F44ECE9">
            <wp:extent cx="3503295" cy="4460712"/>
            <wp:effectExtent l="0" t="0" r="1905" b="10160"/>
            <wp:docPr id="15" name="Picture 15" descr="Screen%20Shot%202017-11-29%20at%201.03.0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7-11-29%20at%201.03.06%20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9588" cy="4481457"/>
                    </a:xfrm>
                    <a:prstGeom prst="rect">
                      <a:avLst/>
                    </a:prstGeom>
                    <a:noFill/>
                    <a:ln>
                      <a:noFill/>
                    </a:ln>
                  </pic:spPr>
                </pic:pic>
              </a:graphicData>
            </a:graphic>
          </wp:inline>
        </w:drawing>
      </w:r>
    </w:p>
    <w:p w14:paraId="0B6B473E" w14:textId="3E55E04F" w:rsidR="00453BB9" w:rsidRDefault="00BE11F2" w:rsidP="00BC0424">
      <w:pPr>
        <w:pStyle w:val="Caption"/>
        <w:ind w:left="450" w:hanging="90"/>
        <w:rPr>
          <w:b w:val="0"/>
          <w:i/>
        </w:rPr>
      </w:pPr>
      <w:bookmarkStart w:id="92" w:name="_Toc506540078"/>
      <w:r>
        <w:t xml:space="preserve">Figure </w:t>
      </w:r>
      <w:fldSimple w:instr=" SEQ Figure \* ARABIC ">
        <w:r w:rsidR="001F73C6">
          <w:rPr>
            <w:noProof/>
          </w:rPr>
          <w:t>7</w:t>
        </w:r>
      </w:fldSimple>
      <w:r>
        <w:t xml:space="preserve">. </w:t>
      </w:r>
      <w:r w:rsidR="00453BB9">
        <w:rPr>
          <w:b w:val="0"/>
        </w:rPr>
        <w:t>Ran</w:t>
      </w:r>
      <w:r w:rsidR="00134054">
        <w:rPr>
          <w:b w:val="0"/>
        </w:rPr>
        <w:t>k</w:t>
      </w:r>
      <w:r w:rsidR="00453BB9">
        <w:rPr>
          <w:b w:val="0"/>
        </w:rPr>
        <w:t xml:space="preserve"> Abundance of the 15 Most Abundant Fungi at the Level of Order</w:t>
      </w:r>
      <w:bookmarkEnd w:id="92"/>
    </w:p>
    <w:p w14:paraId="2D98D2BE" w14:textId="77777777" w:rsidR="00EB7829" w:rsidRPr="005A7F38" w:rsidRDefault="00EB7829" w:rsidP="00453BB9">
      <w:pPr>
        <w:ind w:firstLine="0"/>
      </w:pPr>
    </w:p>
    <w:p w14:paraId="5AD985DC" w14:textId="57E55C2D" w:rsidR="00805581" w:rsidRDefault="00546510" w:rsidP="002F73FD">
      <w:r w:rsidRPr="005A7F38">
        <w:t xml:space="preserve">The genera with the highest abundance in this analysis were </w:t>
      </w:r>
      <w:r w:rsidRPr="005A7F38">
        <w:rPr>
          <w:i/>
        </w:rPr>
        <w:t>Saccharomyces</w:t>
      </w:r>
      <w:r w:rsidRPr="005A7F38">
        <w:t xml:space="preserve"> (29.9%), </w:t>
      </w:r>
      <w:r w:rsidRPr="005A7F38">
        <w:rPr>
          <w:i/>
        </w:rPr>
        <w:t>Candida</w:t>
      </w:r>
      <w:r w:rsidRPr="005A7F38">
        <w:t xml:space="preserve"> (18.9%), </w:t>
      </w:r>
      <w:r w:rsidRPr="005A7F38">
        <w:rPr>
          <w:i/>
        </w:rPr>
        <w:t>Cyberlindnera</w:t>
      </w:r>
      <w:r w:rsidRPr="005A7F38">
        <w:t xml:space="preserve"> (10.9%), </w:t>
      </w:r>
      <w:r w:rsidRPr="005A7F38">
        <w:rPr>
          <w:i/>
        </w:rPr>
        <w:t>Cosmospora</w:t>
      </w:r>
      <w:r w:rsidRPr="005A7F38">
        <w:t xml:space="preserve"> (3.7%), </w:t>
      </w:r>
      <w:r w:rsidRPr="005A7F38">
        <w:rPr>
          <w:i/>
        </w:rPr>
        <w:t>Penicillium</w:t>
      </w:r>
      <w:r w:rsidRPr="005A7F38">
        <w:t xml:space="preserve"> (3.5%), </w:t>
      </w:r>
      <w:r w:rsidRPr="005A7F38">
        <w:rPr>
          <w:i/>
        </w:rPr>
        <w:t>Rhodotorula</w:t>
      </w:r>
      <w:r w:rsidRPr="005A7F38">
        <w:t xml:space="preserve"> (1.7%), </w:t>
      </w:r>
      <w:r w:rsidRPr="005A7F38">
        <w:rPr>
          <w:i/>
        </w:rPr>
        <w:t>Alternaria</w:t>
      </w:r>
      <w:r w:rsidRPr="005A7F38">
        <w:t xml:space="preserve"> (1.6%), </w:t>
      </w:r>
      <w:r w:rsidRPr="005A7F38">
        <w:rPr>
          <w:i/>
        </w:rPr>
        <w:t>Agaricus</w:t>
      </w:r>
      <w:r w:rsidRPr="005A7F38">
        <w:t xml:space="preserve"> (1.4%), </w:t>
      </w:r>
      <w:r w:rsidRPr="005A7F38">
        <w:rPr>
          <w:i/>
        </w:rPr>
        <w:t>Debaryomyces</w:t>
      </w:r>
      <w:r w:rsidRPr="005A7F38">
        <w:t xml:space="preserve"> (1.4%), </w:t>
      </w:r>
      <w:r w:rsidRPr="005A7F38">
        <w:rPr>
          <w:i/>
        </w:rPr>
        <w:t>Cryptoc</w:t>
      </w:r>
      <w:r w:rsidR="001C4743" w:rsidRPr="005A7F38">
        <w:rPr>
          <w:i/>
        </w:rPr>
        <w:t>occus</w:t>
      </w:r>
      <w:r w:rsidR="001C4743" w:rsidRPr="005A7F38">
        <w:t xml:space="preserve"> (1.4%), </w:t>
      </w:r>
      <w:r w:rsidR="001C4743" w:rsidRPr="005A7F38">
        <w:rPr>
          <w:i/>
        </w:rPr>
        <w:t>Mrakia</w:t>
      </w:r>
      <w:r w:rsidR="001C4743" w:rsidRPr="005A7F38">
        <w:t xml:space="preserve"> (1.3%), </w:t>
      </w:r>
      <w:r w:rsidR="001C4743" w:rsidRPr="005A7F38">
        <w:rPr>
          <w:i/>
        </w:rPr>
        <w:t>Gibberealla</w:t>
      </w:r>
      <w:r w:rsidR="001C4743" w:rsidRPr="005A7F38">
        <w:t xml:space="preserve"> (1.2%), </w:t>
      </w:r>
      <w:r w:rsidR="001C4743" w:rsidRPr="005A7F38">
        <w:rPr>
          <w:i/>
        </w:rPr>
        <w:t>Aspergillus</w:t>
      </w:r>
      <w:r w:rsidR="001C4743" w:rsidRPr="005A7F38">
        <w:t xml:space="preserve"> (1.1%) and </w:t>
      </w:r>
      <w:r w:rsidR="001C4743" w:rsidRPr="005A7F38">
        <w:rPr>
          <w:i/>
        </w:rPr>
        <w:t>Cystofilobasidium</w:t>
      </w:r>
      <w:r w:rsidR="001C4743" w:rsidRPr="005A7F38">
        <w:t xml:space="preserve"> (1.1%)</w:t>
      </w:r>
      <w:r w:rsidR="00134054">
        <w:t xml:space="preserve"> (Figure 8, Figure 9)</w:t>
      </w:r>
      <w:r w:rsidR="001C4743" w:rsidRPr="005A7F38">
        <w:t>. At the level of genus, the Shannon diversity index was 2.4929 and the Simpson</w:t>
      </w:r>
      <w:r w:rsidR="00161ABE" w:rsidRPr="005A7F38">
        <w:t>’s</w:t>
      </w:r>
      <w:r w:rsidR="001C4743" w:rsidRPr="005A7F38">
        <w:t xml:space="preserve"> diversity index was 0.8454 with an evenness of 0.4790.</w:t>
      </w:r>
    </w:p>
    <w:p w14:paraId="65F123A8" w14:textId="77777777" w:rsidR="00483C7B" w:rsidRDefault="00805581" w:rsidP="00805581">
      <w:pPr>
        <w:jc w:val="center"/>
      </w:pPr>
      <w:r>
        <w:rPr>
          <w:noProof/>
        </w:rPr>
        <w:lastRenderedPageBreak/>
        <w:drawing>
          <wp:inline distT="0" distB="0" distL="0" distR="0" wp14:anchorId="1241A833" wp14:editId="7BDE623F">
            <wp:extent cx="3587701" cy="4514169"/>
            <wp:effectExtent l="0" t="0" r="0" b="7620"/>
            <wp:docPr id="39" name="Picture 39" descr="Screen%20Shot%202017-11-30%20at%2012.11.5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017-11-30%20at%2012.11.56%20PM.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933"/>
                    <a:stretch/>
                  </pic:blipFill>
                  <pic:spPr bwMode="auto">
                    <a:xfrm>
                      <a:off x="0" y="0"/>
                      <a:ext cx="3666072" cy="4612778"/>
                    </a:xfrm>
                    <a:prstGeom prst="rect">
                      <a:avLst/>
                    </a:prstGeom>
                    <a:noFill/>
                    <a:ln>
                      <a:noFill/>
                    </a:ln>
                    <a:extLst>
                      <a:ext uri="{53640926-AAD7-44D8-BBD7-CCE9431645EC}">
                        <a14:shadowObscured xmlns:a14="http://schemas.microsoft.com/office/drawing/2010/main"/>
                      </a:ext>
                    </a:extLst>
                  </pic:spPr>
                </pic:pic>
              </a:graphicData>
            </a:graphic>
          </wp:inline>
        </w:drawing>
      </w:r>
    </w:p>
    <w:p w14:paraId="6EF1E2F5" w14:textId="5A59F9C2" w:rsidR="00805581" w:rsidRDefault="00BE11F2" w:rsidP="00BC0424">
      <w:pPr>
        <w:pStyle w:val="Caption"/>
        <w:ind w:firstLine="810"/>
        <w:rPr>
          <w:b w:val="0"/>
          <w:i/>
        </w:rPr>
      </w:pPr>
      <w:bookmarkStart w:id="93" w:name="_Toc506540079"/>
      <w:r>
        <w:t xml:space="preserve">Figure </w:t>
      </w:r>
      <w:fldSimple w:instr=" SEQ Figure \* ARABIC ">
        <w:r w:rsidR="001F73C6">
          <w:rPr>
            <w:noProof/>
          </w:rPr>
          <w:t>8</w:t>
        </w:r>
      </w:fldSimple>
      <w:r w:rsidR="00805581">
        <w:t xml:space="preserve">. </w:t>
      </w:r>
      <w:r w:rsidR="00805581">
        <w:rPr>
          <w:b w:val="0"/>
        </w:rPr>
        <w:t xml:space="preserve">Rank </w:t>
      </w:r>
      <w:r w:rsidR="008F5985">
        <w:rPr>
          <w:b w:val="0"/>
        </w:rPr>
        <w:t>Abundance</w:t>
      </w:r>
      <w:r w:rsidR="00805581">
        <w:rPr>
          <w:b w:val="0"/>
        </w:rPr>
        <w:t xml:space="preserve"> of Fungi at the Level of Genus</w:t>
      </w:r>
      <w:bookmarkEnd w:id="93"/>
    </w:p>
    <w:p w14:paraId="509CC5AB" w14:textId="77777777" w:rsidR="00805581" w:rsidRDefault="00805581" w:rsidP="002F73FD"/>
    <w:p w14:paraId="295803EB" w14:textId="77777777" w:rsidR="00C576C1" w:rsidRDefault="00483C7B" w:rsidP="00805581">
      <w:pPr>
        <w:jc w:val="center"/>
      </w:pPr>
      <w:r>
        <w:rPr>
          <w:noProof/>
        </w:rPr>
        <w:lastRenderedPageBreak/>
        <w:drawing>
          <wp:inline distT="0" distB="0" distL="0" distR="0" wp14:anchorId="1D6C1428" wp14:editId="564E1361">
            <wp:extent cx="3568358" cy="4388597"/>
            <wp:effectExtent l="0" t="0" r="0" b="5715"/>
            <wp:docPr id="38" name="Picture 38" descr="Screen%20Shot%202017-11-30%20at%2012.12.1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17-11-30%20at%2012.12.13%20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7387" cy="4547285"/>
                    </a:xfrm>
                    <a:prstGeom prst="rect">
                      <a:avLst/>
                    </a:prstGeom>
                    <a:noFill/>
                    <a:ln>
                      <a:noFill/>
                    </a:ln>
                  </pic:spPr>
                </pic:pic>
              </a:graphicData>
            </a:graphic>
          </wp:inline>
        </w:drawing>
      </w:r>
    </w:p>
    <w:p w14:paraId="309B1D32" w14:textId="1E4E68C7" w:rsidR="00805581" w:rsidRPr="00805581" w:rsidRDefault="00BE11F2" w:rsidP="00BC0424">
      <w:pPr>
        <w:pStyle w:val="Caption"/>
        <w:ind w:firstLine="630"/>
        <w:rPr>
          <w:b w:val="0"/>
          <w:i/>
        </w:rPr>
      </w:pPr>
      <w:bookmarkStart w:id="94" w:name="_Toc506540080"/>
      <w:r>
        <w:t xml:space="preserve">Figure </w:t>
      </w:r>
      <w:fldSimple w:instr=" SEQ Figure \* ARABIC ">
        <w:r w:rsidR="001F73C6">
          <w:rPr>
            <w:noProof/>
          </w:rPr>
          <w:t>9</w:t>
        </w:r>
      </w:fldSimple>
      <w:r>
        <w:t xml:space="preserve">. </w:t>
      </w:r>
      <w:r w:rsidR="00805581">
        <w:rPr>
          <w:b w:val="0"/>
        </w:rPr>
        <w:t>Rank Abundance of the 15 most Abundant Fungi at the Level of Genus</w:t>
      </w:r>
      <w:bookmarkEnd w:id="94"/>
    </w:p>
    <w:p w14:paraId="49BBE44D" w14:textId="77777777" w:rsidR="00016770" w:rsidRPr="005A7F38" w:rsidRDefault="006E3504" w:rsidP="00016770">
      <w:pPr>
        <w:pStyle w:val="Heading3"/>
        <w:rPr>
          <w:rFonts w:cs="Times New Roman"/>
        </w:rPr>
      </w:pPr>
      <w:bookmarkStart w:id="95" w:name="_Toc506540054"/>
      <w:r w:rsidRPr="005A7F38">
        <w:rPr>
          <w:rFonts w:cs="Times New Roman"/>
        </w:rPr>
        <w:t>Differences in Clinical Phenotypes</w:t>
      </w:r>
      <w:bookmarkEnd w:id="95"/>
    </w:p>
    <w:p w14:paraId="48322F58" w14:textId="77777777" w:rsidR="000A2DB6" w:rsidRPr="005A7F38" w:rsidRDefault="000A2DB6" w:rsidP="000A2DB6">
      <w:pPr>
        <w:pStyle w:val="Noindent"/>
      </w:pPr>
      <w:r w:rsidRPr="005A7F38">
        <w:t>A major objective of the GRADS study and of this analysis was to identify biological signatures that differ between clinical phenotype groups. To accomplish this goal</w:t>
      </w:r>
      <w:r w:rsidR="00426659" w:rsidRPr="005A7F38">
        <w:t>,</w:t>
      </w:r>
      <w:r w:rsidRPr="005A7F38">
        <w:t xml:space="preserve"> we compared the stool mycobiome of sarcoidosis patients in the different phenotypical groups at a several d</w:t>
      </w:r>
      <w:r w:rsidR="00EF002B" w:rsidRPr="005A7F38">
        <w:t xml:space="preserve">ifferent taxonomic levels. We used a multiple comparison test to examine the differences in distribution of the abundance of at multiple taxonomic levels between the phenotype groups as well as the combined groups (untreated, treated and multi-organ). All comparisons showed some differences between groups, but not all were statistically significant. </w:t>
      </w:r>
    </w:p>
    <w:p w14:paraId="484F26D9" w14:textId="3F5A3EF9" w:rsidR="00805581" w:rsidRDefault="002B7E09" w:rsidP="00805581">
      <w:r w:rsidRPr="005A7F38">
        <w:lastRenderedPageBreak/>
        <w:t>At a F</w:t>
      </w:r>
      <w:r w:rsidR="00EF002B" w:rsidRPr="005A7F38">
        <w:t>amily level</w:t>
      </w:r>
      <w:r w:rsidRPr="005A7F38">
        <w:t>,</w:t>
      </w:r>
      <w:r w:rsidR="00EF002B" w:rsidRPr="005A7F38">
        <w:t xml:space="preserve"> we found a difference between the combined groups of multi-organ involvement and all treated participants. The multi-organ group had a significantly higher abundance of </w:t>
      </w:r>
      <w:r w:rsidR="00EF002B" w:rsidRPr="005A7F38">
        <w:rPr>
          <w:i/>
        </w:rPr>
        <w:t>Nectriaceae</w:t>
      </w:r>
      <w:r w:rsidR="007D335B">
        <w:rPr>
          <w:i/>
        </w:rPr>
        <w:t xml:space="preserve"> </w:t>
      </w:r>
      <w:r w:rsidR="00D549F9">
        <w:t>(F</w:t>
      </w:r>
      <w:r w:rsidR="007D335B">
        <w:t>igure 1</w:t>
      </w:r>
      <w:r w:rsidR="00134054">
        <w:t>0</w:t>
      </w:r>
      <w:r w:rsidR="007D335B">
        <w:t>)</w:t>
      </w:r>
      <w:r w:rsidR="00EF002B" w:rsidRPr="005A7F38">
        <w:t xml:space="preserve">. </w:t>
      </w:r>
      <w:r w:rsidR="00A133C7" w:rsidRPr="005A7F38">
        <w:t xml:space="preserve"> The ascomycete family </w:t>
      </w:r>
      <w:r w:rsidR="00A133C7" w:rsidRPr="005A7F38">
        <w:rPr>
          <w:i/>
        </w:rPr>
        <w:t xml:space="preserve">Nectriaceae </w:t>
      </w:r>
      <w:r w:rsidR="00A133C7" w:rsidRPr="005A7F38">
        <w:t>includes a number of impor</w:t>
      </w:r>
      <w:r w:rsidR="00114D84" w:rsidRPr="005A7F38">
        <w:t xml:space="preserve">tant plant and human pathogens known to be primarily soil-borne including the </w:t>
      </w:r>
      <w:r w:rsidR="00114D84" w:rsidRPr="005A7F38">
        <w:rPr>
          <w:i/>
        </w:rPr>
        <w:t>Fusarium genera</w:t>
      </w:r>
      <w:r w:rsidR="00114D84" w:rsidRPr="005A7F38">
        <w:t>, which are responsible for serious infections in humans.</w:t>
      </w:r>
      <w:r w:rsidRPr="005A7F38">
        <w:fldChar w:fldCharType="begin"/>
      </w:r>
      <w:r w:rsidR="00B775CB">
        <w:instrText>ADDIN F1000_CSL_CITATION&lt;~#@#~&gt;[{"DOI":"10.1016/j.simyco.2014.12.002","First":false,"Last":false,"PMCID":"PMC4779799","PMID":"26955195","abstract":"The ascomycete family Nectriaceae (Hypocreales) includes numerous important plant and human pathogens, as well as several species used extensively in industrial and commercial applications as biodegraders and biocontrol agents. Members of the family are unified by phenotypic characters such as uniloculate ascomata that are yellow, orange-red to purple, and with phialidic asexual morphs. The generic concepts in Nectriaceae are poorly defined, since DNA sequence data have not been available for many of these genera. To address this issue we performed a multi-gene phylogenetic analysis using partial sequences for the 28S large subunit (LSU) nrDNA, the internal transcribed spacer region and intervening 5.8S nrRNA gene (ITS), the large subunit of the ATP citrate lyase (acl1), the RNA polymerase II largest subunit (rpb1), RNA polymerase II second largest subunit (rpb2), α-actin (act), β-tubulin (tub2), calmodulin (cmdA), histone H3 (his3), and translation elongation factor 1-alpha (tef1) gene regions for available type and authentic strains representing known genera in Nectriaceae, including several genera for which no sequence data were previously available. Supported by morphological observations, the data resolved 47 genera in the Nectriaceae. We re-evaluated the status of several genera, which resulted in the introduction of six new genera to accommodate species that were initially classified based solely on morphological characters. Several generic names are proposed for synonymy based on the abolishment of dual nomenclature. Additionally, a new family is introduced for two genera that were previously accommodated in the Nectriaceae.","author":[{"family":"Lombard","given":"L"},{"family":"van der Merwe","given":"N A"},{"family":"Groenewald","given":"J Z"},{"family":"Crous","given":"P W"}],"authorYearDisplayFormat":false,"citation-label":"4544507","container-title":"Studies in mycology","container-title-short":"Stud Mycol","id":"4544507","invisible":false,"issued":{"date-parts":[["2015","3"]]},"journalAbbreviation":"Stud Mycol","page":"189-245","suppress-author":false,"title":"Generic concepts in Nectriaceae.","type":"article-journal","volume":"80"}]</w:instrText>
      </w:r>
      <w:r w:rsidRPr="005A7F38">
        <w:fldChar w:fldCharType="separate"/>
      </w:r>
      <w:r w:rsidR="00B775CB" w:rsidRPr="00B775CB">
        <w:rPr>
          <w:noProof/>
          <w:vertAlign w:val="superscript"/>
        </w:rPr>
        <w:t>213</w:t>
      </w:r>
      <w:r w:rsidRPr="005A7F38">
        <w:fldChar w:fldCharType="end"/>
      </w:r>
      <w:r w:rsidRPr="005A7F38">
        <w:t xml:space="preserve"> </w:t>
      </w:r>
      <w:r w:rsidR="000E4A3E" w:rsidRPr="005A7F38">
        <w:t xml:space="preserve">At the order level, participants with untreated disease with a  remitting course had a higher abundance of </w:t>
      </w:r>
      <w:r w:rsidR="000E4A3E" w:rsidRPr="005A7F38">
        <w:rPr>
          <w:i/>
        </w:rPr>
        <w:t xml:space="preserve">Hypocreales </w:t>
      </w:r>
      <w:r w:rsidR="000E4A3E" w:rsidRPr="005A7F38">
        <w:t>than patients with treated stage II-III disease</w:t>
      </w:r>
      <w:r w:rsidR="00D549F9">
        <w:t xml:space="preserve"> (F</w:t>
      </w:r>
      <w:r w:rsidR="007D335B">
        <w:t>igure 1</w:t>
      </w:r>
      <w:r w:rsidR="00134054">
        <w:t>1</w:t>
      </w:r>
      <w:r w:rsidR="007D335B">
        <w:t>)</w:t>
      </w:r>
      <w:r w:rsidR="000E4A3E" w:rsidRPr="005A7F38">
        <w:t xml:space="preserve">. </w:t>
      </w:r>
      <w:r w:rsidR="000E4A3E" w:rsidRPr="005A7F38">
        <w:rPr>
          <w:i/>
        </w:rPr>
        <w:t>Hypocreales</w:t>
      </w:r>
      <w:r w:rsidR="000E4A3E" w:rsidRPr="005A7F38">
        <w:t xml:space="preserve"> includes the </w:t>
      </w:r>
      <w:r w:rsidR="000E4A3E" w:rsidRPr="005A7F38">
        <w:rPr>
          <w:i/>
        </w:rPr>
        <w:t>Nectriaceae</w:t>
      </w:r>
      <w:r w:rsidR="000E4A3E" w:rsidRPr="005A7F38">
        <w:t xml:space="preserve"> family.</w:t>
      </w:r>
      <w:r w:rsidR="00805581">
        <w:t xml:space="preserve"> </w:t>
      </w:r>
    </w:p>
    <w:p w14:paraId="5A7E8611" w14:textId="77777777" w:rsidR="004570BF" w:rsidRDefault="004570BF" w:rsidP="00805581"/>
    <w:p w14:paraId="1F92318B" w14:textId="77777777" w:rsidR="002B7E09" w:rsidRDefault="00805581" w:rsidP="004570BF">
      <w:pPr>
        <w:ind w:firstLine="180"/>
        <w:jc w:val="center"/>
      </w:pPr>
      <w:r>
        <w:rPr>
          <w:noProof/>
        </w:rPr>
        <w:drawing>
          <wp:inline distT="0" distB="0" distL="0" distR="0" wp14:anchorId="0C4A49B5" wp14:editId="18FA5396">
            <wp:extent cx="4254466" cy="3841262"/>
            <wp:effectExtent l="0" t="0" r="0" b="0"/>
            <wp:docPr id="40" name="Picture 40" descr="UU%20MO%20v%20T%20Family%20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U%20MO%20v%20T%20Family%20Level.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0743" cy="3855958"/>
                    </a:xfrm>
                    <a:prstGeom prst="rect">
                      <a:avLst/>
                    </a:prstGeom>
                    <a:noFill/>
                    <a:ln>
                      <a:noFill/>
                    </a:ln>
                  </pic:spPr>
                </pic:pic>
              </a:graphicData>
            </a:graphic>
          </wp:inline>
        </w:drawing>
      </w:r>
    </w:p>
    <w:p w14:paraId="46836BC0" w14:textId="72D7DC5C" w:rsidR="00805581" w:rsidRDefault="00BE11F2" w:rsidP="00BC0424">
      <w:pPr>
        <w:pStyle w:val="Caption"/>
        <w:spacing w:line="240" w:lineRule="auto"/>
        <w:ind w:firstLine="540"/>
        <w:rPr>
          <w:b w:val="0"/>
        </w:rPr>
      </w:pPr>
      <w:bookmarkStart w:id="96" w:name="_Toc506540081"/>
      <w:r>
        <w:t xml:space="preserve">Figure </w:t>
      </w:r>
      <w:fldSimple w:instr=" SEQ Figure \* ARABIC ">
        <w:r w:rsidR="001F73C6">
          <w:rPr>
            <w:noProof/>
          </w:rPr>
          <w:t>10</w:t>
        </w:r>
      </w:fldSimple>
      <w:r w:rsidR="00805581">
        <w:t xml:space="preserve">. </w:t>
      </w:r>
      <w:r w:rsidR="00805581">
        <w:rPr>
          <w:b w:val="0"/>
        </w:rPr>
        <w:t xml:space="preserve">Ubiquity-Ubiquity Plot Comparing Abundance of </w:t>
      </w:r>
      <w:r w:rsidR="00805581">
        <w:rPr>
          <w:b w:val="0"/>
          <w:i/>
        </w:rPr>
        <w:t>Nectriaceae</w:t>
      </w:r>
      <w:r w:rsidR="00805581">
        <w:rPr>
          <w:b w:val="0"/>
        </w:rPr>
        <w:t xml:space="preserve"> in Participants with Multi-Organ Involvement to All Participants who have been treated</w:t>
      </w:r>
      <w:bookmarkEnd w:id="96"/>
    </w:p>
    <w:p w14:paraId="3AC97ED0" w14:textId="77777777" w:rsidR="00805581" w:rsidRPr="00805581" w:rsidRDefault="00805581" w:rsidP="00805581"/>
    <w:p w14:paraId="5F12D823" w14:textId="77777777" w:rsidR="00805581" w:rsidRDefault="00805581" w:rsidP="00BC0424">
      <w:pPr>
        <w:ind w:hanging="270"/>
        <w:jc w:val="center"/>
      </w:pPr>
      <w:r>
        <w:rPr>
          <w:noProof/>
        </w:rPr>
        <w:lastRenderedPageBreak/>
        <w:drawing>
          <wp:inline distT="0" distB="0" distL="0" distR="0" wp14:anchorId="5665691F" wp14:editId="0B7EBCFB">
            <wp:extent cx="4318821" cy="3888740"/>
            <wp:effectExtent l="0" t="0" r="0" b="0"/>
            <wp:docPr id="42" name="Picture 42" descr="UU%20R%20v%20II-III%20order%20Hpocrea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U%20R%20v%20II-III%20order%20Hpocreale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59168" cy="3925069"/>
                    </a:xfrm>
                    <a:prstGeom prst="rect">
                      <a:avLst/>
                    </a:prstGeom>
                    <a:noFill/>
                    <a:ln>
                      <a:noFill/>
                    </a:ln>
                  </pic:spPr>
                </pic:pic>
              </a:graphicData>
            </a:graphic>
          </wp:inline>
        </w:drawing>
      </w:r>
    </w:p>
    <w:p w14:paraId="70FAAA1A" w14:textId="11F3CFF3" w:rsidR="00805581" w:rsidRPr="00805581" w:rsidRDefault="00BE11F2" w:rsidP="00BC0424">
      <w:pPr>
        <w:pStyle w:val="Caption"/>
        <w:spacing w:line="240" w:lineRule="auto"/>
        <w:ind w:firstLine="630"/>
        <w:rPr>
          <w:b w:val="0"/>
        </w:rPr>
      </w:pPr>
      <w:bookmarkStart w:id="97" w:name="_Toc506540082"/>
      <w:r>
        <w:t xml:space="preserve">Figure </w:t>
      </w:r>
      <w:fldSimple w:instr=" SEQ Figure \* ARABIC ">
        <w:r w:rsidR="001F73C6">
          <w:rPr>
            <w:noProof/>
          </w:rPr>
          <w:t>11</w:t>
        </w:r>
      </w:fldSimple>
      <w:r w:rsidR="00805581">
        <w:t xml:space="preserve">. </w:t>
      </w:r>
      <w:r w:rsidR="00805581">
        <w:rPr>
          <w:b w:val="0"/>
        </w:rPr>
        <w:t xml:space="preserve">Ubiquity-Ubiquity Plot Comparing Abundance of </w:t>
      </w:r>
      <w:r w:rsidR="00805581">
        <w:rPr>
          <w:b w:val="0"/>
          <w:i/>
        </w:rPr>
        <w:t>Hypocreales</w:t>
      </w:r>
      <w:r w:rsidR="00805581">
        <w:rPr>
          <w:b w:val="0"/>
        </w:rPr>
        <w:t xml:space="preserve"> in Participants with Remitting Disease and those with treated stage II-III disease</w:t>
      </w:r>
      <w:bookmarkEnd w:id="97"/>
    </w:p>
    <w:p w14:paraId="5B5C9D28" w14:textId="77777777" w:rsidR="00805581" w:rsidRPr="005A7F38" w:rsidRDefault="00805581" w:rsidP="00805581">
      <w:pPr>
        <w:jc w:val="center"/>
      </w:pPr>
    </w:p>
    <w:p w14:paraId="0B05EF29" w14:textId="48DE9507" w:rsidR="0061381A" w:rsidRDefault="002B7E09" w:rsidP="000E4A3E">
      <w:r w:rsidRPr="005A7F38">
        <w:t xml:space="preserve">When comparing the phenotype groups, we found a significant </w:t>
      </w:r>
      <w:r w:rsidR="000E4A3E" w:rsidRPr="005A7F38">
        <w:t>difference at the f</w:t>
      </w:r>
      <w:r w:rsidRPr="005A7F38">
        <w:t xml:space="preserve">amily level between participants with multi-organ involvement and participants with untreated Scadding stage II-III disease. Patients with multi-organ disease had higher abundance of </w:t>
      </w:r>
      <w:r w:rsidRPr="005A7F38">
        <w:rPr>
          <w:i/>
        </w:rPr>
        <w:t>Saccharomycetales</w:t>
      </w:r>
      <w:r w:rsidRPr="005A7F38">
        <w:t xml:space="preserve"> than patients with untreated stage II-III disease</w:t>
      </w:r>
      <w:r w:rsidR="00134054">
        <w:t xml:space="preserve"> (Figure 12)</w:t>
      </w:r>
      <w:r w:rsidRPr="005A7F38">
        <w:t xml:space="preserve">. Participants with untreated stage I disease had a higher abundance of </w:t>
      </w:r>
      <w:r w:rsidRPr="005A7F38">
        <w:rPr>
          <w:i/>
        </w:rPr>
        <w:t xml:space="preserve">Saccharomycetales </w:t>
      </w:r>
      <w:r w:rsidRPr="005A7F38">
        <w:t>compared to participants with untre</w:t>
      </w:r>
      <w:r w:rsidR="000E4A3E" w:rsidRPr="005A7F38">
        <w:t>ated stage II-III disease at a f</w:t>
      </w:r>
      <w:r w:rsidRPr="005A7F38">
        <w:t>amily level</w:t>
      </w:r>
      <w:r w:rsidR="00134054">
        <w:t xml:space="preserve"> (Figure 13)</w:t>
      </w:r>
      <w:r w:rsidRPr="005A7F38">
        <w:t xml:space="preserve">. At a class and order level, participants with stage I disease had higher abundance of </w:t>
      </w:r>
      <w:r w:rsidRPr="005A7F38">
        <w:rPr>
          <w:i/>
        </w:rPr>
        <w:t>Saccharomycetes</w:t>
      </w:r>
      <w:r w:rsidRPr="005A7F38">
        <w:t xml:space="preserve"> and </w:t>
      </w:r>
      <w:r w:rsidRPr="005A7F38">
        <w:rPr>
          <w:i/>
        </w:rPr>
        <w:t xml:space="preserve">Saccharomycetales </w:t>
      </w:r>
      <w:r w:rsidRPr="005A7F38">
        <w:t>respectively than participants with treated stage IV disease</w:t>
      </w:r>
      <w:r w:rsidR="00134054">
        <w:t xml:space="preserve"> (Figure 14)</w:t>
      </w:r>
      <w:r w:rsidRPr="005A7F38">
        <w:t xml:space="preserve">. </w:t>
      </w:r>
    </w:p>
    <w:p w14:paraId="7DB4B362" w14:textId="77777777" w:rsidR="00EF002B" w:rsidRDefault="0061381A" w:rsidP="00BC0424">
      <w:pPr>
        <w:ind w:hanging="360"/>
        <w:jc w:val="center"/>
      </w:pPr>
      <w:r>
        <w:rPr>
          <w:noProof/>
        </w:rPr>
        <w:lastRenderedPageBreak/>
        <w:drawing>
          <wp:inline distT="0" distB="0" distL="0" distR="0" wp14:anchorId="1824A02F" wp14:editId="5021EAFD">
            <wp:extent cx="4265864" cy="4003040"/>
            <wp:effectExtent l="0" t="0" r="1905" b="10160"/>
            <wp:docPr id="43" name="Picture 43" descr="UU%20MO%20v%20II-III%20fami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U%20MO%20v%20II-III%20family.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01690" cy="4036659"/>
                    </a:xfrm>
                    <a:prstGeom prst="rect">
                      <a:avLst/>
                    </a:prstGeom>
                    <a:noFill/>
                    <a:ln>
                      <a:noFill/>
                    </a:ln>
                  </pic:spPr>
                </pic:pic>
              </a:graphicData>
            </a:graphic>
          </wp:inline>
        </w:drawing>
      </w:r>
    </w:p>
    <w:p w14:paraId="1852BF59" w14:textId="202106ED" w:rsidR="0061381A" w:rsidRDefault="00BE11F2" w:rsidP="00BC0424">
      <w:pPr>
        <w:pStyle w:val="Caption"/>
        <w:spacing w:line="240" w:lineRule="auto"/>
        <w:rPr>
          <w:b w:val="0"/>
        </w:rPr>
      </w:pPr>
      <w:bookmarkStart w:id="98" w:name="_Toc506540083"/>
      <w:r>
        <w:t xml:space="preserve">Figure </w:t>
      </w:r>
      <w:fldSimple w:instr=" SEQ Figure \* ARABIC ">
        <w:r w:rsidR="001F73C6">
          <w:rPr>
            <w:noProof/>
          </w:rPr>
          <w:t>12</w:t>
        </w:r>
      </w:fldSimple>
      <w:r w:rsidR="0061381A">
        <w:t xml:space="preserve">. </w:t>
      </w:r>
      <w:r w:rsidR="0061381A">
        <w:rPr>
          <w:b w:val="0"/>
        </w:rPr>
        <w:t xml:space="preserve">Ubiquity-Ubiquity Plot of Abundance of </w:t>
      </w:r>
      <w:r w:rsidR="0061381A">
        <w:rPr>
          <w:b w:val="0"/>
          <w:i/>
        </w:rPr>
        <w:t xml:space="preserve">Saccharomycetales </w:t>
      </w:r>
      <w:r w:rsidR="00D207D0">
        <w:rPr>
          <w:b w:val="0"/>
        </w:rPr>
        <w:t>in Participants with Multi-Organ Involvement and Participants with untreated stage II-III disease</w:t>
      </w:r>
      <w:bookmarkEnd w:id="98"/>
    </w:p>
    <w:p w14:paraId="39837FD7" w14:textId="77777777" w:rsidR="00D207D0" w:rsidRPr="00D207D0" w:rsidRDefault="00D207D0" w:rsidP="0062194B">
      <w:pPr>
        <w:ind w:firstLine="0"/>
      </w:pPr>
    </w:p>
    <w:p w14:paraId="04CC3207" w14:textId="77777777" w:rsidR="0061381A" w:rsidRDefault="00D207D0" w:rsidP="00B432C3">
      <w:pPr>
        <w:ind w:hanging="270"/>
        <w:jc w:val="center"/>
      </w:pPr>
      <w:r>
        <w:rPr>
          <w:noProof/>
        </w:rPr>
        <w:lastRenderedPageBreak/>
        <w:drawing>
          <wp:inline distT="0" distB="0" distL="0" distR="0" wp14:anchorId="4040C36D" wp14:editId="0F960C6F">
            <wp:extent cx="4229389" cy="3888740"/>
            <wp:effectExtent l="0" t="0" r="12700" b="0"/>
            <wp:docPr id="44" name="Picture 44" descr="UU%20I%20v%20II-III%20fami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U%20I%20v%20II-III%20family.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75770" cy="3931385"/>
                    </a:xfrm>
                    <a:prstGeom prst="rect">
                      <a:avLst/>
                    </a:prstGeom>
                    <a:noFill/>
                    <a:ln>
                      <a:noFill/>
                    </a:ln>
                  </pic:spPr>
                </pic:pic>
              </a:graphicData>
            </a:graphic>
          </wp:inline>
        </w:drawing>
      </w:r>
    </w:p>
    <w:p w14:paraId="28A7DEA2" w14:textId="05E2DA78" w:rsidR="00D207D0" w:rsidRDefault="00BE11F2" w:rsidP="00B432C3">
      <w:pPr>
        <w:pStyle w:val="Caption"/>
        <w:spacing w:line="240" w:lineRule="auto"/>
        <w:rPr>
          <w:b w:val="0"/>
        </w:rPr>
      </w:pPr>
      <w:bookmarkStart w:id="99" w:name="_Toc506540084"/>
      <w:r>
        <w:t xml:space="preserve">Figure </w:t>
      </w:r>
      <w:fldSimple w:instr=" SEQ Figure \* ARABIC ">
        <w:r w:rsidR="001F73C6">
          <w:rPr>
            <w:noProof/>
          </w:rPr>
          <w:t>13</w:t>
        </w:r>
      </w:fldSimple>
      <w:r w:rsidR="00D207D0">
        <w:t xml:space="preserve">. </w:t>
      </w:r>
      <w:r w:rsidR="00D207D0">
        <w:rPr>
          <w:b w:val="0"/>
        </w:rPr>
        <w:t xml:space="preserve">Ubiquity-Ubiquity Plot of Abundance of </w:t>
      </w:r>
      <w:r w:rsidR="00D207D0">
        <w:rPr>
          <w:b w:val="0"/>
          <w:i/>
        </w:rPr>
        <w:t xml:space="preserve">Saccharomycetales </w:t>
      </w:r>
      <w:r w:rsidR="00D207D0">
        <w:rPr>
          <w:b w:val="0"/>
        </w:rPr>
        <w:t>in Participants with untreated stage I disease and Participants with untreated stage II-III disease</w:t>
      </w:r>
      <w:bookmarkEnd w:id="99"/>
    </w:p>
    <w:p w14:paraId="4B14A725" w14:textId="77777777" w:rsidR="00D207D0" w:rsidRPr="00D207D0" w:rsidRDefault="00D207D0" w:rsidP="00D207D0"/>
    <w:p w14:paraId="725D1C6B" w14:textId="77777777" w:rsidR="00D207D0" w:rsidRDefault="00D207D0" w:rsidP="00B432C3">
      <w:pPr>
        <w:ind w:hanging="90"/>
        <w:jc w:val="center"/>
      </w:pPr>
      <w:r>
        <w:rPr>
          <w:noProof/>
        </w:rPr>
        <w:lastRenderedPageBreak/>
        <w:drawing>
          <wp:inline distT="0" distB="0" distL="0" distR="0" wp14:anchorId="0A67BE04" wp14:editId="48F16210">
            <wp:extent cx="4602327" cy="4231640"/>
            <wp:effectExtent l="0" t="0" r="0" b="10160"/>
            <wp:docPr id="45" name="Picture 45" descr="UU%20I%20v%20IV%20Cl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U%20I%20v%20IV%20Clas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21356" cy="4249136"/>
                    </a:xfrm>
                    <a:prstGeom prst="rect">
                      <a:avLst/>
                    </a:prstGeom>
                    <a:noFill/>
                    <a:ln>
                      <a:noFill/>
                    </a:ln>
                  </pic:spPr>
                </pic:pic>
              </a:graphicData>
            </a:graphic>
          </wp:inline>
        </w:drawing>
      </w:r>
    </w:p>
    <w:p w14:paraId="791816E0" w14:textId="67657D70" w:rsidR="00D207D0" w:rsidRDefault="00BE11F2" w:rsidP="00B432C3">
      <w:pPr>
        <w:pStyle w:val="Caption"/>
        <w:spacing w:line="240" w:lineRule="auto"/>
        <w:rPr>
          <w:b w:val="0"/>
        </w:rPr>
      </w:pPr>
      <w:bookmarkStart w:id="100" w:name="_Toc506540085"/>
      <w:r>
        <w:t xml:space="preserve">Figure </w:t>
      </w:r>
      <w:fldSimple w:instr=" SEQ Figure \* ARABIC ">
        <w:r w:rsidR="001F73C6">
          <w:rPr>
            <w:noProof/>
          </w:rPr>
          <w:t>14</w:t>
        </w:r>
      </w:fldSimple>
      <w:r>
        <w:t>.</w:t>
      </w:r>
      <w:r w:rsidR="00D207D0">
        <w:t xml:space="preserve"> </w:t>
      </w:r>
      <w:r w:rsidR="00D207D0">
        <w:rPr>
          <w:b w:val="0"/>
        </w:rPr>
        <w:t xml:space="preserve">Ubiquity-Ubiquity Plot of Abundance of </w:t>
      </w:r>
      <w:r w:rsidR="00D207D0">
        <w:rPr>
          <w:b w:val="0"/>
          <w:i/>
        </w:rPr>
        <w:t xml:space="preserve">Saccharomycetes </w:t>
      </w:r>
      <w:r w:rsidR="00D207D0">
        <w:rPr>
          <w:b w:val="0"/>
        </w:rPr>
        <w:t>in Participants with untreated stage I disease and Participants with treated stage IV disease</w:t>
      </w:r>
      <w:bookmarkEnd w:id="100"/>
    </w:p>
    <w:p w14:paraId="2C327FB2" w14:textId="77777777" w:rsidR="00D207D0" w:rsidRPr="00D207D0" w:rsidRDefault="00D207D0" w:rsidP="00D207D0"/>
    <w:p w14:paraId="28598DEE" w14:textId="042EA775" w:rsidR="00D207D0" w:rsidRDefault="00D207D0" w:rsidP="00B432C3">
      <w:pPr>
        <w:ind w:hanging="720"/>
        <w:jc w:val="center"/>
      </w:pPr>
    </w:p>
    <w:p w14:paraId="2D65A865" w14:textId="77777777" w:rsidR="006E3504" w:rsidRPr="00396BBD" w:rsidRDefault="006E3504" w:rsidP="00396BBD">
      <w:pPr>
        <w:pStyle w:val="Heading1"/>
      </w:pPr>
      <w:bookmarkStart w:id="101" w:name="_Toc506540055"/>
      <w:r w:rsidRPr="00396BBD">
        <w:lastRenderedPageBreak/>
        <w:t>Discussion</w:t>
      </w:r>
      <w:bookmarkEnd w:id="101"/>
    </w:p>
    <w:p w14:paraId="2FFA0881" w14:textId="715A5BDD" w:rsidR="0001563C" w:rsidRDefault="00634F92" w:rsidP="0001563C">
      <w:pPr>
        <w:pStyle w:val="Noindent"/>
      </w:pPr>
      <w:r>
        <w:t xml:space="preserve">Since the </w:t>
      </w:r>
      <w:r w:rsidR="0068234B">
        <w:t xml:space="preserve">recognition </w:t>
      </w:r>
      <w:r>
        <w:t>of sarcoidosis as a distinct disease in the 1860s, sarcoidosis has confounded those who have sought to understand the etiologic basis and factors affecting the heterogeneity in the disease course and presentation.</w:t>
      </w:r>
      <w:r w:rsidR="0068234B">
        <w:fldChar w:fldCharType="begin"/>
      </w:r>
      <w:r w:rsidR="00B775CB">
        <w:instrText>ADDIN F1000_CSL_CITATION&lt;~#@#~&gt;[{"DOI":"10.1016/S0140-6736(13)60680-7","First":false,"Last":false,"PMID":"24090799","abstract":"Sarcoidosis is a systemic disease of unknown cause that is characterised by the formation of immune granulomas in various organs, mainly the lungs and the lymphatic system. Studies show that sarcoidosis might be the result of an exaggerated granulomatous reaction after exposure to unidentified antigens in individuals who are genetically susceptible. Several new insights have been made, particularly with regards to the diagnosis and care of some important manifestations of sarcoidosis. The indications for endobronchial ultrasound in diagnosis and for PET in the assessment of inflammatory activity are now better specified. Recognition of unexplained persistent disabling symptoms, fatigue, small-fibre neurological impairment, cognitive failure, and changes to health state and quality of life, has improved. Mortality in patients with sarcoidosis is higher than that of the general population, mainly due to pulmonary fibrosis. Predicted advances for the future are finding the cause of sarcoidosis, and the elucidation of relevant biomarkers, reliable endpoints, and new efficient treatments, particularly in patients with refractory sarcoidosis, lung fibrosis, and those with persistent disabling symptoms.&lt;br&gt;&lt;br&gt;Copyright © 2014 Elsevier Ltd. All rights reserved.","author":[{"family":"Valeyre","given":"Dominique"},{"family":"Prasse","given":"Antje"},{"family":"Nunes","given":"Hilario"},{"family":"Uzunhan","given":"Yurdagul"},{"family":"Brillet","given":"Pierre-Yves"},{"family":"Müller-Quernheim","given":"Joachim"}],"authorYearDisplayFormat":false,"citation-label":"1459639","container-title":"The Lancet","container-title-short":"Lancet","id":"1459639","invisible":false,"issue":"9923","issued":{"date-parts":[["2014","3","29"]]},"journalAbbreviation":"Lancet","page":"1155-1167","suppress-author":false,"title":"Sarcoidosis.","type":"article-journal","volume":"383"}]</w:instrText>
      </w:r>
      <w:r w:rsidR="0068234B">
        <w:fldChar w:fldCharType="separate"/>
      </w:r>
      <w:r w:rsidR="00B775CB" w:rsidRPr="00B775CB">
        <w:rPr>
          <w:noProof/>
          <w:vertAlign w:val="superscript"/>
        </w:rPr>
        <w:t>214</w:t>
      </w:r>
      <w:r w:rsidR="0068234B">
        <w:fldChar w:fldCharType="end"/>
      </w:r>
      <w:r w:rsidR="0068234B">
        <w:t xml:space="preserve"> </w:t>
      </w:r>
      <w:r w:rsidR="0001563C">
        <w:t xml:space="preserve">While resent research has elucidated immune pathways that are implicated in the systemic development of granulomatous inflammation, researchers do not know what causes sarcoidosis or predicts the disease course. </w:t>
      </w:r>
      <w:r w:rsidR="003B2E2A">
        <w:t xml:space="preserve">It is accepted that the inflammatory cascade implicated in the formation of sarcoidosis is triggered by exposure to one or </w:t>
      </w:r>
      <w:r w:rsidR="00887163">
        <w:t>more microbial</w:t>
      </w:r>
      <w:r w:rsidR="003B2E2A">
        <w:t xml:space="preserve"> agents in addition to susceptibility caused by environmental exposure or genetic predilection. </w:t>
      </w:r>
      <w:r w:rsidR="006A69DD">
        <w:t xml:space="preserve">New and developing technologies, including </w:t>
      </w:r>
      <w:r w:rsidR="009C2276">
        <w:t>high-throughput screening and ‘omic methodologies, provide the capability to examine this hypothesis with increased rigor. Large clinical trials</w:t>
      </w:r>
      <w:r w:rsidR="00E636ED">
        <w:t xml:space="preserve">, such as the GRADS study, </w:t>
      </w:r>
      <w:r w:rsidR="009C2276">
        <w:t xml:space="preserve">combining environmental and clinical </w:t>
      </w:r>
      <w:r w:rsidR="00792A19">
        <w:t>data with ‘omics data will potentially provide significant advances in our understanding of</w:t>
      </w:r>
      <w:r w:rsidR="00E636ED">
        <w:t xml:space="preserve"> mechanistic pathways and interactions that play a critical role in </w:t>
      </w:r>
      <w:r w:rsidR="00792A19">
        <w:t>sarcoidosis etiology</w:t>
      </w:r>
      <w:r w:rsidR="00E636ED">
        <w:t>, clinical manifestation</w:t>
      </w:r>
      <w:r w:rsidR="00792A19">
        <w:t xml:space="preserve"> and outcomes.</w:t>
      </w:r>
      <w:r w:rsidR="00E636ED">
        <w:t xml:space="preserve"> </w:t>
      </w:r>
      <w:r w:rsidR="003B2E2A">
        <w:t>Continued resea</w:t>
      </w:r>
      <w:r w:rsidR="0011435E">
        <w:t xml:space="preserve">rch is needed to understand </w:t>
      </w:r>
      <w:r w:rsidR="003B2E2A">
        <w:t>differences in</w:t>
      </w:r>
      <w:r w:rsidR="0011435E">
        <w:t xml:space="preserve"> environmental exposures, genetic, metagenomics and transcriptomic signatures between clinical phenotypes and disease course outcomes.</w:t>
      </w:r>
    </w:p>
    <w:p w14:paraId="2625003A" w14:textId="78E5424F" w:rsidR="00E636ED" w:rsidRPr="00E636ED" w:rsidRDefault="0001563C" w:rsidP="00E636ED">
      <w:pPr>
        <w:pStyle w:val="Noindent"/>
        <w:ind w:firstLine="720"/>
      </w:pPr>
      <w:r>
        <w:t xml:space="preserve">Sarcoidosis can result in chronic disease that limits functioning, causes dyspnea and can be fatal. </w:t>
      </w:r>
      <w:r w:rsidR="00EC6D56">
        <w:t xml:space="preserve">Based on estimated incidence levels of sarcoidosis in the U.S. (8.1 per 100,000), we can estimate that </w:t>
      </w:r>
      <w:r>
        <w:t>about 27,</w:t>
      </w:r>
      <w:r w:rsidR="00D82BFD">
        <w:t>000 people per year are diagnosed with sarcoidosis</w:t>
      </w:r>
      <w:r>
        <w:t xml:space="preserve"> in the U.S. each year. </w:t>
      </w:r>
      <w:r w:rsidR="00EC6D56" w:rsidRPr="005A7F38">
        <w:fldChar w:fldCharType="begin"/>
      </w:r>
      <w:r w:rsidR="00B775CB">
        <w:instrText>ADDIN F1000_CSL_CITATION&lt;~#@#~&gt;[{"DOI":"10.1513/AnnalsATS.201511-760OC","First":false,"Last":false,"PMID":"27509154","abstract":"&lt;strong&gt;RATIONALE:&lt;/strong&gt; There have been no recent comprehensive studies of the epidemiology of sarcoidosis in the United States. Changes in health care use have made available access to data on large numbers of patients with sarcoidosis.&lt;br&gt;&lt;br&gt;&lt;strong&gt;OBJECTIVES:&lt;/strong&gt; To use a U.S. national health care database to gather data on patients with sarcoidosis identified over a 3-year period who were 18 years of age and older, and to determine health care costs for these patients.&lt;br&gt;&lt;br&gt;&lt;strong&gt;METHODS:&lt;/strong&gt; The Optum health care database was queried for a 3-year period (2010-2013). This database includes approximately 15% of U.S. residents. The incidence rate of sarcoidosis was calculated for new cases identified in each year. Calculation of prevalence was based on any patient with sarcoidosis seen during the year. Incidence and prevalence rates are reported per 100,000 patients.&lt;br&gt;&lt;br&gt;&lt;strong&gt;MEASUREMENTS AND MAIN RESULTS:&lt;/strong&gt; A total of 29,372 adult patients with sarcoidosis were identified. Of these, 14,700 (55%) were over 55 years of age at the time of diagnosis. The incidence and prevalence rates were higher for African Americans (17.8 and 141.4 per 100,000, respectively) than for white individuals (8.1 and 49.8), Hispanics (4.3 and 21.7), or Asians (3.2 and 18.9). Women were two times more likely to have sarcoidosis, with the highest prevalence for sarcoidosis noted in African American women (178.5). Overall, the yearly health care cost reported for patients with sarcoidosis was low, with a median of $18,663 per year. However, the yearly cost for the top 5% was $93,201.&lt;br&gt;&lt;br&gt;&lt;strong&gt;CONCLUSIONS:&lt;/strong&gt; For patients 18 years of age and older enrolled in a U.S. national administrative database, sarcoidosis was more common among African Americans, but it was reported for all four of the major ethnic groups studied. While health care costs were relatively small for most patients, the cost of care for some patients was considerable.","author":[{"family":"Baughman","given":"Robert P"},{"family":"Field","given":"Shelli"},{"family":"Costabel","given":"Ulrich"},{"family":"Crystal","given":"Ronald G"},{"family":"Culver","given":"Daniel A"},{"family":"Drent","given":"Marjolein"},{"family":"Judson","given":"Marc A"},{"family":"Wolff","given":"Gerhard"}],"authorYearDisplayFormat":false,"citation-label":"4267493","container-title":"Annals of the American Thoracic Society","container-title-short":"Ann Am Thorac Soc","id":"4267493","invisible":false,"issue":"8","issued":{"date-parts":[["2016","8"]]},"journalAbbreviation":"Ann Am Thorac Soc","page":"1244-1252","suppress-author":false,"title":"Sarcoidosis in america. analysis based on health care use.","type":"article-journal","volume":"13"}]</w:instrText>
      </w:r>
      <w:r w:rsidR="00EC6D56" w:rsidRPr="005A7F38">
        <w:fldChar w:fldCharType="separate"/>
      </w:r>
      <w:r w:rsidR="00B775CB" w:rsidRPr="00B775CB">
        <w:rPr>
          <w:noProof/>
          <w:vertAlign w:val="superscript"/>
        </w:rPr>
        <w:t>2</w:t>
      </w:r>
      <w:r w:rsidR="00EC6D56" w:rsidRPr="005A7F38">
        <w:fldChar w:fldCharType="end"/>
      </w:r>
      <w:r w:rsidR="0011435E">
        <w:t xml:space="preserve"> </w:t>
      </w:r>
      <w:r w:rsidR="00975082">
        <w:t xml:space="preserve">The distribution of sarcoidosis is not even across racial groups, black people, specifically black women, </w:t>
      </w:r>
      <w:r w:rsidR="00887163">
        <w:t>are much</w:t>
      </w:r>
      <w:r w:rsidR="00975082">
        <w:t xml:space="preserve"> more likely to be diagnosed with sarcoidosis. </w:t>
      </w:r>
      <w:r w:rsidR="00887163">
        <w:t xml:space="preserve">Because we do not yet have biomarkers to predict increased sarcoidosis risk or a clear understanding of </w:t>
      </w:r>
      <w:r w:rsidR="006A69DD">
        <w:t xml:space="preserve">risk factors, there is </w:t>
      </w:r>
      <w:r w:rsidR="006A69DD">
        <w:lastRenderedPageBreak/>
        <w:t xml:space="preserve">not a feasible public health intervention that could be employed to prevent or screen for sarcoidosis. </w:t>
      </w:r>
      <w:r w:rsidR="005E507D">
        <w:t>Given that the disease burden is higher in females and black individuals, it is important to undertake research efforts to understand the risk factors and biological processes that underlie the risk discrepancy to provide for effective preventions efforts.</w:t>
      </w:r>
      <w:r w:rsidR="006A69DD">
        <w:t xml:space="preserve"> Efforts should be made to provide for increased awareness in these high-risk populations. Primary care providers and other health care providers should be given education about the heterogeneity of sarcoidosis presentations, population groups at risk, research being undertaken and new pharmaceutical therapies, such as anti-TNF-alpha agents. People in the high-risk groups should be educated about their increased risk, how to obtain medical care and how to connect with researchers interested in these groups. </w:t>
      </w:r>
      <w:r w:rsidR="00E636ED">
        <w:t xml:space="preserve">Additionally, research </w:t>
      </w:r>
      <w:r w:rsidR="00A81043">
        <w:t xml:space="preserve">has shown that lack of access to medical care contributes to an increase in symptoms related to sarcoidosis such as </w:t>
      </w:r>
      <w:r w:rsidR="00B168C0">
        <w:t>dyspnea and decreased functional ability.</w:t>
      </w:r>
      <w:r w:rsidR="008F61C3">
        <w:fldChar w:fldCharType="begin"/>
      </w:r>
      <w:r w:rsidR="00B775CB">
        <w:instrText>ADDIN F1000_CSL_CITATION&lt;~#@#~&gt;[{"First":false,"Last":false,"PMID":"11589347","abstract":"Several chronic diseases are more severe in persons who are Black, of low socioeconomic status (SES), and underinsured. The authors ask if this is true for sarcoidosis. Associations among sarcoidosis disease severity, SES, insurance coverage, and functional limitations were analysed. Back and White sarcoidosis patients (n=110) of a municipal and university hospital sarcoidosis registry were interviewed by telephone. Data on disease severity were abstracted from patient charts. Most patients reported good or excellent health by demographic characteristics. Low SES and no or public insurance were associated with worse health status and more severe dyspnoea. More advanced radiographic stage was associated with lower income, and forced vital capacity impairment with less education. Physical and social activity limitations due to physical and emotional disability were related to no or public insurance and lower income, but not education. Sarcoidosis severity is associated with socioeconomic status and insurance indicators; no or public insurance and low income are associated with functional limitations. Sarcoidosis-associated limitations are substantial, emphasizing the social significance of sarcoidosis. Lack of private insurance may inhibit the use of medical care, contributing to disease severity and impairment.","author":[{"family":"Rabin","given":"D L"},{"family":"Richardson","given":"M S"},{"family":"Stein","given":"S R"},{"family":"Yeager","given":"H"}],"authorYearDisplayFormat":false,"citation-label":"4471751","container-title":"The European Respiratory Journal","container-title-short":"Eur Respir J","id":"4471751","invisible":false,"issue":"3","issued":{"date-parts":[["2001","9"]]},"journalAbbreviation":"Eur Respir J","page":"499-506","suppress-author":false,"title":"Sarcoidosis severity and socioeconomic status.","type":"article-journal","volume":"18"},{"DOI":"10.1183/09031936.04.00070503","First":false,"Last":false,"PMID":"15459139","abstract":"To determine relationships among social predictors and sarcoidosis severity at presentation, demographic characteristics, socioeconomic status, and barriers to care, A Case-Control Etiologic Study of Sarcoidosis (ACCESS) was set up. Patients self-reported themselves to be Black or White and were tissue-confirmed incident cases aged &gt; or =l8-yrs-old (n=696) who had received uniform assessment procedures within one of 10 medical centres and were studied using standardised questionnaires and physical, radiographical, and pulmonary function tests. Severity was measured by objective disease indicators, subjective measures of dyspnoea and short form-36 subindices. The results of the study showed that lower income, the absence of private or Medicare health insurance, and other barriers to care were associated with sarcoidosis severity at presentation, as were race, sex, and age. Blacks were more likely to have severe disease by objective measures, while women were more likely than males to report subjective measures of severity. Older individuals were more likely to have severe disease by both measures. In conclusion, it was found that low income and other financial barriers to care are significantly associated with sarcoidosis severity at presentation even after adjusting for demographic characteristics of race, sex, and age.","author":[{"family":"Rabin","given":"D L"},{"family":"Thompson","given":"B"},{"family":"Brown","given":"K M"},{"family":"Judson","given":"M A"},{"family":"Huang","given":"X"},{"family":"Lackland","given":"D T"},{"family":"Knatterud","given":"G L"},{"family":"Yeager","given":"H"},{"family":"Rose","given":"C"},{"family":"Steimel","given":"J"}],"authorYearDisplayFormat":false,"citation-label":"4471739","container-title":"The European Respiratory Journal","container-title-short":"Eur Respir J","id":"4471739","invisible":false,"issue":"4","issued":{"date-parts":[["2004","10"]]},"journalAbbreviation":"Eur Respir J","page":"601-608","suppress-author":false,"title":"Sarcoidosis: social predictors of severity at presentation.","type":"article-journal","volume":"24"}]</w:instrText>
      </w:r>
      <w:r w:rsidR="008F61C3">
        <w:fldChar w:fldCharType="separate"/>
      </w:r>
      <w:r w:rsidR="00B775CB" w:rsidRPr="00B775CB">
        <w:rPr>
          <w:noProof/>
          <w:vertAlign w:val="superscript"/>
        </w:rPr>
        <w:t>82,83</w:t>
      </w:r>
      <w:r w:rsidR="008F61C3">
        <w:fldChar w:fldCharType="end"/>
      </w:r>
      <w:r w:rsidR="00B168C0">
        <w:t xml:space="preserve"> As such, connecting low SES patients, patients without access to health insurance and those with other barriers to quality medical care should be an important goal of public health programs addressing sarcoidosis. Efforts to provide access to medical care for patients with sarcoidosis will likely lead to overall decreased health care costs and costs associat</w:t>
      </w:r>
      <w:r w:rsidR="008F61C3">
        <w:t>ed with lost work days and disability.</w:t>
      </w:r>
    </w:p>
    <w:p w14:paraId="74866FDB" w14:textId="77777777" w:rsidR="006E3504" w:rsidRDefault="006E3504" w:rsidP="002446BB">
      <w:pPr>
        <w:pStyle w:val="Heading3"/>
        <w:rPr>
          <w:rFonts w:cs="Times New Roman"/>
        </w:rPr>
      </w:pPr>
      <w:bookmarkStart w:id="102" w:name="_Toc506540056"/>
      <w:r w:rsidRPr="005A7F38">
        <w:rPr>
          <w:rFonts w:cs="Times New Roman"/>
        </w:rPr>
        <w:t>Strengths</w:t>
      </w:r>
      <w:bookmarkEnd w:id="102"/>
    </w:p>
    <w:p w14:paraId="647E2D00" w14:textId="77777777" w:rsidR="00886CF7" w:rsidRDefault="00886CF7" w:rsidP="00886CF7">
      <w:pPr>
        <w:pStyle w:val="Noindent"/>
      </w:pPr>
      <w:r>
        <w:t xml:space="preserve">While studies of sarcoidosis have examined environmental factors previously, none have included examination of the critical role of the microbiome and molecular phenotypes in etiology and disease course. </w:t>
      </w:r>
      <w:r w:rsidR="00A50F9A">
        <w:t xml:space="preserve">The hypothesis implicating one or many microbial agents as an etiologic trigger inducing the inflammatory cascade responsible for the pathobiology of sarcoidosis </w:t>
      </w:r>
      <w:r w:rsidR="00754573">
        <w:t>has become increasingly accepted. U</w:t>
      </w:r>
      <w:r w:rsidR="00C40BBC">
        <w:t xml:space="preserve">tilizing </w:t>
      </w:r>
      <w:r w:rsidR="00754573">
        <w:t>high-throughput</w:t>
      </w:r>
      <w:r w:rsidR="00C40BBC">
        <w:t xml:space="preserve"> sequencing will allow for identification of bacteria and fungi that were previously </w:t>
      </w:r>
      <w:r w:rsidR="00967290">
        <w:t xml:space="preserve">unable to be characterized using culture dependent </w:t>
      </w:r>
      <w:r w:rsidR="00967290">
        <w:lastRenderedPageBreak/>
        <w:t xml:space="preserve">techniques. </w:t>
      </w:r>
      <w:r>
        <w:t xml:space="preserve">The integration of clinical, environmental and microbiome data provides the ability to identify correlations between exposures, microbial communities and clinical phenotypes and outcomes in a way that may allow for the discovery of etiologic predictors and potential therapeutic interventions. </w:t>
      </w:r>
    </w:p>
    <w:p w14:paraId="5791505C" w14:textId="2CEBC9B2" w:rsidR="00967290" w:rsidRDefault="00927EE9" w:rsidP="00967290">
      <w:r>
        <w:t>This analysis took in</w:t>
      </w:r>
      <w:r w:rsidR="00967290">
        <w:t>to account a wide variety of organic, inorganic and metallurgic exposures that had been previous</w:t>
      </w:r>
      <w:r w:rsidR="007A7682">
        <w:t>ly mentioned in the literature</w:t>
      </w:r>
      <w:r w:rsidR="006A0081">
        <w:t xml:space="preserve"> which may contribute to the identification of a </w:t>
      </w:r>
      <w:r w:rsidR="002C004A">
        <w:t xml:space="preserve">constellation of exposures that contribute to the etiology and phenotypic heterogeneity of sarcoidosis. </w:t>
      </w:r>
    </w:p>
    <w:p w14:paraId="7CC4C0D2" w14:textId="77777777" w:rsidR="00840959" w:rsidRPr="00967290" w:rsidRDefault="00840959" w:rsidP="00967290">
      <w:r>
        <w:t xml:space="preserve">Although patients were all enrolled at academic clinical centers, potentially introducing a bias of ascertainment, recruitment efforts were focused on national sarcoidosis patient organizations and sarcoidosis foundations allowing for the recruitment of patients that were not patients of the academic clinical center. Clinical centers were distributed across the U.S, contributing the diversity of the patient population included. </w:t>
      </w:r>
    </w:p>
    <w:p w14:paraId="23262B9B" w14:textId="77777777" w:rsidR="006E3504" w:rsidRDefault="006E3504" w:rsidP="002446BB">
      <w:pPr>
        <w:pStyle w:val="Heading3"/>
        <w:rPr>
          <w:rFonts w:cs="Times New Roman"/>
        </w:rPr>
      </w:pPr>
      <w:bookmarkStart w:id="103" w:name="_Toc506540057"/>
      <w:r w:rsidRPr="005A7F38">
        <w:rPr>
          <w:rFonts w:cs="Times New Roman"/>
        </w:rPr>
        <w:t>Limitations</w:t>
      </w:r>
      <w:bookmarkEnd w:id="103"/>
    </w:p>
    <w:p w14:paraId="0A63A1C5" w14:textId="77777777" w:rsidR="004262E9" w:rsidRPr="004262E9" w:rsidRDefault="009542C8" w:rsidP="00886CF7">
      <w:pPr>
        <w:pStyle w:val="Noindent"/>
      </w:pPr>
      <w:r>
        <w:t xml:space="preserve">Many of the limitations of this analysis have already been addressed by the overall GRADS study. In the larger GRADS analysis, nearly 400 cases and 200 controls were included, eliminating the </w:t>
      </w:r>
      <w:r w:rsidR="00F00089">
        <w:t xml:space="preserve">difficulties in related to the smaller sample size of this analysis. Additionally, environmental and occupational exposures that were assessed to detect dose dependent associations to sarcoidosis will be informative when examined in a larger sample size. In this analysis, ever versus never exposures were analyzed, owing to the small number of </w:t>
      </w:r>
      <w:r w:rsidR="004262E9">
        <w:t xml:space="preserve">participants endorsing rare exposures such as the metallurgic occupational exposures of interest here. </w:t>
      </w:r>
    </w:p>
    <w:p w14:paraId="2B41A87B" w14:textId="77777777" w:rsidR="007147B8" w:rsidRDefault="007147B8" w:rsidP="00840959">
      <w:pPr>
        <w:pStyle w:val="Noindent"/>
        <w:ind w:firstLine="720"/>
      </w:pPr>
      <w:r w:rsidRPr="005A7F38">
        <w:lastRenderedPageBreak/>
        <w:t>While the use of clinical phenotypes allows for</w:t>
      </w:r>
      <w:r w:rsidR="00F00089">
        <w:t xml:space="preserve"> comparison between groups, it d</w:t>
      </w:r>
      <w:r w:rsidRPr="005A7F38">
        <w:t xml:space="preserve">oes have limitations. The definitions and diagnostic instruments used to define organ involvement and disease staging are based on previous use in published research but have not been validated in a large clinical trial. With advances in technology and imaging techniques, more sensitive ways to detect inflammatory areas of sarcoidosis involvement continue to evolve. As an example, the Scadding Staging system was developed before the advent of computed tomography (CT) imaging was available. There is currently no prognostic staging system that employs CT images, despite the higher quality image provided by CT. Given the limitations of the relatively short follow up time of the </w:t>
      </w:r>
      <w:r w:rsidR="00051970" w:rsidRPr="005A7F38">
        <w:t>GRADS</w:t>
      </w:r>
      <w:r w:rsidRPr="005A7F38">
        <w:t xml:space="preserve"> study, the true nature of patients’ disease course was not able to be determined and assumptions about the chronic or remitting nature of their disease course were based on the known outcome expectations provided by the Scadding Staging system. Additionally, due to the significant clinical heterogeneity of sarcoidosis and the limited sample size of the study, not all manifestations of sarcoidosis were able to be included.</w:t>
      </w:r>
    </w:p>
    <w:p w14:paraId="3CC97819" w14:textId="2BDB5CB4" w:rsidR="005E507D" w:rsidRPr="005E507D" w:rsidRDefault="005E507D" w:rsidP="005E507D">
      <w:r>
        <w:t xml:space="preserve">In our analysis of environmental exposures, we failed to find an association between several occupational and environmental exposures that have been identified as positively associated with sarcoidosis in previous literature. </w:t>
      </w:r>
      <w:r w:rsidR="000476D9">
        <w:t xml:space="preserve">It is possible that this discrepancy is due to the choice of the control population. </w:t>
      </w:r>
      <w:r w:rsidR="00CD4A7E">
        <w:t xml:space="preserve">Replicating results from studies that utilized healthy controls may not be possible when using a control population with a known illness. </w:t>
      </w:r>
      <w:r w:rsidR="000476D9">
        <w:t xml:space="preserve">Utilizing a population with a chronic pulmonary disease that has a known genetic cause likely does not provide the best-case population and a population of controls should be selected in future research that do not suffer from a chronic pulmonary disorder. </w:t>
      </w:r>
      <w:r w:rsidR="007812DE">
        <w:t xml:space="preserve">Additionally, a selection bias could have impacted our results as our primary source of recruitment was from academic clinical centers and there may be differences between patients who receive treatment at academic clinical centers and those who do </w:t>
      </w:r>
      <w:r w:rsidR="007812DE">
        <w:lastRenderedPageBreak/>
        <w:t xml:space="preserve">not. Unmeasured confounders could be impacting our results and may include information about diet and food availability.  </w:t>
      </w:r>
    </w:p>
    <w:p w14:paraId="10E94D14" w14:textId="77777777" w:rsidR="006E3504" w:rsidRPr="005A7F38" w:rsidRDefault="006E3504" w:rsidP="002446BB">
      <w:pPr>
        <w:pStyle w:val="Heading2"/>
        <w:rPr>
          <w:rFonts w:cs="Times New Roman"/>
        </w:rPr>
      </w:pPr>
      <w:bookmarkStart w:id="104" w:name="_Toc506540058"/>
      <w:r w:rsidRPr="005A7F38">
        <w:rPr>
          <w:rFonts w:cs="Times New Roman"/>
        </w:rPr>
        <w:t>Future Directions</w:t>
      </w:r>
      <w:bookmarkEnd w:id="104"/>
    </w:p>
    <w:p w14:paraId="613EBC4C" w14:textId="77777777" w:rsidR="005E298D" w:rsidRDefault="00D328C6" w:rsidP="005609B0">
      <w:pPr>
        <w:pStyle w:val="Noindent"/>
      </w:pPr>
      <w:r>
        <w:t>The analysis of the data collected during the GR</w:t>
      </w:r>
      <w:r w:rsidR="00547DFE">
        <w:t xml:space="preserve">ADS study is currently ongoing. </w:t>
      </w:r>
      <w:r w:rsidR="005E298D">
        <w:t>The data collected during this trial creates a substantial foundation for future study into the mechanistic pathways and interactions between the environ</w:t>
      </w:r>
      <w:r w:rsidR="00796CE9">
        <w:t xml:space="preserve">ment and human host. </w:t>
      </w:r>
    </w:p>
    <w:p w14:paraId="3ECAAD1D" w14:textId="77777777" w:rsidR="005609B0" w:rsidRPr="005609B0" w:rsidRDefault="005E298D" w:rsidP="00866F82">
      <w:pPr>
        <w:pStyle w:val="Noindent"/>
        <w:ind w:firstLine="720"/>
      </w:pPr>
      <w:r>
        <w:t xml:space="preserve">With the previously collected GRADS data, investigations into the associations between microbiomic and genomic signatures with clinical </w:t>
      </w:r>
      <w:r w:rsidR="00CD0587">
        <w:t>phenotypes</w:t>
      </w:r>
      <w:r w:rsidR="00720561">
        <w:t xml:space="preserve"> will provide direction for more focused mechanistic studies into the immunologic pathways underlying different clinical manifestations. </w:t>
      </w:r>
      <w:r w:rsidR="00FD6276">
        <w:t>The potential molecular phenotypes identified could lead to the development of precision therapies that address specific inflammatory</w:t>
      </w:r>
      <w:r w:rsidR="003721DC">
        <w:t xml:space="preserve"> pathways identified. </w:t>
      </w:r>
      <w:r w:rsidR="0038450F">
        <w:t xml:space="preserve">The potential identification </w:t>
      </w:r>
      <w:r w:rsidR="00D2073F">
        <w:t xml:space="preserve">of molecular signatures differing between remitting and chronic disease course may represent </w:t>
      </w:r>
      <w:r w:rsidR="00E53B97">
        <w:t>an opportunity for the identification of therapies to manipulate the pathways involved.</w:t>
      </w:r>
    </w:p>
    <w:p w14:paraId="006014E5" w14:textId="6CE7B3B5" w:rsidR="005609B0" w:rsidRDefault="009E6BBA" w:rsidP="00CB758B">
      <w:pPr>
        <w:pStyle w:val="Noindent"/>
        <w:ind w:firstLine="720"/>
      </w:pPr>
      <w:r>
        <w:t xml:space="preserve">I am performing mycobiome analysis </w:t>
      </w:r>
      <w:r w:rsidR="004A5F2F">
        <w:t xml:space="preserve">on the mouth and lung. In addition to identifying </w:t>
      </w:r>
      <w:r w:rsidR="00ED1360">
        <w:t>distinct micro</w:t>
      </w:r>
      <w:r w:rsidR="004D1156">
        <w:t>bial communities between sarcoidosis cases and controls as well as between phenotypic groups,</w:t>
      </w:r>
      <w:r w:rsidR="004A5F2F">
        <w:t xml:space="preserve"> I </w:t>
      </w:r>
      <w:r>
        <w:t xml:space="preserve">plan to correlate this information with both clinical data </w:t>
      </w:r>
      <w:r w:rsidR="004D1156">
        <w:t xml:space="preserve">and </w:t>
      </w:r>
      <w:r>
        <w:t>data about the bacterial communities of the mouth, lung and gut</w:t>
      </w:r>
      <w:r w:rsidR="00796CE9">
        <w:t>.</w:t>
      </w:r>
      <w:r w:rsidR="00D864A2">
        <w:t xml:space="preserve"> The role of the genomic network interactions between bacteria and fungi may represent a significant </w:t>
      </w:r>
      <w:r w:rsidR="00AF4244">
        <w:t xml:space="preserve">factor in the inflammatory pathways contributing to sarcoidosis. </w:t>
      </w:r>
      <w:r w:rsidR="00E53B97">
        <w:t>The identification of int</w:t>
      </w:r>
      <w:r w:rsidR="000D707C">
        <w:t xml:space="preserve">eractions between microflora may lead to therapeutic interventions to mediate these interactions or restore dysbiosis. </w:t>
      </w:r>
    </w:p>
    <w:p w14:paraId="0FE6083D" w14:textId="1CFF69F9" w:rsidR="00536A36" w:rsidRDefault="00536A36" w:rsidP="00536A36"/>
    <w:p w14:paraId="1FD5C6AC" w14:textId="5B7A2D96" w:rsidR="00536A36" w:rsidRPr="001F185A" w:rsidRDefault="00536A36" w:rsidP="001F185A">
      <w:pPr>
        <w:pStyle w:val="Appendix"/>
        <w:numPr>
          <w:ilvl w:val="0"/>
          <w:numId w:val="0"/>
        </w:numPr>
        <w:rPr>
          <w:b/>
        </w:rPr>
      </w:pPr>
      <w:bookmarkStart w:id="105" w:name="_Toc506540059"/>
      <w:r w:rsidRPr="001F185A">
        <w:rPr>
          <w:b/>
        </w:rPr>
        <w:lastRenderedPageBreak/>
        <w:t>APPENDIX: ENVIRONMENTAL QUESTIONNAIRE</w:t>
      </w:r>
      <w:bookmarkEnd w:id="105"/>
    </w:p>
    <w:p w14:paraId="7933C861" w14:textId="28ED3835" w:rsidR="00536A36" w:rsidRDefault="00536A36" w:rsidP="00536A36">
      <w:pPr>
        <w:pStyle w:val="Noindent"/>
      </w:pPr>
      <w:r>
        <w:rPr>
          <w:noProof/>
        </w:rPr>
        <w:lastRenderedPageBreak/>
        <w:drawing>
          <wp:inline distT="0" distB="0" distL="0" distR="0" wp14:anchorId="2F9208DF" wp14:editId="106B0EA8">
            <wp:extent cx="5840447" cy="7550150"/>
            <wp:effectExtent l="0" t="0" r="0" b="0"/>
            <wp:docPr id="53" name="Picture 53" descr="../../../../Desktop/ACCESS-Environmental%20questionnair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ktop/ACCESS-Environmental%20questionnaire.pd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0447" cy="7550150"/>
                    </a:xfrm>
                    <a:prstGeom prst="rect">
                      <a:avLst/>
                    </a:prstGeom>
                    <a:noFill/>
                    <a:ln>
                      <a:noFill/>
                    </a:ln>
                  </pic:spPr>
                </pic:pic>
              </a:graphicData>
            </a:graphic>
          </wp:inline>
        </w:drawing>
      </w:r>
    </w:p>
    <w:p w14:paraId="536074A0" w14:textId="3049BA1E" w:rsidR="00536A36" w:rsidRDefault="00536A36" w:rsidP="00536A36"/>
    <w:p w14:paraId="1775D097" w14:textId="6A6CEA67" w:rsidR="00536A36" w:rsidRDefault="006D5772" w:rsidP="006D5772">
      <w:pPr>
        <w:ind w:firstLine="0"/>
      </w:pPr>
      <w:r>
        <w:rPr>
          <w:noProof/>
        </w:rPr>
        <w:lastRenderedPageBreak/>
        <w:drawing>
          <wp:inline distT="0" distB="0" distL="0" distR="0" wp14:anchorId="6F69682D" wp14:editId="39CE82BB">
            <wp:extent cx="5546090" cy="7175687"/>
            <wp:effectExtent l="0" t="0" r="0" b="0"/>
            <wp:docPr id="55" name="Picture 55" descr="env%20questionnaire/page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v%20questionnaire/page1.pd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3658" cy="7198417"/>
                    </a:xfrm>
                    <a:prstGeom prst="rect">
                      <a:avLst/>
                    </a:prstGeom>
                    <a:noFill/>
                    <a:ln>
                      <a:noFill/>
                    </a:ln>
                  </pic:spPr>
                </pic:pic>
              </a:graphicData>
            </a:graphic>
          </wp:inline>
        </w:drawing>
      </w:r>
    </w:p>
    <w:p w14:paraId="1B0466F8" w14:textId="36340B9A" w:rsidR="00536A36" w:rsidRDefault="00536A36" w:rsidP="00536A36"/>
    <w:p w14:paraId="05ADD1F7" w14:textId="1DB55261" w:rsidR="00536A36" w:rsidRDefault="00536A36" w:rsidP="00536A36"/>
    <w:p w14:paraId="50260E48" w14:textId="790C5CA8" w:rsidR="00536A36" w:rsidRDefault="00536A36" w:rsidP="00536A36"/>
    <w:p w14:paraId="6A4B81C7" w14:textId="0F408757" w:rsidR="00536A36" w:rsidRDefault="00536A36" w:rsidP="00536A36"/>
    <w:p w14:paraId="3994DF4F" w14:textId="4714E29A" w:rsidR="00536A36" w:rsidRDefault="006D5772" w:rsidP="006D5772">
      <w:pPr>
        <w:ind w:hanging="90"/>
      </w:pPr>
      <w:r>
        <w:rPr>
          <w:noProof/>
        </w:rPr>
        <w:drawing>
          <wp:inline distT="0" distB="0" distL="0" distR="0" wp14:anchorId="074616A0" wp14:editId="26DEA216">
            <wp:extent cx="5936615" cy="7680960"/>
            <wp:effectExtent l="0" t="0" r="0" b="0"/>
            <wp:docPr id="59" name="Picture 59" descr="env%20questionnaire/page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nv%20questionnaire/page2.pd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6615" cy="7680960"/>
                    </a:xfrm>
                    <a:prstGeom prst="rect">
                      <a:avLst/>
                    </a:prstGeom>
                    <a:noFill/>
                    <a:ln>
                      <a:noFill/>
                    </a:ln>
                  </pic:spPr>
                </pic:pic>
              </a:graphicData>
            </a:graphic>
          </wp:inline>
        </w:drawing>
      </w:r>
    </w:p>
    <w:p w14:paraId="3CB577D3" w14:textId="3C082DF2" w:rsidR="00536A36" w:rsidRDefault="00536A36" w:rsidP="00536A36"/>
    <w:p w14:paraId="20D7740F" w14:textId="07D31916" w:rsidR="00536A36" w:rsidRDefault="006D5772" w:rsidP="006D5772">
      <w:pPr>
        <w:ind w:firstLine="0"/>
      </w:pPr>
      <w:r>
        <w:rPr>
          <w:noProof/>
        </w:rPr>
        <w:drawing>
          <wp:inline distT="0" distB="0" distL="0" distR="0" wp14:anchorId="48760A81" wp14:editId="737DC277">
            <wp:extent cx="5936615" cy="7680960"/>
            <wp:effectExtent l="0" t="0" r="0" b="0"/>
            <wp:docPr id="63" name="Picture 63" descr="env%20questionnaire/page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nv%20questionnaire/page3.pd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6615" cy="7680960"/>
                    </a:xfrm>
                    <a:prstGeom prst="rect">
                      <a:avLst/>
                    </a:prstGeom>
                    <a:noFill/>
                    <a:ln>
                      <a:noFill/>
                    </a:ln>
                  </pic:spPr>
                </pic:pic>
              </a:graphicData>
            </a:graphic>
          </wp:inline>
        </w:drawing>
      </w:r>
    </w:p>
    <w:p w14:paraId="08C698B6" w14:textId="2BCA2253" w:rsidR="00536A36" w:rsidRDefault="00536A36" w:rsidP="00536A36"/>
    <w:p w14:paraId="0493A738" w14:textId="33D940D4" w:rsidR="00536A36" w:rsidRDefault="006D5772" w:rsidP="006D5772">
      <w:pPr>
        <w:ind w:firstLine="0"/>
      </w:pPr>
      <w:r>
        <w:rPr>
          <w:noProof/>
        </w:rPr>
        <w:drawing>
          <wp:inline distT="0" distB="0" distL="0" distR="0" wp14:anchorId="3098D20B" wp14:editId="71BEBF58">
            <wp:extent cx="5936615" cy="7680960"/>
            <wp:effectExtent l="0" t="0" r="0" b="0"/>
            <wp:docPr id="64" name="Picture 64" descr="env%20questionnaire/page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nv%20questionnaire/page4.pd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6615" cy="7680960"/>
                    </a:xfrm>
                    <a:prstGeom prst="rect">
                      <a:avLst/>
                    </a:prstGeom>
                    <a:noFill/>
                    <a:ln>
                      <a:noFill/>
                    </a:ln>
                  </pic:spPr>
                </pic:pic>
              </a:graphicData>
            </a:graphic>
          </wp:inline>
        </w:drawing>
      </w:r>
    </w:p>
    <w:p w14:paraId="1B31E35E" w14:textId="0EAED39F" w:rsidR="00CB758B" w:rsidRDefault="008E2DC8">
      <w:pPr>
        <w:spacing w:line="240" w:lineRule="auto"/>
        <w:ind w:firstLine="0"/>
        <w:jc w:val="left"/>
      </w:pPr>
      <w:r>
        <w:rPr>
          <w:noProof/>
        </w:rPr>
        <w:lastRenderedPageBreak/>
        <w:drawing>
          <wp:inline distT="0" distB="0" distL="0" distR="0" wp14:anchorId="01D08125" wp14:editId="36F7182C">
            <wp:extent cx="5943600" cy="7683500"/>
            <wp:effectExtent l="0" t="0" r="0" b="0"/>
            <wp:docPr id="56" name="Picture 56" descr="env%20questionnaire/page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nv%20questionnaire/page5.pd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683500"/>
                    </a:xfrm>
                    <a:prstGeom prst="rect">
                      <a:avLst/>
                    </a:prstGeom>
                    <a:noFill/>
                    <a:ln>
                      <a:noFill/>
                    </a:ln>
                  </pic:spPr>
                </pic:pic>
              </a:graphicData>
            </a:graphic>
          </wp:inline>
        </w:drawing>
      </w:r>
    </w:p>
    <w:p w14:paraId="63F941F1" w14:textId="69C6AD80" w:rsidR="00CE6680" w:rsidRDefault="00CE6680">
      <w:pPr>
        <w:spacing w:line="240" w:lineRule="auto"/>
        <w:ind w:firstLine="0"/>
        <w:jc w:val="left"/>
      </w:pPr>
    </w:p>
    <w:p w14:paraId="05FB0682" w14:textId="4C433CA5" w:rsidR="00CE6680" w:rsidRDefault="00CE6680">
      <w:pPr>
        <w:spacing w:line="240" w:lineRule="auto"/>
        <w:ind w:firstLine="0"/>
        <w:jc w:val="left"/>
      </w:pPr>
    </w:p>
    <w:p w14:paraId="4A7A68C6" w14:textId="77777777" w:rsidR="00CE6680" w:rsidRDefault="00CE6680">
      <w:pPr>
        <w:spacing w:line="240" w:lineRule="auto"/>
        <w:ind w:firstLine="0"/>
        <w:jc w:val="left"/>
      </w:pPr>
    </w:p>
    <w:p w14:paraId="63EC4C99" w14:textId="2130990B" w:rsidR="00CB758B" w:rsidRDefault="008E2DC8" w:rsidP="00CE6680">
      <w:pPr>
        <w:ind w:firstLine="0"/>
      </w:pPr>
      <w:r>
        <w:rPr>
          <w:noProof/>
        </w:rPr>
        <w:lastRenderedPageBreak/>
        <w:drawing>
          <wp:inline distT="0" distB="0" distL="0" distR="0" wp14:anchorId="5C0C2D59" wp14:editId="606C016D">
            <wp:extent cx="5943600" cy="7683500"/>
            <wp:effectExtent l="0" t="0" r="0" b="0"/>
            <wp:docPr id="58" name="Picture 58" descr="env%20questionnaire/page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nv%20questionnaire/page7.pd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7683500"/>
                    </a:xfrm>
                    <a:prstGeom prst="rect">
                      <a:avLst/>
                    </a:prstGeom>
                    <a:noFill/>
                    <a:ln>
                      <a:noFill/>
                    </a:ln>
                  </pic:spPr>
                </pic:pic>
              </a:graphicData>
            </a:graphic>
          </wp:inline>
        </w:drawing>
      </w:r>
      <w:r>
        <w:rPr>
          <w:noProof/>
        </w:rPr>
        <w:lastRenderedPageBreak/>
        <w:drawing>
          <wp:inline distT="0" distB="0" distL="0" distR="0" wp14:anchorId="2DE67E7E" wp14:editId="7E8F70C0">
            <wp:extent cx="5943600" cy="7683500"/>
            <wp:effectExtent l="0" t="0" r="0" b="0"/>
            <wp:docPr id="60" name="Picture 60" descr="env%20questionnaire/page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nv%20questionnaire/page8.pd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7683500"/>
                    </a:xfrm>
                    <a:prstGeom prst="rect">
                      <a:avLst/>
                    </a:prstGeom>
                    <a:noFill/>
                    <a:ln>
                      <a:noFill/>
                    </a:ln>
                  </pic:spPr>
                </pic:pic>
              </a:graphicData>
            </a:graphic>
          </wp:inline>
        </w:drawing>
      </w:r>
      <w:r w:rsidR="00915124">
        <w:rPr>
          <w:noProof/>
        </w:rPr>
        <w:lastRenderedPageBreak/>
        <w:drawing>
          <wp:inline distT="0" distB="0" distL="0" distR="0" wp14:anchorId="5FE572CE" wp14:editId="007228D3">
            <wp:extent cx="5943600" cy="7683500"/>
            <wp:effectExtent l="0" t="0" r="0" b="0"/>
            <wp:docPr id="61" name="Picture 61" descr="env%20questionnaire/page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nv%20questionnaire/page9.pd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7683500"/>
                    </a:xfrm>
                    <a:prstGeom prst="rect">
                      <a:avLst/>
                    </a:prstGeom>
                    <a:noFill/>
                    <a:ln>
                      <a:noFill/>
                    </a:ln>
                  </pic:spPr>
                </pic:pic>
              </a:graphicData>
            </a:graphic>
          </wp:inline>
        </w:drawing>
      </w:r>
      <w:r w:rsidR="00915124">
        <w:rPr>
          <w:noProof/>
        </w:rPr>
        <w:lastRenderedPageBreak/>
        <w:drawing>
          <wp:inline distT="0" distB="0" distL="0" distR="0" wp14:anchorId="3694CDEA" wp14:editId="05AC6ABF">
            <wp:extent cx="5943600" cy="7683500"/>
            <wp:effectExtent l="0" t="0" r="0" b="0"/>
            <wp:docPr id="62" name="Picture 62" descr="env%20questionnaire/page1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nv%20questionnaire/page10.pd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7683500"/>
                    </a:xfrm>
                    <a:prstGeom prst="rect">
                      <a:avLst/>
                    </a:prstGeom>
                    <a:noFill/>
                    <a:ln>
                      <a:noFill/>
                    </a:ln>
                  </pic:spPr>
                </pic:pic>
              </a:graphicData>
            </a:graphic>
          </wp:inline>
        </w:drawing>
      </w:r>
      <w:r w:rsidR="00C8271F">
        <w:rPr>
          <w:noProof/>
        </w:rPr>
        <w:lastRenderedPageBreak/>
        <w:drawing>
          <wp:inline distT="0" distB="0" distL="0" distR="0" wp14:anchorId="4287CD12" wp14:editId="6ED30168">
            <wp:extent cx="5943600" cy="7683500"/>
            <wp:effectExtent l="0" t="0" r="0" b="0"/>
            <wp:docPr id="65" name="Picture 65" descr="1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2.pd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7683500"/>
                    </a:xfrm>
                    <a:prstGeom prst="rect">
                      <a:avLst/>
                    </a:prstGeom>
                    <a:noFill/>
                    <a:ln>
                      <a:noFill/>
                    </a:ln>
                  </pic:spPr>
                </pic:pic>
              </a:graphicData>
            </a:graphic>
          </wp:inline>
        </w:drawing>
      </w:r>
      <w:r w:rsidR="00C8271F">
        <w:rPr>
          <w:noProof/>
        </w:rPr>
        <w:lastRenderedPageBreak/>
        <w:drawing>
          <wp:inline distT="0" distB="0" distL="0" distR="0" wp14:anchorId="2FE9D2C4" wp14:editId="384776E8">
            <wp:extent cx="5943600" cy="7683500"/>
            <wp:effectExtent l="0" t="0" r="0" b="0"/>
            <wp:docPr id="66" name="Picture 66" descr="env%20questionnaire/page1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nv%20questionnaire/page12.pd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7683500"/>
                    </a:xfrm>
                    <a:prstGeom prst="rect">
                      <a:avLst/>
                    </a:prstGeom>
                    <a:noFill/>
                    <a:ln>
                      <a:noFill/>
                    </a:ln>
                  </pic:spPr>
                </pic:pic>
              </a:graphicData>
            </a:graphic>
          </wp:inline>
        </w:drawing>
      </w:r>
      <w:r w:rsidR="008C3EAA">
        <w:rPr>
          <w:noProof/>
        </w:rPr>
        <w:lastRenderedPageBreak/>
        <w:drawing>
          <wp:inline distT="0" distB="0" distL="0" distR="0" wp14:anchorId="28A9639F" wp14:editId="055F8D3A">
            <wp:extent cx="5943600" cy="7683500"/>
            <wp:effectExtent l="0" t="0" r="0" b="0"/>
            <wp:docPr id="68" name="Picture 68" descr="1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4.pd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7683500"/>
                    </a:xfrm>
                    <a:prstGeom prst="rect">
                      <a:avLst/>
                    </a:prstGeom>
                    <a:noFill/>
                    <a:ln>
                      <a:noFill/>
                    </a:ln>
                  </pic:spPr>
                </pic:pic>
              </a:graphicData>
            </a:graphic>
          </wp:inline>
        </w:drawing>
      </w:r>
      <w:r w:rsidR="00290D92">
        <w:rPr>
          <w:noProof/>
        </w:rPr>
        <w:lastRenderedPageBreak/>
        <w:drawing>
          <wp:inline distT="0" distB="0" distL="0" distR="0" wp14:anchorId="3DB9A1F8" wp14:editId="15876DE7">
            <wp:extent cx="5943600" cy="7683500"/>
            <wp:effectExtent l="0" t="0" r="0" b="0"/>
            <wp:docPr id="69" name="Picture 69" descr="../../../../Desktop/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ktop/15.pd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7683500"/>
                    </a:xfrm>
                    <a:prstGeom prst="rect">
                      <a:avLst/>
                    </a:prstGeom>
                    <a:noFill/>
                    <a:ln>
                      <a:noFill/>
                    </a:ln>
                  </pic:spPr>
                </pic:pic>
              </a:graphicData>
            </a:graphic>
          </wp:inline>
        </w:drawing>
      </w:r>
    </w:p>
    <w:p w14:paraId="5540B75C" w14:textId="7B3A28EA" w:rsidR="00B775CB" w:rsidRDefault="002C75E1" w:rsidP="003D0B54">
      <w:pPr>
        <w:pStyle w:val="Heading"/>
      </w:pPr>
      <w:bookmarkStart w:id="106" w:name="_Toc506540060"/>
      <w:r w:rsidRPr="003D0B54">
        <w:lastRenderedPageBreak/>
        <w:t>Bibliography</w:t>
      </w:r>
      <w:bookmarkEnd w:id="106"/>
      <w:r w:rsidR="00CB62A8" w:rsidRPr="005A7F38">
        <w:fldChar w:fldCharType="begin"/>
      </w:r>
      <w:r w:rsidR="00B775CB">
        <w:instrText>ADDIN F1000_CSL_BIBLIOGRAPHY</w:instrText>
      </w:r>
      <w:r w:rsidR="00CB62A8" w:rsidRPr="005A7F38">
        <w:fldChar w:fldCharType="separate"/>
      </w:r>
    </w:p>
    <w:p w14:paraId="2EC71BCA" w14:textId="6FE97A72"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 </w:t>
      </w:r>
      <w:r>
        <w:rPr>
          <w:noProof/>
        </w:rPr>
        <w:tab/>
        <w:t xml:space="preserve">Statement on sarcoidosis. Joint Statement of the American Thoracic Society (ATS), the European Respiratory Society (ERS) and the World Association of Sarcoidosis and Other Granulomatous Disorders (WASOG) adopted by the ATS Board of Directors and by the ERS Executive Committee, February 1999. Am J Respir Crit Care Med 1999;160(2):736–55. </w:t>
      </w:r>
    </w:p>
    <w:p w14:paraId="2781E648"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2. </w:t>
      </w:r>
      <w:r>
        <w:rPr>
          <w:noProof/>
        </w:rPr>
        <w:tab/>
        <w:t xml:space="preserve">Baughman RP, Field S, Costabel U, et al. Sarcoidosis in america. analysis based on health care use. Annals of the American Thoracic Society 2016;13(8):1244–52. </w:t>
      </w:r>
    </w:p>
    <w:p w14:paraId="3D6C2017"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3. </w:t>
      </w:r>
      <w:r>
        <w:rPr>
          <w:noProof/>
        </w:rPr>
        <w:tab/>
        <w:t xml:space="preserve">Rice JB, White A, Lopez A, et al. Economic burden of sarcoidosis in a commercially-insured population in the United States. J Med Econ 2017;20(10):1048–55. </w:t>
      </w:r>
    </w:p>
    <w:p w14:paraId="7817D437"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4. </w:t>
      </w:r>
      <w:r>
        <w:rPr>
          <w:noProof/>
        </w:rPr>
        <w:tab/>
        <w:t xml:space="preserve">Newman LS, Rose CS, Bresnitz EA, et al. A case control etiologic study of sarcoidosis: environmental and occupational risk factors. Am J Respir Crit Care Med 2004;170(12):1324–30. </w:t>
      </w:r>
    </w:p>
    <w:p w14:paraId="45353538"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5. </w:t>
      </w:r>
      <w:r>
        <w:rPr>
          <w:noProof/>
        </w:rPr>
        <w:tab/>
        <w:t xml:space="preserve">Chen ES, Moller DR. Etiologies of Sarcoidosis. Clin Rev Allergy Immunol 2015;49(1):6–18. </w:t>
      </w:r>
    </w:p>
    <w:p w14:paraId="25478D45"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6. </w:t>
      </w:r>
      <w:r>
        <w:rPr>
          <w:noProof/>
        </w:rPr>
        <w:tab/>
        <w:t xml:space="preserve">Thomas KW, Hunninghake GW. Sarcoidosis. JAMA 2003;289(24):3300–3. </w:t>
      </w:r>
    </w:p>
    <w:p w14:paraId="4503676F"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7. </w:t>
      </w:r>
      <w:r>
        <w:rPr>
          <w:noProof/>
        </w:rPr>
        <w:tab/>
        <w:t xml:space="preserve">Ungprasert P, Carmona EM, Utz JP, Ryu JH, Crowson CS, Matteson EL. Epidemiology of Sarcoidosis 1946-2013: A Population-Based Study. Mayo Clin Proc 2016;91(2):183–8. </w:t>
      </w:r>
    </w:p>
    <w:p w14:paraId="2EA3DF39"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8. </w:t>
      </w:r>
      <w:r>
        <w:rPr>
          <w:noProof/>
        </w:rPr>
        <w:tab/>
        <w:t>Rosen Y. Sarcoidosis- Emphysema &amp; fibrosis (6076578226) [Internet]. Wikipedia Commons. 2011 [cited 2017 Nov 30];Available from: https://commons.wikimedia.org/wiki/File:Sarcoidosis-_Emphysema_%26_fibrosis_(6076578226).jpg</w:t>
      </w:r>
    </w:p>
    <w:p w14:paraId="5FB755A3"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9. </w:t>
      </w:r>
      <w:r>
        <w:rPr>
          <w:noProof/>
        </w:rPr>
        <w:tab/>
        <w:t xml:space="preserve">Moller DR, Koth LL, Maier LA, et al. Rationale and Design of the Genomic Research in Alpha-1 Antitrypsin Deficiency and Sarcoidosis (GRADS) Study. Sarcoidosis Protocol. Annals of the American Thoracic Society 2015;12(10):1561–71. </w:t>
      </w:r>
    </w:p>
    <w:p w14:paraId="175D3671"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10. </w:t>
      </w:r>
      <w:r>
        <w:rPr>
          <w:noProof/>
        </w:rPr>
        <w:tab/>
        <w:t xml:space="preserve">Sand M, Sand D, Thrandorf C, Paech V, Altmeyer P, Bechara FG. Cutaneous lesions of the nose. Head Face Med 2010;6:7. </w:t>
      </w:r>
    </w:p>
    <w:p w14:paraId="6DFE59ED"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11. </w:t>
      </w:r>
      <w:r>
        <w:rPr>
          <w:noProof/>
        </w:rPr>
        <w:tab/>
        <w:t xml:space="preserve">Broos CE, van Nimwegen M, Hoogsteden HC, Hendriks RW, Kool M, van den Blink B. Granuloma formation in pulmonary sarcoidosis. Front Immunol 2013;4:437. </w:t>
      </w:r>
    </w:p>
    <w:p w14:paraId="51CCC0DF"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12. </w:t>
      </w:r>
      <w:r>
        <w:rPr>
          <w:noProof/>
        </w:rPr>
        <w:tab/>
        <w:t>Heilman J. PulSarcoid [Internet]. Wikipedia Commons. 2016 [cited 2017 Nov 30];Available from: https://commons.wikimedia.org/wiki/File:PulSarcoid.png</w:t>
      </w:r>
    </w:p>
    <w:p w14:paraId="37101AE1"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lastRenderedPageBreak/>
        <w:t xml:space="preserve">13. </w:t>
      </w:r>
      <w:r>
        <w:rPr>
          <w:noProof/>
        </w:rPr>
        <w:tab/>
        <w:t xml:space="preserve">Judson MA, Baughman RP, Teirstein AS, Terrin ML, Yeager H. Defining organ involvement in sarcoidosis: the ACCESS proposed instrument. ACCESS Research Group. A Case Control Etiologic Study of Sarcoidosis. Sarcoidosis Vasc Diffuse Lung Dis 1999;16(1):75–86. </w:t>
      </w:r>
    </w:p>
    <w:p w14:paraId="7FE40AD7"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14. </w:t>
      </w:r>
      <w:r>
        <w:rPr>
          <w:noProof/>
        </w:rPr>
        <w:tab/>
        <w:t xml:space="preserve">Müller-Quernheim J, Prasse A, Zissel G. Pathogenesis of sarcoidosis. Presse Med 2012;41(6 Pt 2):e275-87. </w:t>
      </w:r>
    </w:p>
    <w:p w14:paraId="6A80E9E4" w14:textId="45F3B05C"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15. </w:t>
      </w:r>
      <w:r>
        <w:rPr>
          <w:noProof/>
        </w:rPr>
        <w:tab/>
        <w:t>Crouser ED, Fingerlin TE, Yang IV, et al. Application of “omics” and systems biology to sarcoidosis research. Annals of the</w:t>
      </w:r>
      <w:r w:rsidR="00594B69">
        <w:rPr>
          <w:noProof/>
        </w:rPr>
        <w:t xml:space="preserve"> American Thoracic Society 2017.</w:t>
      </w:r>
    </w:p>
    <w:p w14:paraId="6E99BF8B"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16. </w:t>
      </w:r>
      <w:r>
        <w:rPr>
          <w:noProof/>
        </w:rPr>
        <w:tab/>
        <w:t xml:space="preserve">Thomas T, Gilbert J, Meyer F. Metagenomics - a guide from sampling to data analysis. Microb Inform Exp 2012;2(1):3. </w:t>
      </w:r>
    </w:p>
    <w:p w14:paraId="1B563108"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17. </w:t>
      </w:r>
      <w:r>
        <w:rPr>
          <w:noProof/>
        </w:rPr>
        <w:tab/>
        <w:t xml:space="preserve">Carmona EM, Kalra S, Ryu JH. Pulmonary sarcoidosis: diagnosis and treatment. Mayo Clin Proc 2016;91(7):946–54. </w:t>
      </w:r>
    </w:p>
    <w:p w14:paraId="54A3CB5C"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18. </w:t>
      </w:r>
      <w:r>
        <w:rPr>
          <w:noProof/>
        </w:rPr>
        <w:tab/>
        <w:t xml:space="preserve">Costabel U, Ohshimo S, Guzman J. Diagnosis of sarcoidosis. Curr Opin Pulm Med 2008;14(5):455–61. </w:t>
      </w:r>
    </w:p>
    <w:p w14:paraId="2ABD5EE4"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19. </w:t>
      </w:r>
      <w:r>
        <w:rPr>
          <w:noProof/>
        </w:rPr>
        <w:tab/>
        <w:t>Rosen Y. Sarcoidosis - Lymph node - non-necrotizing granulomas (6201134703) [Internet]. Wikipedia Commons. 2005 [cited 2017 Nov 30];Available from: https://commons.wikimedia.org/wiki/File:Sarcoidosis_-_Lymph_node_-_non-necrotizing_granulomas_(6201134703).jpg</w:t>
      </w:r>
    </w:p>
    <w:p w14:paraId="3DEE1BD5"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20. </w:t>
      </w:r>
      <w:r>
        <w:rPr>
          <w:noProof/>
        </w:rPr>
        <w:tab/>
        <w:t xml:space="preserve">von Bartheld MB, Dekkers OM, Szlubowski A, et al. Endosonography vs conventional bronchoscopy for the diagnosis of sarcoidosis: the GRANULOMA randomized clinical trial. JAMA 2013;309(23):2457–64. </w:t>
      </w:r>
    </w:p>
    <w:p w14:paraId="72AE8D66"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21. </w:t>
      </w:r>
      <w:r>
        <w:rPr>
          <w:noProof/>
        </w:rPr>
        <w:tab/>
        <w:t xml:space="preserve">Semenzato G, Chilosi M, Ossi E, et al. Bronchoalveolar lavage and lung histology. Comparative analysis of inflammatory and immunocompetent cells in patients with sarcoidosis and hypersensitivity pneumonitis. Am Rev Respir Dis 1985;132(2):400–4. </w:t>
      </w:r>
    </w:p>
    <w:p w14:paraId="2D7365C9"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22. </w:t>
      </w:r>
      <w:r>
        <w:rPr>
          <w:noProof/>
        </w:rPr>
        <w:tab/>
        <w:t>Hellerhoff. Sarkoidose der Lunge Stadium 4 nach Scadding [Internet]. Wikipedia Commons. 2014 [cited 2017 Nov 30];Available from: https://commons.wikimedia.org/wiki/File:Sarkoidose_der_Lunge_Stadium_4_nach_Scadding.jpg</w:t>
      </w:r>
    </w:p>
    <w:p w14:paraId="3F14A0DE"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23. </w:t>
      </w:r>
      <w:r>
        <w:rPr>
          <w:noProof/>
        </w:rPr>
        <w:tab/>
        <w:t xml:space="preserve">Scadding JG. Prognosis of intrathoracic sarcoidosis in England. A review of 136 cases after five years’ observation. Br Med J 1961;2(5261):1165–72. </w:t>
      </w:r>
    </w:p>
    <w:p w14:paraId="156C3E1E"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24. </w:t>
      </w:r>
      <w:r>
        <w:rPr>
          <w:noProof/>
        </w:rPr>
        <w:tab/>
        <w:t xml:space="preserve">Iannuzzi MC, Rybicki BA, Teirstein AS. Sarcoidosis. N Engl J Med 2007;357(21):2153–65. </w:t>
      </w:r>
    </w:p>
    <w:p w14:paraId="7497B3BA"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25. </w:t>
      </w:r>
      <w:r>
        <w:rPr>
          <w:noProof/>
        </w:rPr>
        <w:tab/>
        <w:t xml:space="preserve">Swigris JJ, Olson AL, Huie TJ, et al. Sarcoidosis-related mortality in the United States from 1988 to 2007. Am J Respir Crit Care Med 2011;183(11):1524–30. </w:t>
      </w:r>
    </w:p>
    <w:p w14:paraId="7AD6D490"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lastRenderedPageBreak/>
        <w:t xml:space="preserve">26. </w:t>
      </w:r>
      <w:r>
        <w:rPr>
          <w:noProof/>
        </w:rPr>
        <w:tab/>
        <w:t xml:space="preserve">Judson MA, Boan AD, Lackland DT. The clinical course of sarcoidosis: presentation, diagnosis, and treatment in a large white and black cohort in the United States. Sarcoidosis Vasc Diffuse Lung Dis 2012;29(2):119–27. </w:t>
      </w:r>
    </w:p>
    <w:p w14:paraId="1EA58B08"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27. </w:t>
      </w:r>
      <w:r>
        <w:rPr>
          <w:noProof/>
        </w:rPr>
        <w:tab/>
        <w:t xml:space="preserve">Baughman RP, Lower EE. Treatment of Sarcoidosis. Clin Rev Allergy Immunol 2015;49(1):79–92. </w:t>
      </w:r>
    </w:p>
    <w:p w14:paraId="4FD368FA" w14:textId="0EBC71AF"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28. </w:t>
      </w:r>
      <w:r>
        <w:rPr>
          <w:noProof/>
        </w:rPr>
        <w:tab/>
        <w:t>Broos CE, Poell LHC, Looman CWN, et al. No evidence found for an association between prednisone dose and FVC change in newly-treated pulmona</w:t>
      </w:r>
      <w:r w:rsidR="00594B69">
        <w:rPr>
          <w:noProof/>
        </w:rPr>
        <w:t>ry sarcoidosis. Respir Med 2017.</w:t>
      </w:r>
    </w:p>
    <w:p w14:paraId="7C6F2C10"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29. </w:t>
      </w:r>
      <w:r>
        <w:rPr>
          <w:noProof/>
        </w:rPr>
        <w:tab/>
        <w:t xml:space="preserve">Cozier YC, Berman JS, Palmer JR, Boggs DA, Serlin DM, Rosenberg L. Sarcoidosis in black women in the United States: data from the Black Women’s Health Study. Chest 2011;139(1):144–50. </w:t>
      </w:r>
    </w:p>
    <w:p w14:paraId="4FFA5B92"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30. </w:t>
      </w:r>
      <w:r>
        <w:rPr>
          <w:noProof/>
        </w:rPr>
        <w:tab/>
        <w:t xml:space="preserve">Cozier YC. Assessing the worldwide epidemiology of sarcoidosis: challenges and future directions. Eur Respir J 2016;48(6):1545–8. </w:t>
      </w:r>
    </w:p>
    <w:p w14:paraId="5297D052"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31. </w:t>
      </w:r>
      <w:r>
        <w:rPr>
          <w:noProof/>
        </w:rPr>
        <w:tab/>
        <w:t xml:space="preserve">Rybicki BA, Major M, Popovich J, Maliarik MJ, Iannuzzi MC. Racial differences in sarcoidosis incidence: a 5-year study in a health maintenance organization. Am J Epidemiol 1997;145(3):234–41. </w:t>
      </w:r>
    </w:p>
    <w:p w14:paraId="251FC34A"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32. </w:t>
      </w:r>
      <w:r>
        <w:rPr>
          <w:noProof/>
        </w:rPr>
        <w:tab/>
        <w:t xml:space="preserve">Newman LS, Rose CS, Maier LA. Sarcoidosis. N Engl J Med 1997;336(17):1224–34. </w:t>
      </w:r>
    </w:p>
    <w:p w14:paraId="4E93BE21"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33. </w:t>
      </w:r>
      <w:r>
        <w:rPr>
          <w:noProof/>
        </w:rPr>
        <w:tab/>
        <w:t xml:space="preserve">Reynolds HY. Sarcoidosis: impact of other illnesses on the presentation and management of multi-organ disease. Lung 2002;180(5):281–99. </w:t>
      </w:r>
    </w:p>
    <w:p w14:paraId="14F1E66F"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34. </w:t>
      </w:r>
      <w:r>
        <w:rPr>
          <w:noProof/>
        </w:rPr>
        <w:tab/>
        <w:t xml:space="preserve">Gerke AK. Morbidity and mortality in sarcoidosis. Curr Opin Pulm Med 2014;20(5):472–8. </w:t>
      </w:r>
    </w:p>
    <w:p w14:paraId="1F220020"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35. </w:t>
      </w:r>
      <w:r>
        <w:rPr>
          <w:noProof/>
        </w:rPr>
        <w:tab/>
        <w:t xml:space="preserve">Reich JM. Mortality of Intrathoracic Sarcoidosis in Referral vs Population-Based Settings. Chest 2002;121(1):32–9. </w:t>
      </w:r>
    </w:p>
    <w:p w14:paraId="766B9042"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36. </w:t>
      </w:r>
      <w:r>
        <w:rPr>
          <w:noProof/>
        </w:rPr>
        <w:tab/>
        <w:t xml:space="preserve">Rømer FK. Presentation of sarcoidosis and outcome of pulmonary changes. Dan Med Bull 1982;29(1):27–32. </w:t>
      </w:r>
    </w:p>
    <w:p w14:paraId="178A1C81"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37. </w:t>
      </w:r>
      <w:r>
        <w:rPr>
          <w:noProof/>
        </w:rPr>
        <w:tab/>
        <w:t xml:space="preserve">Martusewicz-Boros MM, Boros PW, Wiatr E, Roszkowski-Śliż K. What comorbidities accompany sarcoidosis? A large cohort (n=1779) patients analysis. Sarcoidosis Vasc Diffuse Lung Dis 2015;32(2):115–20. </w:t>
      </w:r>
    </w:p>
    <w:p w14:paraId="28744354"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38. </w:t>
      </w:r>
      <w:r>
        <w:rPr>
          <w:noProof/>
        </w:rPr>
        <w:tab/>
        <w:t xml:space="preserve">Chang B, Steimel J, Moller DR, et al. Depression in sarcoidosis. Am J Respir Crit Care Med 2001;163(2):329–34. </w:t>
      </w:r>
    </w:p>
    <w:p w14:paraId="0F47A56A"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39. </w:t>
      </w:r>
      <w:r>
        <w:rPr>
          <w:noProof/>
        </w:rPr>
        <w:tab/>
        <w:t xml:space="preserve">Cockerham WC. A test of the relationship between race, socioeconomic status, and psychological distress. Soc Sci Med 1990;31(12):1321–6. </w:t>
      </w:r>
    </w:p>
    <w:p w14:paraId="4AA19A51"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lastRenderedPageBreak/>
        <w:t xml:space="preserve">40. </w:t>
      </w:r>
      <w:r>
        <w:rPr>
          <w:noProof/>
        </w:rPr>
        <w:tab/>
        <w:t xml:space="preserve">Dumas O, Abramovitz L, Wiley AS, Cozier YC, Camargo CA. Epidemiology of sarcoidosis in a prospective cohort study of U.S. women. Annals of the American Thoracic Society 2016;13(1):67–71. </w:t>
      </w:r>
    </w:p>
    <w:p w14:paraId="34A9E1DB"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41. </w:t>
      </w:r>
      <w:r>
        <w:rPr>
          <w:noProof/>
        </w:rPr>
        <w:tab/>
        <w:t xml:space="preserve">Henke CE, Henke G, Elveback LR, Beard CM, Ballard DJ, Kurland LT. The epidemiology of sarcoidosis in Rochester, Minnesota: a population-based study of incidence and survival. Am J Epidemiol 1986;123(5):840–5. </w:t>
      </w:r>
    </w:p>
    <w:p w14:paraId="744A4C85"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42. </w:t>
      </w:r>
      <w:r>
        <w:rPr>
          <w:noProof/>
        </w:rPr>
        <w:tab/>
        <w:t xml:space="preserve">Pietinalho A, Hiraga Y, Hosoda Y, Löfroos AB, Yamaguchi M, Selroos O. The frequency of sarcoidosis in Finland and Hokkaido, Japan. A comparative epidemiological study. Sarcoidosis 1995;12(1):61–7. </w:t>
      </w:r>
    </w:p>
    <w:p w14:paraId="616692D6" w14:textId="432C6F14"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43. </w:t>
      </w:r>
      <w:r>
        <w:rPr>
          <w:noProof/>
        </w:rPr>
        <w:tab/>
      </w:r>
      <w:r w:rsidR="00594B69">
        <w:rPr>
          <w:noProof/>
        </w:rPr>
        <w:t>The</w:t>
      </w:r>
      <w:r>
        <w:rPr>
          <w:noProof/>
        </w:rPr>
        <w:t xml:space="preserve"> frequency of pulmonary sarcoidosis in finland. Acta Med Scand 2009;186(S503):13–21. </w:t>
      </w:r>
    </w:p>
    <w:p w14:paraId="371BF3C9"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44. </w:t>
      </w:r>
      <w:r>
        <w:rPr>
          <w:noProof/>
        </w:rPr>
        <w:tab/>
        <w:t xml:space="preserve">Milman N, Selroos O. Pulmonary sarcoidosis in the Nordic countries 1950-1982. Epidemiology and clinical picture. Sarcoidosis 1990;7(1):50–7. </w:t>
      </w:r>
    </w:p>
    <w:p w14:paraId="466429E8"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45. </w:t>
      </w:r>
      <w:r>
        <w:rPr>
          <w:noProof/>
        </w:rPr>
        <w:tab/>
        <w:t xml:space="preserve">Wilsher ML. Seasonal clustering of sarcoidosis presenting with erythema nodosum. Eur Respir J 1998;12(5):1197–9. </w:t>
      </w:r>
    </w:p>
    <w:p w14:paraId="0BA8727D"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46. </w:t>
      </w:r>
      <w:r>
        <w:rPr>
          <w:noProof/>
        </w:rPr>
        <w:tab/>
        <w:t xml:space="preserve">Parkes SA, Baker SB, Bourdillon RE, Murray CR, Rakshit M. Epidemiology of sarcoidosis in the Isle of Man--1: A case controlled study. Thorax 1987;42(6):420–6. </w:t>
      </w:r>
    </w:p>
    <w:p w14:paraId="583CEAA5"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47. </w:t>
      </w:r>
      <w:r>
        <w:rPr>
          <w:noProof/>
        </w:rPr>
        <w:tab/>
        <w:t xml:space="preserve">Kajdasz DK, Lackland DT, Mohr LC, Judson MA. A current assessment of rurally linked exposures as potential risk factors for sarcoidosis. Ann Epidemiol 2001;11(2):111–7. </w:t>
      </w:r>
    </w:p>
    <w:p w14:paraId="34028F7D"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48. </w:t>
      </w:r>
      <w:r>
        <w:rPr>
          <w:noProof/>
        </w:rPr>
        <w:tab/>
        <w:t xml:space="preserve">Gentry JT, Nitowsky HM, Michael M. Studies on the epidemiology of sarcoidosis in the United States: the relationship to soil areas and to urban-rural residence. J Clin Invest 1955;34(12):1839–56. </w:t>
      </w:r>
    </w:p>
    <w:p w14:paraId="61477631"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49. </w:t>
      </w:r>
      <w:r>
        <w:rPr>
          <w:noProof/>
        </w:rPr>
        <w:tab/>
        <w:t xml:space="preserve">Semenzato G. ACCESS: A case control etiologic study of sarcoidosis. Sarcoidosis Vasc Diffuse Lung Dis 2005;22(2):83–6. </w:t>
      </w:r>
    </w:p>
    <w:p w14:paraId="0D8E1018"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50. </w:t>
      </w:r>
      <w:r>
        <w:rPr>
          <w:noProof/>
        </w:rPr>
        <w:tab/>
        <w:t xml:space="preserve">Iwai K, Sekiguti M, Hosoda Y, et al. Racial difference in cardiac sarcoidosis incidence observed at autopsy. Sarcoidosis 1994;11(1):26–31. </w:t>
      </w:r>
    </w:p>
    <w:p w14:paraId="1E0C177A"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51. </w:t>
      </w:r>
      <w:r>
        <w:rPr>
          <w:noProof/>
        </w:rPr>
        <w:tab/>
        <w:t xml:space="preserve">Sharma OP. Sarcoidosis around the world. Clin Chest Med 2008;29(3):357–63, vii. </w:t>
      </w:r>
    </w:p>
    <w:p w14:paraId="50ED63FC"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52. </w:t>
      </w:r>
      <w:r>
        <w:rPr>
          <w:noProof/>
        </w:rPr>
        <w:tab/>
        <w:t xml:space="preserve">Mañá J, Badrinas F, Morera J, Fité E, Manresa F, Fernández-Nogués F. Sarcoidosis in Spain. Sarcoidosis 1992;9(2):118–22. </w:t>
      </w:r>
    </w:p>
    <w:p w14:paraId="3E218B05" w14:textId="6F179ECB"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53. </w:t>
      </w:r>
      <w:r>
        <w:rPr>
          <w:noProof/>
        </w:rPr>
        <w:tab/>
        <w:t xml:space="preserve">Lenner R, Schilero GJ, Padilla ML, Teirstein AS. Sarcoidosis presenting in patients older than 50 years. Sarcoidosis Vasc Diffuse Lung Dis 2002;19(2):143–7. </w:t>
      </w:r>
    </w:p>
    <w:p w14:paraId="7833CFFF" w14:textId="77777777" w:rsidR="003D0B54" w:rsidRDefault="003D0B54" w:rsidP="003D0B54">
      <w:pPr>
        <w:widowControl w:val="0"/>
        <w:autoSpaceDE w:val="0"/>
        <w:autoSpaceDN w:val="0"/>
        <w:adjustRightInd w:val="0"/>
        <w:spacing w:before="100" w:beforeAutospacing="1" w:after="100" w:afterAutospacing="1" w:line="240" w:lineRule="auto"/>
        <w:ind w:left="680" w:hanging="680"/>
        <w:rPr>
          <w:noProof/>
        </w:rPr>
      </w:pPr>
    </w:p>
    <w:p w14:paraId="27DF1BCE"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lastRenderedPageBreak/>
        <w:t xml:space="preserve">54. </w:t>
      </w:r>
      <w:r>
        <w:rPr>
          <w:noProof/>
        </w:rPr>
        <w:tab/>
        <w:t xml:space="preserve">Hillerdal G, Nöu E, Osterman K, Schmekel B. Sarcoidosis: epidemiology and prognosis. A 15-year European study. Am Rev Respir Dis 1984;130(1):29–32. </w:t>
      </w:r>
    </w:p>
    <w:p w14:paraId="353A7146"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55. </w:t>
      </w:r>
      <w:r>
        <w:rPr>
          <w:noProof/>
        </w:rPr>
        <w:tab/>
        <w:t xml:space="preserve">Judson MA, Thompson BW, Rabin DL, et al. The diagnostic pathway to sarcoidosis*. Chest 2003;123(2):406–12. </w:t>
      </w:r>
    </w:p>
    <w:p w14:paraId="1E185031"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56. </w:t>
      </w:r>
      <w:r>
        <w:rPr>
          <w:noProof/>
        </w:rPr>
        <w:tab/>
        <w:t xml:space="preserve">Schabel SI, Stanley JH, Shelley BE. Pediatric sarcoidosis. J S C Med Assoc 1980;76(9):419–22. </w:t>
      </w:r>
    </w:p>
    <w:p w14:paraId="25C91F66"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57. </w:t>
      </w:r>
      <w:r>
        <w:rPr>
          <w:noProof/>
        </w:rPr>
        <w:tab/>
        <w:t xml:space="preserve">Milman N, Hoffmann AL. Childhood sarcoidosis: long-term follow-up. Eur Respir J 2008;31(3):592–8. </w:t>
      </w:r>
    </w:p>
    <w:p w14:paraId="2FC65D5A"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58. </w:t>
      </w:r>
      <w:r>
        <w:rPr>
          <w:noProof/>
        </w:rPr>
        <w:tab/>
        <w:t xml:space="preserve">Lazarus A. Sarcoidosis: epidemiology, etiology, pathogenesis, and genetics. Dis Mon 2009;55(11):649–60. </w:t>
      </w:r>
    </w:p>
    <w:p w14:paraId="67F8229B"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59. </w:t>
      </w:r>
      <w:r>
        <w:rPr>
          <w:noProof/>
        </w:rPr>
        <w:tab/>
        <w:t xml:space="preserve">Yamaguchi M, Hosoda Y, Sasaki R, Aoki K. Epidemiological study on sarcoidosis in Japan. Recent trends in incidence and prevalence rates and changes in epidemiological features. Sarcoidosis 1989;6(2):138–46. </w:t>
      </w:r>
    </w:p>
    <w:p w14:paraId="35547724"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60. </w:t>
      </w:r>
      <w:r>
        <w:rPr>
          <w:noProof/>
        </w:rPr>
        <w:tab/>
        <w:t xml:space="preserve">Chevalet P, Clément R, Rodat O, Moreau A, Brisseau J-M, Clarke J-P. Sarcoidosis diagnosed in elderly subjects: retrospective study of 30 cases. Chest 2004;126(5):1423–30. </w:t>
      </w:r>
    </w:p>
    <w:p w14:paraId="046B69F6"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61. </w:t>
      </w:r>
      <w:r>
        <w:rPr>
          <w:noProof/>
        </w:rPr>
        <w:tab/>
        <w:t xml:space="preserve">Varron L, Cottin V, Schott A-M, Broussolle C, Sève P. Late-onset sarcoidosis: a comparative study. Medicine 2012;91(3):137–43. </w:t>
      </w:r>
    </w:p>
    <w:p w14:paraId="27CCB997"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62. </w:t>
      </w:r>
      <w:r>
        <w:rPr>
          <w:noProof/>
        </w:rPr>
        <w:tab/>
        <w:t xml:space="preserve">Bourbonnais JM, Samavati L. Effect of gender on health related quality of life in sarcoidosis. Sarcoidosis Vasc Diffuse Lung Dis 2010;27(2):96–102. </w:t>
      </w:r>
    </w:p>
    <w:p w14:paraId="73F8AAAC"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63. </w:t>
      </w:r>
      <w:r>
        <w:rPr>
          <w:noProof/>
        </w:rPr>
        <w:tab/>
        <w:t xml:space="preserve">Birnbaum AD, Rifkin LM. Sarcoidosis: sex-dependent variations in presentation and management. J Ophthalmol 2014;2014:236905. </w:t>
      </w:r>
    </w:p>
    <w:p w14:paraId="25B87A01"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64. </w:t>
      </w:r>
      <w:r>
        <w:rPr>
          <w:noProof/>
        </w:rPr>
        <w:tab/>
        <w:t xml:space="preserve">Facco M, Cabrelle A, Teramo A, et al. Sarcoidosis is a Th1/Th17 multisystem disorder. Thorax 2011;66(2):144–50. </w:t>
      </w:r>
    </w:p>
    <w:p w14:paraId="312D3309"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65. </w:t>
      </w:r>
      <w:r>
        <w:rPr>
          <w:noProof/>
        </w:rPr>
        <w:tab/>
        <w:t xml:space="preserve">Tajima K, Miura K, Ishiwata T, et al. Sex hormones alter Th1 responses and enhance granuloma formation in the lung. Respiration 2011;81(6):491–8. </w:t>
      </w:r>
    </w:p>
    <w:p w14:paraId="2E0B9C5D"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66. </w:t>
      </w:r>
      <w:r>
        <w:rPr>
          <w:noProof/>
        </w:rPr>
        <w:tab/>
        <w:t xml:space="preserve">Ansar Ahmed S, Penhale WJ, Talal N. Sex hormones, immune responses, and autoimmune diseases. Mechanisms of sex hormone action. Am J Pathol 1985;121(3):531–51. </w:t>
      </w:r>
    </w:p>
    <w:p w14:paraId="0E7A6930"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67. </w:t>
      </w:r>
      <w:r>
        <w:rPr>
          <w:noProof/>
        </w:rPr>
        <w:tab/>
        <w:t xml:space="preserve">Whitacre CC, Reingold SC, O’Looney PA. A gender gap in autoimmunity. Science 1999;283(5406):1277–8. </w:t>
      </w:r>
    </w:p>
    <w:p w14:paraId="09222245"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68. </w:t>
      </w:r>
      <w:r>
        <w:rPr>
          <w:noProof/>
        </w:rPr>
        <w:tab/>
        <w:t xml:space="preserve">Ito A, Bebo BF, Matejuk A, et al. Estrogen treatment down-regulates TNF-alpha production and reduces the severity of experimental autoimmune encephalomyelitis in cytokine knockout mice. J Immunol 2001;167(1):542–52. </w:t>
      </w:r>
    </w:p>
    <w:p w14:paraId="7D895DA5"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lastRenderedPageBreak/>
        <w:t xml:space="preserve">69. </w:t>
      </w:r>
      <w:r>
        <w:rPr>
          <w:noProof/>
        </w:rPr>
        <w:tab/>
        <w:t xml:space="preserve">Bouman A, Heineman MJ, Faas MM. Sex hormones and the immune response in humans. Hum Reprod Update 2005;11(4):411–23. </w:t>
      </w:r>
    </w:p>
    <w:p w14:paraId="19DA8612"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70. </w:t>
      </w:r>
      <w:r>
        <w:rPr>
          <w:noProof/>
        </w:rPr>
        <w:tab/>
        <w:t xml:space="preserve">Shames RS. Gender differences in the development and function of the immune system. J Adolesc Health 2002;30(4 Suppl):59–70. </w:t>
      </w:r>
    </w:p>
    <w:p w14:paraId="6F560F38"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71. </w:t>
      </w:r>
      <w:r>
        <w:rPr>
          <w:noProof/>
        </w:rPr>
        <w:tab/>
        <w:t xml:space="preserve">Olsen NJ, Kovacs WJ. Gonadal steroids and immunity. Endocr Rev 1996;17(4):369–84. </w:t>
      </w:r>
    </w:p>
    <w:p w14:paraId="5392B767"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72. </w:t>
      </w:r>
      <w:r>
        <w:rPr>
          <w:noProof/>
        </w:rPr>
        <w:tab/>
        <w:t xml:space="preserve">Cutolo M, Sulli A, Seriolo B, Accardo S, Masi AT. Estrogens, the immune response and autoimmunity. Clin Exp Rheumatol 1995;13(2):217–26. </w:t>
      </w:r>
    </w:p>
    <w:p w14:paraId="3E92BF2A"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73. </w:t>
      </w:r>
      <w:r>
        <w:rPr>
          <w:noProof/>
        </w:rPr>
        <w:tab/>
        <w:t xml:space="preserve">Cozier YC, Berman JS, Palmer JR, Boggs DA, Wise LA, Rosenberg L. Reproductive and hormonal factors in relation to incidence of sarcoidosis in US Black women: The Black Women’s Health Study. Am J Epidemiol 2012;176(7):635–41. </w:t>
      </w:r>
    </w:p>
    <w:p w14:paraId="1EBC7272"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74. </w:t>
      </w:r>
      <w:r>
        <w:rPr>
          <w:noProof/>
        </w:rPr>
        <w:tab/>
        <w:t xml:space="preserve">Shirai M, Sato A, Chida K. The influence of ovarian hormones on the granulomatous inflammatory process in the rat lung. Eur Respir J 1995;8(2):272–7. </w:t>
      </w:r>
    </w:p>
    <w:p w14:paraId="3E7F3E21"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75. </w:t>
      </w:r>
      <w:r>
        <w:rPr>
          <w:noProof/>
        </w:rPr>
        <w:tab/>
        <w:t xml:space="preserve">Chida K, Shirai M, Sato M, Sato J, Nakamura H. Successful treatment of hepatic sarcoidosis with hormone replacement in a postmenopausal woman. Respirology 1999;4(3):259–61. </w:t>
      </w:r>
    </w:p>
    <w:p w14:paraId="327F531A"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76. </w:t>
      </w:r>
      <w:r>
        <w:rPr>
          <w:noProof/>
        </w:rPr>
        <w:tab/>
        <w:t xml:space="preserve">Gottlieb JE, Israel HL, Steiner RM, Triolo J, Patrick H. Outcome in Sarcoidosis. Chest 1997;111(3):623–31. </w:t>
      </w:r>
    </w:p>
    <w:p w14:paraId="59A3E17D"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77. </w:t>
      </w:r>
      <w:r>
        <w:rPr>
          <w:noProof/>
        </w:rPr>
        <w:tab/>
        <w:t xml:space="preserve">Hunninghake GW, Gilbert S, Pueringer R, et al. Outcome of the treatment for sarcoidosis. Am J Respir Crit Care Med 1994;149(4 Pt 1):893–8. </w:t>
      </w:r>
    </w:p>
    <w:p w14:paraId="7F0E5877"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78. </w:t>
      </w:r>
      <w:r>
        <w:rPr>
          <w:noProof/>
        </w:rPr>
        <w:tab/>
        <w:t xml:space="preserve">Zurkova M, Turkova M, Tichy T, Pilka R, Kolek V, Kriegova E. Sarcoidosis of female reproductive organs in a postmenopausal woman: a case report and review of the literature: is there a potential for hormone therapy? Menopause 2015;22(5):549–53. </w:t>
      </w:r>
    </w:p>
    <w:p w14:paraId="6464C830"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79. </w:t>
      </w:r>
      <w:r>
        <w:rPr>
          <w:noProof/>
        </w:rPr>
        <w:tab/>
        <w:t xml:space="preserve">Sudo N. Microbiome, HPA axis and production of endocrine hormones in the gut. Adv Exp Med Biol 2014;817:177–94. </w:t>
      </w:r>
    </w:p>
    <w:p w14:paraId="0960B621"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80. </w:t>
      </w:r>
      <w:r>
        <w:rPr>
          <w:noProof/>
        </w:rPr>
        <w:tab/>
        <w:t xml:space="preserve">Rybicki BA, Maliarik MJ, Major M, Popovich J, Iannuzzi MC. Epidemiology, demographics, and genetics of sarcoidosis. Semin Respir Infect 1998;13(3):166–73. </w:t>
      </w:r>
    </w:p>
    <w:p w14:paraId="5E37B78D"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81. </w:t>
      </w:r>
      <w:r>
        <w:rPr>
          <w:noProof/>
        </w:rPr>
        <w:tab/>
        <w:t xml:space="preserve">Baughman RP, Teirstein AS, Judson MA, et al. Clinical characteristics of patients in a case control study of sarcoidosis. Am J Respir Crit Care Med 2001;164(10 Pt 1):1885–9. </w:t>
      </w:r>
    </w:p>
    <w:p w14:paraId="1A897278"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82. </w:t>
      </w:r>
      <w:r>
        <w:rPr>
          <w:noProof/>
        </w:rPr>
        <w:tab/>
        <w:t xml:space="preserve">Rabin DL, Richardson MS, Stein SR, Yeager H. Sarcoidosis severity and socioeconomic status. Eur Respir J 2001;18(3):499–506. </w:t>
      </w:r>
    </w:p>
    <w:p w14:paraId="25F91BB2"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83. </w:t>
      </w:r>
      <w:r>
        <w:rPr>
          <w:noProof/>
        </w:rPr>
        <w:tab/>
        <w:t xml:space="preserve">Rabin DL, Thompson B, Brown KM, et al. Sarcoidosis: social predictors of severity at presentation. Eur Respir J 2004;24(4):601–8. </w:t>
      </w:r>
    </w:p>
    <w:p w14:paraId="60A834AF"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lastRenderedPageBreak/>
        <w:t xml:space="preserve">84. </w:t>
      </w:r>
      <w:r>
        <w:rPr>
          <w:noProof/>
        </w:rPr>
        <w:tab/>
        <w:t>Moller DR, Rybicki BA, Hamzeh NY, et al. Genetic, immunological and environmental basis of sarcoidosis. Annals of the American Thoracic Society 2017;</w:t>
      </w:r>
    </w:p>
    <w:p w14:paraId="2FFA002E"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85. </w:t>
      </w:r>
      <w:r>
        <w:rPr>
          <w:noProof/>
        </w:rPr>
        <w:tab/>
        <w:t xml:space="preserve">Design of a case control etiologic study of sarcoidosis (ACCESS). ACCESS Research Group. J Clin Epidemiol 1999;52(12):1173–86. </w:t>
      </w:r>
    </w:p>
    <w:p w14:paraId="24E5C00D"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86. </w:t>
      </w:r>
      <w:r>
        <w:rPr>
          <w:noProof/>
        </w:rPr>
        <w:tab/>
        <w:t xml:space="preserve">Forst LS, Abraham J. Hypersensitivity pneumonitis presenting as sarcoidosis. Br J Ind Med 1993;50(6):497–500. </w:t>
      </w:r>
    </w:p>
    <w:p w14:paraId="1D05764F"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87. </w:t>
      </w:r>
      <w:r>
        <w:rPr>
          <w:noProof/>
        </w:rPr>
        <w:tab/>
        <w:t xml:space="preserve">Newman LS. Beryllium disease and sarcoidosis: clinical and laboratory links. Sarcoidosis 1995;12(1):7–19. </w:t>
      </w:r>
    </w:p>
    <w:p w14:paraId="75988864"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88. </w:t>
      </w:r>
      <w:r>
        <w:rPr>
          <w:noProof/>
        </w:rPr>
        <w:tab/>
        <w:t xml:space="preserve">Redline S, Barna BP, Tomashefski JF, Abraham JL. Granulomatous disease associated with pulmonary deposition of titanium. Br J Ind Med 1986;43(10):652–6. </w:t>
      </w:r>
    </w:p>
    <w:p w14:paraId="77B56068"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89. </w:t>
      </w:r>
      <w:r>
        <w:rPr>
          <w:noProof/>
        </w:rPr>
        <w:tab/>
        <w:t xml:space="preserve">De Vuyst P, Dumortier P, Schandené L, Estenne M, Verhest A, Yernault JC. Sarcoidlike lung granulomatosis induced by aluminum dusts. Am Rev Respir Dis 1987;135(2):493–7. </w:t>
      </w:r>
    </w:p>
    <w:p w14:paraId="04406E32"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90. </w:t>
      </w:r>
      <w:r>
        <w:rPr>
          <w:noProof/>
        </w:rPr>
        <w:tab/>
        <w:t xml:space="preserve">Skelton HG, Smith KJ, Johnson FB, Cooper CR, Tyler WF, Lupton GP. Zirconium granuloma resulting from an aluminum zirconium complex: a previously unrecognized agent in the development of hypersensitivity granulomas. J Am Acad Dermatol 1993;28(5 Pt 2):874–6. </w:t>
      </w:r>
    </w:p>
    <w:p w14:paraId="36D023BF"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91. </w:t>
      </w:r>
      <w:r>
        <w:rPr>
          <w:noProof/>
        </w:rPr>
        <w:tab/>
        <w:t xml:space="preserve">Rafnsson V, Ingimarsson O, Hjalmarsson I, Gunnarsdottir H. Association between exposure to crystalline silica and risk of sarcoidosis. Occup Environ Med 1998;55(10):657–60. </w:t>
      </w:r>
    </w:p>
    <w:p w14:paraId="69F816F9"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92. </w:t>
      </w:r>
      <w:r>
        <w:rPr>
          <w:noProof/>
        </w:rPr>
        <w:tab/>
        <w:t xml:space="preserve">Izbicki G, Chavko R, Banauch GI, et al. World Trade Center “sarcoid-like” granulomatous pulmonary disease in New York City Fire Department rescue workers. Chest 2007;131(5):1414–23. </w:t>
      </w:r>
    </w:p>
    <w:p w14:paraId="6D963E53"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93. </w:t>
      </w:r>
      <w:r>
        <w:rPr>
          <w:noProof/>
        </w:rPr>
        <w:tab/>
        <w:t xml:space="preserve">Judson MA, Baughman RP. How many organs need to be involved to diagnose sarcoidosis?: An unanswered question that, hopefully, will become irrelevant. Sarcoidosis Vasc Diffuse Lung Dis 2014;31(1):6–7. </w:t>
      </w:r>
    </w:p>
    <w:p w14:paraId="37E1D743"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94. </w:t>
      </w:r>
      <w:r>
        <w:rPr>
          <w:noProof/>
        </w:rPr>
        <w:tab/>
        <w:t xml:space="preserve">Pattishall EN, Strope GL, Spinola SM, Denny FW. Childhood sarcoidosis. J Pediatr 1986;108(2):169–77. </w:t>
      </w:r>
    </w:p>
    <w:p w14:paraId="6E0BE866"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95. </w:t>
      </w:r>
      <w:r>
        <w:rPr>
          <w:noProof/>
        </w:rPr>
        <w:tab/>
        <w:t xml:space="preserve">Epidemiologic and clinical observations in sarcoidosis. Ann Intern Med 1959;50(4):879. </w:t>
      </w:r>
    </w:p>
    <w:p w14:paraId="59DF80B2"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96. </w:t>
      </w:r>
      <w:r>
        <w:rPr>
          <w:noProof/>
        </w:rPr>
        <w:tab/>
        <w:t xml:space="preserve">Keller AZ. Hospital, age, racial, occupational, geographical, clinical and survivorship characteristics in the epidemiology of sarcoidosis. Am J Epidemiol 1971;94(3):222–30. </w:t>
      </w:r>
    </w:p>
    <w:p w14:paraId="6E591F60"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97. </w:t>
      </w:r>
      <w:r>
        <w:rPr>
          <w:noProof/>
        </w:rPr>
        <w:tab/>
        <w:t xml:space="preserve">Kern DG, Neill MA, Wrenn DS, Varone JC. Investigation of a unique time-space cluster of sarcoidosis in firefighters. Am Rev Respir Dis 1993;148(4 Pt 1):974–80. </w:t>
      </w:r>
    </w:p>
    <w:p w14:paraId="6C15A999"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lastRenderedPageBreak/>
        <w:t xml:space="preserve">98. </w:t>
      </w:r>
      <w:r>
        <w:rPr>
          <w:noProof/>
        </w:rPr>
        <w:tab/>
        <w:t xml:space="preserve">Revsbech P. Is sarcoidosis related to exposure to pets or the housing conditions? A case-referent study. Sarcoidosis 1992;9(2):101–3. </w:t>
      </w:r>
    </w:p>
    <w:p w14:paraId="16183903"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99. </w:t>
      </w:r>
      <w:r>
        <w:rPr>
          <w:noProof/>
        </w:rPr>
        <w:tab/>
        <w:t xml:space="preserve">Drent M, Wijnen PA, Boots AW, Bast A. Cat litter is a possible trigger for sarcoidosis. Eur Respir J 2012;39(1):221–2. </w:t>
      </w:r>
    </w:p>
    <w:p w14:paraId="3A4FE741"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100. </w:t>
      </w:r>
      <w:r>
        <w:rPr>
          <w:noProof/>
        </w:rPr>
        <w:tab/>
        <w:t xml:space="preserve">Apostolakos MJ, Rossmoore H, Beckett WS. Hypersensitivity pneumonitis from ordinary residential exposures. Environ Health Perspect 2001;109(9):979–81. </w:t>
      </w:r>
    </w:p>
    <w:p w14:paraId="2667872D"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101. </w:t>
      </w:r>
      <w:r>
        <w:rPr>
          <w:noProof/>
        </w:rPr>
        <w:tab/>
        <w:t xml:space="preserve">Bresnitz EA, Stolley PD, Israel HL, Soper K. Possible risk factors for sarcoidosis. A case-control study. Ann N Y Acad Sci 1986;465:632–42. </w:t>
      </w:r>
    </w:p>
    <w:p w14:paraId="6CB985AA"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102. </w:t>
      </w:r>
      <w:r>
        <w:rPr>
          <w:noProof/>
        </w:rPr>
        <w:tab/>
        <w:t xml:space="preserve">Sopori M. Effects of cigarette smoke on the immune system. Nat Rev Immunol 2002;2(5):372–7. </w:t>
      </w:r>
    </w:p>
    <w:p w14:paraId="2449AD11"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103. </w:t>
      </w:r>
      <w:r>
        <w:rPr>
          <w:noProof/>
        </w:rPr>
        <w:tab/>
        <w:t xml:space="preserve">Maier LA. Is smoking beneficial for granulomatous lung diseases? Am J Respir Crit Care Med 2004;169(8):893–5. </w:t>
      </w:r>
    </w:p>
    <w:p w14:paraId="398124A4"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104. </w:t>
      </w:r>
      <w:r>
        <w:rPr>
          <w:noProof/>
        </w:rPr>
        <w:tab/>
        <w:t xml:space="preserve">Douglas JG, Middleton WG, Gaddie J, et al. Sarcoidosis: a disorder commoner in non-smokers? Thorax 1986;41(10):787–91. </w:t>
      </w:r>
    </w:p>
    <w:p w14:paraId="2A677BA6"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105. </w:t>
      </w:r>
      <w:r>
        <w:rPr>
          <w:noProof/>
        </w:rPr>
        <w:tab/>
        <w:t xml:space="preserve">Warren CP. Extrinsic allergic alveolitis: a disease commoner in non-smokers. Thorax 1977;32(5):567–9. </w:t>
      </w:r>
    </w:p>
    <w:p w14:paraId="5EFF6180"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106. </w:t>
      </w:r>
      <w:r>
        <w:rPr>
          <w:noProof/>
        </w:rPr>
        <w:tab/>
        <w:t xml:space="preserve">Blanchet M-R, Israël-Assayag E, Cormier Y. Inhibitory effect of nicotine on experimental hypersensitivity pneumonitis in vivo and in vitro. Am J Respir Crit Care Med 2004;169(8):903–9. </w:t>
      </w:r>
    </w:p>
    <w:p w14:paraId="064C4F4F"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107. </w:t>
      </w:r>
      <w:r>
        <w:rPr>
          <w:noProof/>
        </w:rPr>
        <w:tab/>
        <w:t xml:space="preserve">Valeyre D, Soler P, Clerici C, et al. Smoking and pulmonary sarcoidosis: effect of cigarette smoking on prevalence, clinical manifestations, alveolitis, and evolution of the disease. Thorax 1988;43(7):516–24. </w:t>
      </w:r>
    </w:p>
    <w:p w14:paraId="388B3B14"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108. </w:t>
      </w:r>
      <w:r>
        <w:rPr>
          <w:noProof/>
        </w:rPr>
        <w:tab/>
        <w:t xml:space="preserve">Hills SE, Parkes SA, Baker SB. Epidemiology of sarcoidosis in the Isle of Man--2: Evidence for space-time clustering. Thorax 1987;42(6):427–30. </w:t>
      </w:r>
    </w:p>
    <w:p w14:paraId="50663CA4"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109. </w:t>
      </w:r>
      <w:r>
        <w:rPr>
          <w:noProof/>
        </w:rPr>
        <w:tab/>
        <w:t xml:space="preserve">Parkes SA, Baker SB, Bourdillon RE, et al. Incidence of sarcoidosis in the Isle of Man. Thorax 1985;40(4):284–7. </w:t>
      </w:r>
    </w:p>
    <w:p w14:paraId="7D313944"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110. </w:t>
      </w:r>
      <w:r>
        <w:rPr>
          <w:noProof/>
        </w:rPr>
        <w:tab/>
        <w:t xml:space="preserve">Ayres JG. Epidemiology of sarcoidosis in the Isle of Man. Thorax 1987;42(11):911. </w:t>
      </w:r>
    </w:p>
    <w:p w14:paraId="646ECFCD"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111. </w:t>
      </w:r>
      <w:r>
        <w:rPr>
          <w:noProof/>
        </w:rPr>
        <w:tab/>
        <w:t xml:space="preserve">Hosoda Y, Hiraga Y, Odaka M, et al. A cooperative study of sarcoidosis in Asia and Africa: analytic epidemiology. Ann N Y Acad Sci 1976;278:355–67. </w:t>
      </w:r>
    </w:p>
    <w:p w14:paraId="0A26CD1C" w14:textId="18FFBD0A"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112. </w:t>
      </w:r>
      <w:r>
        <w:rPr>
          <w:noProof/>
        </w:rPr>
        <w:tab/>
        <w:t xml:space="preserve">Stewart IC, Davidson NM. Clustering of sarcoidosis. Thorax 1982;37(5):398–9. </w:t>
      </w:r>
    </w:p>
    <w:p w14:paraId="2603F68F" w14:textId="77777777" w:rsidR="003D0B54" w:rsidRDefault="003D0B54" w:rsidP="003D0B54">
      <w:pPr>
        <w:widowControl w:val="0"/>
        <w:autoSpaceDE w:val="0"/>
        <w:autoSpaceDN w:val="0"/>
        <w:adjustRightInd w:val="0"/>
        <w:spacing w:before="100" w:beforeAutospacing="1" w:after="100" w:afterAutospacing="1" w:line="240" w:lineRule="auto"/>
        <w:ind w:left="680" w:hanging="680"/>
        <w:rPr>
          <w:noProof/>
        </w:rPr>
      </w:pPr>
    </w:p>
    <w:p w14:paraId="0D97524A"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lastRenderedPageBreak/>
        <w:t xml:space="preserve">113. </w:t>
      </w:r>
      <w:r>
        <w:rPr>
          <w:noProof/>
        </w:rPr>
        <w:tab/>
        <w:t xml:space="preserve">Matzaraki V, Kumar V, Wijmenga C, Zhernakova A. The MHC locus and genetic susceptibility to autoimmune and infectious diseases. Genome Biol 2017;18(1):76. </w:t>
      </w:r>
    </w:p>
    <w:p w14:paraId="013C8D52"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114. </w:t>
      </w:r>
      <w:r>
        <w:rPr>
          <w:noProof/>
        </w:rPr>
        <w:tab/>
        <w:t xml:space="preserve">Iannuzzi MC, Rybicki BA. Genetics of sarcoidosis: candidate genes and genome scans. Proc Am Thorac Soc 2007;4(1):108–16. </w:t>
      </w:r>
    </w:p>
    <w:p w14:paraId="0B062B41"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115. </w:t>
      </w:r>
      <w:r>
        <w:rPr>
          <w:noProof/>
        </w:rPr>
        <w:tab/>
        <w:t xml:space="preserve">Darlington P, Gabrielsen A, Sörensson P, et al. HLA-alleles associated with increased risk for extra-pulmonary involvement in sarcoidosis. Tissue Antigens 2014;83(4):267–72. </w:t>
      </w:r>
    </w:p>
    <w:p w14:paraId="06B61364"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116. </w:t>
      </w:r>
      <w:r>
        <w:rPr>
          <w:noProof/>
        </w:rPr>
        <w:tab/>
        <w:t xml:space="preserve">Chen ES, Moller DR. Etiologic role of infectious agents. Semin Respir Crit Care Med 2014;35(3):285–95. </w:t>
      </w:r>
    </w:p>
    <w:p w14:paraId="121299D7"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117. </w:t>
      </w:r>
      <w:r>
        <w:rPr>
          <w:noProof/>
        </w:rPr>
        <w:tab/>
        <w:t xml:space="preserve">Richmond BW, Ploetze K, Isom J, et al. Sarcoidosis Th17 cells are ESAT-6 antigen specific but demonstrate reduced IFN-γ expression. J Clin Immunol 2013;33(2):446–55. </w:t>
      </w:r>
    </w:p>
    <w:p w14:paraId="6EA49944"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118. </w:t>
      </w:r>
      <w:r>
        <w:rPr>
          <w:noProof/>
        </w:rPr>
        <w:tab/>
        <w:t xml:space="preserve">Simonian PL, Roark CL, Wehrmann F, et al. Th17-polarized immune response in a murine model of hypersensitivity pneumonitis and lung fibrosis. J Immunol 2009;182(1):657–65. </w:t>
      </w:r>
    </w:p>
    <w:p w14:paraId="3B98CB30"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119. </w:t>
      </w:r>
      <w:r>
        <w:rPr>
          <w:noProof/>
        </w:rPr>
        <w:tab/>
        <w:t xml:space="preserve">Ten Berge B, Paats MS, Bergen IM, et al. Increased IL-17A expression in granulomas and in circulating memory T cells in sarcoidosis. Rheumatology (Oxford) 2012;51(1):37–46. </w:t>
      </w:r>
    </w:p>
    <w:p w14:paraId="6FB7CDDF"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120. </w:t>
      </w:r>
      <w:r>
        <w:rPr>
          <w:noProof/>
        </w:rPr>
        <w:tab/>
        <w:t xml:space="preserve">Brownell I, Ramírez-Valle F, Sanchez M, Prystowsky S. Evidence for mycobacteria in sarcoidosis. Am J Respir Cell Mol Biol 2011;45(5):899–905. </w:t>
      </w:r>
    </w:p>
    <w:p w14:paraId="7961D141"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121. </w:t>
      </w:r>
      <w:r>
        <w:rPr>
          <w:noProof/>
        </w:rPr>
        <w:tab/>
        <w:t xml:space="preserve">Kon OM, du Bois RM. Mycobacteria and sarcoidosis. Thorax 1997;52 Suppl 3:S47-51. </w:t>
      </w:r>
    </w:p>
    <w:p w14:paraId="38A5A486"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122. </w:t>
      </w:r>
      <w:r>
        <w:rPr>
          <w:noProof/>
        </w:rPr>
        <w:tab/>
        <w:t xml:space="preserve">Eishi Y, Suga M, Ishige I, et al. Quantitative analysis of mycobacterial and propionibacterial DNA in lymph nodes of Japanese and European patients with sarcoidosis. J Clin Microbiol 2002;40(1):198–204. </w:t>
      </w:r>
    </w:p>
    <w:p w14:paraId="45A57089"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123. </w:t>
      </w:r>
      <w:r>
        <w:rPr>
          <w:noProof/>
        </w:rPr>
        <w:tab/>
        <w:t xml:space="preserve">Gazouli M, Ikonomopoulos J, Trigidou R, Foteinou M, Kittas C, Gorgoulis V. Assessment of mycobacterial, propionibacterial, and human herpesvirus 8 DNA in tissues of greek patients with sarcoidosis. J Clin Microbiol 2002;40(8):3060–3. </w:t>
      </w:r>
    </w:p>
    <w:p w14:paraId="76DB1906"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124. </w:t>
      </w:r>
      <w:r>
        <w:rPr>
          <w:noProof/>
        </w:rPr>
        <w:tab/>
        <w:t xml:space="preserve">Ishige I, Eishi Y, Takemura T, et al. Propionibacterium acnes is the most common bacterium commensal in peripheral lung tissue and mediastinal lymph nodes from subjects without sarcoidosis. Sarcoidosis Vasc Diffuse Lung Dis 2005;22(1):33–42. </w:t>
      </w:r>
    </w:p>
    <w:p w14:paraId="4E5BF28A"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125. </w:t>
      </w:r>
      <w:r>
        <w:rPr>
          <w:noProof/>
        </w:rPr>
        <w:tab/>
        <w:t xml:space="preserve">Nishiwaki T, Yoneyama H, Eishi Y, et al. Indigenous pulmonary Propionibacterium acnes primes the host in the development of sarcoid-like pulmonary granulomatosis in mice. Am J Pathol 2004;165(2):631–9. </w:t>
      </w:r>
    </w:p>
    <w:p w14:paraId="38747F9C"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126. </w:t>
      </w:r>
      <w:r>
        <w:rPr>
          <w:noProof/>
        </w:rPr>
        <w:tab/>
        <w:t xml:space="preserve">McCaskill JG, Chason KD, Hua X, et al. Pulmonary immune responses to Propionibacterium acnes in C57BL/6 and BALB/c mice. Am J Respir Cell Mol Biol 2006;35(3):347–56. </w:t>
      </w:r>
    </w:p>
    <w:p w14:paraId="68505797"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lastRenderedPageBreak/>
        <w:t xml:space="preserve">127. </w:t>
      </w:r>
      <w:r>
        <w:rPr>
          <w:noProof/>
        </w:rPr>
        <w:tab/>
        <w:t xml:space="preserve">Popper HH, Winter E, Höfler G. DNA of Mycobacterium tuberculosis in formalin-fixed, paraffin-embedded tissue in tuberculosis and sarcoidosis detected by polymerase chain reaction. Am J Clin Pathol 1994;101(6):738–41. </w:t>
      </w:r>
    </w:p>
    <w:p w14:paraId="6D3D267A"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128. </w:t>
      </w:r>
      <w:r>
        <w:rPr>
          <w:noProof/>
        </w:rPr>
        <w:tab/>
        <w:t xml:space="preserve">Moller DR. Potential etiologic agents in sarcoidosis. Proc Am Thorac Soc 2007;4(5):465–8. </w:t>
      </w:r>
    </w:p>
    <w:p w14:paraId="5DFA025E"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129. </w:t>
      </w:r>
      <w:r>
        <w:rPr>
          <w:noProof/>
        </w:rPr>
        <w:tab/>
        <w:t xml:space="preserve">Chen ES, Moller DR. Sarcoidosis--scientific progress and clinical challenges. Nat Rev Rheumatol 2011;7(8):457–67. </w:t>
      </w:r>
    </w:p>
    <w:p w14:paraId="5B39A74A"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130. </w:t>
      </w:r>
      <w:r>
        <w:rPr>
          <w:noProof/>
        </w:rPr>
        <w:tab/>
        <w:t xml:space="preserve">Fu LM, Fu-Liu CS. Is Mycobacterium tuberculosis a closer relative to Gram-positive or Gram-negative bacterial pathogens? Tuberculosis (Edinb) 2002;82(2–3):85–90. </w:t>
      </w:r>
    </w:p>
    <w:p w14:paraId="4DD3A53D"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131. </w:t>
      </w:r>
      <w:r>
        <w:rPr>
          <w:noProof/>
        </w:rPr>
        <w:tab/>
        <w:t>Bhatia A, Maisonneuve J-F, Persing DH. PROPIONIBACTERIUM ACNES AND CHRONIC DISEASES - The Infectious Etiology of Chronic Diseases - NCBI Bookshelf. 2004;</w:t>
      </w:r>
    </w:p>
    <w:p w14:paraId="4B76E974"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132. </w:t>
      </w:r>
      <w:r>
        <w:rPr>
          <w:noProof/>
        </w:rPr>
        <w:tab/>
        <w:t xml:space="preserve">Mitchell DN, Rees RJ, Goswami KK. Transmissible agents from human sarcoid and Crohn’s disease tissues. The Lancet 1976;2(7989):761–5. </w:t>
      </w:r>
    </w:p>
    <w:p w14:paraId="2BE6EE3E"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133. </w:t>
      </w:r>
      <w:r>
        <w:rPr>
          <w:noProof/>
        </w:rPr>
        <w:tab/>
        <w:t xml:space="preserve">Heyll A, Meckenstock G, Aul C, et al. Possible transmission of sarcoidosis via allogeneic bone marrow transplantation. Bone Marrow Transplant 1994;14(1):161–4. </w:t>
      </w:r>
    </w:p>
    <w:p w14:paraId="554E97F7"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134. </w:t>
      </w:r>
      <w:r>
        <w:rPr>
          <w:noProof/>
        </w:rPr>
        <w:tab/>
        <w:t xml:space="preserve">Martinez FJ, Orens JB, Deeb M, Brunsting LA, Flint A, Lynch JP. Recurrence of sarcoidosis following bilateral allogeneic lung transplantation. Chest 1994;106(5):1597–9. </w:t>
      </w:r>
    </w:p>
    <w:p w14:paraId="4328B798"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135. </w:t>
      </w:r>
      <w:r>
        <w:rPr>
          <w:noProof/>
        </w:rPr>
        <w:tab/>
        <w:t xml:space="preserve">Kazerooni EA, Cascade PN. Recurrent miliary sarcoidosis after lung transplantation. Radiology 1995;194(3):913–913. </w:t>
      </w:r>
    </w:p>
    <w:p w14:paraId="0C182C65"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136. </w:t>
      </w:r>
      <w:r>
        <w:rPr>
          <w:noProof/>
        </w:rPr>
        <w:tab/>
        <w:t xml:space="preserve">Milman N, Andersen CB, Burton CM, Iversen M. Recurrent sarcoid granulomas in a transplanted lung derive from recipient immune cells. Eur Respir J 2005;26(3):549–52. </w:t>
      </w:r>
    </w:p>
    <w:p w14:paraId="166BE0EE"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137. </w:t>
      </w:r>
      <w:r>
        <w:rPr>
          <w:noProof/>
        </w:rPr>
        <w:tab/>
        <w:t xml:space="preserve">Burke WMJ, Keogh A, Maloney PJ, Delprado W, Bryant DH, Spratt P. Transmission of sarcoidosis via cardiac transplantation. The Lancet 1990;336(8730–8731):1579. </w:t>
      </w:r>
    </w:p>
    <w:p w14:paraId="43A0D3D1"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138. </w:t>
      </w:r>
      <w:r>
        <w:rPr>
          <w:noProof/>
        </w:rPr>
        <w:tab/>
        <w:t xml:space="preserve">Design of A Case Control Etiologic Study of Sarcoidosis (ACCESS). J Clin Epidemiol 1999;52(12):1173–86. </w:t>
      </w:r>
    </w:p>
    <w:p w14:paraId="0BEACC1A"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139. </w:t>
      </w:r>
      <w:r>
        <w:rPr>
          <w:noProof/>
        </w:rPr>
        <w:tab/>
        <w:t>Clarke EL, Lauder AP, Hofstaedter CE, et al. Microbial lineages in sarcoidosis: A metagenomic analysis tailored for low microbial content samples. Am J Respir Crit Care Med 2017;</w:t>
      </w:r>
    </w:p>
    <w:p w14:paraId="49A4A662"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140. </w:t>
      </w:r>
      <w:r>
        <w:rPr>
          <w:noProof/>
        </w:rPr>
        <w:tab/>
        <w:t xml:space="preserve">Drake WP, Oswald-Richter K, Richmond BW, et al. Oral antimycobacterial therapy in chronic cutaneous sarcoidosis: a randomized, single-masked, placebo-controlled study. JAMA Dermatol 2013;149(9):1040–9. </w:t>
      </w:r>
    </w:p>
    <w:p w14:paraId="4C8FEC7F"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lastRenderedPageBreak/>
        <w:t xml:space="preserve">141. </w:t>
      </w:r>
      <w:r>
        <w:rPr>
          <w:noProof/>
        </w:rPr>
        <w:tab/>
        <w:t xml:space="preserve">Ebe Y, Ikushima S, Yamaguchi T, et al. Proliferative response of peripheral blood mononuclear cells and levels of antibody to recombinant protein from Propionibacterium acnes DNA expression library in Japanese patients with sarcoidosis. Sarcoidosis Vasc Diffuse Lung Dis 2000;17(3):256–65. </w:t>
      </w:r>
    </w:p>
    <w:p w14:paraId="48709762"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142. </w:t>
      </w:r>
      <w:r>
        <w:rPr>
          <w:noProof/>
        </w:rPr>
        <w:tab/>
        <w:t xml:space="preserve">Nikkels AF, Debrus S, Delvenne P, et al. Viral glycoproteins in herpesviridae granulomas. Am J Dermatopathol 1994;16(6):588–92. </w:t>
      </w:r>
    </w:p>
    <w:p w14:paraId="226C5CE0"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143. </w:t>
      </w:r>
      <w:r>
        <w:rPr>
          <w:noProof/>
        </w:rPr>
        <w:tab/>
        <w:t xml:space="preserve">Langenberg A, Yen TS, LeBoit PE. Granulomatous vasculitis occurring after cutaneous herpes zoster despite absence of viral genome. J Am Acad Dermatol 1991;24(3):429–33. </w:t>
      </w:r>
    </w:p>
    <w:p w14:paraId="3233C1C9"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144. </w:t>
      </w:r>
      <w:r>
        <w:rPr>
          <w:noProof/>
        </w:rPr>
        <w:tab/>
        <w:t xml:space="preserve">Oswald-Richter KA, Beachboard DC, Seeley EH, et al. Dual analysis for mycobacteria and propionibacteria in sarcoidosis BAL. J Clin Immunol 2012;32(5):1129–40. </w:t>
      </w:r>
    </w:p>
    <w:p w14:paraId="069E0FA5"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145. </w:t>
      </w:r>
      <w:r>
        <w:rPr>
          <w:noProof/>
        </w:rPr>
        <w:tab/>
        <w:t xml:space="preserve">Song Z, Marzilli L, Greenlee BM, et al. Mycobacterial catalase-peroxidase is a tissue antigen and target of the adaptive immune response in systemic sarcoidosis. J Exp Med 2005;201(5):755–67. </w:t>
      </w:r>
    </w:p>
    <w:p w14:paraId="78CAD553"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146. </w:t>
      </w:r>
      <w:r>
        <w:rPr>
          <w:noProof/>
        </w:rPr>
        <w:tab/>
        <w:t xml:space="preserve">Drake WP, Pei Z, Pride DT, Collins RD, Cover TL, Blaser MJ. Molecular analysis of sarcoidosis tissues for mycobacterium species DNA. Emerging Infect Dis 2002;8(11):1334–41. </w:t>
      </w:r>
    </w:p>
    <w:p w14:paraId="1866CDB0"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147. </w:t>
      </w:r>
      <w:r>
        <w:rPr>
          <w:noProof/>
        </w:rPr>
        <w:tab/>
        <w:t xml:space="preserve">Oswald-Richter KA, Culver DA, Hawkins C, et al. Cellular responses to mycobacterial antigens are present in bronchoalveolar lavage fluid used in the diagnosis of sarcoidosis. Infect Immun 2009;77(9):3740–8. </w:t>
      </w:r>
    </w:p>
    <w:p w14:paraId="3AED8838"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148. </w:t>
      </w:r>
      <w:r>
        <w:rPr>
          <w:noProof/>
        </w:rPr>
        <w:tab/>
        <w:t xml:space="preserve">Oswald-Richter KA, Beachboard DC, Zhan X, et al. Multiple mycobacterial antigens are targets of the adaptive immune response in pulmonary sarcoidosis. Respir Res 2010;11:161. </w:t>
      </w:r>
    </w:p>
    <w:p w14:paraId="458F976C"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149. </w:t>
      </w:r>
      <w:r>
        <w:rPr>
          <w:noProof/>
        </w:rPr>
        <w:tab/>
        <w:t xml:space="preserve">Oswald-Richter K, Sato H, Hajizadeh R, et al. Mycobacterial ESAT-6 and katG are recognized by sarcoidosis CD4+ T cells when presented by the American sarcoidosis susceptibility allele, DRB1*1101. J Clin Immunol 2010;30(1):157–66. </w:t>
      </w:r>
    </w:p>
    <w:p w14:paraId="30B0E439"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150. </w:t>
      </w:r>
      <w:r>
        <w:rPr>
          <w:noProof/>
        </w:rPr>
        <w:tab/>
        <w:t xml:space="preserve">Chen ES, Wahlström J, Song Z, et al. T cell responses to mycobacterial catalase-peroxidase profile a pathogenic antigen in systemic sarcoidosis. J Immunol 2008;181(12):8784–96. </w:t>
      </w:r>
    </w:p>
    <w:p w14:paraId="0D303E52"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151. </w:t>
      </w:r>
      <w:r>
        <w:rPr>
          <w:noProof/>
        </w:rPr>
        <w:tab/>
        <w:t xml:space="preserve">Zhou Y, Hu Y, Li H. Role of Propionibacterium Acnes in Sarcoidosis: A Meta-analysis. Sarcoidosis Vasc Diffuse Lung Dis 2013;30(4):262–7. </w:t>
      </w:r>
    </w:p>
    <w:p w14:paraId="0ED37A94"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152. </w:t>
      </w:r>
      <w:r>
        <w:rPr>
          <w:noProof/>
        </w:rPr>
        <w:tab/>
        <w:t xml:space="preserve">Abe C, Iwai K, Mikami R, Hosoda Y. Frequent isolation of Propionibacterium acnes from sarcoidosis lymph nodes. Zentralbl Bakteriol Mikrobiol Hyg A 1984;256(4):541–7. </w:t>
      </w:r>
    </w:p>
    <w:p w14:paraId="62122860"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153. </w:t>
      </w:r>
      <w:r>
        <w:rPr>
          <w:noProof/>
        </w:rPr>
        <w:tab/>
        <w:t xml:space="preserve">Oswald-Richter KA, Drake WP. The etiologic role of infectious antigens in sarcoidosis pathogenesis. Semin Respir Crit Care Med 2010;31(4):375–9. </w:t>
      </w:r>
    </w:p>
    <w:p w14:paraId="6DA3D5F2"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lastRenderedPageBreak/>
        <w:t xml:space="preserve">154. </w:t>
      </w:r>
      <w:r>
        <w:rPr>
          <w:noProof/>
        </w:rPr>
        <w:tab/>
        <w:t xml:space="preserve">Morgan XC, Huttenhower C. Chapter 12: Human microbiome analysis. PLoS Comput Biol 2012;8(12):e1002808. </w:t>
      </w:r>
    </w:p>
    <w:p w14:paraId="41539468"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155. </w:t>
      </w:r>
      <w:r>
        <w:rPr>
          <w:noProof/>
        </w:rPr>
        <w:tab/>
        <w:t xml:space="preserve">Li K, Bihan M, Yooseph S, Methé BA. Analyses of the microbial diversity across the human microbiome. PLoS ONE 2012;7(6):e32118. </w:t>
      </w:r>
    </w:p>
    <w:p w14:paraId="3E713E69"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156. </w:t>
      </w:r>
      <w:r>
        <w:rPr>
          <w:noProof/>
        </w:rPr>
        <w:tab/>
        <w:t xml:space="preserve">Li K, Bihan M, Methé BA. Analyses of the stability and core taxonomic memberships of the human microbiome. PLoS ONE 2013;8(5):e63139. </w:t>
      </w:r>
    </w:p>
    <w:p w14:paraId="197419D0"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157. </w:t>
      </w:r>
      <w:r>
        <w:rPr>
          <w:noProof/>
        </w:rPr>
        <w:tab/>
        <w:t xml:space="preserve">Ley RE, Lozupone CA, Hamady M, Knight R, Gordon JI. Worlds within worlds: evolution of the vertebrate gut microbiota. Nat Rev Microbiol 2008;6(10):776–88. </w:t>
      </w:r>
    </w:p>
    <w:p w14:paraId="160F07F9"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158. </w:t>
      </w:r>
      <w:r>
        <w:rPr>
          <w:noProof/>
        </w:rPr>
        <w:tab/>
        <w:t xml:space="preserve">Qin J, Li R, Raes J, et al. A human gut microbial gene catalogue established by metagenomic sequencing. Nature 2010;464(7285):59–65. </w:t>
      </w:r>
    </w:p>
    <w:p w14:paraId="59B192E7"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159. </w:t>
      </w:r>
      <w:r>
        <w:rPr>
          <w:noProof/>
        </w:rPr>
        <w:tab/>
        <w:t xml:space="preserve">Human Microbiome Project Consortium. Structure, function and diversity of the healthy human microbiome. Nature 2012;486(7402):207–14. </w:t>
      </w:r>
    </w:p>
    <w:p w14:paraId="0C5D91A5"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160. </w:t>
      </w:r>
      <w:r>
        <w:rPr>
          <w:noProof/>
        </w:rPr>
        <w:tab/>
        <w:t xml:space="preserve">NIH HMP Working Group, Peterson J, Garges S, et al. The NIH human microbiome project. Genome Res 2009;19(12):2317–23. </w:t>
      </w:r>
    </w:p>
    <w:p w14:paraId="7CA925BA"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161. </w:t>
      </w:r>
      <w:r>
        <w:rPr>
          <w:noProof/>
        </w:rPr>
        <w:tab/>
        <w:t xml:space="preserve">Seed PC. The human mycobiome. Cold Spring Harb Perspect Med 2014;5(5):a019810. </w:t>
      </w:r>
    </w:p>
    <w:p w14:paraId="00195905"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162. </w:t>
      </w:r>
      <w:r>
        <w:rPr>
          <w:noProof/>
        </w:rPr>
        <w:tab/>
        <w:t xml:space="preserve">Eloe-Fadrosh EA, Rasko DA. The human microbiome: from symbiosis to pathogenesis. Annu Rev Med 2013;64:145–63. </w:t>
      </w:r>
    </w:p>
    <w:p w14:paraId="6778BF73"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163. </w:t>
      </w:r>
      <w:r>
        <w:rPr>
          <w:noProof/>
        </w:rPr>
        <w:tab/>
        <w:t xml:space="preserve">Underhill DM, Iliev ID. The mycobiota: interactions between commensal fungi and the host immune system. Nat Rev Immunol 2014;14(6):405–16. </w:t>
      </w:r>
    </w:p>
    <w:p w14:paraId="1E55862F"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164. </w:t>
      </w:r>
      <w:r>
        <w:rPr>
          <w:noProof/>
        </w:rPr>
        <w:tab/>
        <w:t xml:space="preserve">Suhr MJ, Banjara N, Hallen-Adams HE. Sequence-based methods for detecting and evaluating the human gut mycobiome. Lett Appl Microbiol 2016;62(3):209–15. </w:t>
      </w:r>
    </w:p>
    <w:p w14:paraId="52096D4C"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165. </w:t>
      </w:r>
      <w:r>
        <w:rPr>
          <w:noProof/>
        </w:rPr>
        <w:tab/>
        <w:t xml:space="preserve">Bik EM, Eckburg PB, Gill SR, et al. Molecular analysis of the bacterial microbiota in the human stomach. Proc Natl Acad Sci U S A 2006;103(3):732–7. </w:t>
      </w:r>
    </w:p>
    <w:p w14:paraId="4EB2ED9A"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166. </w:t>
      </w:r>
      <w:r>
        <w:rPr>
          <w:noProof/>
        </w:rPr>
        <w:tab/>
        <w:t xml:space="preserve">Gao Z, Tseng C, Pei Z, Blaser MJ. Molecular analysis of human forearm superficial skin bacterial biota. Proc Natl Acad Sci U S A 2007;104(8):2927–32. </w:t>
      </w:r>
    </w:p>
    <w:p w14:paraId="4152037D"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167. </w:t>
      </w:r>
      <w:r>
        <w:rPr>
          <w:noProof/>
        </w:rPr>
        <w:tab/>
        <w:t xml:space="preserve">Paster BJ, Boches SK, Galvin JL, et al. Bacterial diversity in human subgingival plaque. J Bacteriol 2001;183(12):3770–83. </w:t>
      </w:r>
    </w:p>
    <w:p w14:paraId="025CA463" w14:textId="3B7B30AE"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168. </w:t>
      </w:r>
      <w:r>
        <w:rPr>
          <w:noProof/>
        </w:rPr>
        <w:tab/>
        <w:t xml:space="preserve">Kroes I, Lepp PW, Relman DA. Bacterial diversity within the human subgingival crevice. Proc Natl Acad Sci U S A 1999;96(25):14547–52. </w:t>
      </w:r>
    </w:p>
    <w:p w14:paraId="000761D9" w14:textId="77777777" w:rsidR="003D0B54" w:rsidRDefault="003D0B54" w:rsidP="003D0B54">
      <w:pPr>
        <w:widowControl w:val="0"/>
        <w:autoSpaceDE w:val="0"/>
        <w:autoSpaceDN w:val="0"/>
        <w:adjustRightInd w:val="0"/>
        <w:spacing w:before="100" w:beforeAutospacing="1" w:after="100" w:afterAutospacing="1" w:line="240" w:lineRule="auto"/>
        <w:ind w:left="680" w:hanging="680"/>
        <w:rPr>
          <w:noProof/>
        </w:rPr>
      </w:pPr>
    </w:p>
    <w:p w14:paraId="371B1280"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lastRenderedPageBreak/>
        <w:t xml:space="preserve">169. </w:t>
      </w:r>
      <w:r>
        <w:rPr>
          <w:noProof/>
        </w:rPr>
        <w:tab/>
        <w:t xml:space="preserve">Huseyin CE, Rubio RC, O’Sullivan O, Cotter PD, Scanlan PD. The fungal frontier: A comparative analysis of methods used in the study of the human gut mycobiome. Front Microbiol 2017;8:1432. </w:t>
      </w:r>
    </w:p>
    <w:p w14:paraId="24A19C9C"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170. </w:t>
      </w:r>
      <w:r>
        <w:rPr>
          <w:noProof/>
        </w:rPr>
        <w:tab/>
        <w:t xml:space="preserve">Huseyin CE, O’Toole PW, Cotter PD, Scanlan PD. Forgotten fungi-the gut mycobiome in human health and disease. FEMS Microbiol Rev 2017;41(4):479–511. </w:t>
      </w:r>
    </w:p>
    <w:p w14:paraId="6701CA90"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171. </w:t>
      </w:r>
      <w:r>
        <w:rPr>
          <w:noProof/>
        </w:rPr>
        <w:tab/>
        <w:t xml:space="preserve">Walsh TJ, Dixon DM. Spectrum of Mycoses. In: Baron S, editor. Medical Microbiology. Galveston (TX): University of Texas Medical Branch at Galveston; 1996. </w:t>
      </w:r>
    </w:p>
    <w:p w14:paraId="4AC4D180"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172. </w:t>
      </w:r>
      <w:r>
        <w:rPr>
          <w:noProof/>
        </w:rPr>
        <w:tab/>
        <w:t xml:space="preserve">Cui L, Morris A, Huang L, et al. The microbiome and the lung. Annals of the American Thoracic Society 2014;11 Suppl 4:S227-32. </w:t>
      </w:r>
    </w:p>
    <w:p w14:paraId="7BA5F782"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173. </w:t>
      </w:r>
      <w:r>
        <w:rPr>
          <w:noProof/>
        </w:rPr>
        <w:tab/>
        <w:t xml:space="preserve">Huang YJ, Charlson ES, Collman RG, Colombini-Hatch S, Martinez FD, Senior RM. The role of the lung microbiome in health and disease. A National Heart, Lung, and Blood Institute workshop report. Am J Respir Crit Care Med 2013;187(12):1382–7. </w:t>
      </w:r>
    </w:p>
    <w:p w14:paraId="29153887"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174. </w:t>
      </w:r>
      <w:r>
        <w:rPr>
          <w:noProof/>
        </w:rPr>
        <w:tab/>
        <w:t xml:space="preserve">Nguyen LDN, Viscogliosi E, Delhaes L. The lung mycobiome: an emerging field of the human respiratory microbiome. Front Microbiol 2015;6:89. </w:t>
      </w:r>
    </w:p>
    <w:p w14:paraId="2E266817"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175. </w:t>
      </w:r>
      <w:r>
        <w:rPr>
          <w:noProof/>
        </w:rPr>
        <w:tab/>
        <w:t xml:space="preserve">Flanagan JL, Brodie EL, Weng L, et al. Loss of bacterial diversity during antibiotic treatment of intubated patients colonized with Pseudomonas aeruginosa. J Clin Microbiol 2007;45(6):1954–62. </w:t>
      </w:r>
    </w:p>
    <w:p w14:paraId="1273F40E"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176. </w:t>
      </w:r>
      <w:r>
        <w:rPr>
          <w:noProof/>
        </w:rPr>
        <w:tab/>
        <w:t xml:space="preserve">Bahrani-Mougeot FK, Paster BJ, Coleman S, et al. Molecular analysis of oral and respiratory bacterial species associated with ventilator-associated pneumonia. J Clin Microbiol 2007;45(5):1588–93. </w:t>
      </w:r>
    </w:p>
    <w:p w14:paraId="05666B52"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177. </w:t>
      </w:r>
      <w:r>
        <w:rPr>
          <w:noProof/>
        </w:rPr>
        <w:tab/>
        <w:t xml:space="preserve">Bittar F, Richet H, Dubus J-C, et al. Molecular detection of multiple emerging pathogens in sputa from cystic fibrosis patients. PLoS ONE 2008;3(8):e2908. </w:t>
      </w:r>
    </w:p>
    <w:p w14:paraId="452FDF0A"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178. </w:t>
      </w:r>
      <w:r>
        <w:rPr>
          <w:noProof/>
        </w:rPr>
        <w:tab/>
        <w:t xml:space="preserve">Kistler A, Avila PC, Rouskin S, et al. Pan-viral screening of respiratory tract infections in adults with and without asthma reveals unexpected human coronavirus and human rhinovirus diversity. J Infect Dis 2007;196(6):817–25. </w:t>
      </w:r>
    </w:p>
    <w:p w14:paraId="588C4997"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179. </w:t>
      </w:r>
      <w:r>
        <w:rPr>
          <w:noProof/>
        </w:rPr>
        <w:tab/>
        <w:t xml:space="preserve">Hilty M, Burke C, Pedro H, et al. Disordered microbial communities in asthmatic airways. PLoS ONE 2010;5(1):e8578. </w:t>
      </w:r>
    </w:p>
    <w:p w14:paraId="18F00039"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180. </w:t>
      </w:r>
      <w:r>
        <w:rPr>
          <w:noProof/>
        </w:rPr>
        <w:tab/>
        <w:t xml:space="preserve">Erb-Downward JR, Thompson DL, Han MK, et al. Analysis of the lung microbiome in the “healthy” smoker and in COPD. PLoS ONE 2011;6(2):e16384. </w:t>
      </w:r>
    </w:p>
    <w:p w14:paraId="4A45406E"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181. </w:t>
      </w:r>
      <w:r>
        <w:rPr>
          <w:noProof/>
        </w:rPr>
        <w:tab/>
        <w:t xml:space="preserve">Scher JU, Abramson SB. The microbiome and rheumatoid arthritis. Nat Rev Rheumatol 2011;7(10):569–78. </w:t>
      </w:r>
    </w:p>
    <w:p w14:paraId="5DC59EDD"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182. </w:t>
      </w:r>
      <w:r>
        <w:rPr>
          <w:noProof/>
        </w:rPr>
        <w:tab/>
        <w:t xml:space="preserve">Wang W-L, Xu S-Y, Ren Z-G, Tao L, Jiang J-W, Zheng S-S. Application of metagenomics in the human gut microbiome. World J Gastroenterol 2015;21(3):803–14. </w:t>
      </w:r>
    </w:p>
    <w:p w14:paraId="016C7B80"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lastRenderedPageBreak/>
        <w:t xml:space="preserve">183. </w:t>
      </w:r>
      <w:r>
        <w:rPr>
          <w:noProof/>
        </w:rPr>
        <w:tab/>
        <w:t xml:space="preserve">Yurkovetskiy L, Burrows M, Khan AA, et al. Gender bias in autoimmunity is influenced by microbiota. Immunity 2013;39(2):400–12. </w:t>
      </w:r>
    </w:p>
    <w:p w14:paraId="39CA909A"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184. </w:t>
      </w:r>
      <w:r>
        <w:rPr>
          <w:noProof/>
        </w:rPr>
        <w:tab/>
        <w:t xml:space="preserve">Martín R, Miquel S, Langella P, Bermúdez-Humarán LG. The role of metagenomics in understanding the human microbiome in health and disease. Virulence 2014;5(3):413–23. </w:t>
      </w:r>
    </w:p>
    <w:p w14:paraId="2B1A3924"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185. </w:t>
      </w:r>
      <w:r>
        <w:rPr>
          <w:noProof/>
        </w:rPr>
        <w:tab/>
        <w:t xml:space="preserve">Sam QH, Chang MW, Chai LYA. The Fungal Mycobiome and Its Interaction with Gut Bacteria in the Host. Int J Mol Sci 2017;18(2). </w:t>
      </w:r>
    </w:p>
    <w:p w14:paraId="280EED2D"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186. </w:t>
      </w:r>
      <w:r>
        <w:rPr>
          <w:noProof/>
        </w:rPr>
        <w:tab/>
        <w:t xml:space="preserve">Geamanu A, Gupta SV, Bauerfeld C, Samavati L. Metabolomics connects aberrant bioenergetic, transmethylation, and gut microbiota in sarcoidosis. Metabolomics 2016;12. </w:t>
      </w:r>
    </w:p>
    <w:p w14:paraId="5FAD9BAE"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187. </w:t>
      </w:r>
      <w:r>
        <w:rPr>
          <w:noProof/>
        </w:rPr>
        <w:tab/>
        <w:t xml:space="preserve">Sokol H, Leducq V, Aschard H, et al. Fungal microbiota dysbiosis in IBD. Gut 2017;66(6):1039–48. </w:t>
      </w:r>
    </w:p>
    <w:p w14:paraId="223A553A"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188. </w:t>
      </w:r>
      <w:r>
        <w:rPr>
          <w:noProof/>
        </w:rPr>
        <w:tab/>
        <w:t xml:space="preserve">McAleer JP, Nguyen NLH, Chen K, et al. Pulmonary th17 antifungal immunity is regulated by the gut microbiome. J Immunol 2016;197(1):97–107. </w:t>
      </w:r>
    </w:p>
    <w:p w14:paraId="32E464F1"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189. </w:t>
      </w:r>
      <w:r>
        <w:rPr>
          <w:noProof/>
        </w:rPr>
        <w:tab/>
        <w:t xml:space="preserve">Garzoni C, Brugger SD, Qi W, et al. Microbial communities in the respiratory tract of patients with interstitial lung disease. Thorax 2013;68(12):1150–6. </w:t>
      </w:r>
    </w:p>
    <w:p w14:paraId="7F014757"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190. </w:t>
      </w:r>
      <w:r>
        <w:rPr>
          <w:noProof/>
        </w:rPr>
        <w:tab/>
        <w:t>Genomic Research in Sarcoidosis - Full Text View - ClinicalTrials.gov [Internet]. [cited 2017 Nov 21];Available from: https://clinicaltrials.gov/ct2/show/NCT01831739?term=GRADS&amp;draw=1&amp;rank=1</w:t>
      </w:r>
    </w:p>
    <w:p w14:paraId="6F1AD3FB"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191. </w:t>
      </w:r>
      <w:r>
        <w:rPr>
          <w:noProof/>
        </w:rPr>
        <w:tab/>
        <w:t xml:space="preserve">Strange C, Senior RM, Sciurba F, et al. Rationale and Design of the Genomic Research in Alpha-1 Antitrypsin Deficiency and Sarcoidosis Study. Alpha-1 Protocol. Annals of the American Thoracic Society 2015;12(10):1551–60. </w:t>
      </w:r>
    </w:p>
    <w:p w14:paraId="73433C4A"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192. </w:t>
      </w:r>
      <w:r>
        <w:rPr>
          <w:noProof/>
        </w:rPr>
        <w:tab/>
        <w:t>Fisher’s exact test of independence - Handbook of Biological Statistics [Internet]. [cited 2017 Nov 27];Available from: http://www.biostathandbook.com/fishers.html</w:t>
      </w:r>
    </w:p>
    <w:p w14:paraId="756CE9AD"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193. </w:t>
      </w:r>
      <w:r>
        <w:rPr>
          <w:noProof/>
        </w:rPr>
        <w:tab/>
        <w:t xml:space="preserve">Lemeshow S, Hosmer DW. A review of goodness of fit statistics for use in the development of logistic regression models1. Am J Epidemiol 1982;115(1):92–106. </w:t>
      </w:r>
    </w:p>
    <w:p w14:paraId="6E4D895B"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194. </w:t>
      </w:r>
      <w:r>
        <w:rPr>
          <w:noProof/>
        </w:rPr>
        <w:tab/>
        <w:t>SAS Studio [Internet]. [cited 2017 Nov 27];Available from: https://odamid.oda.sas.com/SASStudio/main?locale=en_US&amp;zone=GMT-05%253A00&amp;https%3A%2F%2Fodamid.oda.sas.com%2FSASStudio%2Findex=</w:t>
      </w:r>
    </w:p>
    <w:p w14:paraId="2F9B5D79"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195. </w:t>
      </w:r>
      <w:r>
        <w:rPr>
          <w:noProof/>
        </w:rPr>
        <w:tab/>
        <w:t xml:space="preserve">Caporaso JG, Lauber CL, Walters WA, et al. Ultra-high-throughput microbial community analysis on the Illumina HiSeq and MiSeq platforms. ISME J 2012;6(8):1621–4. </w:t>
      </w:r>
    </w:p>
    <w:p w14:paraId="765DB6B5"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196. </w:t>
      </w:r>
      <w:r>
        <w:rPr>
          <w:noProof/>
        </w:rPr>
        <w:tab/>
        <w:t xml:space="preserve">Anderson MJ, Walsh DCI. PERMANOVA, ANOSIM, and the Mantel test in the face of heterogeneous dispersions: What null hypothesis are you testing? Ecological Monographs 2013;83(4):557–74. </w:t>
      </w:r>
    </w:p>
    <w:p w14:paraId="04373019"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lastRenderedPageBreak/>
        <w:t xml:space="preserve">197. </w:t>
      </w:r>
      <w:r>
        <w:rPr>
          <w:noProof/>
        </w:rPr>
        <w:tab/>
        <w:t>R: a language and environment for statistical computing [Internet]. [cited 2017 Nov 27];Available from: https://www.gbif.org/tool/81287/r-a-language-and-environment-for-statistical-computing</w:t>
      </w:r>
    </w:p>
    <w:p w14:paraId="543CE9C0"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198. </w:t>
      </w:r>
      <w:r>
        <w:rPr>
          <w:noProof/>
        </w:rPr>
        <w:tab/>
        <w:t xml:space="preserve">Caporaso JG, Kuczynski J, Stombaugh J, et al. QIIME allows analysis of high-throughput community sequencing data. Nat Methods 2010;7(5):335–6. </w:t>
      </w:r>
    </w:p>
    <w:p w14:paraId="3FE04D35"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199. </w:t>
      </w:r>
      <w:r>
        <w:rPr>
          <w:noProof/>
        </w:rPr>
        <w:tab/>
        <w:t>Magurran AE. Diversity indices and species abundance models. In: Ecological diversity and its measurement. Dordrecht: Springer Netherlands; 1988. p. 7–45.</w:t>
      </w:r>
    </w:p>
    <w:p w14:paraId="1AFEB7A8"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200. </w:t>
      </w:r>
      <w:r>
        <w:rPr>
          <w:noProof/>
        </w:rPr>
        <w:tab/>
        <w:t xml:space="preserve">Drent M, De Vries J, Lenters M, et al. Sarcoidosis: assessment of disease severity using HRCT. Eur Radiol 2003;13(11):2462–71. </w:t>
      </w:r>
    </w:p>
    <w:p w14:paraId="38D873DC"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201. </w:t>
      </w:r>
      <w:r>
        <w:rPr>
          <w:noProof/>
        </w:rPr>
        <w:tab/>
        <w:t xml:space="preserve">Leader JK, Zheng B, Rogers RM, et al. Automated lung segmentation in X-ray computed tomography: development and evaluation of a heuristic threshold-based scheme. Acad Radiol 2003;10(11):1224–36. </w:t>
      </w:r>
    </w:p>
    <w:p w14:paraId="62E191DE"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202. </w:t>
      </w:r>
      <w:r>
        <w:rPr>
          <w:noProof/>
        </w:rPr>
        <w:tab/>
        <w:t xml:space="preserve">Miller BH, Rosado-de-Christenson ML, McAdams HP, Fishback NF. Thoracic sarcoidosis: radiologic-pathologic correlation. Radiographics 1995;15(2):421–37. </w:t>
      </w:r>
    </w:p>
    <w:p w14:paraId="02A5CE6A"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203. </w:t>
      </w:r>
      <w:r>
        <w:rPr>
          <w:noProof/>
        </w:rPr>
        <w:tab/>
        <w:t xml:space="preserve">Judson MA, Costabel U, Drent M, et al. The WASOG Sarcoidosis Organ Assessment Instrument: An update of a previous clinical tool. Sarcoidosis Vasc Diffuse Lung Dis 2014;31(1):19–27. </w:t>
      </w:r>
    </w:p>
    <w:p w14:paraId="2DEC670A"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204. </w:t>
      </w:r>
      <w:r>
        <w:rPr>
          <w:noProof/>
        </w:rPr>
        <w:tab/>
        <w:t xml:space="preserve">Jones R, Junghard O, Dent J, et al. Development of the GerdQ, a tool for the diagnosis and management of gastro-oesophageal reflux disease in primary care. Aliment Pharmacol Ther 2009;30(10):1030–8. </w:t>
      </w:r>
    </w:p>
    <w:p w14:paraId="6139BCC1"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205. </w:t>
      </w:r>
      <w:r>
        <w:rPr>
          <w:noProof/>
        </w:rPr>
        <w:tab/>
        <w:t xml:space="preserve">Eakin EG, Resnikoff PM, Prewitt LM, Ries AL, Kaplan RM. Validation of a new dyspnea measure: the UCSD Shortness of Breath Questionnaire. University of California, San Diego. Chest 1998;113(3):619–24. </w:t>
      </w:r>
    </w:p>
    <w:p w14:paraId="7F0B2BF3"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206. </w:t>
      </w:r>
      <w:r>
        <w:rPr>
          <w:noProof/>
        </w:rPr>
        <w:tab/>
        <w:t xml:space="preserve">De Vries J, Michielsen H, Van Heck GL, Drent M. Measuring fatigue in sarcoidosis: the Fatigue Assessment Scale (FAS). Br J Health Psychol 2004;9(Pt 3):279–91. </w:t>
      </w:r>
    </w:p>
    <w:p w14:paraId="6AA2026F"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207. </w:t>
      </w:r>
      <w:r>
        <w:rPr>
          <w:noProof/>
        </w:rPr>
        <w:tab/>
        <w:t xml:space="preserve">Michielsen HJ, Drent M, Peros-Golubicic T, De Vries J. Fatigue is associated with quality of life in sarcoidosis patients. Chest 2006;130(4):989–94. </w:t>
      </w:r>
    </w:p>
    <w:p w14:paraId="64445196"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208. </w:t>
      </w:r>
      <w:r>
        <w:rPr>
          <w:noProof/>
        </w:rPr>
        <w:tab/>
        <w:t xml:space="preserve">Broderick JE, Schneider S, Junghaenel DU, Schwartz JE, Stone AA. Validity and reliability of patient-reported outcomes measurement information system instruments in osteoarthritis. Arthritis Care Res (Hoboken) 2013;65(10):1625–33. </w:t>
      </w:r>
    </w:p>
    <w:p w14:paraId="2BFACB99"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209. </w:t>
      </w:r>
      <w:r>
        <w:rPr>
          <w:noProof/>
        </w:rPr>
        <w:tab/>
        <w:t xml:space="preserve">Cella D, Riley W, Stone A, et al. The Patient-Reported Outcomes Measurement Information System (PROMIS) developed and tested its first wave of adult self-reported health outcome item banks: 2005-2008. J Clin Epidemiol 2010;63(11):1179–94. </w:t>
      </w:r>
    </w:p>
    <w:p w14:paraId="4F6179D5"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lastRenderedPageBreak/>
        <w:t xml:space="preserve">210. </w:t>
      </w:r>
      <w:r>
        <w:rPr>
          <w:noProof/>
        </w:rPr>
        <w:tab/>
        <w:t xml:space="preserve">Broadbent DE, Cooper PF, FitzGerald P, Parkes KR. The Cognitive Failures Questionnaire (CFQ) and its correlates. Br J Clin Psychol 1982;21 (Pt 1):1–16. </w:t>
      </w:r>
    </w:p>
    <w:p w14:paraId="698BC4A1"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211. </w:t>
      </w:r>
      <w:r>
        <w:rPr>
          <w:noProof/>
        </w:rPr>
        <w:tab/>
        <w:t xml:space="preserve">Elfferich MD, Nelemans PJ, Ponds RW, De Vries J, Wijnen PA, Drent M. Everyday cognitive failure in sarcoidosis: the prevalence and the effect of anti-TNF-alpha treatment. Respiration 2010;80(3):212–9. </w:t>
      </w:r>
    </w:p>
    <w:p w14:paraId="3203560A"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212. </w:t>
      </w:r>
      <w:r>
        <w:rPr>
          <w:noProof/>
        </w:rPr>
        <w:tab/>
        <w:t xml:space="preserve">Barker AF. Alpha 1-antitrypsin-deficiency-related emphysema. J Am Board Fam Pract 1992;5(5):489–93. </w:t>
      </w:r>
    </w:p>
    <w:p w14:paraId="450899A5"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213. </w:t>
      </w:r>
      <w:r>
        <w:rPr>
          <w:noProof/>
        </w:rPr>
        <w:tab/>
        <w:t xml:space="preserve">Lombard L, van der Merwe NA, Groenewald JZ, Crous PW. Generic concepts in Nectriaceae. Stud Mycol 2015;80:189–245. </w:t>
      </w:r>
    </w:p>
    <w:p w14:paraId="75FB2AE0" w14:textId="77777777" w:rsidR="00B775CB" w:rsidRDefault="00B775CB" w:rsidP="003D0B54">
      <w:pPr>
        <w:widowControl w:val="0"/>
        <w:autoSpaceDE w:val="0"/>
        <w:autoSpaceDN w:val="0"/>
        <w:adjustRightInd w:val="0"/>
        <w:spacing w:before="100" w:beforeAutospacing="1" w:after="100" w:afterAutospacing="1" w:line="240" w:lineRule="auto"/>
        <w:ind w:left="680" w:hanging="680"/>
        <w:rPr>
          <w:noProof/>
        </w:rPr>
      </w:pPr>
      <w:r>
        <w:rPr>
          <w:noProof/>
        </w:rPr>
        <w:t xml:space="preserve">214. </w:t>
      </w:r>
      <w:r>
        <w:rPr>
          <w:noProof/>
        </w:rPr>
        <w:tab/>
        <w:t xml:space="preserve">Valeyre D, Prasse A, Nunes H, Uzunhan Y, Brillet P-Y, Müller-Quernheim J. Sarcoidosis. The Lancet 2014;383(9923):1155–67. </w:t>
      </w:r>
    </w:p>
    <w:p w14:paraId="128ADD88" w14:textId="6F253746" w:rsidR="00CB62A8" w:rsidRPr="005A7F38" w:rsidRDefault="00CB62A8" w:rsidP="003D0B54">
      <w:pPr>
        <w:widowControl w:val="0"/>
        <w:autoSpaceDE w:val="0"/>
        <w:autoSpaceDN w:val="0"/>
        <w:adjustRightInd w:val="0"/>
        <w:spacing w:before="100" w:beforeAutospacing="1" w:after="100" w:afterAutospacing="1" w:line="240" w:lineRule="auto"/>
      </w:pPr>
      <w:r w:rsidRPr="005A7F38">
        <w:fldChar w:fldCharType="end"/>
      </w:r>
    </w:p>
    <w:sectPr w:rsidR="00CB62A8" w:rsidRPr="005A7F38" w:rsidSect="000114B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336B0C" w14:textId="77777777" w:rsidR="000B68D1" w:rsidRDefault="000B68D1" w:rsidP="002446BB">
      <w:r>
        <w:separator/>
      </w:r>
    </w:p>
  </w:endnote>
  <w:endnote w:type="continuationSeparator" w:id="0">
    <w:p w14:paraId="4E99FC05" w14:textId="77777777" w:rsidR="000B68D1" w:rsidRDefault="000B68D1" w:rsidP="002446BB">
      <w:r>
        <w:continuationSeparator/>
      </w:r>
    </w:p>
  </w:endnote>
  <w:endnote w:type="continuationNotice" w:id="1">
    <w:p w14:paraId="5F603CF3" w14:textId="77777777" w:rsidR="000B68D1" w:rsidRDefault="000B68D1" w:rsidP="002446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pple Color Emoji">
    <w:charset w:val="00"/>
    <w:family w:val="auto"/>
    <w:pitch w:val="variable"/>
    <w:sig w:usb0="00000003" w:usb1="18000000" w:usb2="14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A7E95" w14:textId="5FCAE485" w:rsidR="007325D3" w:rsidRDefault="007325D3" w:rsidP="003D419E">
    <w:pPr>
      <w:ind w:firstLine="0"/>
      <w:jc w:val="center"/>
    </w:pPr>
    <w:r>
      <w:fldChar w:fldCharType="begin"/>
    </w:r>
    <w:r>
      <w:instrText xml:space="preserve"> PAGE </w:instrText>
    </w:r>
    <w:r>
      <w:fldChar w:fldCharType="separate"/>
    </w:r>
    <w:r w:rsidR="00FB6275">
      <w:rPr>
        <w:noProof/>
      </w:rPr>
      <w:t>xiii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C5FCB" w14:textId="64B92635" w:rsidR="007325D3" w:rsidRDefault="007325D3" w:rsidP="003D419E">
    <w:pPr>
      <w:ind w:firstLine="0"/>
      <w:jc w:val="center"/>
    </w:pPr>
    <w:r>
      <w:fldChar w:fldCharType="begin"/>
    </w:r>
    <w:r>
      <w:instrText xml:space="preserve"> PAGE </w:instrText>
    </w:r>
    <w:r>
      <w:fldChar w:fldCharType="separate"/>
    </w:r>
    <w:r w:rsidR="00FB6275">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F36053" w14:textId="77777777" w:rsidR="000B68D1" w:rsidRDefault="000B68D1" w:rsidP="002446BB">
      <w:r>
        <w:separator/>
      </w:r>
    </w:p>
  </w:footnote>
  <w:footnote w:type="continuationSeparator" w:id="0">
    <w:p w14:paraId="34C3BDD7" w14:textId="77777777" w:rsidR="000B68D1" w:rsidRDefault="000B68D1" w:rsidP="002446BB">
      <w:r>
        <w:continuationSeparator/>
      </w:r>
    </w:p>
  </w:footnote>
  <w:footnote w:type="continuationNotice" w:id="1">
    <w:p w14:paraId="1ECA4207" w14:textId="77777777" w:rsidR="000B68D1" w:rsidRDefault="000B68D1" w:rsidP="002446BB"/>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8ECFC8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54C1D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C841AA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DEE72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84482F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C267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41077D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D0F70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B26F5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7649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315625"/>
    <w:multiLevelType w:val="multilevel"/>
    <w:tmpl w:val="3C72564E"/>
    <w:lvl w:ilvl="0">
      <w:start w:val="1"/>
      <w:numFmt w:val="decimal"/>
      <w:pStyle w:val="Heading1"/>
      <w:lvlText w:val="%1.0 "/>
      <w:lvlJc w:val="left"/>
      <w:pPr>
        <w:tabs>
          <w:tab w:val="num" w:pos="-720"/>
        </w:tabs>
        <w:ind w:left="-720" w:firstLine="0"/>
      </w:pPr>
      <w:rPr>
        <w:rFonts w:hint="default"/>
        <w:b/>
        <w:i w:val="0"/>
        <w:sz w:val="24"/>
        <w:szCs w:val="24"/>
      </w:rPr>
    </w:lvl>
    <w:lvl w:ilvl="1">
      <w:start w:val="1"/>
      <w:numFmt w:val="decimal"/>
      <w:pStyle w:val="Heading2"/>
      <w:lvlText w:val="%1.%2"/>
      <w:lvlJc w:val="left"/>
      <w:pPr>
        <w:tabs>
          <w:tab w:val="num" w:pos="0"/>
        </w:tabs>
        <w:ind w:left="0" w:firstLine="0"/>
      </w:pPr>
      <w:rPr>
        <w:rFonts w:hint="default"/>
      </w:rPr>
    </w:lvl>
    <w:lvl w:ilvl="2">
      <w:start w:val="1"/>
      <w:numFmt w:val="decimal"/>
      <w:pStyle w:val="Heading3"/>
      <w:lvlText w:val="%1.%2.%3"/>
      <w:lvlJc w:val="left"/>
      <w:pPr>
        <w:tabs>
          <w:tab w:val="num" w:pos="0"/>
        </w:tabs>
        <w:ind w:left="0" w:firstLine="0"/>
      </w:pPr>
      <w:rPr>
        <w:rFonts w:hint="default"/>
        <w:b/>
        <w:i w:val="0"/>
        <w:sz w:val="24"/>
        <w:szCs w:val="24"/>
      </w:rPr>
    </w:lvl>
    <w:lvl w:ilvl="3">
      <w:start w:val="1"/>
      <w:numFmt w:val="decimal"/>
      <w:pStyle w:val="Heading4"/>
      <w:lvlText w:val="%1.%2.%3.%4"/>
      <w:lvlJc w:val="left"/>
      <w:pPr>
        <w:tabs>
          <w:tab w:val="num" w:pos="0"/>
        </w:tabs>
        <w:ind w:left="0" w:firstLine="0"/>
      </w:pPr>
      <w:rPr>
        <w:rFonts w:hint="default"/>
        <w:b/>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0D60517A"/>
    <w:multiLevelType w:val="multilevel"/>
    <w:tmpl w:val="B00EB1C8"/>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suff w:val="nothing"/>
      <w:lvlText w:val="Appendix %5"/>
      <w:lvlJc w:val="left"/>
      <w:pPr>
        <w:ind w:left="0" w:firstLine="0"/>
      </w:pPr>
      <w:rPr>
        <w:rFonts w:hint="default"/>
        <w:b/>
        <w:i w:val="0"/>
        <w:caps/>
        <w:sz w:val="24"/>
        <w:szCs w:val="24"/>
      </w:rPr>
    </w:lvl>
    <w:lvl w:ilvl="5">
      <w:start w:val="1"/>
      <w:numFmt w:val="decimal"/>
      <w:lvlText w:val="%5.%6"/>
      <w:lvlJc w:val="left"/>
      <w:pPr>
        <w:tabs>
          <w:tab w:val="num" w:pos="0"/>
        </w:tabs>
        <w:ind w:left="0" w:firstLine="0"/>
      </w:pPr>
      <w:rPr>
        <w:rFonts w:hint="default"/>
        <w:b/>
        <w:i w:val="0"/>
        <w:sz w:val="24"/>
        <w:szCs w:val="24"/>
      </w:rPr>
    </w:lvl>
    <w:lvl w:ilvl="6">
      <w:start w:val="1"/>
      <w:numFmt w:val="decimal"/>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12" w15:restartNumberingAfterBreak="0">
    <w:nsid w:val="151907C4"/>
    <w:multiLevelType w:val="multilevel"/>
    <w:tmpl w:val="F43C4336"/>
    <w:lvl w:ilvl="0">
      <w:start w:val="1"/>
      <w:numFmt w:val="decimal"/>
      <w:lvlText w:val="%1.0 "/>
      <w:lvlJc w:val="left"/>
      <w:pPr>
        <w:tabs>
          <w:tab w:val="num" w:pos="0"/>
        </w:tabs>
        <w:ind w:left="0" w:firstLine="0"/>
      </w:pPr>
      <w:rPr>
        <w:rFonts w:hint="default"/>
        <w:b/>
        <w:i w:val="0"/>
        <w:sz w:val="24"/>
        <w:szCs w:val="24"/>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1440"/>
        </w:tabs>
        <w:ind w:left="-1440" w:firstLine="0"/>
      </w:pPr>
      <w:rPr>
        <w:rFonts w:hint="default"/>
        <w:b/>
        <w:i w:val="0"/>
        <w:sz w:val="24"/>
        <w:szCs w:val="24"/>
      </w:rPr>
    </w:lvl>
    <w:lvl w:ilvl="3">
      <w:start w:val="1"/>
      <w:numFmt w:val="decimal"/>
      <w:lvlText w:val="%1.%2.%3.%4"/>
      <w:lvlJc w:val="left"/>
      <w:pPr>
        <w:tabs>
          <w:tab w:val="num" w:pos="-1440"/>
        </w:tabs>
        <w:ind w:left="-1440" w:firstLine="0"/>
      </w:pPr>
      <w:rPr>
        <w:rFonts w:hint="default"/>
        <w:b/>
        <w:i w:val="0"/>
        <w:sz w:val="24"/>
        <w:szCs w:val="24"/>
      </w:rPr>
    </w:lvl>
    <w:lvl w:ilvl="4">
      <w:start w:val="1"/>
      <w:numFmt w:val="lowerLetter"/>
      <w:lvlText w:val="(%5)"/>
      <w:lvlJc w:val="left"/>
      <w:pPr>
        <w:tabs>
          <w:tab w:val="num" w:pos="360"/>
        </w:tabs>
        <w:ind w:left="360" w:hanging="360"/>
      </w:pPr>
      <w:rPr>
        <w:rFonts w:hint="default"/>
      </w:rPr>
    </w:lvl>
    <w:lvl w:ilvl="5">
      <w:start w:val="1"/>
      <w:numFmt w:val="lowerRoman"/>
      <w:lvlText w:val="(%6)"/>
      <w:lvlJc w:val="left"/>
      <w:pPr>
        <w:tabs>
          <w:tab w:val="num" w:pos="720"/>
        </w:tabs>
        <w:ind w:left="720" w:hanging="360"/>
      </w:pPr>
      <w:rPr>
        <w:rFonts w:hint="default"/>
      </w:rPr>
    </w:lvl>
    <w:lvl w:ilvl="6">
      <w:start w:val="1"/>
      <w:numFmt w:val="decimal"/>
      <w:lvlText w:val="%7."/>
      <w:lvlJc w:val="left"/>
      <w:pPr>
        <w:tabs>
          <w:tab w:val="num" w:pos="1080"/>
        </w:tabs>
        <w:ind w:left="1080" w:hanging="360"/>
      </w:pPr>
      <w:rPr>
        <w:rFonts w:hint="default"/>
      </w:rPr>
    </w:lvl>
    <w:lvl w:ilvl="7">
      <w:start w:val="1"/>
      <w:numFmt w:val="lowerLetter"/>
      <w:lvlText w:val="%8."/>
      <w:lvlJc w:val="left"/>
      <w:pPr>
        <w:tabs>
          <w:tab w:val="num" w:pos="1440"/>
        </w:tabs>
        <w:ind w:left="1440" w:hanging="360"/>
      </w:pPr>
      <w:rPr>
        <w:rFonts w:hint="default"/>
      </w:rPr>
    </w:lvl>
    <w:lvl w:ilvl="8">
      <w:start w:val="1"/>
      <w:numFmt w:val="lowerRoman"/>
      <w:lvlText w:val="%9."/>
      <w:lvlJc w:val="left"/>
      <w:pPr>
        <w:tabs>
          <w:tab w:val="num" w:pos="1800"/>
        </w:tabs>
        <w:ind w:left="1800" w:hanging="360"/>
      </w:pPr>
      <w:rPr>
        <w:rFonts w:hint="default"/>
      </w:rPr>
    </w:lvl>
  </w:abstractNum>
  <w:abstractNum w:abstractNumId="13" w15:restartNumberingAfterBreak="0">
    <w:nsid w:val="26E736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8756846"/>
    <w:multiLevelType w:val="multilevel"/>
    <w:tmpl w:val="67242D18"/>
    <w:lvl w:ilvl="0">
      <w:start w:val="1"/>
      <w:numFmt w:val="upperLetter"/>
      <w:pStyle w:val="AppSection"/>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pStyle w:val="Appendix"/>
      <w:suff w:val="nothing"/>
      <w:lvlText w:val="Appendix %5"/>
      <w:lvlJc w:val="left"/>
      <w:pPr>
        <w:ind w:left="0" w:firstLine="0"/>
      </w:pPr>
      <w:rPr>
        <w:rFonts w:hint="default"/>
        <w:b/>
        <w:i w:val="0"/>
        <w:caps/>
        <w:sz w:val="24"/>
        <w:szCs w:val="24"/>
      </w:rPr>
    </w:lvl>
    <w:lvl w:ilvl="5">
      <w:start w:val="1"/>
      <w:numFmt w:val="decimal"/>
      <w:pStyle w:val="AppSection"/>
      <w:lvlText w:val="%5.%6"/>
      <w:lvlJc w:val="left"/>
      <w:pPr>
        <w:tabs>
          <w:tab w:val="num" w:pos="720"/>
        </w:tabs>
        <w:ind w:left="0" w:firstLine="0"/>
      </w:pPr>
      <w:rPr>
        <w:rFonts w:hint="default"/>
        <w:b/>
        <w:i w:val="0"/>
        <w:sz w:val="24"/>
        <w:szCs w:val="24"/>
      </w:rPr>
    </w:lvl>
    <w:lvl w:ilvl="6">
      <w:start w:val="1"/>
      <w:numFmt w:val="decimal"/>
      <w:pStyle w:val="Appsubsection"/>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15" w15:restartNumberingAfterBreak="0">
    <w:nsid w:val="4F50683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51851D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5356546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57E64804"/>
    <w:multiLevelType w:val="multilevel"/>
    <w:tmpl w:val="35D46E44"/>
    <w:lvl w:ilvl="0">
      <w:start w:val="1"/>
      <w:numFmt w:val="upperLetter"/>
      <w:suff w:val="nothing"/>
      <w:lvlText w:val="APPENDIX %1"/>
      <w:lvlJc w:val="left"/>
      <w:pPr>
        <w:ind w:left="0" w:firstLine="0"/>
      </w:pPr>
      <w:rPr>
        <w:rFonts w:hint="default"/>
        <w:b/>
        <w:i w:val="0"/>
        <w:caps/>
        <w:sz w:val="24"/>
        <w:szCs w:val="24"/>
      </w:rPr>
    </w:lvl>
    <w:lvl w:ilvl="1">
      <w:start w:val="1"/>
      <w:numFmt w:val="decimalZero"/>
      <w:isLgl/>
      <w:lvlText w:val="Section %1.%2"/>
      <w:lvlJc w:val="left"/>
      <w:pPr>
        <w:tabs>
          <w:tab w:val="num" w:pos="1800"/>
        </w:tabs>
        <w:ind w:left="-720" w:firstLine="0"/>
      </w:pPr>
      <w:rPr>
        <w:rFonts w:hint="default"/>
      </w:rPr>
    </w:lvl>
    <w:lvl w:ilvl="2">
      <w:start w:val="1"/>
      <w:numFmt w:val="lowerLetter"/>
      <w:lvlText w:val="(%3)"/>
      <w:lvlJc w:val="left"/>
      <w:pPr>
        <w:tabs>
          <w:tab w:val="num" w:pos="288"/>
        </w:tabs>
        <w:ind w:left="0" w:hanging="432"/>
      </w:pPr>
      <w:rPr>
        <w:rFonts w:hint="default"/>
      </w:rPr>
    </w:lvl>
    <w:lvl w:ilvl="3">
      <w:start w:val="1"/>
      <w:numFmt w:val="lowerRoman"/>
      <w:lvlText w:val="(%4)"/>
      <w:lvlJc w:val="right"/>
      <w:pPr>
        <w:tabs>
          <w:tab w:val="num" w:pos="144"/>
        </w:tabs>
        <w:ind w:left="144" w:hanging="144"/>
      </w:pPr>
      <w:rPr>
        <w:rFonts w:hint="default"/>
      </w:rPr>
    </w:lvl>
    <w:lvl w:ilvl="4">
      <w:start w:val="1"/>
      <w:numFmt w:val="upperLetter"/>
      <w:lvlRestart w:val="0"/>
      <w:suff w:val="nothing"/>
      <w:lvlText w:val="Appendix %5"/>
      <w:lvlJc w:val="left"/>
      <w:pPr>
        <w:ind w:left="720" w:firstLine="0"/>
      </w:pPr>
      <w:rPr>
        <w:rFonts w:hint="default"/>
        <w:b/>
        <w:i w:val="0"/>
        <w:caps/>
        <w:sz w:val="20"/>
        <w:szCs w:val="20"/>
      </w:rPr>
    </w:lvl>
    <w:lvl w:ilvl="5">
      <w:start w:val="1"/>
      <w:numFmt w:val="lowerLetter"/>
      <w:lvlText w:val="%6)"/>
      <w:lvlJc w:val="left"/>
      <w:pPr>
        <w:tabs>
          <w:tab w:val="num" w:pos="432"/>
        </w:tabs>
        <w:ind w:left="432" w:hanging="432"/>
      </w:pPr>
      <w:rPr>
        <w:rFonts w:hint="default"/>
      </w:rPr>
    </w:lvl>
    <w:lvl w:ilvl="6">
      <w:start w:val="1"/>
      <w:numFmt w:val="lowerRoman"/>
      <w:lvlText w:val="%7)"/>
      <w:lvlJc w:val="right"/>
      <w:pPr>
        <w:tabs>
          <w:tab w:val="num" w:pos="576"/>
        </w:tabs>
        <w:ind w:left="576" w:hanging="288"/>
      </w:pPr>
      <w:rPr>
        <w:rFonts w:hint="default"/>
      </w:rPr>
    </w:lvl>
    <w:lvl w:ilvl="7">
      <w:start w:val="1"/>
      <w:numFmt w:val="lowerLetter"/>
      <w:lvlText w:val="%8."/>
      <w:lvlJc w:val="left"/>
      <w:pPr>
        <w:tabs>
          <w:tab w:val="num" w:pos="720"/>
        </w:tabs>
        <w:ind w:left="720" w:hanging="432"/>
      </w:pPr>
      <w:rPr>
        <w:rFonts w:hint="default"/>
      </w:rPr>
    </w:lvl>
    <w:lvl w:ilvl="8">
      <w:start w:val="1"/>
      <w:numFmt w:val="lowerRoman"/>
      <w:lvlText w:val="%9."/>
      <w:lvlJc w:val="right"/>
      <w:pPr>
        <w:tabs>
          <w:tab w:val="num" w:pos="864"/>
        </w:tabs>
        <w:ind w:left="864" w:hanging="144"/>
      </w:pPr>
      <w:rPr>
        <w:rFonts w:hint="default"/>
      </w:rPr>
    </w:lvl>
  </w:abstractNum>
  <w:abstractNum w:abstractNumId="19" w15:restartNumberingAfterBreak="0">
    <w:nsid w:val="580F7AF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2"/>
  </w:num>
  <w:num w:numId="2">
    <w:abstractNumId w:val="14"/>
  </w:num>
  <w:num w:numId="3">
    <w:abstractNumId w:val="14"/>
  </w:num>
  <w:num w:numId="4">
    <w:abstractNumId w:val="10"/>
  </w:num>
  <w:num w:numId="5">
    <w:abstractNumId w:val="10"/>
  </w:num>
  <w:num w:numId="6">
    <w:abstractNumId w:val="10"/>
  </w:num>
  <w:num w:numId="7">
    <w:abstractNumId w:val="10"/>
  </w:num>
  <w:num w:numId="8">
    <w:abstractNumId w:val="14"/>
  </w:num>
  <w:num w:numId="9">
    <w:abstractNumId w:val="14"/>
  </w:num>
  <w:num w:numId="10">
    <w:abstractNumId w:val="14"/>
  </w:num>
  <w:num w:numId="11">
    <w:abstractNumId w:val="10"/>
  </w:num>
  <w:num w:numId="12">
    <w:abstractNumId w:val="10"/>
  </w:num>
  <w:num w:numId="13">
    <w:abstractNumId w:val="10"/>
  </w:num>
  <w:num w:numId="14">
    <w:abstractNumId w:val="10"/>
  </w:num>
  <w:num w:numId="15">
    <w:abstractNumId w:val="18"/>
  </w:num>
  <w:num w:numId="16">
    <w:abstractNumId w:val="14"/>
  </w:num>
  <w:num w:numId="17">
    <w:abstractNumId w:val="14"/>
  </w:num>
  <w:num w:numId="18">
    <w:abstractNumId w:val="14"/>
  </w:num>
  <w:num w:numId="19">
    <w:abstractNumId w:val="10"/>
  </w:num>
  <w:num w:numId="20">
    <w:abstractNumId w:val="10"/>
  </w:num>
  <w:num w:numId="21">
    <w:abstractNumId w:val="10"/>
  </w:num>
  <w:num w:numId="22">
    <w:abstractNumId w:val="10"/>
  </w:num>
  <w:num w:numId="23">
    <w:abstractNumId w:val="14"/>
  </w:num>
  <w:num w:numId="24">
    <w:abstractNumId w:val="14"/>
  </w:num>
  <w:num w:numId="25">
    <w:abstractNumId w:val="14"/>
  </w:num>
  <w:num w:numId="26">
    <w:abstractNumId w:val="10"/>
  </w:num>
  <w:num w:numId="27">
    <w:abstractNumId w:val="10"/>
  </w:num>
  <w:num w:numId="28">
    <w:abstractNumId w:val="10"/>
  </w:num>
  <w:num w:numId="29">
    <w:abstractNumId w:val="10"/>
  </w:num>
  <w:num w:numId="30">
    <w:abstractNumId w:val="19"/>
  </w:num>
  <w:num w:numId="31">
    <w:abstractNumId w:val="17"/>
  </w:num>
  <w:num w:numId="32">
    <w:abstractNumId w:val="16"/>
  </w:num>
  <w:num w:numId="33">
    <w:abstractNumId w:val="15"/>
  </w:num>
  <w:num w:numId="34">
    <w:abstractNumId w:val="11"/>
  </w:num>
  <w:num w:numId="35">
    <w:abstractNumId w:val="9"/>
  </w:num>
  <w:num w:numId="36">
    <w:abstractNumId w:val="7"/>
  </w:num>
  <w:num w:numId="37">
    <w:abstractNumId w:val="6"/>
  </w:num>
  <w:num w:numId="38">
    <w:abstractNumId w:val="5"/>
  </w:num>
  <w:num w:numId="39">
    <w:abstractNumId w:val="4"/>
  </w:num>
  <w:num w:numId="40">
    <w:abstractNumId w:val="0"/>
  </w:num>
  <w:num w:numId="41">
    <w:abstractNumId w:val="1"/>
  </w:num>
  <w:num w:numId="42">
    <w:abstractNumId w:val="3"/>
  </w:num>
  <w:num w:numId="43">
    <w:abstractNumId w:val="2"/>
  </w:num>
  <w:num w:numId="44">
    <w:abstractNumId w:val="8"/>
  </w:num>
  <w:num w:numId="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541"/>
    <w:rsid w:val="00001D40"/>
    <w:rsid w:val="00004231"/>
    <w:rsid w:val="00004E1A"/>
    <w:rsid w:val="00005DD5"/>
    <w:rsid w:val="000064CE"/>
    <w:rsid w:val="000114BE"/>
    <w:rsid w:val="00013777"/>
    <w:rsid w:val="0001563C"/>
    <w:rsid w:val="00016770"/>
    <w:rsid w:val="00016AE4"/>
    <w:rsid w:val="000176B4"/>
    <w:rsid w:val="00017800"/>
    <w:rsid w:val="00017D0C"/>
    <w:rsid w:val="00020791"/>
    <w:rsid w:val="00021695"/>
    <w:rsid w:val="000228A3"/>
    <w:rsid w:val="00026153"/>
    <w:rsid w:val="000279AD"/>
    <w:rsid w:val="00032A52"/>
    <w:rsid w:val="000356C6"/>
    <w:rsid w:val="00035D1E"/>
    <w:rsid w:val="000360BE"/>
    <w:rsid w:val="00036B5B"/>
    <w:rsid w:val="000371F0"/>
    <w:rsid w:val="00037CEE"/>
    <w:rsid w:val="000418EC"/>
    <w:rsid w:val="00044DF6"/>
    <w:rsid w:val="000476D9"/>
    <w:rsid w:val="000503F7"/>
    <w:rsid w:val="00050EE7"/>
    <w:rsid w:val="00051970"/>
    <w:rsid w:val="000530C5"/>
    <w:rsid w:val="00053767"/>
    <w:rsid w:val="00053C03"/>
    <w:rsid w:val="00062C7B"/>
    <w:rsid w:val="00063775"/>
    <w:rsid w:val="00064B08"/>
    <w:rsid w:val="00065BCC"/>
    <w:rsid w:val="00065C59"/>
    <w:rsid w:val="0006616D"/>
    <w:rsid w:val="00067AB9"/>
    <w:rsid w:val="00067BCE"/>
    <w:rsid w:val="00067DDB"/>
    <w:rsid w:val="00070D83"/>
    <w:rsid w:val="000716A4"/>
    <w:rsid w:val="00074E9A"/>
    <w:rsid w:val="00076698"/>
    <w:rsid w:val="00076B5C"/>
    <w:rsid w:val="00084370"/>
    <w:rsid w:val="00084A3B"/>
    <w:rsid w:val="00086321"/>
    <w:rsid w:val="00086C5E"/>
    <w:rsid w:val="0009045C"/>
    <w:rsid w:val="00092C13"/>
    <w:rsid w:val="00092C6D"/>
    <w:rsid w:val="00096B80"/>
    <w:rsid w:val="000A2DB6"/>
    <w:rsid w:val="000A4E07"/>
    <w:rsid w:val="000A658B"/>
    <w:rsid w:val="000B357D"/>
    <w:rsid w:val="000B380D"/>
    <w:rsid w:val="000B3B5E"/>
    <w:rsid w:val="000B41C6"/>
    <w:rsid w:val="000B4B2E"/>
    <w:rsid w:val="000B675A"/>
    <w:rsid w:val="000B68D1"/>
    <w:rsid w:val="000B6C85"/>
    <w:rsid w:val="000C1A5D"/>
    <w:rsid w:val="000C2639"/>
    <w:rsid w:val="000C5D0C"/>
    <w:rsid w:val="000C682E"/>
    <w:rsid w:val="000C747A"/>
    <w:rsid w:val="000C77E5"/>
    <w:rsid w:val="000D1307"/>
    <w:rsid w:val="000D5877"/>
    <w:rsid w:val="000D61A4"/>
    <w:rsid w:val="000D707C"/>
    <w:rsid w:val="000E0A5C"/>
    <w:rsid w:val="000E1982"/>
    <w:rsid w:val="000E2B53"/>
    <w:rsid w:val="000E376C"/>
    <w:rsid w:val="000E43F4"/>
    <w:rsid w:val="000E4A3E"/>
    <w:rsid w:val="000E512E"/>
    <w:rsid w:val="000E758B"/>
    <w:rsid w:val="000F1543"/>
    <w:rsid w:val="000F16FC"/>
    <w:rsid w:val="000F1B4F"/>
    <w:rsid w:val="000F3358"/>
    <w:rsid w:val="000F59AC"/>
    <w:rsid w:val="00105D51"/>
    <w:rsid w:val="0011161C"/>
    <w:rsid w:val="0011435E"/>
    <w:rsid w:val="00114D84"/>
    <w:rsid w:val="00121494"/>
    <w:rsid w:val="00122A51"/>
    <w:rsid w:val="00124408"/>
    <w:rsid w:val="00130E5A"/>
    <w:rsid w:val="001319A0"/>
    <w:rsid w:val="00133599"/>
    <w:rsid w:val="00134054"/>
    <w:rsid w:val="00134597"/>
    <w:rsid w:val="00135A91"/>
    <w:rsid w:val="00136E3D"/>
    <w:rsid w:val="001415ED"/>
    <w:rsid w:val="001431A7"/>
    <w:rsid w:val="00143FF2"/>
    <w:rsid w:val="0014469E"/>
    <w:rsid w:val="0014714A"/>
    <w:rsid w:val="00150EF7"/>
    <w:rsid w:val="0015313D"/>
    <w:rsid w:val="00154846"/>
    <w:rsid w:val="00154EBA"/>
    <w:rsid w:val="00161ABE"/>
    <w:rsid w:val="0016589F"/>
    <w:rsid w:val="0016647A"/>
    <w:rsid w:val="001702A5"/>
    <w:rsid w:val="00170873"/>
    <w:rsid w:val="00171C01"/>
    <w:rsid w:val="00177193"/>
    <w:rsid w:val="00177F0B"/>
    <w:rsid w:val="001803C0"/>
    <w:rsid w:val="00181440"/>
    <w:rsid w:val="00181B04"/>
    <w:rsid w:val="0018362B"/>
    <w:rsid w:val="00184C2B"/>
    <w:rsid w:val="00186A33"/>
    <w:rsid w:val="00192CE0"/>
    <w:rsid w:val="00193477"/>
    <w:rsid w:val="00197FC7"/>
    <w:rsid w:val="001A0D36"/>
    <w:rsid w:val="001A10FA"/>
    <w:rsid w:val="001A1849"/>
    <w:rsid w:val="001A502A"/>
    <w:rsid w:val="001A55BB"/>
    <w:rsid w:val="001A7B01"/>
    <w:rsid w:val="001B14F4"/>
    <w:rsid w:val="001B1AAF"/>
    <w:rsid w:val="001B2EA1"/>
    <w:rsid w:val="001B313C"/>
    <w:rsid w:val="001B57B4"/>
    <w:rsid w:val="001B584B"/>
    <w:rsid w:val="001C01D5"/>
    <w:rsid w:val="001C0221"/>
    <w:rsid w:val="001C4743"/>
    <w:rsid w:val="001C5002"/>
    <w:rsid w:val="001C5B84"/>
    <w:rsid w:val="001C7CDC"/>
    <w:rsid w:val="001D0520"/>
    <w:rsid w:val="001D30DD"/>
    <w:rsid w:val="001D5FD2"/>
    <w:rsid w:val="001D6118"/>
    <w:rsid w:val="001D62FD"/>
    <w:rsid w:val="001E2EEF"/>
    <w:rsid w:val="001E37AC"/>
    <w:rsid w:val="001E37CC"/>
    <w:rsid w:val="001E46F5"/>
    <w:rsid w:val="001F185A"/>
    <w:rsid w:val="001F3BE2"/>
    <w:rsid w:val="001F4A94"/>
    <w:rsid w:val="001F6E4C"/>
    <w:rsid w:val="001F73C6"/>
    <w:rsid w:val="001F77CD"/>
    <w:rsid w:val="001F797C"/>
    <w:rsid w:val="00200A37"/>
    <w:rsid w:val="00200B2E"/>
    <w:rsid w:val="0020230A"/>
    <w:rsid w:val="002037D2"/>
    <w:rsid w:val="002054BB"/>
    <w:rsid w:val="00206B38"/>
    <w:rsid w:val="0020711E"/>
    <w:rsid w:val="00210291"/>
    <w:rsid w:val="00211309"/>
    <w:rsid w:val="00217F2B"/>
    <w:rsid w:val="00221CB4"/>
    <w:rsid w:val="00223CA0"/>
    <w:rsid w:val="0022778E"/>
    <w:rsid w:val="00230D33"/>
    <w:rsid w:val="00231EC1"/>
    <w:rsid w:val="00233501"/>
    <w:rsid w:val="00233B8F"/>
    <w:rsid w:val="002341BD"/>
    <w:rsid w:val="00234A4F"/>
    <w:rsid w:val="00237675"/>
    <w:rsid w:val="002405C9"/>
    <w:rsid w:val="00240D2A"/>
    <w:rsid w:val="002445F7"/>
    <w:rsid w:val="002446BB"/>
    <w:rsid w:val="002453E3"/>
    <w:rsid w:val="00246F2F"/>
    <w:rsid w:val="0025046C"/>
    <w:rsid w:val="002518F5"/>
    <w:rsid w:val="00254646"/>
    <w:rsid w:val="00256F21"/>
    <w:rsid w:val="00257F72"/>
    <w:rsid w:val="00260AC8"/>
    <w:rsid w:val="00261081"/>
    <w:rsid w:val="0026126A"/>
    <w:rsid w:val="00262E54"/>
    <w:rsid w:val="00266382"/>
    <w:rsid w:val="00266F88"/>
    <w:rsid w:val="002706BA"/>
    <w:rsid w:val="00276696"/>
    <w:rsid w:val="00276E7E"/>
    <w:rsid w:val="002770AD"/>
    <w:rsid w:val="00277F20"/>
    <w:rsid w:val="00281326"/>
    <w:rsid w:val="00282634"/>
    <w:rsid w:val="00282D3D"/>
    <w:rsid w:val="00285489"/>
    <w:rsid w:val="002866DE"/>
    <w:rsid w:val="0028782F"/>
    <w:rsid w:val="00287C45"/>
    <w:rsid w:val="00290611"/>
    <w:rsid w:val="00290D92"/>
    <w:rsid w:val="0029179B"/>
    <w:rsid w:val="002922C1"/>
    <w:rsid w:val="002954D3"/>
    <w:rsid w:val="002963EA"/>
    <w:rsid w:val="0029658C"/>
    <w:rsid w:val="00296E7A"/>
    <w:rsid w:val="002978D6"/>
    <w:rsid w:val="002A2E1F"/>
    <w:rsid w:val="002A3BE7"/>
    <w:rsid w:val="002B105B"/>
    <w:rsid w:val="002B3DC6"/>
    <w:rsid w:val="002B5528"/>
    <w:rsid w:val="002B7E09"/>
    <w:rsid w:val="002B7E57"/>
    <w:rsid w:val="002C004A"/>
    <w:rsid w:val="002C0E50"/>
    <w:rsid w:val="002C1362"/>
    <w:rsid w:val="002C75E1"/>
    <w:rsid w:val="002D01B1"/>
    <w:rsid w:val="002D11E0"/>
    <w:rsid w:val="002D138F"/>
    <w:rsid w:val="002D2E1F"/>
    <w:rsid w:val="002D5D4A"/>
    <w:rsid w:val="002D624E"/>
    <w:rsid w:val="002E01A6"/>
    <w:rsid w:val="002E17E3"/>
    <w:rsid w:val="002E3962"/>
    <w:rsid w:val="002E466C"/>
    <w:rsid w:val="002E4B1D"/>
    <w:rsid w:val="002E4B84"/>
    <w:rsid w:val="002E57BB"/>
    <w:rsid w:val="002E69F8"/>
    <w:rsid w:val="002F03D4"/>
    <w:rsid w:val="002F0B0C"/>
    <w:rsid w:val="002F3970"/>
    <w:rsid w:val="002F48DD"/>
    <w:rsid w:val="002F73FD"/>
    <w:rsid w:val="002F7B14"/>
    <w:rsid w:val="003024A4"/>
    <w:rsid w:val="00303E9F"/>
    <w:rsid w:val="003076C4"/>
    <w:rsid w:val="00310818"/>
    <w:rsid w:val="0031110F"/>
    <w:rsid w:val="0031140E"/>
    <w:rsid w:val="0031150D"/>
    <w:rsid w:val="00314645"/>
    <w:rsid w:val="0031566B"/>
    <w:rsid w:val="00321D9D"/>
    <w:rsid w:val="003258AA"/>
    <w:rsid w:val="0032633A"/>
    <w:rsid w:val="00330AC7"/>
    <w:rsid w:val="00331587"/>
    <w:rsid w:val="003337BE"/>
    <w:rsid w:val="0033460F"/>
    <w:rsid w:val="00335110"/>
    <w:rsid w:val="00337CC7"/>
    <w:rsid w:val="003431B8"/>
    <w:rsid w:val="00343304"/>
    <w:rsid w:val="003437B0"/>
    <w:rsid w:val="00345361"/>
    <w:rsid w:val="00350B56"/>
    <w:rsid w:val="00351640"/>
    <w:rsid w:val="00357AE6"/>
    <w:rsid w:val="00357EC7"/>
    <w:rsid w:val="003602CC"/>
    <w:rsid w:val="00362897"/>
    <w:rsid w:val="003647E7"/>
    <w:rsid w:val="00364B3B"/>
    <w:rsid w:val="00364C2E"/>
    <w:rsid w:val="00367476"/>
    <w:rsid w:val="003717E5"/>
    <w:rsid w:val="003721DC"/>
    <w:rsid w:val="00375111"/>
    <w:rsid w:val="00377C1B"/>
    <w:rsid w:val="00380A21"/>
    <w:rsid w:val="0038430A"/>
    <w:rsid w:val="0038450F"/>
    <w:rsid w:val="00391CF3"/>
    <w:rsid w:val="0039399E"/>
    <w:rsid w:val="00393FDB"/>
    <w:rsid w:val="00394B3C"/>
    <w:rsid w:val="0039666F"/>
    <w:rsid w:val="00396BBD"/>
    <w:rsid w:val="00396DFA"/>
    <w:rsid w:val="00397EAB"/>
    <w:rsid w:val="003A2A15"/>
    <w:rsid w:val="003A69AE"/>
    <w:rsid w:val="003B0AE6"/>
    <w:rsid w:val="003B0FD8"/>
    <w:rsid w:val="003B2E2A"/>
    <w:rsid w:val="003B33C2"/>
    <w:rsid w:val="003B51A3"/>
    <w:rsid w:val="003B79D4"/>
    <w:rsid w:val="003C076C"/>
    <w:rsid w:val="003C0A34"/>
    <w:rsid w:val="003C109F"/>
    <w:rsid w:val="003C1C39"/>
    <w:rsid w:val="003C2308"/>
    <w:rsid w:val="003C25D2"/>
    <w:rsid w:val="003C3434"/>
    <w:rsid w:val="003C6AF6"/>
    <w:rsid w:val="003C70E9"/>
    <w:rsid w:val="003C7849"/>
    <w:rsid w:val="003D0711"/>
    <w:rsid w:val="003D0B54"/>
    <w:rsid w:val="003D419E"/>
    <w:rsid w:val="003D55E0"/>
    <w:rsid w:val="003D71EE"/>
    <w:rsid w:val="003E019C"/>
    <w:rsid w:val="003E1892"/>
    <w:rsid w:val="003E23F2"/>
    <w:rsid w:val="003E25A2"/>
    <w:rsid w:val="003E302F"/>
    <w:rsid w:val="003E308A"/>
    <w:rsid w:val="003E3EA2"/>
    <w:rsid w:val="003E7D4F"/>
    <w:rsid w:val="003F01C5"/>
    <w:rsid w:val="003F54BC"/>
    <w:rsid w:val="003F76D8"/>
    <w:rsid w:val="004125EA"/>
    <w:rsid w:val="004129AA"/>
    <w:rsid w:val="00415655"/>
    <w:rsid w:val="004161C5"/>
    <w:rsid w:val="00416836"/>
    <w:rsid w:val="00416997"/>
    <w:rsid w:val="00416CAB"/>
    <w:rsid w:val="0042149D"/>
    <w:rsid w:val="004248F5"/>
    <w:rsid w:val="004251DA"/>
    <w:rsid w:val="004262E9"/>
    <w:rsid w:val="00426659"/>
    <w:rsid w:val="004307C8"/>
    <w:rsid w:val="00430DC6"/>
    <w:rsid w:val="00431FAB"/>
    <w:rsid w:val="0043435C"/>
    <w:rsid w:val="00436BF3"/>
    <w:rsid w:val="0044589C"/>
    <w:rsid w:val="00445D26"/>
    <w:rsid w:val="004501A6"/>
    <w:rsid w:val="00453BB9"/>
    <w:rsid w:val="00455C8C"/>
    <w:rsid w:val="00455E71"/>
    <w:rsid w:val="004570BF"/>
    <w:rsid w:val="00460E23"/>
    <w:rsid w:val="00463232"/>
    <w:rsid w:val="00463719"/>
    <w:rsid w:val="0046589B"/>
    <w:rsid w:val="004673B6"/>
    <w:rsid w:val="00470937"/>
    <w:rsid w:val="00470B2C"/>
    <w:rsid w:val="00472680"/>
    <w:rsid w:val="00472988"/>
    <w:rsid w:val="004729D2"/>
    <w:rsid w:val="004738F7"/>
    <w:rsid w:val="00474EB9"/>
    <w:rsid w:val="00477262"/>
    <w:rsid w:val="00480B4B"/>
    <w:rsid w:val="00480F54"/>
    <w:rsid w:val="00481908"/>
    <w:rsid w:val="00483C7B"/>
    <w:rsid w:val="00487E7D"/>
    <w:rsid w:val="004928D2"/>
    <w:rsid w:val="0049355D"/>
    <w:rsid w:val="004957CC"/>
    <w:rsid w:val="004957CF"/>
    <w:rsid w:val="004A525E"/>
    <w:rsid w:val="004A5F2F"/>
    <w:rsid w:val="004A61E6"/>
    <w:rsid w:val="004B2DC9"/>
    <w:rsid w:val="004B31E1"/>
    <w:rsid w:val="004B3BC6"/>
    <w:rsid w:val="004B3FAC"/>
    <w:rsid w:val="004B4075"/>
    <w:rsid w:val="004B4CB5"/>
    <w:rsid w:val="004B72AC"/>
    <w:rsid w:val="004B7B28"/>
    <w:rsid w:val="004C0A91"/>
    <w:rsid w:val="004C15F9"/>
    <w:rsid w:val="004C34FF"/>
    <w:rsid w:val="004C5194"/>
    <w:rsid w:val="004C5D17"/>
    <w:rsid w:val="004C7F60"/>
    <w:rsid w:val="004D1156"/>
    <w:rsid w:val="004D2AB0"/>
    <w:rsid w:val="004D62DF"/>
    <w:rsid w:val="004D63A6"/>
    <w:rsid w:val="004D7AA4"/>
    <w:rsid w:val="004E3B59"/>
    <w:rsid w:val="004E4130"/>
    <w:rsid w:val="004E4532"/>
    <w:rsid w:val="004E4811"/>
    <w:rsid w:val="004E5D94"/>
    <w:rsid w:val="004E66A3"/>
    <w:rsid w:val="004E67B6"/>
    <w:rsid w:val="004E7D11"/>
    <w:rsid w:val="004F00E8"/>
    <w:rsid w:val="004F17E6"/>
    <w:rsid w:val="004F3E94"/>
    <w:rsid w:val="004F497B"/>
    <w:rsid w:val="004F54C6"/>
    <w:rsid w:val="004F6094"/>
    <w:rsid w:val="00503804"/>
    <w:rsid w:val="00506496"/>
    <w:rsid w:val="00510A84"/>
    <w:rsid w:val="00511A38"/>
    <w:rsid w:val="00512E9B"/>
    <w:rsid w:val="00514897"/>
    <w:rsid w:val="005149EC"/>
    <w:rsid w:val="0052041C"/>
    <w:rsid w:val="005204DA"/>
    <w:rsid w:val="00520B2D"/>
    <w:rsid w:val="005212B7"/>
    <w:rsid w:val="00536110"/>
    <w:rsid w:val="00536A36"/>
    <w:rsid w:val="00540E9B"/>
    <w:rsid w:val="0054254B"/>
    <w:rsid w:val="00542CC5"/>
    <w:rsid w:val="00544F71"/>
    <w:rsid w:val="005463FE"/>
    <w:rsid w:val="00546510"/>
    <w:rsid w:val="00546830"/>
    <w:rsid w:val="00547DFE"/>
    <w:rsid w:val="00552E31"/>
    <w:rsid w:val="00556B41"/>
    <w:rsid w:val="00557592"/>
    <w:rsid w:val="00557D7C"/>
    <w:rsid w:val="00560891"/>
    <w:rsid w:val="005609B0"/>
    <w:rsid w:val="00564AA8"/>
    <w:rsid w:val="005668EB"/>
    <w:rsid w:val="0056758A"/>
    <w:rsid w:val="00567EA5"/>
    <w:rsid w:val="00571AFB"/>
    <w:rsid w:val="0057282B"/>
    <w:rsid w:val="005730BB"/>
    <w:rsid w:val="00575A10"/>
    <w:rsid w:val="00580332"/>
    <w:rsid w:val="00581959"/>
    <w:rsid w:val="0058237B"/>
    <w:rsid w:val="00583213"/>
    <w:rsid w:val="00583F0C"/>
    <w:rsid w:val="005852DA"/>
    <w:rsid w:val="00585870"/>
    <w:rsid w:val="00585875"/>
    <w:rsid w:val="00594B69"/>
    <w:rsid w:val="0059648E"/>
    <w:rsid w:val="00597CC1"/>
    <w:rsid w:val="00597D37"/>
    <w:rsid w:val="005A0055"/>
    <w:rsid w:val="005A0466"/>
    <w:rsid w:val="005A1521"/>
    <w:rsid w:val="005A1FB7"/>
    <w:rsid w:val="005A25C8"/>
    <w:rsid w:val="005A4F12"/>
    <w:rsid w:val="005A56A8"/>
    <w:rsid w:val="005A7F38"/>
    <w:rsid w:val="005B47E7"/>
    <w:rsid w:val="005B6A69"/>
    <w:rsid w:val="005B6FA4"/>
    <w:rsid w:val="005C29E5"/>
    <w:rsid w:val="005C40BF"/>
    <w:rsid w:val="005C7ED5"/>
    <w:rsid w:val="005D067E"/>
    <w:rsid w:val="005D1C78"/>
    <w:rsid w:val="005D2632"/>
    <w:rsid w:val="005D4877"/>
    <w:rsid w:val="005D68E1"/>
    <w:rsid w:val="005E03FD"/>
    <w:rsid w:val="005E0955"/>
    <w:rsid w:val="005E18AD"/>
    <w:rsid w:val="005E1EA9"/>
    <w:rsid w:val="005E1F82"/>
    <w:rsid w:val="005E298D"/>
    <w:rsid w:val="005E2C33"/>
    <w:rsid w:val="005E3628"/>
    <w:rsid w:val="005E36BA"/>
    <w:rsid w:val="005E4948"/>
    <w:rsid w:val="005E507D"/>
    <w:rsid w:val="005E5D03"/>
    <w:rsid w:val="005F1298"/>
    <w:rsid w:val="005F29F2"/>
    <w:rsid w:val="005F5C03"/>
    <w:rsid w:val="005F6B89"/>
    <w:rsid w:val="00600A40"/>
    <w:rsid w:val="00601106"/>
    <w:rsid w:val="006043E4"/>
    <w:rsid w:val="00605293"/>
    <w:rsid w:val="00607A25"/>
    <w:rsid w:val="00611EBD"/>
    <w:rsid w:val="0061381A"/>
    <w:rsid w:val="00616B34"/>
    <w:rsid w:val="0062194B"/>
    <w:rsid w:val="006232C0"/>
    <w:rsid w:val="006271B6"/>
    <w:rsid w:val="006311B9"/>
    <w:rsid w:val="00634F92"/>
    <w:rsid w:val="0063510B"/>
    <w:rsid w:val="0063600D"/>
    <w:rsid w:val="00636C11"/>
    <w:rsid w:val="00636FF4"/>
    <w:rsid w:val="00637095"/>
    <w:rsid w:val="006410CE"/>
    <w:rsid w:val="006425BF"/>
    <w:rsid w:val="00642671"/>
    <w:rsid w:val="006438EA"/>
    <w:rsid w:val="0064469E"/>
    <w:rsid w:val="006469E1"/>
    <w:rsid w:val="006510DA"/>
    <w:rsid w:val="006512AE"/>
    <w:rsid w:val="006537F1"/>
    <w:rsid w:val="0065424F"/>
    <w:rsid w:val="00656502"/>
    <w:rsid w:val="0065668B"/>
    <w:rsid w:val="00656EE6"/>
    <w:rsid w:val="00660B5E"/>
    <w:rsid w:val="0066132A"/>
    <w:rsid w:val="006613D9"/>
    <w:rsid w:val="0066167A"/>
    <w:rsid w:val="006624D9"/>
    <w:rsid w:val="00662F55"/>
    <w:rsid w:val="00663447"/>
    <w:rsid w:val="00666FE9"/>
    <w:rsid w:val="006672DD"/>
    <w:rsid w:val="00670081"/>
    <w:rsid w:val="00671BBE"/>
    <w:rsid w:val="00674BFA"/>
    <w:rsid w:val="00676F52"/>
    <w:rsid w:val="00677630"/>
    <w:rsid w:val="0068234B"/>
    <w:rsid w:val="006860B7"/>
    <w:rsid w:val="006860F3"/>
    <w:rsid w:val="00686C86"/>
    <w:rsid w:val="006870E1"/>
    <w:rsid w:val="006900DF"/>
    <w:rsid w:val="0069155B"/>
    <w:rsid w:val="006937CF"/>
    <w:rsid w:val="00694582"/>
    <w:rsid w:val="006959B7"/>
    <w:rsid w:val="006A0081"/>
    <w:rsid w:val="006A0ECB"/>
    <w:rsid w:val="006A18C5"/>
    <w:rsid w:val="006A18F6"/>
    <w:rsid w:val="006A1B1F"/>
    <w:rsid w:val="006A32C2"/>
    <w:rsid w:val="006A5780"/>
    <w:rsid w:val="006A588F"/>
    <w:rsid w:val="006A5C53"/>
    <w:rsid w:val="006A69DD"/>
    <w:rsid w:val="006A7EE3"/>
    <w:rsid w:val="006B1124"/>
    <w:rsid w:val="006B7304"/>
    <w:rsid w:val="006C2002"/>
    <w:rsid w:val="006C2C25"/>
    <w:rsid w:val="006C45B6"/>
    <w:rsid w:val="006D2F70"/>
    <w:rsid w:val="006D5772"/>
    <w:rsid w:val="006E3504"/>
    <w:rsid w:val="006E4491"/>
    <w:rsid w:val="006E457E"/>
    <w:rsid w:val="006E6930"/>
    <w:rsid w:val="006F0F17"/>
    <w:rsid w:val="006F2028"/>
    <w:rsid w:val="006F37E9"/>
    <w:rsid w:val="006F3D04"/>
    <w:rsid w:val="006F41F5"/>
    <w:rsid w:val="006F5D48"/>
    <w:rsid w:val="006F6473"/>
    <w:rsid w:val="006F6B3A"/>
    <w:rsid w:val="006F73B0"/>
    <w:rsid w:val="00700D6C"/>
    <w:rsid w:val="007021F9"/>
    <w:rsid w:val="00703F9E"/>
    <w:rsid w:val="0070518E"/>
    <w:rsid w:val="00705A3D"/>
    <w:rsid w:val="0070716E"/>
    <w:rsid w:val="00707D0D"/>
    <w:rsid w:val="007118C8"/>
    <w:rsid w:val="0071350D"/>
    <w:rsid w:val="00713D21"/>
    <w:rsid w:val="007147B8"/>
    <w:rsid w:val="00716A02"/>
    <w:rsid w:val="007176CE"/>
    <w:rsid w:val="00720561"/>
    <w:rsid w:val="0072146F"/>
    <w:rsid w:val="007224DC"/>
    <w:rsid w:val="007233AE"/>
    <w:rsid w:val="0072778C"/>
    <w:rsid w:val="0073004B"/>
    <w:rsid w:val="007325D3"/>
    <w:rsid w:val="00733ED7"/>
    <w:rsid w:val="00734707"/>
    <w:rsid w:val="00737386"/>
    <w:rsid w:val="00740BF6"/>
    <w:rsid w:val="00746E70"/>
    <w:rsid w:val="00747575"/>
    <w:rsid w:val="00747F55"/>
    <w:rsid w:val="0075388A"/>
    <w:rsid w:val="00753BBD"/>
    <w:rsid w:val="00753EAE"/>
    <w:rsid w:val="00754573"/>
    <w:rsid w:val="007569CF"/>
    <w:rsid w:val="00756B9A"/>
    <w:rsid w:val="00757A1C"/>
    <w:rsid w:val="007602E0"/>
    <w:rsid w:val="00762495"/>
    <w:rsid w:val="007666B6"/>
    <w:rsid w:val="00770B1D"/>
    <w:rsid w:val="007728E1"/>
    <w:rsid w:val="00774A08"/>
    <w:rsid w:val="00775294"/>
    <w:rsid w:val="007753BF"/>
    <w:rsid w:val="00775522"/>
    <w:rsid w:val="0077671D"/>
    <w:rsid w:val="00776939"/>
    <w:rsid w:val="00777CA7"/>
    <w:rsid w:val="007812DE"/>
    <w:rsid w:val="0078288E"/>
    <w:rsid w:val="00783BFE"/>
    <w:rsid w:val="007856BB"/>
    <w:rsid w:val="00785983"/>
    <w:rsid w:val="00785F8C"/>
    <w:rsid w:val="00787FB5"/>
    <w:rsid w:val="0079032F"/>
    <w:rsid w:val="00790ED4"/>
    <w:rsid w:val="00790F02"/>
    <w:rsid w:val="00792A19"/>
    <w:rsid w:val="00793DA0"/>
    <w:rsid w:val="007950CC"/>
    <w:rsid w:val="00796081"/>
    <w:rsid w:val="00796CE9"/>
    <w:rsid w:val="0079751E"/>
    <w:rsid w:val="007A10C4"/>
    <w:rsid w:val="007A1B45"/>
    <w:rsid w:val="007A349C"/>
    <w:rsid w:val="007A354E"/>
    <w:rsid w:val="007A38DD"/>
    <w:rsid w:val="007A7682"/>
    <w:rsid w:val="007B3682"/>
    <w:rsid w:val="007B3848"/>
    <w:rsid w:val="007B524C"/>
    <w:rsid w:val="007B7BA9"/>
    <w:rsid w:val="007C2599"/>
    <w:rsid w:val="007C4111"/>
    <w:rsid w:val="007C46A6"/>
    <w:rsid w:val="007D335B"/>
    <w:rsid w:val="007D4E62"/>
    <w:rsid w:val="007D6901"/>
    <w:rsid w:val="007D770F"/>
    <w:rsid w:val="007D79C1"/>
    <w:rsid w:val="007E13EA"/>
    <w:rsid w:val="007E55C9"/>
    <w:rsid w:val="007E6C2C"/>
    <w:rsid w:val="007E6DC2"/>
    <w:rsid w:val="007E728D"/>
    <w:rsid w:val="007E7F70"/>
    <w:rsid w:val="007F0209"/>
    <w:rsid w:val="007F15CA"/>
    <w:rsid w:val="007F2E7C"/>
    <w:rsid w:val="007F4CC8"/>
    <w:rsid w:val="007F6BBF"/>
    <w:rsid w:val="007F7C1D"/>
    <w:rsid w:val="00802B3B"/>
    <w:rsid w:val="00805581"/>
    <w:rsid w:val="0081290A"/>
    <w:rsid w:val="008168E3"/>
    <w:rsid w:val="00817102"/>
    <w:rsid w:val="00821165"/>
    <w:rsid w:val="00821443"/>
    <w:rsid w:val="0082534B"/>
    <w:rsid w:val="008305CF"/>
    <w:rsid w:val="008322E3"/>
    <w:rsid w:val="00834193"/>
    <w:rsid w:val="00835202"/>
    <w:rsid w:val="008379CF"/>
    <w:rsid w:val="00840959"/>
    <w:rsid w:val="00846A15"/>
    <w:rsid w:val="00850B9C"/>
    <w:rsid w:val="008514E3"/>
    <w:rsid w:val="00852803"/>
    <w:rsid w:val="0086182B"/>
    <w:rsid w:val="00863D37"/>
    <w:rsid w:val="008644AA"/>
    <w:rsid w:val="008650E7"/>
    <w:rsid w:val="00865153"/>
    <w:rsid w:val="00866F82"/>
    <w:rsid w:val="00870253"/>
    <w:rsid w:val="0087044F"/>
    <w:rsid w:val="008741CE"/>
    <w:rsid w:val="00876C26"/>
    <w:rsid w:val="00876F5B"/>
    <w:rsid w:val="008770F5"/>
    <w:rsid w:val="00880FCD"/>
    <w:rsid w:val="00881865"/>
    <w:rsid w:val="0088256A"/>
    <w:rsid w:val="00883917"/>
    <w:rsid w:val="00886CF7"/>
    <w:rsid w:val="00886EA3"/>
    <w:rsid w:val="00887027"/>
    <w:rsid w:val="00887119"/>
    <w:rsid w:val="00887163"/>
    <w:rsid w:val="00887468"/>
    <w:rsid w:val="00887566"/>
    <w:rsid w:val="00890809"/>
    <w:rsid w:val="00891D9A"/>
    <w:rsid w:val="0089350C"/>
    <w:rsid w:val="008937AA"/>
    <w:rsid w:val="00896FCA"/>
    <w:rsid w:val="008A0C87"/>
    <w:rsid w:val="008A110F"/>
    <w:rsid w:val="008A1B13"/>
    <w:rsid w:val="008A27CB"/>
    <w:rsid w:val="008A29F7"/>
    <w:rsid w:val="008A2E63"/>
    <w:rsid w:val="008A4541"/>
    <w:rsid w:val="008A5656"/>
    <w:rsid w:val="008B0D0B"/>
    <w:rsid w:val="008B133E"/>
    <w:rsid w:val="008B15C9"/>
    <w:rsid w:val="008B175D"/>
    <w:rsid w:val="008B1BF9"/>
    <w:rsid w:val="008B2494"/>
    <w:rsid w:val="008B3E39"/>
    <w:rsid w:val="008B471B"/>
    <w:rsid w:val="008B5433"/>
    <w:rsid w:val="008C1371"/>
    <w:rsid w:val="008C1781"/>
    <w:rsid w:val="008C3EAA"/>
    <w:rsid w:val="008C54C9"/>
    <w:rsid w:val="008D2C20"/>
    <w:rsid w:val="008D3AB9"/>
    <w:rsid w:val="008D58D6"/>
    <w:rsid w:val="008E2DC8"/>
    <w:rsid w:val="008E3102"/>
    <w:rsid w:val="008E3169"/>
    <w:rsid w:val="008E3EEE"/>
    <w:rsid w:val="008E54A2"/>
    <w:rsid w:val="008F0FE9"/>
    <w:rsid w:val="008F12D6"/>
    <w:rsid w:val="008F466E"/>
    <w:rsid w:val="008F52DC"/>
    <w:rsid w:val="008F5985"/>
    <w:rsid w:val="008F61C3"/>
    <w:rsid w:val="00901CC9"/>
    <w:rsid w:val="00902109"/>
    <w:rsid w:val="00902BE4"/>
    <w:rsid w:val="0090573B"/>
    <w:rsid w:val="00905FF2"/>
    <w:rsid w:val="00907BB9"/>
    <w:rsid w:val="0091220D"/>
    <w:rsid w:val="00913C8A"/>
    <w:rsid w:val="00915124"/>
    <w:rsid w:val="00917E4B"/>
    <w:rsid w:val="00921A1B"/>
    <w:rsid w:val="00922E50"/>
    <w:rsid w:val="0092379C"/>
    <w:rsid w:val="00926067"/>
    <w:rsid w:val="00927EE9"/>
    <w:rsid w:val="00930DE3"/>
    <w:rsid w:val="00932571"/>
    <w:rsid w:val="00935BFA"/>
    <w:rsid w:val="00936D40"/>
    <w:rsid w:val="009377BC"/>
    <w:rsid w:val="00937E04"/>
    <w:rsid w:val="00940001"/>
    <w:rsid w:val="00942D0D"/>
    <w:rsid w:val="009463E7"/>
    <w:rsid w:val="00946983"/>
    <w:rsid w:val="00947294"/>
    <w:rsid w:val="00947C5D"/>
    <w:rsid w:val="009513CD"/>
    <w:rsid w:val="00951D7C"/>
    <w:rsid w:val="00952E08"/>
    <w:rsid w:val="009542C8"/>
    <w:rsid w:val="0095519D"/>
    <w:rsid w:val="00956447"/>
    <w:rsid w:val="0095657B"/>
    <w:rsid w:val="00960125"/>
    <w:rsid w:val="009666F5"/>
    <w:rsid w:val="00966DDF"/>
    <w:rsid w:val="00967290"/>
    <w:rsid w:val="00967481"/>
    <w:rsid w:val="00970D24"/>
    <w:rsid w:val="00973B47"/>
    <w:rsid w:val="00973B94"/>
    <w:rsid w:val="00974A4E"/>
    <w:rsid w:val="00975023"/>
    <w:rsid w:val="00975082"/>
    <w:rsid w:val="00975E0D"/>
    <w:rsid w:val="00980F14"/>
    <w:rsid w:val="00983B1C"/>
    <w:rsid w:val="009847BE"/>
    <w:rsid w:val="0098648B"/>
    <w:rsid w:val="00987F93"/>
    <w:rsid w:val="00992917"/>
    <w:rsid w:val="009930CB"/>
    <w:rsid w:val="009949B3"/>
    <w:rsid w:val="00994AB1"/>
    <w:rsid w:val="0099539E"/>
    <w:rsid w:val="009966DE"/>
    <w:rsid w:val="009A3C3F"/>
    <w:rsid w:val="009A41DE"/>
    <w:rsid w:val="009A478C"/>
    <w:rsid w:val="009A5CC3"/>
    <w:rsid w:val="009B03A6"/>
    <w:rsid w:val="009B2428"/>
    <w:rsid w:val="009B2F82"/>
    <w:rsid w:val="009B4997"/>
    <w:rsid w:val="009B4C8A"/>
    <w:rsid w:val="009B5316"/>
    <w:rsid w:val="009B5AD2"/>
    <w:rsid w:val="009B67D9"/>
    <w:rsid w:val="009B7D04"/>
    <w:rsid w:val="009C0656"/>
    <w:rsid w:val="009C0E3D"/>
    <w:rsid w:val="009C2276"/>
    <w:rsid w:val="009C32BE"/>
    <w:rsid w:val="009C32C5"/>
    <w:rsid w:val="009C39BC"/>
    <w:rsid w:val="009C3B40"/>
    <w:rsid w:val="009C4A9F"/>
    <w:rsid w:val="009C5B2F"/>
    <w:rsid w:val="009C6D44"/>
    <w:rsid w:val="009C6E62"/>
    <w:rsid w:val="009C6F14"/>
    <w:rsid w:val="009C7754"/>
    <w:rsid w:val="009D1E84"/>
    <w:rsid w:val="009D2256"/>
    <w:rsid w:val="009D4DD0"/>
    <w:rsid w:val="009D53B6"/>
    <w:rsid w:val="009D5AC4"/>
    <w:rsid w:val="009D6B64"/>
    <w:rsid w:val="009D78FC"/>
    <w:rsid w:val="009D7A7C"/>
    <w:rsid w:val="009D7D45"/>
    <w:rsid w:val="009E16F1"/>
    <w:rsid w:val="009E3DCB"/>
    <w:rsid w:val="009E4C61"/>
    <w:rsid w:val="009E573B"/>
    <w:rsid w:val="009E6BBA"/>
    <w:rsid w:val="009F0882"/>
    <w:rsid w:val="009F166B"/>
    <w:rsid w:val="009F2183"/>
    <w:rsid w:val="009F345A"/>
    <w:rsid w:val="009F4623"/>
    <w:rsid w:val="009F4C6B"/>
    <w:rsid w:val="009F6160"/>
    <w:rsid w:val="00A00A01"/>
    <w:rsid w:val="00A034F1"/>
    <w:rsid w:val="00A10E87"/>
    <w:rsid w:val="00A11F82"/>
    <w:rsid w:val="00A12943"/>
    <w:rsid w:val="00A12E8C"/>
    <w:rsid w:val="00A133C7"/>
    <w:rsid w:val="00A2015A"/>
    <w:rsid w:val="00A208D2"/>
    <w:rsid w:val="00A24F15"/>
    <w:rsid w:val="00A2503A"/>
    <w:rsid w:val="00A25867"/>
    <w:rsid w:val="00A25E46"/>
    <w:rsid w:val="00A3281F"/>
    <w:rsid w:val="00A32F23"/>
    <w:rsid w:val="00A33809"/>
    <w:rsid w:val="00A33DA0"/>
    <w:rsid w:val="00A34064"/>
    <w:rsid w:val="00A3423F"/>
    <w:rsid w:val="00A35269"/>
    <w:rsid w:val="00A37988"/>
    <w:rsid w:val="00A40CFE"/>
    <w:rsid w:val="00A42D14"/>
    <w:rsid w:val="00A4495A"/>
    <w:rsid w:val="00A45F73"/>
    <w:rsid w:val="00A47C88"/>
    <w:rsid w:val="00A50F9A"/>
    <w:rsid w:val="00A5126A"/>
    <w:rsid w:val="00A526CB"/>
    <w:rsid w:val="00A54D77"/>
    <w:rsid w:val="00A5652F"/>
    <w:rsid w:val="00A56C83"/>
    <w:rsid w:val="00A61AAA"/>
    <w:rsid w:val="00A70FD1"/>
    <w:rsid w:val="00A71536"/>
    <w:rsid w:val="00A72FB4"/>
    <w:rsid w:val="00A74086"/>
    <w:rsid w:val="00A76BAD"/>
    <w:rsid w:val="00A80000"/>
    <w:rsid w:val="00A81043"/>
    <w:rsid w:val="00A81AFD"/>
    <w:rsid w:val="00A820E1"/>
    <w:rsid w:val="00A83AC4"/>
    <w:rsid w:val="00A84A0E"/>
    <w:rsid w:val="00A8643C"/>
    <w:rsid w:val="00A86C6A"/>
    <w:rsid w:val="00A905C4"/>
    <w:rsid w:val="00A90B3A"/>
    <w:rsid w:val="00A912D1"/>
    <w:rsid w:val="00A94B2F"/>
    <w:rsid w:val="00A95B2A"/>
    <w:rsid w:val="00AA1551"/>
    <w:rsid w:val="00AA2C6A"/>
    <w:rsid w:val="00AA3555"/>
    <w:rsid w:val="00AA378F"/>
    <w:rsid w:val="00AA3E52"/>
    <w:rsid w:val="00AA43DD"/>
    <w:rsid w:val="00AA6A84"/>
    <w:rsid w:val="00AA6AC0"/>
    <w:rsid w:val="00AB08F3"/>
    <w:rsid w:val="00AB249B"/>
    <w:rsid w:val="00AB4875"/>
    <w:rsid w:val="00AB64AD"/>
    <w:rsid w:val="00AB78A4"/>
    <w:rsid w:val="00AC11B9"/>
    <w:rsid w:val="00AC2834"/>
    <w:rsid w:val="00AC4CAB"/>
    <w:rsid w:val="00AC4CF3"/>
    <w:rsid w:val="00AC5131"/>
    <w:rsid w:val="00AC706F"/>
    <w:rsid w:val="00AC70A9"/>
    <w:rsid w:val="00AD10A1"/>
    <w:rsid w:val="00AE0E52"/>
    <w:rsid w:val="00AE2E48"/>
    <w:rsid w:val="00AE52F0"/>
    <w:rsid w:val="00AE7074"/>
    <w:rsid w:val="00AF0313"/>
    <w:rsid w:val="00AF4244"/>
    <w:rsid w:val="00AF478B"/>
    <w:rsid w:val="00AF566A"/>
    <w:rsid w:val="00AF59E8"/>
    <w:rsid w:val="00AF69E0"/>
    <w:rsid w:val="00B024A6"/>
    <w:rsid w:val="00B06F61"/>
    <w:rsid w:val="00B0707D"/>
    <w:rsid w:val="00B1153C"/>
    <w:rsid w:val="00B1582E"/>
    <w:rsid w:val="00B1591A"/>
    <w:rsid w:val="00B16169"/>
    <w:rsid w:val="00B168C0"/>
    <w:rsid w:val="00B22980"/>
    <w:rsid w:val="00B24773"/>
    <w:rsid w:val="00B24EF5"/>
    <w:rsid w:val="00B25B09"/>
    <w:rsid w:val="00B27CB2"/>
    <w:rsid w:val="00B30D2D"/>
    <w:rsid w:val="00B32930"/>
    <w:rsid w:val="00B332F8"/>
    <w:rsid w:val="00B33801"/>
    <w:rsid w:val="00B33A4A"/>
    <w:rsid w:val="00B34178"/>
    <w:rsid w:val="00B36D90"/>
    <w:rsid w:val="00B41958"/>
    <w:rsid w:val="00B424B6"/>
    <w:rsid w:val="00B432C3"/>
    <w:rsid w:val="00B434C5"/>
    <w:rsid w:val="00B511EC"/>
    <w:rsid w:val="00B51452"/>
    <w:rsid w:val="00B54EEC"/>
    <w:rsid w:val="00B55AB0"/>
    <w:rsid w:val="00B56F3C"/>
    <w:rsid w:val="00B57621"/>
    <w:rsid w:val="00B57E9B"/>
    <w:rsid w:val="00B601AE"/>
    <w:rsid w:val="00B60459"/>
    <w:rsid w:val="00B614F2"/>
    <w:rsid w:val="00B61872"/>
    <w:rsid w:val="00B6202F"/>
    <w:rsid w:val="00B63FC8"/>
    <w:rsid w:val="00B64888"/>
    <w:rsid w:val="00B65A9B"/>
    <w:rsid w:val="00B670FB"/>
    <w:rsid w:val="00B677B3"/>
    <w:rsid w:val="00B71156"/>
    <w:rsid w:val="00B71A29"/>
    <w:rsid w:val="00B73082"/>
    <w:rsid w:val="00B73393"/>
    <w:rsid w:val="00B75451"/>
    <w:rsid w:val="00B760EA"/>
    <w:rsid w:val="00B763F8"/>
    <w:rsid w:val="00B775CB"/>
    <w:rsid w:val="00B80509"/>
    <w:rsid w:val="00B818BF"/>
    <w:rsid w:val="00B837DC"/>
    <w:rsid w:val="00B843D4"/>
    <w:rsid w:val="00B8443B"/>
    <w:rsid w:val="00B85265"/>
    <w:rsid w:val="00B86DBD"/>
    <w:rsid w:val="00B87196"/>
    <w:rsid w:val="00B875C6"/>
    <w:rsid w:val="00B90603"/>
    <w:rsid w:val="00B906AE"/>
    <w:rsid w:val="00B917F0"/>
    <w:rsid w:val="00B92A8B"/>
    <w:rsid w:val="00B92CE6"/>
    <w:rsid w:val="00B93965"/>
    <w:rsid w:val="00B942F6"/>
    <w:rsid w:val="00B9515D"/>
    <w:rsid w:val="00B966F8"/>
    <w:rsid w:val="00B972E3"/>
    <w:rsid w:val="00BA1FFA"/>
    <w:rsid w:val="00BA3A0D"/>
    <w:rsid w:val="00BA4676"/>
    <w:rsid w:val="00BA4FA8"/>
    <w:rsid w:val="00BA5EB0"/>
    <w:rsid w:val="00BB05D8"/>
    <w:rsid w:val="00BB0BB7"/>
    <w:rsid w:val="00BB1139"/>
    <w:rsid w:val="00BB35BC"/>
    <w:rsid w:val="00BB4149"/>
    <w:rsid w:val="00BC0424"/>
    <w:rsid w:val="00BC0BCA"/>
    <w:rsid w:val="00BC1BA9"/>
    <w:rsid w:val="00BC1BB9"/>
    <w:rsid w:val="00BC4364"/>
    <w:rsid w:val="00BD383C"/>
    <w:rsid w:val="00BD6DD5"/>
    <w:rsid w:val="00BD7094"/>
    <w:rsid w:val="00BE065D"/>
    <w:rsid w:val="00BE0F07"/>
    <w:rsid w:val="00BE1092"/>
    <w:rsid w:val="00BE11F2"/>
    <w:rsid w:val="00BE2C4B"/>
    <w:rsid w:val="00BE5870"/>
    <w:rsid w:val="00BE7B08"/>
    <w:rsid w:val="00BE7B43"/>
    <w:rsid w:val="00BF177D"/>
    <w:rsid w:val="00BF3726"/>
    <w:rsid w:val="00BF4A1F"/>
    <w:rsid w:val="00C0015D"/>
    <w:rsid w:val="00C009CF"/>
    <w:rsid w:val="00C01152"/>
    <w:rsid w:val="00C02D38"/>
    <w:rsid w:val="00C02E42"/>
    <w:rsid w:val="00C03FA9"/>
    <w:rsid w:val="00C04E65"/>
    <w:rsid w:val="00C06E42"/>
    <w:rsid w:val="00C07036"/>
    <w:rsid w:val="00C116D8"/>
    <w:rsid w:val="00C143D7"/>
    <w:rsid w:val="00C16B8C"/>
    <w:rsid w:val="00C20687"/>
    <w:rsid w:val="00C2205B"/>
    <w:rsid w:val="00C2617E"/>
    <w:rsid w:val="00C27CE1"/>
    <w:rsid w:val="00C31A91"/>
    <w:rsid w:val="00C31ECD"/>
    <w:rsid w:val="00C3202E"/>
    <w:rsid w:val="00C3267E"/>
    <w:rsid w:val="00C337BE"/>
    <w:rsid w:val="00C34281"/>
    <w:rsid w:val="00C352F3"/>
    <w:rsid w:val="00C35BDE"/>
    <w:rsid w:val="00C36755"/>
    <w:rsid w:val="00C37A26"/>
    <w:rsid w:val="00C40BBC"/>
    <w:rsid w:val="00C42DCB"/>
    <w:rsid w:val="00C431E6"/>
    <w:rsid w:val="00C43878"/>
    <w:rsid w:val="00C52080"/>
    <w:rsid w:val="00C54501"/>
    <w:rsid w:val="00C54BF9"/>
    <w:rsid w:val="00C576C1"/>
    <w:rsid w:val="00C6202F"/>
    <w:rsid w:val="00C71C1F"/>
    <w:rsid w:val="00C73CD2"/>
    <w:rsid w:val="00C748F5"/>
    <w:rsid w:val="00C74ADE"/>
    <w:rsid w:val="00C75B82"/>
    <w:rsid w:val="00C77C60"/>
    <w:rsid w:val="00C823E0"/>
    <w:rsid w:val="00C8271F"/>
    <w:rsid w:val="00C82825"/>
    <w:rsid w:val="00C83B09"/>
    <w:rsid w:val="00C86AA9"/>
    <w:rsid w:val="00C91ECA"/>
    <w:rsid w:val="00C9228E"/>
    <w:rsid w:val="00C926E7"/>
    <w:rsid w:val="00C92763"/>
    <w:rsid w:val="00C93696"/>
    <w:rsid w:val="00C9380A"/>
    <w:rsid w:val="00C9395D"/>
    <w:rsid w:val="00CA0D33"/>
    <w:rsid w:val="00CA1741"/>
    <w:rsid w:val="00CA30C5"/>
    <w:rsid w:val="00CA5F0E"/>
    <w:rsid w:val="00CA6331"/>
    <w:rsid w:val="00CA72D0"/>
    <w:rsid w:val="00CB03F9"/>
    <w:rsid w:val="00CB368A"/>
    <w:rsid w:val="00CB62A8"/>
    <w:rsid w:val="00CB758B"/>
    <w:rsid w:val="00CB775E"/>
    <w:rsid w:val="00CC4A43"/>
    <w:rsid w:val="00CC6890"/>
    <w:rsid w:val="00CC6E40"/>
    <w:rsid w:val="00CC7072"/>
    <w:rsid w:val="00CD0587"/>
    <w:rsid w:val="00CD1A38"/>
    <w:rsid w:val="00CD2150"/>
    <w:rsid w:val="00CD4A7E"/>
    <w:rsid w:val="00CD5044"/>
    <w:rsid w:val="00CD6B49"/>
    <w:rsid w:val="00CD72AC"/>
    <w:rsid w:val="00CE09E1"/>
    <w:rsid w:val="00CE2FA5"/>
    <w:rsid w:val="00CE6680"/>
    <w:rsid w:val="00CF3458"/>
    <w:rsid w:val="00CF4AC7"/>
    <w:rsid w:val="00CF5A49"/>
    <w:rsid w:val="00CF5CAA"/>
    <w:rsid w:val="00D022EE"/>
    <w:rsid w:val="00D04025"/>
    <w:rsid w:val="00D05209"/>
    <w:rsid w:val="00D0790F"/>
    <w:rsid w:val="00D1188A"/>
    <w:rsid w:val="00D1421E"/>
    <w:rsid w:val="00D157AD"/>
    <w:rsid w:val="00D16615"/>
    <w:rsid w:val="00D202B5"/>
    <w:rsid w:val="00D2073F"/>
    <w:rsid w:val="00D207D0"/>
    <w:rsid w:val="00D20870"/>
    <w:rsid w:val="00D2236C"/>
    <w:rsid w:val="00D2465C"/>
    <w:rsid w:val="00D25FBC"/>
    <w:rsid w:val="00D26A82"/>
    <w:rsid w:val="00D31ACE"/>
    <w:rsid w:val="00D3254E"/>
    <w:rsid w:val="00D328C6"/>
    <w:rsid w:val="00D33DCC"/>
    <w:rsid w:val="00D33F82"/>
    <w:rsid w:val="00D33FD0"/>
    <w:rsid w:val="00D34690"/>
    <w:rsid w:val="00D36E6F"/>
    <w:rsid w:val="00D40D7B"/>
    <w:rsid w:val="00D42FDA"/>
    <w:rsid w:val="00D44741"/>
    <w:rsid w:val="00D44ADF"/>
    <w:rsid w:val="00D510F5"/>
    <w:rsid w:val="00D52A91"/>
    <w:rsid w:val="00D530BC"/>
    <w:rsid w:val="00D546AF"/>
    <w:rsid w:val="00D549F9"/>
    <w:rsid w:val="00D571D6"/>
    <w:rsid w:val="00D57500"/>
    <w:rsid w:val="00D60604"/>
    <w:rsid w:val="00D60DC0"/>
    <w:rsid w:val="00D60E0A"/>
    <w:rsid w:val="00D613C4"/>
    <w:rsid w:val="00D61BE4"/>
    <w:rsid w:val="00D62CFC"/>
    <w:rsid w:val="00D64590"/>
    <w:rsid w:val="00D646D7"/>
    <w:rsid w:val="00D65086"/>
    <w:rsid w:val="00D6654C"/>
    <w:rsid w:val="00D7330F"/>
    <w:rsid w:val="00D7385F"/>
    <w:rsid w:val="00D74CB6"/>
    <w:rsid w:val="00D761CE"/>
    <w:rsid w:val="00D806E0"/>
    <w:rsid w:val="00D82BFD"/>
    <w:rsid w:val="00D864A2"/>
    <w:rsid w:val="00D8752E"/>
    <w:rsid w:val="00DA5A8D"/>
    <w:rsid w:val="00DA5BA8"/>
    <w:rsid w:val="00DA5C78"/>
    <w:rsid w:val="00DB0570"/>
    <w:rsid w:val="00DB0FB2"/>
    <w:rsid w:val="00DB2056"/>
    <w:rsid w:val="00DB4AB2"/>
    <w:rsid w:val="00DB4E27"/>
    <w:rsid w:val="00DB70BF"/>
    <w:rsid w:val="00DC114A"/>
    <w:rsid w:val="00DC2038"/>
    <w:rsid w:val="00DC6EA6"/>
    <w:rsid w:val="00DD28A2"/>
    <w:rsid w:val="00DD52F7"/>
    <w:rsid w:val="00DD700B"/>
    <w:rsid w:val="00DE1D51"/>
    <w:rsid w:val="00DE2925"/>
    <w:rsid w:val="00DE52E3"/>
    <w:rsid w:val="00DF1B28"/>
    <w:rsid w:val="00DF2C92"/>
    <w:rsid w:val="00DF435C"/>
    <w:rsid w:val="00DF4B22"/>
    <w:rsid w:val="00DF4C12"/>
    <w:rsid w:val="00DF5B29"/>
    <w:rsid w:val="00DF5BBE"/>
    <w:rsid w:val="00DF6FCF"/>
    <w:rsid w:val="00E0059B"/>
    <w:rsid w:val="00E00EE9"/>
    <w:rsid w:val="00E011E9"/>
    <w:rsid w:val="00E01228"/>
    <w:rsid w:val="00E1033F"/>
    <w:rsid w:val="00E122AC"/>
    <w:rsid w:val="00E13320"/>
    <w:rsid w:val="00E16259"/>
    <w:rsid w:val="00E178C4"/>
    <w:rsid w:val="00E206ED"/>
    <w:rsid w:val="00E22D77"/>
    <w:rsid w:val="00E30C95"/>
    <w:rsid w:val="00E33D4F"/>
    <w:rsid w:val="00E34625"/>
    <w:rsid w:val="00E34FDE"/>
    <w:rsid w:val="00E35361"/>
    <w:rsid w:val="00E36565"/>
    <w:rsid w:val="00E37F8E"/>
    <w:rsid w:val="00E40593"/>
    <w:rsid w:val="00E416A2"/>
    <w:rsid w:val="00E41EB6"/>
    <w:rsid w:val="00E43D11"/>
    <w:rsid w:val="00E43D1C"/>
    <w:rsid w:val="00E43D41"/>
    <w:rsid w:val="00E445C8"/>
    <w:rsid w:val="00E4563B"/>
    <w:rsid w:val="00E456F4"/>
    <w:rsid w:val="00E47341"/>
    <w:rsid w:val="00E478AA"/>
    <w:rsid w:val="00E47AB3"/>
    <w:rsid w:val="00E51D65"/>
    <w:rsid w:val="00E538B9"/>
    <w:rsid w:val="00E53B97"/>
    <w:rsid w:val="00E55670"/>
    <w:rsid w:val="00E55C8D"/>
    <w:rsid w:val="00E5770D"/>
    <w:rsid w:val="00E60ED3"/>
    <w:rsid w:val="00E61444"/>
    <w:rsid w:val="00E62692"/>
    <w:rsid w:val="00E636ED"/>
    <w:rsid w:val="00E64967"/>
    <w:rsid w:val="00E6582E"/>
    <w:rsid w:val="00E67562"/>
    <w:rsid w:val="00E67725"/>
    <w:rsid w:val="00E67EC3"/>
    <w:rsid w:val="00E73B08"/>
    <w:rsid w:val="00E81561"/>
    <w:rsid w:val="00E81AB2"/>
    <w:rsid w:val="00E823B2"/>
    <w:rsid w:val="00E845D1"/>
    <w:rsid w:val="00E84B50"/>
    <w:rsid w:val="00E87192"/>
    <w:rsid w:val="00E915E7"/>
    <w:rsid w:val="00E915F8"/>
    <w:rsid w:val="00E93061"/>
    <w:rsid w:val="00E96FB4"/>
    <w:rsid w:val="00EA3A29"/>
    <w:rsid w:val="00EA6F65"/>
    <w:rsid w:val="00EB0ED7"/>
    <w:rsid w:val="00EB4BA3"/>
    <w:rsid w:val="00EB5CA4"/>
    <w:rsid w:val="00EB7829"/>
    <w:rsid w:val="00EC0D00"/>
    <w:rsid w:val="00EC151A"/>
    <w:rsid w:val="00EC3B3D"/>
    <w:rsid w:val="00EC5ABE"/>
    <w:rsid w:val="00EC6D56"/>
    <w:rsid w:val="00ED0C84"/>
    <w:rsid w:val="00ED1360"/>
    <w:rsid w:val="00ED3FD8"/>
    <w:rsid w:val="00ED4004"/>
    <w:rsid w:val="00ED4770"/>
    <w:rsid w:val="00ED4DA3"/>
    <w:rsid w:val="00ED5253"/>
    <w:rsid w:val="00ED52C0"/>
    <w:rsid w:val="00EE1F45"/>
    <w:rsid w:val="00EE1FF3"/>
    <w:rsid w:val="00EE318E"/>
    <w:rsid w:val="00EF002B"/>
    <w:rsid w:val="00EF03D3"/>
    <w:rsid w:val="00EF2714"/>
    <w:rsid w:val="00EF5164"/>
    <w:rsid w:val="00EF5378"/>
    <w:rsid w:val="00EF7B65"/>
    <w:rsid w:val="00F00089"/>
    <w:rsid w:val="00F0330D"/>
    <w:rsid w:val="00F073B3"/>
    <w:rsid w:val="00F076BB"/>
    <w:rsid w:val="00F10EE5"/>
    <w:rsid w:val="00F12928"/>
    <w:rsid w:val="00F12BAE"/>
    <w:rsid w:val="00F130A7"/>
    <w:rsid w:val="00F1591F"/>
    <w:rsid w:val="00F1761F"/>
    <w:rsid w:val="00F21828"/>
    <w:rsid w:val="00F2299B"/>
    <w:rsid w:val="00F2712E"/>
    <w:rsid w:val="00F27F8F"/>
    <w:rsid w:val="00F311E5"/>
    <w:rsid w:val="00F31DF0"/>
    <w:rsid w:val="00F34251"/>
    <w:rsid w:val="00F36356"/>
    <w:rsid w:val="00F37942"/>
    <w:rsid w:val="00F4335F"/>
    <w:rsid w:val="00F45D38"/>
    <w:rsid w:val="00F46A24"/>
    <w:rsid w:val="00F5118F"/>
    <w:rsid w:val="00F512C2"/>
    <w:rsid w:val="00F520D0"/>
    <w:rsid w:val="00F521C3"/>
    <w:rsid w:val="00F537D5"/>
    <w:rsid w:val="00F56B64"/>
    <w:rsid w:val="00F5721A"/>
    <w:rsid w:val="00F60513"/>
    <w:rsid w:val="00F622D6"/>
    <w:rsid w:val="00F6320A"/>
    <w:rsid w:val="00F64DAA"/>
    <w:rsid w:val="00F65B53"/>
    <w:rsid w:val="00F65C45"/>
    <w:rsid w:val="00F65CE7"/>
    <w:rsid w:val="00F7106A"/>
    <w:rsid w:val="00F72F98"/>
    <w:rsid w:val="00F800CE"/>
    <w:rsid w:val="00F812A0"/>
    <w:rsid w:val="00F8682E"/>
    <w:rsid w:val="00F8762C"/>
    <w:rsid w:val="00F906A2"/>
    <w:rsid w:val="00F91BDB"/>
    <w:rsid w:val="00F9346A"/>
    <w:rsid w:val="00F940C2"/>
    <w:rsid w:val="00F97447"/>
    <w:rsid w:val="00FA4468"/>
    <w:rsid w:val="00FB02A6"/>
    <w:rsid w:val="00FB1453"/>
    <w:rsid w:val="00FB15D3"/>
    <w:rsid w:val="00FB1677"/>
    <w:rsid w:val="00FB3392"/>
    <w:rsid w:val="00FB411D"/>
    <w:rsid w:val="00FB6275"/>
    <w:rsid w:val="00FC08E8"/>
    <w:rsid w:val="00FC3800"/>
    <w:rsid w:val="00FC46ED"/>
    <w:rsid w:val="00FC5134"/>
    <w:rsid w:val="00FC5CD7"/>
    <w:rsid w:val="00FC73D6"/>
    <w:rsid w:val="00FD5293"/>
    <w:rsid w:val="00FD5FB1"/>
    <w:rsid w:val="00FD6276"/>
    <w:rsid w:val="00FD77DD"/>
    <w:rsid w:val="00FE4B67"/>
    <w:rsid w:val="00FE6064"/>
    <w:rsid w:val="00FE72B3"/>
    <w:rsid w:val="00FE72EC"/>
    <w:rsid w:val="00FF0CD1"/>
    <w:rsid w:val="00FF168B"/>
    <w:rsid w:val="00FF2C8D"/>
    <w:rsid w:val="00FF36B2"/>
    <w:rsid w:val="00FF57B3"/>
    <w:rsid w:val="00FF76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3BFC3A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qFormat="1"/>
    <w:lsdException w:name="table of figures" w:uiPriority="99"/>
    <w:lsdException w:name="Title" w:qFormat="1"/>
    <w:lsdException w:name="Default Paragraph Font" w:uiPriority="1"/>
    <w:lsdException w:name="Subtitle" w:qFormat="1"/>
    <w:lsdException w:name="Hyperlink" w:uiPriority="99"/>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6BB"/>
    <w:pPr>
      <w:spacing w:line="480" w:lineRule="auto"/>
      <w:ind w:firstLine="720"/>
      <w:jc w:val="both"/>
    </w:pPr>
  </w:style>
  <w:style w:type="paragraph" w:styleId="Heading1">
    <w:name w:val="heading 1"/>
    <w:basedOn w:val="Normal"/>
    <w:next w:val="Noindent"/>
    <w:qFormat/>
    <w:rsid w:val="008A110F"/>
    <w:pPr>
      <w:keepNext/>
      <w:pageBreakBefore/>
      <w:numPr>
        <w:numId w:val="29"/>
      </w:numPr>
      <w:tabs>
        <w:tab w:val="clear" w:pos="-720"/>
      </w:tabs>
      <w:spacing w:before="1440" w:after="960"/>
      <w:ind w:left="0"/>
      <w:jc w:val="center"/>
      <w:outlineLvl w:val="0"/>
    </w:pPr>
    <w:rPr>
      <w:rFonts w:cs="Arial"/>
      <w:b/>
      <w:bCs/>
      <w:caps/>
    </w:rPr>
  </w:style>
  <w:style w:type="paragraph" w:styleId="Heading2">
    <w:name w:val="heading 2"/>
    <w:basedOn w:val="Heading1"/>
    <w:next w:val="Noindent"/>
    <w:qFormat/>
    <w:rsid w:val="008A110F"/>
    <w:pPr>
      <w:pageBreakBefore w:val="0"/>
      <w:numPr>
        <w:ilvl w:val="1"/>
      </w:numPr>
      <w:tabs>
        <w:tab w:val="clear" w:pos="0"/>
      </w:tabs>
      <w:spacing w:before="960" w:after="480"/>
      <w:contextualSpacing/>
      <w:outlineLvl w:val="1"/>
    </w:pPr>
    <w:rPr>
      <w:bCs w:val="0"/>
      <w:iCs/>
    </w:rPr>
  </w:style>
  <w:style w:type="paragraph" w:styleId="Heading3">
    <w:name w:val="heading 3"/>
    <w:basedOn w:val="Heading2"/>
    <w:next w:val="Noindent"/>
    <w:qFormat/>
    <w:rsid w:val="008A110F"/>
    <w:pPr>
      <w:numPr>
        <w:ilvl w:val="2"/>
      </w:numPr>
      <w:tabs>
        <w:tab w:val="clear" w:pos="0"/>
      </w:tabs>
      <w:spacing w:before="480"/>
      <w:jc w:val="left"/>
      <w:outlineLvl w:val="2"/>
    </w:pPr>
    <w:rPr>
      <w:bCs/>
      <w:caps w:val="0"/>
    </w:rPr>
  </w:style>
  <w:style w:type="paragraph" w:styleId="Heading4">
    <w:name w:val="heading 4"/>
    <w:basedOn w:val="Heading3"/>
    <w:next w:val="Normal"/>
    <w:qFormat/>
    <w:rsid w:val="00276E7E"/>
    <w:pPr>
      <w:numPr>
        <w:ilvl w:val="3"/>
      </w:numPr>
      <w:tabs>
        <w:tab w:val="clear" w:pos="0"/>
      </w:tabs>
      <w:spacing w:after="0"/>
      <w:contextualSpacing w:val="0"/>
      <w:jc w:val="both"/>
      <w:outlineLvl w:val="3"/>
    </w:pPr>
    <w:rPr>
      <w:bCs w:val="0"/>
    </w:rPr>
  </w:style>
  <w:style w:type="paragraph" w:styleId="Heading5">
    <w:name w:val="heading 5"/>
    <w:basedOn w:val="Normal"/>
    <w:next w:val="Normal"/>
    <w:qFormat/>
    <w:rsid w:val="00DA5BA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DA5BA8"/>
    <w:pPr>
      <w:ind w:firstLine="0"/>
    </w:pPr>
    <w:rPr>
      <w:b/>
      <w:caps/>
    </w:rPr>
  </w:style>
  <w:style w:type="paragraph" w:customStyle="1" w:styleId="Noindent">
    <w:name w:val="No indent"/>
    <w:basedOn w:val="Normal"/>
    <w:next w:val="Normal"/>
    <w:rsid w:val="00200B2E"/>
    <w:pPr>
      <w:ind w:firstLine="0"/>
    </w:pPr>
  </w:style>
  <w:style w:type="paragraph" w:customStyle="1" w:styleId="AppSection">
    <w:name w:val="App Section"/>
    <w:basedOn w:val="Noindent"/>
    <w:next w:val="Noindent"/>
    <w:rsid w:val="00CE2FA5"/>
    <w:pPr>
      <w:keepNext/>
      <w:numPr>
        <w:ilvl w:val="5"/>
        <w:numId w:val="25"/>
      </w:numPr>
      <w:spacing w:before="960" w:after="480"/>
      <w:jc w:val="center"/>
    </w:pPr>
    <w:rPr>
      <w:b/>
      <w:caps/>
    </w:rPr>
  </w:style>
  <w:style w:type="paragraph" w:customStyle="1" w:styleId="Appendix">
    <w:name w:val="Appendix"/>
    <w:basedOn w:val="Normal"/>
    <w:next w:val="AppendixTitle"/>
    <w:rsid w:val="00CE2FA5"/>
    <w:pPr>
      <w:keepNext/>
      <w:pageBreakBefore/>
      <w:numPr>
        <w:ilvl w:val="4"/>
        <w:numId w:val="25"/>
      </w:numPr>
      <w:spacing w:before="1440" w:after="960"/>
      <w:jc w:val="center"/>
    </w:pPr>
  </w:style>
  <w:style w:type="paragraph" w:customStyle="1" w:styleId="AppendixTitle">
    <w:name w:val="Appendix Title"/>
    <w:basedOn w:val="Heading1"/>
    <w:next w:val="Noindent"/>
    <w:rsid w:val="008A110F"/>
    <w:pPr>
      <w:pageBreakBefore w:val="0"/>
      <w:numPr>
        <w:numId w:val="0"/>
      </w:numPr>
      <w:spacing w:before="0"/>
    </w:pPr>
  </w:style>
  <w:style w:type="paragraph" w:customStyle="1" w:styleId="BibliographyEntry">
    <w:name w:val="Bibliography Entry"/>
    <w:basedOn w:val="Normal"/>
    <w:rsid w:val="00DA5BA8"/>
    <w:pPr>
      <w:spacing w:after="240" w:line="240" w:lineRule="auto"/>
      <w:ind w:left="720" w:hanging="720"/>
    </w:pPr>
  </w:style>
  <w:style w:type="character" w:styleId="Hyperlink">
    <w:name w:val="Hyperlink"/>
    <w:uiPriority w:val="99"/>
    <w:rsid w:val="00367476"/>
    <w:rPr>
      <w:color w:val="0000FF"/>
      <w:u w:val="single"/>
    </w:rPr>
  </w:style>
  <w:style w:type="paragraph" w:customStyle="1" w:styleId="Heading">
    <w:name w:val="Heading"/>
    <w:basedOn w:val="Preliminary"/>
    <w:next w:val="Noindent"/>
    <w:rsid w:val="00CE2FA5"/>
  </w:style>
  <w:style w:type="paragraph" w:styleId="Header">
    <w:name w:val="header"/>
    <w:basedOn w:val="Normal"/>
    <w:semiHidden/>
    <w:rsid w:val="00367476"/>
    <w:pPr>
      <w:tabs>
        <w:tab w:val="center" w:pos="4320"/>
        <w:tab w:val="right" w:pos="8640"/>
      </w:tabs>
    </w:pPr>
  </w:style>
  <w:style w:type="paragraph" w:customStyle="1" w:styleId="Appsubsection">
    <w:name w:val="App subsection"/>
    <w:basedOn w:val="AppSection"/>
    <w:next w:val="Noindent"/>
    <w:rsid w:val="00CE2FA5"/>
    <w:pPr>
      <w:numPr>
        <w:ilvl w:val="6"/>
      </w:numPr>
      <w:spacing w:before="480"/>
      <w:ind w:left="0"/>
      <w:jc w:val="left"/>
    </w:pPr>
    <w:rPr>
      <w:caps w:val="0"/>
    </w:rPr>
  </w:style>
  <w:style w:type="paragraph" w:styleId="TOC2">
    <w:name w:val="toc 2"/>
    <w:basedOn w:val="Normal"/>
    <w:next w:val="Normal"/>
    <w:autoRedefine/>
    <w:uiPriority w:val="39"/>
    <w:rsid w:val="00DA5BA8"/>
    <w:pPr>
      <w:ind w:left="504" w:firstLine="0"/>
    </w:pPr>
    <w:rPr>
      <w:b/>
      <w:caps/>
    </w:rPr>
  </w:style>
  <w:style w:type="paragraph" w:styleId="TOC3">
    <w:name w:val="toc 3"/>
    <w:basedOn w:val="Normal"/>
    <w:next w:val="Normal"/>
    <w:autoRedefine/>
    <w:uiPriority w:val="39"/>
    <w:rsid w:val="00DA5BA8"/>
    <w:pPr>
      <w:ind w:left="1008" w:firstLine="0"/>
    </w:pPr>
    <w:rPr>
      <w:b/>
    </w:rPr>
  </w:style>
  <w:style w:type="paragraph" w:styleId="Footer">
    <w:name w:val="footer"/>
    <w:basedOn w:val="Normal"/>
    <w:semiHidden/>
    <w:rsid w:val="00367476"/>
    <w:pPr>
      <w:tabs>
        <w:tab w:val="center" w:pos="4320"/>
        <w:tab w:val="right" w:pos="8640"/>
      </w:tabs>
    </w:pPr>
  </w:style>
  <w:style w:type="paragraph" w:styleId="Caption">
    <w:name w:val="caption"/>
    <w:basedOn w:val="Normal"/>
    <w:next w:val="Normal"/>
    <w:qFormat/>
    <w:rsid w:val="000F16FC"/>
    <w:pPr>
      <w:keepNext/>
      <w:ind w:firstLine="0"/>
      <w:jc w:val="center"/>
    </w:pPr>
    <w:rPr>
      <w:b/>
      <w:bCs/>
      <w:sz w:val="20"/>
      <w:szCs w:val="20"/>
    </w:rPr>
  </w:style>
  <w:style w:type="paragraph" w:styleId="TOC4">
    <w:name w:val="toc 4"/>
    <w:basedOn w:val="Normal"/>
    <w:next w:val="Normal"/>
    <w:autoRedefine/>
    <w:uiPriority w:val="39"/>
    <w:rsid w:val="00DA5BA8"/>
    <w:pPr>
      <w:ind w:left="1512" w:firstLine="0"/>
    </w:pPr>
    <w:rPr>
      <w:b/>
    </w:rPr>
  </w:style>
  <w:style w:type="paragraph" w:customStyle="1" w:styleId="Preliminary">
    <w:name w:val="Preliminary"/>
    <w:basedOn w:val="Heading1"/>
    <w:next w:val="Noindent"/>
    <w:rsid w:val="008A110F"/>
    <w:pPr>
      <w:numPr>
        <w:numId w:val="0"/>
      </w:numPr>
    </w:pPr>
  </w:style>
  <w:style w:type="table" w:styleId="TableGrid">
    <w:name w:val="Table Grid"/>
    <w:basedOn w:val="TableNormal"/>
    <w:semiHidden/>
    <w:rsid w:val="002706BA"/>
    <w:pPr>
      <w:spacing w:line="360"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indent"/>
    <w:next w:val="Normal"/>
    <w:uiPriority w:val="99"/>
    <w:rsid w:val="00B424B6"/>
  </w:style>
  <w:style w:type="paragraph" w:styleId="ListParagraph">
    <w:name w:val="List Paragraph"/>
    <w:basedOn w:val="Normal"/>
    <w:uiPriority w:val="34"/>
    <w:qFormat/>
    <w:rsid w:val="00AB4875"/>
    <w:pPr>
      <w:spacing w:line="240" w:lineRule="auto"/>
      <w:ind w:left="720" w:firstLine="0"/>
      <w:contextualSpacing/>
      <w:jc w:val="left"/>
    </w:pPr>
    <w:rPr>
      <w:rFonts w:ascii="Calibri" w:eastAsia="Calibri" w:hAnsi="Calibri"/>
    </w:rPr>
  </w:style>
  <w:style w:type="character" w:customStyle="1" w:styleId="apple-converted-space">
    <w:name w:val="apple-converted-space"/>
    <w:basedOn w:val="DefaultParagraphFont"/>
    <w:rsid w:val="00122A51"/>
  </w:style>
  <w:style w:type="character" w:styleId="CommentReference">
    <w:name w:val="annotation reference"/>
    <w:basedOn w:val="DefaultParagraphFont"/>
    <w:rsid w:val="009463E7"/>
    <w:rPr>
      <w:sz w:val="18"/>
      <w:szCs w:val="18"/>
    </w:rPr>
  </w:style>
  <w:style w:type="paragraph" w:styleId="CommentText">
    <w:name w:val="annotation text"/>
    <w:basedOn w:val="Normal"/>
    <w:link w:val="CommentTextChar"/>
    <w:rsid w:val="009463E7"/>
    <w:pPr>
      <w:spacing w:line="240" w:lineRule="auto"/>
    </w:pPr>
  </w:style>
  <w:style w:type="character" w:customStyle="1" w:styleId="CommentTextChar">
    <w:name w:val="Comment Text Char"/>
    <w:basedOn w:val="DefaultParagraphFont"/>
    <w:link w:val="CommentText"/>
    <w:rsid w:val="009463E7"/>
  </w:style>
  <w:style w:type="paragraph" w:styleId="CommentSubject">
    <w:name w:val="annotation subject"/>
    <w:basedOn w:val="CommentText"/>
    <w:next w:val="CommentText"/>
    <w:link w:val="CommentSubjectChar"/>
    <w:rsid w:val="009463E7"/>
    <w:rPr>
      <w:b/>
      <w:bCs/>
      <w:sz w:val="20"/>
      <w:szCs w:val="20"/>
    </w:rPr>
  </w:style>
  <w:style w:type="character" w:customStyle="1" w:styleId="CommentSubjectChar">
    <w:name w:val="Comment Subject Char"/>
    <w:basedOn w:val="CommentTextChar"/>
    <w:link w:val="CommentSubject"/>
    <w:rsid w:val="009463E7"/>
    <w:rPr>
      <w:b/>
      <w:bCs/>
      <w:sz w:val="20"/>
      <w:szCs w:val="20"/>
    </w:rPr>
  </w:style>
  <w:style w:type="paragraph" w:styleId="BalloonText">
    <w:name w:val="Balloon Text"/>
    <w:basedOn w:val="Normal"/>
    <w:link w:val="BalloonTextChar"/>
    <w:rsid w:val="009463E7"/>
    <w:pPr>
      <w:spacing w:line="240" w:lineRule="auto"/>
    </w:pPr>
    <w:rPr>
      <w:sz w:val="18"/>
      <w:szCs w:val="18"/>
    </w:rPr>
  </w:style>
  <w:style w:type="character" w:customStyle="1" w:styleId="BalloonTextChar">
    <w:name w:val="Balloon Text Char"/>
    <w:basedOn w:val="DefaultParagraphFont"/>
    <w:link w:val="BalloonText"/>
    <w:rsid w:val="009463E7"/>
    <w:rPr>
      <w:sz w:val="18"/>
      <w:szCs w:val="18"/>
    </w:rPr>
  </w:style>
  <w:style w:type="paragraph" w:styleId="Revision">
    <w:name w:val="Revision"/>
    <w:hidden/>
    <w:uiPriority w:val="99"/>
    <w:semiHidden/>
    <w:rsid w:val="00E6582E"/>
  </w:style>
  <w:style w:type="paragraph" w:styleId="NoSpacing">
    <w:name w:val="No Spacing"/>
    <w:uiPriority w:val="1"/>
    <w:qFormat/>
    <w:rsid w:val="00E1033F"/>
    <w:pPr>
      <w:ind w:firstLine="72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219882">
      <w:bodyDiv w:val="1"/>
      <w:marLeft w:val="0"/>
      <w:marRight w:val="0"/>
      <w:marTop w:val="0"/>
      <w:marBottom w:val="0"/>
      <w:divBdr>
        <w:top w:val="none" w:sz="0" w:space="0" w:color="auto"/>
        <w:left w:val="none" w:sz="0" w:space="0" w:color="auto"/>
        <w:bottom w:val="none" w:sz="0" w:space="0" w:color="auto"/>
        <w:right w:val="none" w:sz="0" w:space="0" w:color="auto"/>
      </w:divBdr>
    </w:div>
    <w:div w:id="177963000">
      <w:bodyDiv w:val="1"/>
      <w:marLeft w:val="0"/>
      <w:marRight w:val="0"/>
      <w:marTop w:val="0"/>
      <w:marBottom w:val="0"/>
      <w:divBdr>
        <w:top w:val="none" w:sz="0" w:space="0" w:color="auto"/>
        <w:left w:val="none" w:sz="0" w:space="0" w:color="auto"/>
        <w:bottom w:val="none" w:sz="0" w:space="0" w:color="auto"/>
        <w:right w:val="none" w:sz="0" w:space="0" w:color="auto"/>
      </w:divBdr>
    </w:div>
    <w:div w:id="193152021">
      <w:bodyDiv w:val="1"/>
      <w:marLeft w:val="0"/>
      <w:marRight w:val="0"/>
      <w:marTop w:val="0"/>
      <w:marBottom w:val="0"/>
      <w:divBdr>
        <w:top w:val="none" w:sz="0" w:space="0" w:color="auto"/>
        <w:left w:val="none" w:sz="0" w:space="0" w:color="auto"/>
        <w:bottom w:val="none" w:sz="0" w:space="0" w:color="auto"/>
        <w:right w:val="none" w:sz="0" w:space="0" w:color="auto"/>
      </w:divBdr>
    </w:div>
    <w:div w:id="234900884">
      <w:bodyDiv w:val="1"/>
      <w:marLeft w:val="0"/>
      <w:marRight w:val="0"/>
      <w:marTop w:val="0"/>
      <w:marBottom w:val="0"/>
      <w:divBdr>
        <w:top w:val="none" w:sz="0" w:space="0" w:color="auto"/>
        <w:left w:val="none" w:sz="0" w:space="0" w:color="auto"/>
        <w:bottom w:val="none" w:sz="0" w:space="0" w:color="auto"/>
        <w:right w:val="none" w:sz="0" w:space="0" w:color="auto"/>
      </w:divBdr>
    </w:div>
    <w:div w:id="364408144">
      <w:bodyDiv w:val="1"/>
      <w:marLeft w:val="0"/>
      <w:marRight w:val="0"/>
      <w:marTop w:val="0"/>
      <w:marBottom w:val="0"/>
      <w:divBdr>
        <w:top w:val="none" w:sz="0" w:space="0" w:color="auto"/>
        <w:left w:val="none" w:sz="0" w:space="0" w:color="auto"/>
        <w:bottom w:val="none" w:sz="0" w:space="0" w:color="auto"/>
        <w:right w:val="none" w:sz="0" w:space="0" w:color="auto"/>
      </w:divBdr>
    </w:div>
    <w:div w:id="473261219">
      <w:bodyDiv w:val="1"/>
      <w:marLeft w:val="0"/>
      <w:marRight w:val="0"/>
      <w:marTop w:val="0"/>
      <w:marBottom w:val="0"/>
      <w:divBdr>
        <w:top w:val="none" w:sz="0" w:space="0" w:color="auto"/>
        <w:left w:val="none" w:sz="0" w:space="0" w:color="auto"/>
        <w:bottom w:val="none" w:sz="0" w:space="0" w:color="auto"/>
        <w:right w:val="none" w:sz="0" w:space="0" w:color="auto"/>
      </w:divBdr>
    </w:div>
    <w:div w:id="600525522">
      <w:bodyDiv w:val="1"/>
      <w:marLeft w:val="0"/>
      <w:marRight w:val="0"/>
      <w:marTop w:val="0"/>
      <w:marBottom w:val="0"/>
      <w:divBdr>
        <w:top w:val="none" w:sz="0" w:space="0" w:color="auto"/>
        <w:left w:val="none" w:sz="0" w:space="0" w:color="auto"/>
        <w:bottom w:val="none" w:sz="0" w:space="0" w:color="auto"/>
        <w:right w:val="none" w:sz="0" w:space="0" w:color="auto"/>
      </w:divBdr>
    </w:div>
    <w:div w:id="627513076">
      <w:bodyDiv w:val="1"/>
      <w:marLeft w:val="0"/>
      <w:marRight w:val="0"/>
      <w:marTop w:val="0"/>
      <w:marBottom w:val="0"/>
      <w:divBdr>
        <w:top w:val="none" w:sz="0" w:space="0" w:color="auto"/>
        <w:left w:val="none" w:sz="0" w:space="0" w:color="auto"/>
        <w:bottom w:val="none" w:sz="0" w:space="0" w:color="auto"/>
        <w:right w:val="none" w:sz="0" w:space="0" w:color="auto"/>
      </w:divBdr>
    </w:div>
    <w:div w:id="840778247">
      <w:bodyDiv w:val="1"/>
      <w:marLeft w:val="0"/>
      <w:marRight w:val="0"/>
      <w:marTop w:val="0"/>
      <w:marBottom w:val="0"/>
      <w:divBdr>
        <w:top w:val="none" w:sz="0" w:space="0" w:color="auto"/>
        <w:left w:val="none" w:sz="0" w:space="0" w:color="auto"/>
        <w:bottom w:val="none" w:sz="0" w:space="0" w:color="auto"/>
        <w:right w:val="none" w:sz="0" w:space="0" w:color="auto"/>
      </w:divBdr>
    </w:div>
    <w:div w:id="912131467">
      <w:bodyDiv w:val="1"/>
      <w:marLeft w:val="0"/>
      <w:marRight w:val="0"/>
      <w:marTop w:val="0"/>
      <w:marBottom w:val="0"/>
      <w:divBdr>
        <w:top w:val="none" w:sz="0" w:space="0" w:color="auto"/>
        <w:left w:val="none" w:sz="0" w:space="0" w:color="auto"/>
        <w:bottom w:val="none" w:sz="0" w:space="0" w:color="auto"/>
        <w:right w:val="none" w:sz="0" w:space="0" w:color="auto"/>
      </w:divBdr>
    </w:div>
    <w:div w:id="941113952">
      <w:bodyDiv w:val="1"/>
      <w:marLeft w:val="0"/>
      <w:marRight w:val="0"/>
      <w:marTop w:val="0"/>
      <w:marBottom w:val="0"/>
      <w:divBdr>
        <w:top w:val="none" w:sz="0" w:space="0" w:color="auto"/>
        <w:left w:val="none" w:sz="0" w:space="0" w:color="auto"/>
        <w:bottom w:val="none" w:sz="0" w:space="0" w:color="auto"/>
        <w:right w:val="none" w:sz="0" w:space="0" w:color="auto"/>
      </w:divBdr>
    </w:div>
    <w:div w:id="1010376264">
      <w:bodyDiv w:val="1"/>
      <w:marLeft w:val="0"/>
      <w:marRight w:val="0"/>
      <w:marTop w:val="0"/>
      <w:marBottom w:val="0"/>
      <w:divBdr>
        <w:top w:val="none" w:sz="0" w:space="0" w:color="auto"/>
        <w:left w:val="none" w:sz="0" w:space="0" w:color="auto"/>
        <w:bottom w:val="none" w:sz="0" w:space="0" w:color="auto"/>
        <w:right w:val="none" w:sz="0" w:space="0" w:color="auto"/>
      </w:divBdr>
    </w:div>
    <w:div w:id="1129473473">
      <w:bodyDiv w:val="1"/>
      <w:marLeft w:val="0"/>
      <w:marRight w:val="0"/>
      <w:marTop w:val="0"/>
      <w:marBottom w:val="0"/>
      <w:divBdr>
        <w:top w:val="none" w:sz="0" w:space="0" w:color="auto"/>
        <w:left w:val="none" w:sz="0" w:space="0" w:color="auto"/>
        <w:bottom w:val="none" w:sz="0" w:space="0" w:color="auto"/>
        <w:right w:val="none" w:sz="0" w:space="0" w:color="auto"/>
      </w:divBdr>
    </w:div>
    <w:div w:id="1176921421">
      <w:bodyDiv w:val="1"/>
      <w:marLeft w:val="0"/>
      <w:marRight w:val="0"/>
      <w:marTop w:val="0"/>
      <w:marBottom w:val="0"/>
      <w:divBdr>
        <w:top w:val="none" w:sz="0" w:space="0" w:color="auto"/>
        <w:left w:val="none" w:sz="0" w:space="0" w:color="auto"/>
        <w:bottom w:val="none" w:sz="0" w:space="0" w:color="auto"/>
        <w:right w:val="none" w:sz="0" w:space="0" w:color="auto"/>
      </w:divBdr>
    </w:div>
    <w:div w:id="1215892850">
      <w:bodyDiv w:val="1"/>
      <w:marLeft w:val="0"/>
      <w:marRight w:val="0"/>
      <w:marTop w:val="0"/>
      <w:marBottom w:val="0"/>
      <w:divBdr>
        <w:top w:val="none" w:sz="0" w:space="0" w:color="auto"/>
        <w:left w:val="none" w:sz="0" w:space="0" w:color="auto"/>
        <w:bottom w:val="none" w:sz="0" w:space="0" w:color="auto"/>
        <w:right w:val="none" w:sz="0" w:space="0" w:color="auto"/>
      </w:divBdr>
    </w:div>
    <w:div w:id="1263878850">
      <w:bodyDiv w:val="1"/>
      <w:marLeft w:val="0"/>
      <w:marRight w:val="0"/>
      <w:marTop w:val="0"/>
      <w:marBottom w:val="0"/>
      <w:divBdr>
        <w:top w:val="none" w:sz="0" w:space="0" w:color="auto"/>
        <w:left w:val="none" w:sz="0" w:space="0" w:color="auto"/>
        <w:bottom w:val="none" w:sz="0" w:space="0" w:color="auto"/>
        <w:right w:val="none" w:sz="0" w:space="0" w:color="auto"/>
      </w:divBdr>
    </w:div>
    <w:div w:id="1294795427">
      <w:bodyDiv w:val="1"/>
      <w:marLeft w:val="0"/>
      <w:marRight w:val="0"/>
      <w:marTop w:val="0"/>
      <w:marBottom w:val="0"/>
      <w:divBdr>
        <w:top w:val="none" w:sz="0" w:space="0" w:color="auto"/>
        <w:left w:val="none" w:sz="0" w:space="0" w:color="auto"/>
        <w:bottom w:val="none" w:sz="0" w:space="0" w:color="auto"/>
        <w:right w:val="none" w:sz="0" w:space="0" w:color="auto"/>
      </w:divBdr>
    </w:div>
    <w:div w:id="1422069536">
      <w:bodyDiv w:val="1"/>
      <w:marLeft w:val="0"/>
      <w:marRight w:val="0"/>
      <w:marTop w:val="0"/>
      <w:marBottom w:val="0"/>
      <w:divBdr>
        <w:top w:val="none" w:sz="0" w:space="0" w:color="auto"/>
        <w:left w:val="none" w:sz="0" w:space="0" w:color="auto"/>
        <w:bottom w:val="none" w:sz="0" w:space="0" w:color="auto"/>
        <w:right w:val="none" w:sz="0" w:space="0" w:color="auto"/>
      </w:divBdr>
    </w:div>
    <w:div w:id="1956401946">
      <w:bodyDiv w:val="1"/>
      <w:marLeft w:val="0"/>
      <w:marRight w:val="0"/>
      <w:marTop w:val="0"/>
      <w:marBottom w:val="0"/>
      <w:divBdr>
        <w:top w:val="none" w:sz="0" w:space="0" w:color="auto"/>
        <w:left w:val="none" w:sz="0" w:space="0" w:color="auto"/>
        <w:bottom w:val="none" w:sz="0" w:space="0" w:color="auto"/>
        <w:right w:val="none" w:sz="0" w:space="0" w:color="auto"/>
      </w:divBdr>
    </w:div>
    <w:div w:id="1960645292">
      <w:bodyDiv w:val="1"/>
      <w:marLeft w:val="0"/>
      <w:marRight w:val="0"/>
      <w:marTop w:val="0"/>
      <w:marBottom w:val="0"/>
      <w:divBdr>
        <w:top w:val="none" w:sz="0" w:space="0" w:color="auto"/>
        <w:left w:val="none" w:sz="0" w:space="0" w:color="auto"/>
        <w:bottom w:val="none" w:sz="0" w:space="0" w:color="auto"/>
        <w:right w:val="none" w:sz="0" w:space="0" w:color="auto"/>
      </w:divBdr>
    </w:div>
    <w:div w:id="2011831259">
      <w:bodyDiv w:val="1"/>
      <w:marLeft w:val="0"/>
      <w:marRight w:val="0"/>
      <w:marTop w:val="0"/>
      <w:marBottom w:val="0"/>
      <w:divBdr>
        <w:top w:val="none" w:sz="0" w:space="0" w:color="auto"/>
        <w:left w:val="none" w:sz="0" w:space="0" w:color="auto"/>
        <w:bottom w:val="none" w:sz="0" w:space="0" w:color="auto"/>
        <w:right w:val="none" w:sz="0" w:space="0" w:color="auto"/>
      </w:divBdr>
    </w:div>
    <w:div w:id="2025202309">
      <w:bodyDiv w:val="1"/>
      <w:marLeft w:val="0"/>
      <w:marRight w:val="0"/>
      <w:marTop w:val="0"/>
      <w:marBottom w:val="0"/>
      <w:divBdr>
        <w:top w:val="none" w:sz="0" w:space="0" w:color="auto"/>
        <w:left w:val="none" w:sz="0" w:space="0" w:color="auto"/>
        <w:bottom w:val="none" w:sz="0" w:space="0" w:color="auto"/>
        <w:right w:val="none" w:sz="0" w:space="0" w:color="auto"/>
      </w:divBdr>
    </w:div>
    <w:div w:id="21152015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image" Target="media/image17.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rlh52\LOCALS~1\Temp\ETD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3E1A92D-FE5F-47FD-981C-D4B9D2D5B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ETDword.dot</Template>
  <TotalTime>0</TotalTime>
  <Pages>141</Pages>
  <Words>28944</Words>
  <Characters>1206217</Characters>
  <Application>Microsoft Office Word</Application>
  <DocSecurity>0</DocSecurity>
  <Lines>10051</Lines>
  <Paragraphs>2465</Paragraphs>
  <ScaleCrop>false</ScaleCrop>
  <HeadingPairs>
    <vt:vector size="2" baseType="variant">
      <vt:variant>
        <vt:lpstr>Title</vt:lpstr>
      </vt:variant>
      <vt:variant>
        <vt:i4>1</vt:i4>
      </vt:variant>
    </vt:vector>
  </HeadingPairs>
  <TitlesOfParts>
    <vt:vector size="1" baseType="lpstr">
      <vt:lpstr/>
    </vt:vector>
  </TitlesOfParts>
  <Company>University of Pittsburgh</Company>
  <LinksUpToDate>false</LinksUpToDate>
  <CharactersWithSpaces>1232696</CharactersWithSpaces>
  <SharedDoc>false</SharedDoc>
  <HLinks>
    <vt:vector size="336" baseType="variant">
      <vt:variant>
        <vt:i4>1441802</vt:i4>
      </vt:variant>
      <vt:variant>
        <vt:i4>347</vt:i4>
      </vt:variant>
      <vt:variant>
        <vt:i4>0</vt:i4>
      </vt:variant>
      <vt:variant>
        <vt:i4>5</vt:i4>
      </vt:variant>
      <vt:variant>
        <vt:lpwstr/>
      </vt:variant>
      <vt:variant>
        <vt:lpwstr>_Toc114179880</vt:lpwstr>
      </vt:variant>
      <vt:variant>
        <vt:i4>1441805</vt:i4>
      </vt:variant>
      <vt:variant>
        <vt:i4>338</vt:i4>
      </vt:variant>
      <vt:variant>
        <vt:i4>0</vt:i4>
      </vt:variant>
      <vt:variant>
        <vt:i4>5</vt:i4>
      </vt:variant>
      <vt:variant>
        <vt:lpwstr/>
      </vt:variant>
      <vt:variant>
        <vt:lpwstr>_Toc114179887</vt:lpwstr>
      </vt:variant>
      <vt:variant>
        <vt:i4>1441801</vt:i4>
      </vt:variant>
      <vt:variant>
        <vt:i4>329</vt:i4>
      </vt:variant>
      <vt:variant>
        <vt:i4>0</vt:i4>
      </vt:variant>
      <vt:variant>
        <vt:i4>5</vt:i4>
      </vt:variant>
      <vt:variant>
        <vt:lpwstr/>
      </vt:variant>
      <vt:variant>
        <vt:lpwstr>_Toc497823830</vt:lpwstr>
      </vt:variant>
      <vt:variant>
        <vt:i4>1507328</vt:i4>
      </vt:variant>
      <vt:variant>
        <vt:i4>323</vt:i4>
      </vt:variant>
      <vt:variant>
        <vt:i4>0</vt:i4>
      </vt:variant>
      <vt:variant>
        <vt:i4>5</vt:i4>
      </vt:variant>
      <vt:variant>
        <vt:lpwstr/>
      </vt:variant>
      <vt:variant>
        <vt:lpwstr>_Toc497823829</vt:lpwstr>
      </vt:variant>
      <vt:variant>
        <vt:i4>1507329</vt:i4>
      </vt:variant>
      <vt:variant>
        <vt:i4>317</vt:i4>
      </vt:variant>
      <vt:variant>
        <vt:i4>0</vt:i4>
      </vt:variant>
      <vt:variant>
        <vt:i4>5</vt:i4>
      </vt:variant>
      <vt:variant>
        <vt:lpwstr/>
      </vt:variant>
      <vt:variant>
        <vt:lpwstr>_Toc497823828</vt:lpwstr>
      </vt:variant>
      <vt:variant>
        <vt:i4>1507342</vt:i4>
      </vt:variant>
      <vt:variant>
        <vt:i4>311</vt:i4>
      </vt:variant>
      <vt:variant>
        <vt:i4>0</vt:i4>
      </vt:variant>
      <vt:variant>
        <vt:i4>5</vt:i4>
      </vt:variant>
      <vt:variant>
        <vt:lpwstr/>
      </vt:variant>
      <vt:variant>
        <vt:lpwstr>_Toc497823827</vt:lpwstr>
      </vt:variant>
      <vt:variant>
        <vt:i4>1507343</vt:i4>
      </vt:variant>
      <vt:variant>
        <vt:i4>305</vt:i4>
      </vt:variant>
      <vt:variant>
        <vt:i4>0</vt:i4>
      </vt:variant>
      <vt:variant>
        <vt:i4>5</vt:i4>
      </vt:variant>
      <vt:variant>
        <vt:lpwstr/>
      </vt:variant>
      <vt:variant>
        <vt:lpwstr>_Toc497823826</vt:lpwstr>
      </vt:variant>
      <vt:variant>
        <vt:i4>1507340</vt:i4>
      </vt:variant>
      <vt:variant>
        <vt:i4>299</vt:i4>
      </vt:variant>
      <vt:variant>
        <vt:i4>0</vt:i4>
      </vt:variant>
      <vt:variant>
        <vt:i4>5</vt:i4>
      </vt:variant>
      <vt:variant>
        <vt:lpwstr/>
      </vt:variant>
      <vt:variant>
        <vt:lpwstr>_Toc497823825</vt:lpwstr>
      </vt:variant>
      <vt:variant>
        <vt:i4>1507341</vt:i4>
      </vt:variant>
      <vt:variant>
        <vt:i4>293</vt:i4>
      </vt:variant>
      <vt:variant>
        <vt:i4>0</vt:i4>
      </vt:variant>
      <vt:variant>
        <vt:i4>5</vt:i4>
      </vt:variant>
      <vt:variant>
        <vt:lpwstr/>
      </vt:variant>
      <vt:variant>
        <vt:lpwstr>_Toc497823824</vt:lpwstr>
      </vt:variant>
      <vt:variant>
        <vt:i4>1507338</vt:i4>
      </vt:variant>
      <vt:variant>
        <vt:i4>287</vt:i4>
      </vt:variant>
      <vt:variant>
        <vt:i4>0</vt:i4>
      </vt:variant>
      <vt:variant>
        <vt:i4>5</vt:i4>
      </vt:variant>
      <vt:variant>
        <vt:lpwstr/>
      </vt:variant>
      <vt:variant>
        <vt:lpwstr>_Toc497823823</vt:lpwstr>
      </vt:variant>
      <vt:variant>
        <vt:i4>1507339</vt:i4>
      </vt:variant>
      <vt:variant>
        <vt:i4>281</vt:i4>
      </vt:variant>
      <vt:variant>
        <vt:i4>0</vt:i4>
      </vt:variant>
      <vt:variant>
        <vt:i4>5</vt:i4>
      </vt:variant>
      <vt:variant>
        <vt:lpwstr/>
      </vt:variant>
      <vt:variant>
        <vt:lpwstr>_Toc497823822</vt:lpwstr>
      </vt:variant>
      <vt:variant>
        <vt:i4>1507336</vt:i4>
      </vt:variant>
      <vt:variant>
        <vt:i4>275</vt:i4>
      </vt:variant>
      <vt:variant>
        <vt:i4>0</vt:i4>
      </vt:variant>
      <vt:variant>
        <vt:i4>5</vt:i4>
      </vt:variant>
      <vt:variant>
        <vt:lpwstr/>
      </vt:variant>
      <vt:variant>
        <vt:lpwstr>_Toc497823821</vt:lpwstr>
      </vt:variant>
      <vt:variant>
        <vt:i4>1507337</vt:i4>
      </vt:variant>
      <vt:variant>
        <vt:i4>269</vt:i4>
      </vt:variant>
      <vt:variant>
        <vt:i4>0</vt:i4>
      </vt:variant>
      <vt:variant>
        <vt:i4>5</vt:i4>
      </vt:variant>
      <vt:variant>
        <vt:lpwstr/>
      </vt:variant>
      <vt:variant>
        <vt:lpwstr>_Toc497823820</vt:lpwstr>
      </vt:variant>
      <vt:variant>
        <vt:i4>1310720</vt:i4>
      </vt:variant>
      <vt:variant>
        <vt:i4>263</vt:i4>
      </vt:variant>
      <vt:variant>
        <vt:i4>0</vt:i4>
      </vt:variant>
      <vt:variant>
        <vt:i4>5</vt:i4>
      </vt:variant>
      <vt:variant>
        <vt:lpwstr/>
      </vt:variant>
      <vt:variant>
        <vt:lpwstr>_Toc497823819</vt:lpwstr>
      </vt:variant>
      <vt:variant>
        <vt:i4>1310721</vt:i4>
      </vt:variant>
      <vt:variant>
        <vt:i4>257</vt:i4>
      </vt:variant>
      <vt:variant>
        <vt:i4>0</vt:i4>
      </vt:variant>
      <vt:variant>
        <vt:i4>5</vt:i4>
      </vt:variant>
      <vt:variant>
        <vt:lpwstr/>
      </vt:variant>
      <vt:variant>
        <vt:lpwstr>_Toc497823818</vt:lpwstr>
      </vt:variant>
      <vt:variant>
        <vt:i4>1310734</vt:i4>
      </vt:variant>
      <vt:variant>
        <vt:i4>251</vt:i4>
      </vt:variant>
      <vt:variant>
        <vt:i4>0</vt:i4>
      </vt:variant>
      <vt:variant>
        <vt:i4>5</vt:i4>
      </vt:variant>
      <vt:variant>
        <vt:lpwstr/>
      </vt:variant>
      <vt:variant>
        <vt:lpwstr>_Toc497823817</vt:lpwstr>
      </vt:variant>
      <vt:variant>
        <vt:i4>1310735</vt:i4>
      </vt:variant>
      <vt:variant>
        <vt:i4>245</vt:i4>
      </vt:variant>
      <vt:variant>
        <vt:i4>0</vt:i4>
      </vt:variant>
      <vt:variant>
        <vt:i4>5</vt:i4>
      </vt:variant>
      <vt:variant>
        <vt:lpwstr/>
      </vt:variant>
      <vt:variant>
        <vt:lpwstr>_Toc497823816</vt:lpwstr>
      </vt:variant>
      <vt:variant>
        <vt:i4>1310732</vt:i4>
      </vt:variant>
      <vt:variant>
        <vt:i4>239</vt:i4>
      </vt:variant>
      <vt:variant>
        <vt:i4>0</vt:i4>
      </vt:variant>
      <vt:variant>
        <vt:i4>5</vt:i4>
      </vt:variant>
      <vt:variant>
        <vt:lpwstr/>
      </vt:variant>
      <vt:variant>
        <vt:lpwstr>_Toc497823815</vt:lpwstr>
      </vt:variant>
      <vt:variant>
        <vt:i4>1310733</vt:i4>
      </vt:variant>
      <vt:variant>
        <vt:i4>233</vt:i4>
      </vt:variant>
      <vt:variant>
        <vt:i4>0</vt:i4>
      </vt:variant>
      <vt:variant>
        <vt:i4>5</vt:i4>
      </vt:variant>
      <vt:variant>
        <vt:lpwstr/>
      </vt:variant>
      <vt:variant>
        <vt:lpwstr>_Toc497823814</vt:lpwstr>
      </vt:variant>
      <vt:variant>
        <vt:i4>1310730</vt:i4>
      </vt:variant>
      <vt:variant>
        <vt:i4>227</vt:i4>
      </vt:variant>
      <vt:variant>
        <vt:i4>0</vt:i4>
      </vt:variant>
      <vt:variant>
        <vt:i4>5</vt:i4>
      </vt:variant>
      <vt:variant>
        <vt:lpwstr/>
      </vt:variant>
      <vt:variant>
        <vt:lpwstr>_Toc497823813</vt:lpwstr>
      </vt:variant>
      <vt:variant>
        <vt:i4>1310731</vt:i4>
      </vt:variant>
      <vt:variant>
        <vt:i4>221</vt:i4>
      </vt:variant>
      <vt:variant>
        <vt:i4>0</vt:i4>
      </vt:variant>
      <vt:variant>
        <vt:i4>5</vt:i4>
      </vt:variant>
      <vt:variant>
        <vt:lpwstr/>
      </vt:variant>
      <vt:variant>
        <vt:lpwstr>_Toc497823812</vt:lpwstr>
      </vt:variant>
      <vt:variant>
        <vt:i4>1310728</vt:i4>
      </vt:variant>
      <vt:variant>
        <vt:i4>215</vt:i4>
      </vt:variant>
      <vt:variant>
        <vt:i4>0</vt:i4>
      </vt:variant>
      <vt:variant>
        <vt:i4>5</vt:i4>
      </vt:variant>
      <vt:variant>
        <vt:lpwstr/>
      </vt:variant>
      <vt:variant>
        <vt:lpwstr>_Toc497823811</vt:lpwstr>
      </vt:variant>
      <vt:variant>
        <vt:i4>1310729</vt:i4>
      </vt:variant>
      <vt:variant>
        <vt:i4>209</vt:i4>
      </vt:variant>
      <vt:variant>
        <vt:i4>0</vt:i4>
      </vt:variant>
      <vt:variant>
        <vt:i4>5</vt:i4>
      </vt:variant>
      <vt:variant>
        <vt:lpwstr/>
      </vt:variant>
      <vt:variant>
        <vt:lpwstr>_Toc497823810</vt:lpwstr>
      </vt:variant>
      <vt:variant>
        <vt:i4>1376256</vt:i4>
      </vt:variant>
      <vt:variant>
        <vt:i4>203</vt:i4>
      </vt:variant>
      <vt:variant>
        <vt:i4>0</vt:i4>
      </vt:variant>
      <vt:variant>
        <vt:i4>5</vt:i4>
      </vt:variant>
      <vt:variant>
        <vt:lpwstr/>
      </vt:variant>
      <vt:variant>
        <vt:lpwstr>_Toc497823809</vt:lpwstr>
      </vt:variant>
      <vt:variant>
        <vt:i4>1376257</vt:i4>
      </vt:variant>
      <vt:variant>
        <vt:i4>197</vt:i4>
      </vt:variant>
      <vt:variant>
        <vt:i4>0</vt:i4>
      </vt:variant>
      <vt:variant>
        <vt:i4>5</vt:i4>
      </vt:variant>
      <vt:variant>
        <vt:lpwstr/>
      </vt:variant>
      <vt:variant>
        <vt:lpwstr>_Toc497823808</vt:lpwstr>
      </vt:variant>
      <vt:variant>
        <vt:i4>1376270</vt:i4>
      </vt:variant>
      <vt:variant>
        <vt:i4>191</vt:i4>
      </vt:variant>
      <vt:variant>
        <vt:i4>0</vt:i4>
      </vt:variant>
      <vt:variant>
        <vt:i4>5</vt:i4>
      </vt:variant>
      <vt:variant>
        <vt:lpwstr/>
      </vt:variant>
      <vt:variant>
        <vt:lpwstr>_Toc497823807</vt:lpwstr>
      </vt:variant>
      <vt:variant>
        <vt:i4>1376271</vt:i4>
      </vt:variant>
      <vt:variant>
        <vt:i4>185</vt:i4>
      </vt:variant>
      <vt:variant>
        <vt:i4>0</vt:i4>
      </vt:variant>
      <vt:variant>
        <vt:i4>5</vt:i4>
      </vt:variant>
      <vt:variant>
        <vt:lpwstr/>
      </vt:variant>
      <vt:variant>
        <vt:lpwstr>_Toc497823806</vt:lpwstr>
      </vt:variant>
      <vt:variant>
        <vt:i4>1376268</vt:i4>
      </vt:variant>
      <vt:variant>
        <vt:i4>179</vt:i4>
      </vt:variant>
      <vt:variant>
        <vt:i4>0</vt:i4>
      </vt:variant>
      <vt:variant>
        <vt:i4>5</vt:i4>
      </vt:variant>
      <vt:variant>
        <vt:lpwstr/>
      </vt:variant>
      <vt:variant>
        <vt:lpwstr>_Toc497823805</vt:lpwstr>
      </vt:variant>
      <vt:variant>
        <vt:i4>1376269</vt:i4>
      </vt:variant>
      <vt:variant>
        <vt:i4>173</vt:i4>
      </vt:variant>
      <vt:variant>
        <vt:i4>0</vt:i4>
      </vt:variant>
      <vt:variant>
        <vt:i4>5</vt:i4>
      </vt:variant>
      <vt:variant>
        <vt:lpwstr/>
      </vt:variant>
      <vt:variant>
        <vt:lpwstr>_Toc497823804</vt:lpwstr>
      </vt:variant>
      <vt:variant>
        <vt:i4>1376266</vt:i4>
      </vt:variant>
      <vt:variant>
        <vt:i4>167</vt:i4>
      </vt:variant>
      <vt:variant>
        <vt:i4>0</vt:i4>
      </vt:variant>
      <vt:variant>
        <vt:i4>5</vt:i4>
      </vt:variant>
      <vt:variant>
        <vt:lpwstr/>
      </vt:variant>
      <vt:variant>
        <vt:lpwstr>_Toc497823803</vt:lpwstr>
      </vt:variant>
      <vt:variant>
        <vt:i4>1376267</vt:i4>
      </vt:variant>
      <vt:variant>
        <vt:i4>161</vt:i4>
      </vt:variant>
      <vt:variant>
        <vt:i4>0</vt:i4>
      </vt:variant>
      <vt:variant>
        <vt:i4>5</vt:i4>
      </vt:variant>
      <vt:variant>
        <vt:lpwstr/>
      </vt:variant>
      <vt:variant>
        <vt:lpwstr>_Toc497823802</vt:lpwstr>
      </vt:variant>
      <vt:variant>
        <vt:i4>1376264</vt:i4>
      </vt:variant>
      <vt:variant>
        <vt:i4>155</vt:i4>
      </vt:variant>
      <vt:variant>
        <vt:i4>0</vt:i4>
      </vt:variant>
      <vt:variant>
        <vt:i4>5</vt:i4>
      </vt:variant>
      <vt:variant>
        <vt:lpwstr/>
      </vt:variant>
      <vt:variant>
        <vt:lpwstr>_Toc497823801</vt:lpwstr>
      </vt:variant>
      <vt:variant>
        <vt:i4>1376265</vt:i4>
      </vt:variant>
      <vt:variant>
        <vt:i4>149</vt:i4>
      </vt:variant>
      <vt:variant>
        <vt:i4>0</vt:i4>
      </vt:variant>
      <vt:variant>
        <vt:i4>5</vt:i4>
      </vt:variant>
      <vt:variant>
        <vt:lpwstr/>
      </vt:variant>
      <vt:variant>
        <vt:lpwstr>_Toc497823800</vt:lpwstr>
      </vt:variant>
      <vt:variant>
        <vt:i4>1835023</vt:i4>
      </vt:variant>
      <vt:variant>
        <vt:i4>143</vt:i4>
      </vt:variant>
      <vt:variant>
        <vt:i4>0</vt:i4>
      </vt:variant>
      <vt:variant>
        <vt:i4>5</vt:i4>
      </vt:variant>
      <vt:variant>
        <vt:lpwstr/>
      </vt:variant>
      <vt:variant>
        <vt:lpwstr>_Toc497823799</vt:lpwstr>
      </vt:variant>
      <vt:variant>
        <vt:i4>1835022</vt:i4>
      </vt:variant>
      <vt:variant>
        <vt:i4>137</vt:i4>
      </vt:variant>
      <vt:variant>
        <vt:i4>0</vt:i4>
      </vt:variant>
      <vt:variant>
        <vt:i4>5</vt:i4>
      </vt:variant>
      <vt:variant>
        <vt:lpwstr/>
      </vt:variant>
      <vt:variant>
        <vt:lpwstr>_Toc497823798</vt:lpwstr>
      </vt:variant>
      <vt:variant>
        <vt:i4>1835009</vt:i4>
      </vt:variant>
      <vt:variant>
        <vt:i4>131</vt:i4>
      </vt:variant>
      <vt:variant>
        <vt:i4>0</vt:i4>
      </vt:variant>
      <vt:variant>
        <vt:i4>5</vt:i4>
      </vt:variant>
      <vt:variant>
        <vt:lpwstr/>
      </vt:variant>
      <vt:variant>
        <vt:lpwstr>_Toc497823797</vt:lpwstr>
      </vt:variant>
      <vt:variant>
        <vt:i4>1835008</vt:i4>
      </vt:variant>
      <vt:variant>
        <vt:i4>125</vt:i4>
      </vt:variant>
      <vt:variant>
        <vt:i4>0</vt:i4>
      </vt:variant>
      <vt:variant>
        <vt:i4>5</vt:i4>
      </vt:variant>
      <vt:variant>
        <vt:lpwstr/>
      </vt:variant>
      <vt:variant>
        <vt:lpwstr>_Toc497823796</vt:lpwstr>
      </vt:variant>
      <vt:variant>
        <vt:i4>1835011</vt:i4>
      </vt:variant>
      <vt:variant>
        <vt:i4>119</vt:i4>
      </vt:variant>
      <vt:variant>
        <vt:i4>0</vt:i4>
      </vt:variant>
      <vt:variant>
        <vt:i4>5</vt:i4>
      </vt:variant>
      <vt:variant>
        <vt:lpwstr/>
      </vt:variant>
      <vt:variant>
        <vt:lpwstr>_Toc497823795</vt:lpwstr>
      </vt:variant>
      <vt:variant>
        <vt:i4>1835010</vt:i4>
      </vt:variant>
      <vt:variant>
        <vt:i4>113</vt:i4>
      </vt:variant>
      <vt:variant>
        <vt:i4>0</vt:i4>
      </vt:variant>
      <vt:variant>
        <vt:i4>5</vt:i4>
      </vt:variant>
      <vt:variant>
        <vt:lpwstr/>
      </vt:variant>
      <vt:variant>
        <vt:lpwstr>_Toc497823794</vt:lpwstr>
      </vt:variant>
      <vt:variant>
        <vt:i4>1835013</vt:i4>
      </vt:variant>
      <vt:variant>
        <vt:i4>107</vt:i4>
      </vt:variant>
      <vt:variant>
        <vt:i4>0</vt:i4>
      </vt:variant>
      <vt:variant>
        <vt:i4>5</vt:i4>
      </vt:variant>
      <vt:variant>
        <vt:lpwstr/>
      </vt:variant>
      <vt:variant>
        <vt:lpwstr>_Toc497823793</vt:lpwstr>
      </vt:variant>
      <vt:variant>
        <vt:i4>1835012</vt:i4>
      </vt:variant>
      <vt:variant>
        <vt:i4>101</vt:i4>
      </vt:variant>
      <vt:variant>
        <vt:i4>0</vt:i4>
      </vt:variant>
      <vt:variant>
        <vt:i4>5</vt:i4>
      </vt:variant>
      <vt:variant>
        <vt:lpwstr/>
      </vt:variant>
      <vt:variant>
        <vt:lpwstr>_Toc497823792</vt:lpwstr>
      </vt:variant>
      <vt:variant>
        <vt:i4>1835015</vt:i4>
      </vt:variant>
      <vt:variant>
        <vt:i4>95</vt:i4>
      </vt:variant>
      <vt:variant>
        <vt:i4>0</vt:i4>
      </vt:variant>
      <vt:variant>
        <vt:i4>5</vt:i4>
      </vt:variant>
      <vt:variant>
        <vt:lpwstr/>
      </vt:variant>
      <vt:variant>
        <vt:lpwstr>_Toc497823791</vt:lpwstr>
      </vt:variant>
      <vt:variant>
        <vt:i4>1835014</vt:i4>
      </vt:variant>
      <vt:variant>
        <vt:i4>89</vt:i4>
      </vt:variant>
      <vt:variant>
        <vt:i4>0</vt:i4>
      </vt:variant>
      <vt:variant>
        <vt:i4>5</vt:i4>
      </vt:variant>
      <vt:variant>
        <vt:lpwstr/>
      </vt:variant>
      <vt:variant>
        <vt:lpwstr>_Toc497823790</vt:lpwstr>
      </vt:variant>
      <vt:variant>
        <vt:i4>1900559</vt:i4>
      </vt:variant>
      <vt:variant>
        <vt:i4>83</vt:i4>
      </vt:variant>
      <vt:variant>
        <vt:i4>0</vt:i4>
      </vt:variant>
      <vt:variant>
        <vt:i4>5</vt:i4>
      </vt:variant>
      <vt:variant>
        <vt:lpwstr/>
      </vt:variant>
      <vt:variant>
        <vt:lpwstr>_Toc497823789</vt:lpwstr>
      </vt:variant>
      <vt:variant>
        <vt:i4>1900558</vt:i4>
      </vt:variant>
      <vt:variant>
        <vt:i4>77</vt:i4>
      </vt:variant>
      <vt:variant>
        <vt:i4>0</vt:i4>
      </vt:variant>
      <vt:variant>
        <vt:i4>5</vt:i4>
      </vt:variant>
      <vt:variant>
        <vt:lpwstr/>
      </vt:variant>
      <vt:variant>
        <vt:lpwstr>_Toc497823788</vt:lpwstr>
      </vt:variant>
      <vt:variant>
        <vt:i4>1900545</vt:i4>
      </vt:variant>
      <vt:variant>
        <vt:i4>71</vt:i4>
      </vt:variant>
      <vt:variant>
        <vt:i4>0</vt:i4>
      </vt:variant>
      <vt:variant>
        <vt:i4>5</vt:i4>
      </vt:variant>
      <vt:variant>
        <vt:lpwstr/>
      </vt:variant>
      <vt:variant>
        <vt:lpwstr>_Toc497823787</vt:lpwstr>
      </vt:variant>
      <vt:variant>
        <vt:i4>1900544</vt:i4>
      </vt:variant>
      <vt:variant>
        <vt:i4>65</vt:i4>
      </vt:variant>
      <vt:variant>
        <vt:i4>0</vt:i4>
      </vt:variant>
      <vt:variant>
        <vt:i4>5</vt:i4>
      </vt:variant>
      <vt:variant>
        <vt:lpwstr/>
      </vt:variant>
      <vt:variant>
        <vt:lpwstr>_Toc497823786</vt:lpwstr>
      </vt:variant>
      <vt:variant>
        <vt:i4>1900547</vt:i4>
      </vt:variant>
      <vt:variant>
        <vt:i4>59</vt:i4>
      </vt:variant>
      <vt:variant>
        <vt:i4>0</vt:i4>
      </vt:variant>
      <vt:variant>
        <vt:i4>5</vt:i4>
      </vt:variant>
      <vt:variant>
        <vt:lpwstr/>
      </vt:variant>
      <vt:variant>
        <vt:lpwstr>_Toc497823785</vt:lpwstr>
      </vt:variant>
      <vt:variant>
        <vt:i4>1900546</vt:i4>
      </vt:variant>
      <vt:variant>
        <vt:i4>53</vt:i4>
      </vt:variant>
      <vt:variant>
        <vt:i4>0</vt:i4>
      </vt:variant>
      <vt:variant>
        <vt:i4>5</vt:i4>
      </vt:variant>
      <vt:variant>
        <vt:lpwstr/>
      </vt:variant>
      <vt:variant>
        <vt:lpwstr>_Toc497823784</vt:lpwstr>
      </vt:variant>
      <vt:variant>
        <vt:i4>1900549</vt:i4>
      </vt:variant>
      <vt:variant>
        <vt:i4>47</vt:i4>
      </vt:variant>
      <vt:variant>
        <vt:i4>0</vt:i4>
      </vt:variant>
      <vt:variant>
        <vt:i4>5</vt:i4>
      </vt:variant>
      <vt:variant>
        <vt:lpwstr/>
      </vt:variant>
      <vt:variant>
        <vt:lpwstr>_Toc497823783</vt:lpwstr>
      </vt:variant>
      <vt:variant>
        <vt:i4>1900548</vt:i4>
      </vt:variant>
      <vt:variant>
        <vt:i4>41</vt:i4>
      </vt:variant>
      <vt:variant>
        <vt:i4>0</vt:i4>
      </vt:variant>
      <vt:variant>
        <vt:i4>5</vt:i4>
      </vt:variant>
      <vt:variant>
        <vt:lpwstr/>
      </vt:variant>
      <vt:variant>
        <vt:lpwstr>_Toc497823782</vt:lpwstr>
      </vt:variant>
      <vt:variant>
        <vt:i4>1900551</vt:i4>
      </vt:variant>
      <vt:variant>
        <vt:i4>35</vt:i4>
      </vt:variant>
      <vt:variant>
        <vt:i4>0</vt:i4>
      </vt:variant>
      <vt:variant>
        <vt:i4>5</vt:i4>
      </vt:variant>
      <vt:variant>
        <vt:lpwstr/>
      </vt:variant>
      <vt:variant>
        <vt:lpwstr>_Toc497823781</vt:lpwstr>
      </vt:variant>
      <vt:variant>
        <vt:i4>1900550</vt:i4>
      </vt:variant>
      <vt:variant>
        <vt:i4>29</vt:i4>
      </vt:variant>
      <vt:variant>
        <vt:i4>0</vt:i4>
      </vt:variant>
      <vt:variant>
        <vt:i4>5</vt:i4>
      </vt:variant>
      <vt:variant>
        <vt:lpwstr/>
      </vt:variant>
      <vt:variant>
        <vt:lpwstr>_Toc497823780</vt:lpwstr>
      </vt:variant>
      <vt:variant>
        <vt:i4>1179663</vt:i4>
      </vt:variant>
      <vt:variant>
        <vt:i4>23</vt:i4>
      </vt:variant>
      <vt:variant>
        <vt:i4>0</vt:i4>
      </vt:variant>
      <vt:variant>
        <vt:i4>5</vt:i4>
      </vt:variant>
      <vt:variant>
        <vt:lpwstr/>
      </vt:variant>
      <vt:variant>
        <vt:lpwstr>_Toc497823779</vt:lpwstr>
      </vt:variant>
      <vt:variant>
        <vt:i4>1179662</vt:i4>
      </vt:variant>
      <vt:variant>
        <vt:i4>17</vt:i4>
      </vt:variant>
      <vt:variant>
        <vt:i4>0</vt:i4>
      </vt:variant>
      <vt:variant>
        <vt:i4>5</vt:i4>
      </vt:variant>
      <vt:variant>
        <vt:lpwstr/>
      </vt:variant>
      <vt:variant>
        <vt:lpwstr>_Toc497823778</vt:lpwstr>
      </vt:variant>
      <vt:variant>
        <vt:i4>1179649</vt:i4>
      </vt:variant>
      <vt:variant>
        <vt:i4>11</vt:i4>
      </vt:variant>
      <vt:variant>
        <vt:i4>0</vt:i4>
      </vt:variant>
      <vt:variant>
        <vt:i4>5</vt:i4>
      </vt:variant>
      <vt:variant>
        <vt:lpwstr/>
      </vt:variant>
      <vt:variant>
        <vt:lpwstr>_Toc497823777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rlh52</dc:creator>
  <cp:keywords/>
  <dc:description/>
  <cp:lastModifiedBy>Pegher, Joanne</cp:lastModifiedBy>
  <cp:revision>2</cp:revision>
  <cp:lastPrinted>2018-02-13T20:45:00Z</cp:lastPrinted>
  <dcterms:created xsi:type="dcterms:W3CDTF">2018-02-16T15:27:00Z</dcterms:created>
  <dcterms:modified xsi:type="dcterms:W3CDTF">2018-02-16T15:27:00Z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Id">
    <vt:lpwstr>http://www.zotero.org/styles/the-new-england-journal-of-medicine</vt:lpwstr>
  </property>
  <property fmtid="{D5CDD505-2E9C-101B-9397-08002B2CF9AE}" pid="3" name="InsertAsFootnote">
    <vt:lpwstr>0</vt:lpwstr>
  </property>
</Properties>
</file>