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0252D9" w:rsidP="00BF2B29">
      <w:pPr>
        <w:ind w:firstLine="0"/>
      </w:pP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932507</wp:posOffset>
                </wp:positionV>
                <wp:extent cx="5943600" cy="8552130"/>
                <wp:effectExtent l="0" t="0" r="0" b="0"/>
                <wp:wrapSquare wrapText="bothSides"/>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55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7D" w:rsidRDefault="0015147D" w:rsidP="00536110">
                            <w:pPr>
                              <w:spacing w:line="240" w:lineRule="auto"/>
                              <w:ind w:firstLine="0"/>
                              <w:jc w:val="center"/>
                              <w:rPr>
                                <w:b/>
                              </w:rPr>
                            </w:pPr>
                            <w:bookmarkStart w:id="0" w:name="OLE_LINK13"/>
                            <w:bookmarkStart w:id="1" w:name="OLE_LINK14"/>
                            <w:r>
                              <w:rPr>
                                <w:b/>
                              </w:rPr>
                              <w:t xml:space="preserve">THE ASSOCIATION BETWEEN TELOMERE </w:t>
                            </w:r>
                            <w:proofErr w:type="gramStart"/>
                            <w:r>
                              <w:rPr>
                                <w:b/>
                              </w:rPr>
                              <w:t>LENGTH</w:t>
                            </w:r>
                            <w:proofErr w:type="gramEnd"/>
                            <w:r>
                              <w:rPr>
                                <w:b/>
                              </w:rPr>
                              <w:t xml:space="preserve"> </w:t>
                            </w:r>
                          </w:p>
                          <w:p w:rsidR="0015147D" w:rsidRDefault="0015147D" w:rsidP="00536110">
                            <w:pPr>
                              <w:spacing w:line="240" w:lineRule="auto"/>
                              <w:ind w:firstLine="0"/>
                              <w:jc w:val="center"/>
                              <w:rPr>
                                <w:b/>
                              </w:rPr>
                            </w:pPr>
                            <w:r>
                              <w:rPr>
                                <w:b/>
                              </w:rPr>
                              <w:t xml:space="preserve">AND RISK OF BREAST CANCER </w:t>
                            </w:r>
                          </w:p>
                          <w:p w:rsidR="0015147D" w:rsidRDefault="0015147D" w:rsidP="00536110">
                            <w:pPr>
                              <w:spacing w:line="240" w:lineRule="auto"/>
                              <w:ind w:firstLine="0"/>
                              <w:jc w:val="center"/>
                              <w:rPr>
                                <w:b/>
                              </w:rPr>
                            </w:pPr>
                            <w:r>
                              <w:rPr>
                                <w:b/>
                              </w:rPr>
                              <w:t>IN SINGAPORE CHINESE HEALTH STUDY</w:t>
                            </w:r>
                            <w:bookmarkEnd w:id="0"/>
                            <w:bookmarkEnd w:id="1"/>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B57E9B">
                            <w:pPr>
                              <w:ind w:firstLine="0"/>
                              <w:jc w:val="center"/>
                            </w:pPr>
                            <w:proofErr w:type="gramStart"/>
                            <w:r>
                              <w:t>by</w:t>
                            </w:r>
                            <w:proofErr w:type="gramEnd"/>
                          </w:p>
                          <w:p w:rsidR="0015147D" w:rsidRDefault="0015147D" w:rsidP="00B57E9B">
                            <w:pPr>
                              <w:ind w:firstLine="0"/>
                              <w:jc w:val="center"/>
                            </w:pPr>
                            <w:r>
                              <w:t>Xiaoshuang Xun</w:t>
                            </w:r>
                          </w:p>
                          <w:p w:rsidR="0015147D" w:rsidRPr="00834193" w:rsidRDefault="0015147D" w:rsidP="00C769B5">
                            <w:pPr>
                              <w:spacing w:line="240" w:lineRule="auto"/>
                              <w:ind w:firstLine="0"/>
                              <w:jc w:val="center"/>
                              <w:rPr>
                                <w:noProof/>
                              </w:rPr>
                            </w:pPr>
                            <w:proofErr w:type="spellStart"/>
                            <w:r>
                              <w:t>BMed</w:t>
                            </w:r>
                            <w:proofErr w:type="spellEnd"/>
                            <w:r>
                              <w:t>, Sichuan University, China, 2016</w:t>
                            </w: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B57E9B">
                            <w:pPr>
                              <w:ind w:firstLine="0"/>
                              <w:jc w:val="center"/>
                            </w:pPr>
                            <w:r>
                              <w:t>Submitted to the Graduate Faculty of</w:t>
                            </w:r>
                          </w:p>
                          <w:p w:rsidR="0015147D" w:rsidRDefault="0015147D" w:rsidP="00B57E9B">
                            <w:pPr>
                              <w:ind w:firstLine="0"/>
                              <w:jc w:val="center"/>
                            </w:pPr>
                            <w:r>
                              <w:t>Department of Epidemiology</w:t>
                            </w:r>
                          </w:p>
                          <w:p w:rsidR="0015147D" w:rsidRDefault="0015147D" w:rsidP="00B57E9B">
                            <w:pPr>
                              <w:ind w:firstLine="0"/>
                              <w:jc w:val="center"/>
                            </w:pPr>
                            <w:r>
                              <w:t xml:space="preserve">Graduate School of Public Health in partial fulfillment </w:t>
                            </w:r>
                          </w:p>
                          <w:p w:rsidR="0015147D" w:rsidRDefault="0015147D" w:rsidP="00B57E9B">
                            <w:pPr>
                              <w:ind w:firstLine="0"/>
                              <w:jc w:val="center"/>
                            </w:pPr>
                            <w:proofErr w:type="gramStart"/>
                            <w:r>
                              <w:t>of</w:t>
                            </w:r>
                            <w:proofErr w:type="gramEnd"/>
                            <w:r>
                              <w:t xml:space="preserve"> the requirements for the degree of</w:t>
                            </w:r>
                          </w:p>
                          <w:p w:rsidR="0015147D" w:rsidRDefault="0015147D" w:rsidP="00536110">
                            <w:pPr>
                              <w:spacing w:line="240" w:lineRule="auto"/>
                              <w:ind w:firstLine="0"/>
                              <w:jc w:val="center"/>
                            </w:pPr>
                            <w:r>
                              <w:t>Master of Public Health</w:t>
                            </w:r>
                          </w:p>
                          <w:p w:rsidR="0015147D" w:rsidRDefault="0015147D" w:rsidP="00536110">
                            <w:pPr>
                              <w:spacing w:line="240" w:lineRule="auto"/>
                              <w:ind w:firstLine="0"/>
                              <w:jc w:val="center"/>
                            </w:pPr>
                          </w:p>
                          <w:p w:rsidR="0015147D" w:rsidRDefault="0015147D" w:rsidP="00536110">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Pr="00AB08F3" w:rsidRDefault="0015147D" w:rsidP="00337CC7">
                            <w:pPr>
                              <w:ind w:firstLine="0"/>
                              <w:jc w:val="center"/>
                            </w:pPr>
                            <w:r w:rsidRPr="00AB08F3">
                              <w:t>University of Pittsburg</w:t>
                            </w:r>
                            <w:r>
                              <w:t>h</w:t>
                            </w:r>
                          </w:p>
                          <w:p w:rsidR="0015147D" w:rsidRPr="00AB08F3" w:rsidRDefault="0015147D" w:rsidP="00B57E9B">
                            <w:pPr>
                              <w:ind w:firstLine="0"/>
                              <w:jc w:val="center"/>
                              <w:rPr>
                                <w:noProof/>
                              </w:rPr>
                            </w:pPr>
                            <w:r>
                              <w:t>2018</w:t>
                            </w:r>
                          </w:p>
                          <w:p w:rsidR="0015147D" w:rsidRPr="004E3B59" w:rsidRDefault="0015147D"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73.45pt;width:468pt;height:67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" stroked="f">
                <v:path arrowok="t"/>
                <v:textbox inset="0,0,0,0">
                  <w:txbxContent>
                    <w:p w:rsidR="0015147D" w:rsidRDefault="0015147D" w:rsidP="00536110">
                      <w:pPr>
                        <w:spacing w:line="240" w:lineRule="auto"/>
                        <w:ind w:firstLine="0"/>
                        <w:jc w:val="center"/>
                        <w:rPr>
                          <w:b/>
                        </w:rPr>
                      </w:pPr>
                      <w:bookmarkStart w:id="2" w:name="OLE_LINK13"/>
                      <w:bookmarkStart w:id="3" w:name="OLE_LINK14"/>
                      <w:r>
                        <w:rPr>
                          <w:b/>
                        </w:rPr>
                        <w:t xml:space="preserve">THE ASSOCIATION BETWEEN TELOMERE </w:t>
                      </w:r>
                      <w:proofErr w:type="gramStart"/>
                      <w:r>
                        <w:rPr>
                          <w:b/>
                        </w:rPr>
                        <w:t>LENGTH</w:t>
                      </w:r>
                      <w:proofErr w:type="gramEnd"/>
                      <w:r>
                        <w:rPr>
                          <w:b/>
                        </w:rPr>
                        <w:t xml:space="preserve"> </w:t>
                      </w:r>
                    </w:p>
                    <w:p w:rsidR="0015147D" w:rsidRDefault="0015147D" w:rsidP="00536110">
                      <w:pPr>
                        <w:spacing w:line="240" w:lineRule="auto"/>
                        <w:ind w:firstLine="0"/>
                        <w:jc w:val="center"/>
                        <w:rPr>
                          <w:b/>
                        </w:rPr>
                      </w:pPr>
                      <w:r>
                        <w:rPr>
                          <w:b/>
                        </w:rPr>
                        <w:t xml:space="preserve">AND RISK OF BREAST CANCER </w:t>
                      </w:r>
                    </w:p>
                    <w:p w:rsidR="0015147D" w:rsidRDefault="0015147D" w:rsidP="00536110">
                      <w:pPr>
                        <w:spacing w:line="240" w:lineRule="auto"/>
                        <w:ind w:firstLine="0"/>
                        <w:jc w:val="center"/>
                        <w:rPr>
                          <w:b/>
                        </w:rPr>
                      </w:pPr>
                      <w:r>
                        <w:rPr>
                          <w:b/>
                        </w:rPr>
                        <w:t>IN SINGAPORE CHINESE HEALTH STUDY</w:t>
                      </w:r>
                      <w:bookmarkEnd w:id="2"/>
                      <w:bookmarkEnd w:id="3"/>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B57E9B">
                      <w:pPr>
                        <w:ind w:firstLine="0"/>
                        <w:jc w:val="center"/>
                      </w:pPr>
                      <w:proofErr w:type="gramStart"/>
                      <w:r>
                        <w:t>by</w:t>
                      </w:r>
                      <w:proofErr w:type="gramEnd"/>
                    </w:p>
                    <w:p w:rsidR="0015147D" w:rsidRDefault="0015147D" w:rsidP="00B57E9B">
                      <w:pPr>
                        <w:ind w:firstLine="0"/>
                        <w:jc w:val="center"/>
                      </w:pPr>
                      <w:r>
                        <w:t>Xiaoshuang Xun</w:t>
                      </w:r>
                    </w:p>
                    <w:p w:rsidR="0015147D" w:rsidRPr="00834193" w:rsidRDefault="0015147D" w:rsidP="00C769B5">
                      <w:pPr>
                        <w:spacing w:line="240" w:lineRule="auto"/>
                        <w:ind w:firstLine="0"/>
                        <w:jc w:val="center"/>
                        <w:rPr>
                          <w:noProof/>
                        </w:rPr>
                      </w:pPr>
                      <w:proofErr w:type="spellStart"/>
                      <w:r>
                        <w:t>BMed</w:t>
                      </w:r>
                      <w:proofErr w:type="spellEnd"/>
                      <w:r>
                        <w:t>, Sichuan University, China, 2016</w:t>
                      </w: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536110">
                      <w:pPr>
                        <w:spacing w:line="240" w:lineRule="auto"/>
                        <w:ind w:firstLine="0"/>
                        <w:jc w:val="center"/>
                        <w:rPr>
                          <w:b/>
                        </w:rPr>
                      </w:pPr>
                    </w:p>
                    <w:p w:rsidR="0015147D" w:rsidRDefault="0015147D" w:rsidP="00B57E9B">
                      <w:pPr>
                        <w:ind w:firstLine="0"/>
                        <w:jc w:val="center"/>
                      </w:pPr>
                      <w:r>
                        <w:t>Submitted to the Graduate Faculty of</w:t>
                      </w:r>
                    </w:p>
                    <w:p w:rsidR="0015147D" w:rsidRDefault="0015147D" w:rsidP="00B57E9B">
                      <w:pPr>
                        <w:ind w:firstLine="0"/>
                        <w:jc w:val="center"/>
                      </w:pPr>
                      <w:r>
                        <w:t>Department of Epidemiology</w:t>
                      </w:r>
                    </w:p>
                    <w:p w:rsidR="0015147D" w:rsidRDefault="0015147D" w:rsidP="00B57E9B">
                      <w:pPr>
                        <w:ind w:firstLine="0"/>
                        <w:jc w:val="center"/>
                      </w:pPr>
                      <w:r>
                        <w:t xml:space="preserve">Graduate School of Public Health in partial fulfillment </w:t>
                      </w:r>
                    </w:p>
                    <w:p w:rsidR="0015147D" w:rsidRDefault="0015147D" w:rsidP="00B57E9B">
                      <w:pPr>
                        <w:ind w:firstLine="0"/>
                        <w:jc w:val="center"/>
                      </w:pPr>
                      <w:proofErr w:type="gramStart"/>
                      <w:r>
                        <w:t>of</w:t>
                      </w:r>
                      <w:proofErr w:type="gramEnd"/>
                      <w:r>
                        <w:t xml:space="preserve"> the requirements for the degree of</w:t>
                      </w:r>
                    </w:p>
                    <w:p w:rsidR="0015147D" w:rsidRDefault="0015147D" w:rsidP="00536110">
                      <w:pPr>
                        <w:spacing w:line="240" w:lineRule="auto"/>
                        <w:ind w:firstLine="0"/>
                        <w:jc w:val="center"/>
                      </w:pPr>
                      <w:r>
                        <w:t>Master of Public Health</w:t>
                      </w:r>
                    </w:p>
                    <w:p w:rsidR="0015147D" w:rsidRDefault="0015147D" w:rsidP="00536110">
                      <w:pPr>
                        <w:spacing w:line="240" w:lineRule="auto"/>
                        <w:ind w:firstLine="0"/>
                        <w:jc w:val="center"/>
                      </w:pPr>
                    </w:p>
                    <w:p w:rsidR="0015147D" w:rsidRDefault="0015147D" w:rsidP="00536110">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Default="0015147D" w:rsidP="00B57E9B">
                      <w:pPr>
                        <w:spacing w:line="240" w:lineRule="auto"/>
                        <w:ind w:firstLine="0"/>
                        <w:jc w:val="center"/>
                      </w:pPr>
                    </w:p>
                    <w:p w:rsidR="0015147D" w:rsidRPr="00AB08F3" w:rsidRDefault="0015147D" w:rsidP="00337CC7">
                      <w:pPr>
                        <w:ind w:firstLine="0"/>
                        <w:jc w:val="center"/>
                      </w:pPr>
                      <w:r w:rsidRPr="00AB08F3">
                        <w:t>University of Pittsburg</w:t>
                      </w:r>
                      <w:r>
                        <w:t>h</w:t>
                      </w:r>
                    </w:p>
                    <w:p w:rsidR="0015147D" w:rsidRPr="00AB08F3" w:rsidRDefault="0015147D" w:rsidP="00B57E9B">
                      <w:pPr>
                        <w:ind w:firstLine="0"/>
                        <w:jc w:val="center"/>
                        <w:rPr>
                          <w:noProof/>
                        </w:rPr>
                      </w:pPr>
                      <w:r>
                        <w:t>2018</w:t>
                      </w:r>
                    </w:p>
                    <w:p w:rsidR="0015147D" w:rsidRPr="004E3B59" w:rsidRDefault="0015147D" w:rsidP="006B1124">
                      <w:pPr>
                        <w:ind w:firstLine="0"/>
                        <w:jc w:val="center"/>
                        <w:rPr>
                          <w:b/>
                        </w:rPr>
                      </w:pPr>
                    </w:p>
                  </w:txbxContent>
                </v:textbox>
                <w10:wrap type="square" anchorx="page" anchory="page"/>
              </v:shape>
            </w:pict>
          </mc:Fallback>
        </mc:AlternateContent>
      </w:r>
      <w:r w:rsidR="00BB1354">
        <w:t xml:space="preserve"> </w:t>
      </w:r>
    </w:p>
    <w:p w:rsidR="0028782F" w:rsidRPr="007F763B" w:rsidRDefault="000252D9" w:rsidP="007F763B">
      <w:pPr>
        <w:pStyle w:val="Noindent"/>
        <w:spacing w:line="240" w:lineRule="auto"/>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posOffset>304800</wp:posOffset>
                </wp:positionV>
                <wp:extent cx="5943600" cy="7829550"/>
                <wp:effectExtent l="0" t="0" r="0" b="0"/>
                <wp:wrapSquare wrapText="bothSides"/>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782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7D" w:rsidRDefault="0015147D" w:rsidP="006B1124">
                            <w:pPr>
                              <w:ind w:firstLine="0"/>
                              <w:jc w:val="center"/>
                            </w:pPr>
                            <w:r>
                              <w:t>UNIVERSITY OF PITTSBURGH</w:t>
                            </w:r>
                          </w:p>
                          <w:p w:rsidR="0015147D" w:rsidRDefault="0015147D" w:rsidP="00536110">
                            <w:pPr>
                              <w:spacing w:line="240" w:lineRule="auto"/>
                              <w:ind w:firstLine="0"/>
                              <w:jc w:val="center"/>
                            </w:pPr>
                            <w:r>
                              <w:t>GRADUATE SCHOOL OF PUBLIC HEALTH</w:t>
                            </w:r>
                          </w:p>
                          <w:p w:rsidR="0015147D" w:rsidRDefault="0015147D" w:rsidP="00536110">
                            <w:pPr>
                              <w:spacing w:line="240" w:lineRule="auto"/>
                              <w:ind w:firstLine="0"/>
                              <w:jc w:val="center"/>
                            </w:pPr>
                          </w:p>
                          <w:p w:rsidR="0015147D" w:rsidRDefault="0015147D" w:rsidP="00536110">
                            <w:pPr>
                              <w:spacing w:line="240" w:lineRule="auto"/>
                              <w:ind w:firstLine="0"/>
                              <w:jc w:val="center"/>
                            </w:pPr>
                          </w:p>
                          <w:p w:rsidR="0015147D" w:rsidRDefault="0015147D" w:rsidP="00E7007E">
                            <w:pPr>
                              <w:spacing w:line="360" w:lineRule="auto"/>
                              <w:ind w:firstLine="0"/>
                              <w:jc w:val="center"/>
                            </w:pPr>
                          </w:p>
                          <w:p w:rsidR="0015147D" w:rsidRDefault="0015147D" w:rsidP="00E7007E">
                            <w:pPr>
                              <w:spacing w:line="360" w:lineRule="auto"/>
                              <w:ind w:firstLine="0"/>
                              <w:jc w:val="center"/>
                            </w:pPr>
                            <w:r>
                              <w:t>This essay is submitted</w:t>
                            </w:r>
                          </w:p>
                          <w:p w:rsidR="0015147D" w:rsidRDefault="0015147D" w:rsidP="00E7007E">
                            <w:pPr>
                              <w:spacing w:line="360" w:lineRule="auto"/>
                              <w:ind w:firstLine="0"/>
                              <w:jc w:val="center"/>
                            </w:pPr>
                            <w:proofErr w:type="gramStart"/>
                            <w:r>
                              <w:t>by</w:t>
                            </w:r>
                            <w:proofErr w:type="gramEnd"/>
                          </w:p>
                          <w:p w:rsidR="0015147D" w:rsidRDefault="0015147D" w:rsidP="00E7007E">
                            <w:pPr>
                              <w:spacing w:line="360" w:lineRule="auto"/>
                              <w:ind w:firstLine="0"/>
                              <w:jc w:val="center"/>
                            </w:pPr>
                            <w:r>
                              <w:t>Xiaoshuang Xun</w:t>
                            </w:r>
                          </w:p>
                          <w:p w:rsidR="0015147D" w:rsidRDefault="0015147D" w:rsidP="00E7007E">
                            <w:pPr>
                              <w:spacing w:line="360" w:lineRule="auto"/>
                              <w:ind w:firstLine="0"/>
                              <w:jc w:val="center"/>
                            </w:pPr>
                          </w:p>
                          <w:p w:rsidR="0015147D" w:rsidRDefault="0015147D" w:rsidP="00E7007E">
                            <w:pPr>
                              <w:spacing w:line="360" w:lineRule="auto"/>
                              <w:ind w:firstLine="0"/>
                              <w:jc w:val="center"/>
                            </w:pPr>
                            <w:proofErr w:type="gramStart"/>
                            <w:r>
                              <w:t>on</w:t>
                            </w:r>
                            <w:proofErr w:type="gramEnd"/>
                          </w:p>
                          <w:p w:rsidR="0015147D" w:rsidRDefault="0015147D" w:rsidP="00E7007E">
                            <w:pPr>
                              <w:spacing w:line="360" w:lineRule="auto"/>
                              <w:ind w:firstLine="0"/>
                              <w:jc w:val="center"/>
                            </w:pPr>
                          </w:p>
                          <w:p w:rsidR="0015147D" w:rsidRDefault="0015147D" w:rsidP="00E7007E">
                            <w:pPr>
                              <w:spacing w:line="360" w:lineRule="auto"/>
                              <w:ind w:firstLine="0"/>
                              <w:jc w:val="center"/>
                            </w:pPr>
                            <w:r>
                              <w:rPr>
                                <w:rFonts w:hint="eastAsia"/>
                                <w:lang w:eastAsia="zh-CN"/>
                              </w:rPr>
                              <w:t>Apr</w:t>
                            </w:r>
                            <w:r>
                              <w:rPr>
                                <w:lang w:eastAsia="zh-CN"/>
                              </w:rPr>
                              <w:t>il 23, 2018</w:t>
                            </w:r>
                          </w:p>
                          <w:p w:rsidR="0015147D" w:rsidRDefault="0015147D" w:rsidP="00E7007E">
                            <w:pPr>
                              <w:spacing w:line="360" w:lineRule="auto"/>
                              <w:ind w:firstLine="0"/>
                              <w:jc w:val="center"/>
                            </w:pPr>
                            <w:proofErr w:type="gramStart"/>
                            <w:r>
                              <w:t>and</w:t>
                            </w:r>
                            <w:proofErr w:type="gramEnd"/>
                            <w:r>
                              <w:t xml:space="preserve"> approved by</w:t>
                            </w:r>
                          </w:p>
                          <w:p w:rsidR="0015147D" w:rsidRDefault="0015147D" w:rsidP="006A5780">
                            <w:pPr>
                              <w:ind w:firstLine="0"/>
                              <w:jc w:val="center"/>
                            </w:pPr>
                          </w:p>
                          <w:p w:rsidR="0015147D" w:rsidRDefault="0015147D" w:rsidP="00030D3B">
                            <w:pPr>
                              <w:spacing w:line="240" w:lineRule="auto"/>
                              <w:ind w:firstLine="0"/>
                            </w:pPr>
                            <w:r>
                              <w:t>Essay Advisor:</w:t>
                            </w:r>
                          </w:p>
                          <w:p w:rsidR="0015147D" w:rsidRDefault="0015147D" w:rsidP="00030D3B">
                            <w:pPr>
                              <w:spacing w:line="240" w:lineRule="auto"/>
                              <w:ind w:firstLine="0"/>
                            </w:pPr>
                          </w:p>
                          <w:p w:rsidR="0015147D" w:rsidRPr="00062806" w:rsidRDefault="0015147D" w:rsidP="00030D3B">
                            <w:pPr>
                              <w:spacing w:line="240" w:lineRule="auto"/>
                              <w:ind w:firstLine="0"/>
                            </w:pPr>
                            <w:r w:rsidRPr="00062806">
                              <w:t>Jian-Min Yuan, MD, PhD</w:t>
                            </w:r>
                            <w:r>
                              <w:tab/>
                            </w:r>
                            <w:r>
                              <w:tab/>
                            </w:r>
                            <w:r>
                              <w:tab/>
                            </w:r>
                            <w:r>
                              <w:tab/>
                              <w:t>_________________________________</w:t>
                            </w:r>
                          </w:p>
                          <w:p w:rsidR="0015147D" w:rsidRDefault="0015147D" w:rsidP="00030D3B">
                            <w:pPr>
                              <w:spacing w:line="240" w:lineRule="auto"/>
                              <w:ind w:firstLine="0"/>
                            </w:pPr>
                            <w:r>
                              <w:t>Professor</w:t>
                            </w:r>
                          </w:p>
                          <w:p w:rsidR="0015147D" w:rsidRDefault="0015147D" w:rsidP="00030D3B">
                            <w:pPr>
                              <w:spacing w:line="240" w:lineRule="auto"/>
                              <w:ind w:firstLine="0"/>
                            </w:pPr>
                            <w:r>
                              <w:t>Department of Epidemiology</w:t>
                            </w:r>
                          </w:p>
                          <w:p w:rsidR="0015147D" w:rsidRDefault="0015147D" w:rsidP="00030D3B">
                            <w:pPr>
                              <w:spacing w:line="240" w:lineRule="auto"/>
                              <w:ind w:firstLine="0"/>
                            </w:pPr>
                            <w:r>
                              <w:t>Graduate School of Public Health</w:t>
                            </w:r>
                          </w:p>
                          <w:p w:rsidR="0015147D" w:rsidRDefault="0015147D" w:rsidP="00030D3B">
                            <w:pPr>
                              <w:spacing w:line="240" w:lineRule="auto"/>
                              <w:ind w:firstLine="0"/>
                            </w:pPr>
                            <w:r>
                              <w:t>University of Pittsburgh</w:t>
                            </w:r>
                          </w:p>
                          <w:p w:rsidR="0015147D" w:rsidRDefault="0015147D" w:rsidP="00030D3B">
                            <w:pPr>
                              <w:spacing w:line="240" w:lineRule="auto"/>
                              <w:ind w:firstLine="0"/>
                            </w:pPr>
                          </w:p>
                          <w:p w:rsidR="0015147D" w:rsidRDefault="0015147D" w:rsidP="00030D3B">
                            <w:pPr>
                              <w:spacing w:line="240" w:lineRule="auto"/>
                              <w:ind w:firstLine="0"/>
                            </w:pPr>
                            <w:r>
                              <w:t>Essay Readers:</w:t>
                            </w:r>
                          </w:p>
                          <w:p w:rsidR="0015147D" w:rsidRDefault="0015147D" w:rsidP="00030D3B">
                            <w:pPr>
                              <w:spacing w:line="240" w:lineRule="auto"/>
                              <w:ind w:firstLine="0"/>
                            </w:pPr>
                          </w:p>
                          <w:p w:rsidR="0015147D" w:rsidRDefault="0015147D" w:rsidP="00030D3B">
                            <w:pPr>
                              <w:spacing w:line="240" w:lineRule="auto"/>
                              <w:ind w:firstLine="0"/>
                            </w:pPr>
                            <w:r w:rsidRPr="00062806">
                              <w:t xml:space="preserve">Patty </w:t>
                            </w:r>
                            <w:proofErr w:type="spellStart"/>
                            <w:r w:rsidRPr="00062806">
                              <w:t>Opresko</w:t>
                            </w:r>
                            <w:proofErr w:type="spellEnd"/>
                            <w:r w:rsidRPr="00062806">
                              <w:t xml:space="preserve">, PhD </w:t>
                            </w:r>
                            <w:r>
                              <w:tab/>
                            </w:r>
                            <w:r>
                              <w:tab/>
                            </w:r>
                            <w:r>
                              <w:tab/>
                            </w:r>
                            <w:r>
                              <w:tab/>
                            </w:r>
                            <w:r>
                              <w:tab/>
                              <w:t>_________________________________</w:t>
                            </w:r>
                          </w:p>
                          <w:p w:rsidR="0015147D" w:rsidRDefault="0015147D" w:rsidP="00030D3B">
                            <w:pPr>
                              <w:spacing w:line="240" w:lineRule="auto"/>
                              <w:ind w:firstLine="0"/>
                            </w:pPr>
                            <w:r>
                              <w:t>Associate Professor</w:t>
                            </w:r>
                          </w:p>
                          <w:p w:rsidR="0015147D" w:rsidRDefault="0015147D" w:rsidP="00030D3B">
                            <w:pPr>
                              <w:spacing w:line="240" w:lineRule="auto"/>
                              <w:ind w:firstLine="0"/>
                            </w:pPr>
                            <w:r>
                              <w:t>Department of Environmental and Occupational Health</w:t>
                            </w:r>
                          </w:p>
                          <w:p w:rsidR="0015147D" w:rsidRDefault="0015147D" w:rsidP="00030D3B">
                            <w:pPr>
                              <w:spacing w:line="240" w:lineRule="auto"/>
                              <w:ind w:firstLine="0"/>
                            </w:pPr>
                            <w:r>
                              <w:t>Graduate School of Public Health</w:t>
                            </w:r>
                          </w:p>
                          <w:p w:rsidR="0015147D" w:rsidRDefault="0015147D" w:rsidP="00030D3B">
                            <w:pPr>
                              <w:spacing w:line="240" w:lineRule="auto"/>
                              <w:ind w:firstLine="0"/>
                            </w:pPr>
                            <w:r>
                              <w:t>University of Pittsburgh</w:t>
                            </w:r>
                          </w:p>
                          <w:p w:rsidR="0015147D" w:rsidRDefault="0015147D" w:rsidP="00E7007E">
                            <w:pPr>
                              <w:spacing w:line="240" w:lineRule="auto"/>
                              <w:ind w:firstLine="0"/>
                            </w:pPr>
                          </w:p>
                          <w:p w:rsidR="0015147D" w:rsidRDefault="0015147D" w:rsidP="00E7007E">
                            <w:pPr>
                              <w:spacing w:line="240" w:lineRule="auto"/>
                              <w:ind w:firstLine="0"/>
                            </w:pPr>
                            <w:proofErr w:type="spellStart"/>
                            <w:r w:rsidRPr="00062806">
                              <w:t>Hamed</w:t>
                            </w:r>
                            <w:proofErr w:type="spellEnd"/>
                            <w:r w:rsidRPr="00062806">
                              <w:t xml:space="preserve"> </w:t>
                            </w:r>
                            <w:proofErr w:type="spellStart"/>
                            <w:r w:rsidRPr="00062806">
                              <w:t>Samavat</w:t>
                            </w:r>
                            <w:proofErr w:type="spellEnd"/>
                            <w:r w:rsidRPr="00062806">
                              <w:t>, PhD</w:t>
                            </w:r>
                            <w:r>
                              <w:tab/>
                            </w:r>
                            <w:r>
                              <w:tab/>
                            </w:r>
                            <w:r>
                              <w:tab/>
                            </w:r>
                            <w:r>
                              <w:tab/>
                            </w:r>
                            <w:r>
                              <w:tab/>
                              <w:t>_________________________________</w:t>
                            </w:r>
                          </w:p>
                          <w:p w:rsidR="00A243C2" w:rsidRPr="00062806" w:rsidRDefault="00A243C2" w:rsidP="00E7007E">
                            <w:pPr>
                              <w:spacing w:line="240" w:lineRule="auto"/>
                              <w:ind w:firstLine="0"/>
                            </w:pPr>
                            <w:r>
                              <w:t>Post-doctoral Fellow</w:t>
                            </w:r>
                            <w:bookmarkStart w:id="2" w:name="_GoBack"/>
                            <w:bookmarkEnd w:id="2"/>
                          </w:p>
                          <w:p w:rsidR="0015147D" w:rsidRDefault="0015147D" w:rsidP="00E7007E">
                            <w:pPr>
                              <w:spacing w:line="240" w:lineRule="auto"/>
                              <w:ind w:firstLine="0"/>
                            </w:pPr>
                            <w:r>
                              <w:t>Department of Epidemiology</w:t>
                            </w:r>
                          </w:p>
                          <w:p w:rsidR="0015147D" w:rsidRDefault="0015147D" w:rsidP="00E7007E">
                            <w:pPr>
                              <w:spacing w:line="240" w:lineRule="auto"/>
                              <w:ind w:firstLine="0"/>
                            </w:pPr>
                            <w:r>
                              <w:t>Graduate School of Public Health</w:t>
                            </w:r>
                          </w:p>
                          <w:p w:rsidR="0015147D" w:rsidRDefault="0015147D" w:rsidP="00E7007E">
                            <w:pPr>
                              <w:spacing w:line="240" w:lineRule="auto"/>
                              <w:ind w:firstLine="0"/>
                            </w:pPr>
                            <w:r>
                              <w:t>University of Pittsburgh</w:t>
                            </w:r>
                          </w:p>
                          <w:p w:rsidR="0015147D" w:rsidRDefault="0015147D" w:rsidP="00E7007E">
                            <w:pPr>
                              <w:spacing w:line="240" w:lineRule="auto"/>
                              <w:ind w:firstLine="0"/>
                            </w:pPr>
                          </w:p>
                          <w:p w:rsidR="0015147D" w:rsidRPr="00936D40" w:rsidRDefault="0015147D"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0;margin-top:24pt;width:468pt;height:61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" stroked="f">
                <v:path arrowok="t"/>
                <v:textbox>
                  <w:txbxContent>
                    <w:p w:rsidR="0015147D" w:rsidRDefault="0015147D" w:rsidP="006B1124">
                      <w:pPr>
                        <w:ind w:firstLine="0"/>
                        <w:jc w:val="center"/>
                      </w:pPr>
                      <w:r>
                        <w:t>UNIVERSITY OF PITTSBURGH</w:t>
                      </w:r>
                    </w:p>
                    <w:p w:rsidR="0015147D" w:rsidRDefault="0015147D" w:rsidP="00536110">
                      <w:pPr>
                        <w:spacing w:line="240" w:lineRule="auto"/>
                        <w:ind w:firstLine="0"/>
                        <w:jc w:val="center"/>
                      </w:pPr>
                      <w:r>
                        <w:t>GRADUATE SCHOOL OF PUBLIC HEALTH</w:t>
                      </w:r>
                    </w:p>
                    <w:p w:rsidR="0015147D" w:rsidRDefault="0015147D" w:rsidP="00536110">
                      <w:pPr>
                        <w:spacing w:line="240" w:lineRule="auto"/>
                        <w:ind w:firstLine="0"/>
                        <w:jc w:val="center"/>
                      </w:pPr>
                    </w:p>
                    <w:p w:rsidR="0015147D" w:rsidRDefault="0015147D" w:rsidP="00536110">
                      <w:pPr>
                        <w:spacing w:line="240" w:lineRule="auto"/>
                        <w:ind w:firstLine="0"/>
                        <w:jc w:val="center"/>
                      </w:pPr>
                    </w:p>
                    <w:p w:rsidR="0015147D" w:rsidRDefault="0015147D" w:rsidP="00E7007E">
                      <w:pPr>
                        <w:spacing w:line="360" w:lineRule="auto"/>
                        <w:ind w:firstLine="0"/>
                        <w:jc w:val="center"/>
                      </w:pPr>
                    </w:p>
                    <w:p w:rsidR="0015147D" w:rsidRDefault="0015147D" w:rsidP="00E7007E">
                      <w:pPr>
                        <w:spacing w:line="360" w:lineRule="auto"/>
                        <w:ind w:firstLine="0"/>
                        <w:jc w:val="center"/>
                      </w:pPr>
                      <w:r>
                        <w:t>This essay is submitted</w:t>
                      </w:r>
                    </w:p>
                    <w:p w:rsidR="0015147D" w:rsidRDefault="0015147D" w:rsidP="00E7007E">
                      <w:pPr>
                        <w:spacing w:line="360" w:lineRule="auto"/>
                        <w:ind w:firstLine="0"/>
                        <w:jc w:val="center"/>
                      </w:pPr>
                      <w:proofErr w:type="gramStart"/>
                      <w:r>
                        <w:t>by</w:t>
                      </w:r>
                      <w:proofErr w:type="gramEnd"/>
                    </w:p>
                    <w:p w:rsidR="0015147D" w:rsidRDefault="0015147D" w:rsidP="00E7007E">
                      <w:pPr>
                        <w:spacing w:line="360" w:lineRule="auto"/>
                        <w:ind w:firstLine="0"/>
                        <w:jc w:val="center"/>
                      </w:pPr>
                      <w:r>
                        <w:t>Xiaoshuang Xun</w:t>
                      </w:r>
                    </w:p>
                    <w:p w:rsidR="0015147D" w:rsidRDefault="0015147D" w:rsidP="00E7007E">
                      <w:pPr>
                        <w:spacing w:line="360" w:lineRule="auto"/>
                        <w:ind w:firstLine="0"/>
                        <w:jc w:val="center"/>
                      </w:pPr>
                    </w:p>
                    <w:p w:rsidR="0015147D" w:rsidRDefault="0015147D" w:rsidP="00E7007E">
                      <w:pPr>
                        <w:spacing w:line="360" w:lineRule="auto"/>
                        <w:ind w:firstLine="0"/>
                        <w:jc w:val="center"/>
                      </w:pPr>
                      <w:proofErr w:type="gramStart"/>
                      <w:r>
                        <w:t>on</w:t>
                      </w:r>
                      <w:proofErr w:type="gramEnd"/>
                    </w:p>
                    <w:p w:rsidR="0015147D" w:rsidRDefault="0015147D" w:rsidP="00E7007E">
                      <w:pPr>
                        <w:spacing w:line="360" w:lineRule="auto"/>
                        <w:ind w:firstLine="0"/>
                        <w:jc w:val="center"/>
                      </w:pPr>
                    </w:p>
                    <w:p w:rsidR="0015147D" w:rsidRDefault="0015147D" w:rsidP="00E7007E">
                      <w:pPr>
                        <w:spacing w:line="360" w:lineRule="auto"/>
                        <w:ind w:firstLine="0"/>
                        <w:jc w:val="center"/>
                      </w:pPr>
                      <w:r>
                        <w:rPr>
                          <w:rFonts w:hint="eastAsia"/>
                          <w:lang w:eastAsia="zh-CN"/>
                        </w:rPr>
                        <w:t>Apr</w:t>
                      </w:r>
                      <w:r>
                        <w:rPr>
                          <w:lang w:eastAsia="zh-CN"/>
                        </w:rPr>
                        <w:t>il 23, 2018</w:t>
                      </w:r>
                    </w:p>
                    <w:p w:rsidR="0015147D" w:rsidRDefault="0015147D" w:rsidP="00E7007E">
                      <w:pPr>
                        <w:spacing w:line="360" w:lineRule="auto"/>
                        <w:ind w:firstLine="0"/>
                        <w:jc w:val="center"/>
                      </w:pPr>
                      <w:proofErr w:type="gramStart"/>
                      <w:r>
                        <w:t>and</w:t>
                      </w:r>
                      <w:proofErr w:type="gramEnd"/>
                      <w:r>
                        <w:t xml:space="preserve"> approved by</w:t>
                      </w:r>
                    </w:p>
                    <w:p w:rsidR="0015147D" w:rsidRDefault="0015147D" w:rsidP="006A5780">
                      <w:pPr>
                        <w:ind w:firstLine="0"/>
                        <w:jc w:val="center"/>
                      </w:pPr>
                    </w:p>
                    <w:p w:rsidR="0015147D" w:rsidRDefault="0015147D" w:rsidP="00030D3B">
                      <w:pPr>
                        <w:spacing w:line="240" w:lineRule="auto"/>
                        <w:ind w:firstLine="0"/>
                      </w:pPr>
                      <w:r>
                        <w:t>Essay Advisor:</w:t>
                      </w:r>
                    </w:p>
                    <w:p w:rsidR="0015147D" w:rsidRDefault="0015147D" w:rsidP="00030D3B">
                      <w:pPr>
                        <w:spacing w:line="240" w:lineRule="auto"/>
                        <w:ind w:firstLine="0"/>
                      </w:pPr>
                    </w:p>
                    <w:p w:rsidR="0015147D" w:rsidRPr="00062806" w:rsidRDefault="0015147D" w:rsidP="00030D3B">
                      <w:pPr>
                        <w:spacing w:line="240" w:lineRule="auto"/>
                        <w:ind w:firstLine="0"/>
                      </w:pPr>
                      <w:r w:rsidRPr="00062806">
                        <w:t>Jian-Min Yuan, MD, PhD</w:t>
                      </w:r>
                      <w:r>
                        <w:tab/>
                      </w:r>
                      <w:r>
                        <w:tab/>
                      </w:r>
                      <w:r>
                        <w:tab/>
                      </w:r>
                      <w:r>
                        <w:tab/>
                        <w:t>_________________________________</w:t>
                      </w:r>
                    </w:p>
                    <w:p w:rsidR="0015147D" w:rsidRDefault="0015147D" w:rsidP="00030D3B">
                      <w:pPr>
                        <w:spacing w:line="240" w:lineRule="auto"/>
                        <w:ind w:firstLine="0"/>
                      </w:pPr>
                      <w:r>
                        <w:t>Professor</w:t>
                      </w:r>
                    </w:p>
                    <w:p w:rsidR="0015147D" w:rsidRDefault="0015147D" w:rsidP="00030D3B">
                      <w:pPr>
                        <w:spacing w:line="240" w:lineRule="auto"/>
                        <w:ind w:firstLine="0"/>
                      </w:pPr>
                      <w:r>
                        <w:t>Department of Epidemiology</w:t>
                      </w:r>
                    </w:p>
                    <w:p w:rsidR="0015147D" w:rsidRDefault="0015147D" w:rsidP="00030D3B">
                      <w:pPr>
                        <w:spacing w:line="240" w:lineRule="auto"/>
                        <w:ind w:firstLine="0"/>
                      </w:pPr>
                      <w:r>
                        <w:t>Graduate School of Public Health</w:t>
                      </w:r>
                    </w:p>
                    <w:p w:rsidR="0015147D" w:rsidRDefault="0015147D" w:rsidP="00030D3B">
                      <w:pPr>
                        <w:spacing w:line="240" w:lineRule="auto"/>
                        <w:ind w:firstLine="0"/>
                      </w:pPr>
                      <w:r>
                        <w:t>University of Pittsburgh</w:t>
                      </w:r>
                    </w:p>
                    <w:p w:rsidR="0015147D" w:rsidRDefault="0015147D" w:rsidP="00030D3B">
                      <w:pPr>
                        <w:spacing w:line="240" w:lineRule="auto"/>
                        <w:ind w:firstLine="0"/>
                      </w:pPr>
                    </w:p>
                    <w:p w:rsidR="0015147D" w:rsidRDefault="0015147D" w:rsidP="00030D3B">
                      <w:pPr>
                        <w:spacing w:line="240" w:lineRule="auto"/>
                        <w:ind w:firstLine="0"/>
                      </w:pPr>
                      <w:r>
                        <w:t>Essay Readers:</w:t>
                      </w:r>
                    </w:p>
                    <w:p w:rsidR="0015147D" w:rsidRDefault="0015147D" w:rsidP="00030D3B">
                      <w:pPr>
                        <w:spacing w:line="240" w:lineRule="auto"/>
                        <w:ind w:firstLine="0"/>
                      </w:pPr>
                    </w:p>
                    <w:p w:rsidR="0015147D" w:rsidRDefault="0015147D" w:rsidP="00030D3B">
                      <w:pPr>
                        <w:spacing w:line="240" w:lineRule="auto"/>
                        <w:ind w:firstLine="0"/>
                      </w:pPr>
                      <w:r w:rsidRPr="00062806">
                        <w:t xml:space="preserve">Patty </w:t>
                      </w:r>
                      <w:proofErr w:type="spellStart"/>
                      <w:r w:rsidRPr="00062806">
                        <w:t>Opresko</w:t>
                      </w:r>
                      <w:proofErr w:type="spellEnd"/>
                      <w:r w:rsidRPr="00062806">
                        <w:t xml:space="preserve">, PhD </w:t>
                      </w:r>
                      <w:r>
                        <w:tab/>
                      </w:r>
                      <w:r>
                        <w:tab/>
                      </w:r>
                      <w:r>
                        <w:tab/>
                      </w:r>
                      <w:r>
                        <w:tab/>
                      </w:r>
                      <w:r>
                        <w:tab/>
                        <w:t>_________________________________</w:t>
                      </w:r>
                    </w:p>
                    <w:p w:rsidR="0015147D" w:rsidRDefault="0015147D" w:rsidP="00030D3B">
                      <w:pPr>
                        <w:spacing w:line="240" w:lineRule="auto"/>
                        <w:ind w:firstLine="0"/>
                      </w:pPr>
                      <w:r>
                        <w:t>Associate Professor</w:t>
                      </w:r>
                    </w:p>
                    <w:p w:rsidR="0015147D" w:rsidRDefault="0015147D" w:rsidP="00030D3B">
                      <w:pPr>
                        <w:spacing w:line="240" w:lineRule="auto"/>
                        <w:ind w:firstLine="0"/>
                      </w:pPr>
                      <w:r>
                        <w:t>Department of Environmental and Occupational Health</w:t>
                      </w:r>
                    </w:p>
                    <w:p w:rsidR="0015147D" w:rsidRDefault="0015147D" w:rsidP="00030D3B">
                      <w:pPr>
                        <w:spacing w:line="240" w:lineRule="auto"/>
                        <w:ind w:firstLine="0"/>
                      </w:pPr>
                      <w:r>
                        <w:t>Graduate School of Public Health</w:t>
                      </w:r>
                    </w:p>
                    <w:p w:rsidR="0015147D" w:rsidRDefault="0015147D" w:rsidP="00030D3B">
                      <w:pPr>
                        <w:spacing w:line="240" w:lineRule="auto"/>
                        <w:ind w:firstLine="0"/>
                      </w:pPr>
                      <w:r>
                        <w:t>University of Pittsburgh</w:t>
                      </w:r>
                    </w:p>
                    <w:p w:rsidR="0015147D" w:rsidRDefault="0015147D" w:rsidP="00E7007E">
                      <w:pPr>
                        <w:spacing w:line="240" w:lineRule="auto"/>
                        <w:ind w:firstLine="0"/>
                      </w:pPr>
                    </w:p>
                    <w:p w:rsidR="0015147D" w:rsidRDefault="0015147D" w:rsidP="00E7007E">
                      <w:pPr>
                        <w:spacing w:line="240" w:lineRule="auto"/>
                        <w:ind w:firstLine="0"/>
                      </w:pPr>
                      <w:proofErr w:type="spellStart"/>
                      <w:r w:rsidRPr="00062806">
                        <w:t>Hamed</w:t>
                      </w:r>
                      <w:proofErr w:type="spellEnd"/>
                      <w:r w:rsidRPr="00062806">
                        <w:t xml:space="preserve"> </w:t>
                      </w:r>
                      <w:proofErr w:type="spellStart"/>
                      <w:r w:rsidRPr="00062806">
                        <w:t>Samavat</w:t>
                      </w:r>
                      <w:proofErr w:type="spellEnd"/>
                      <w:r w:rsidRPr="00062806">
                        <w:t>, PhD</w:t>
                      </w:r>
                      <w:r>
                        <w:tab/>
                      </w:r>
                      <w:r>
                        <w:tab/>
                      </w:r>
                      <w:r>
                        <w:tab/>
                      </w:r>
                      <w:r>
                        <w:tab/>
                      </w:r>
                      <w:r>
                        <w:tab/>
                        <w:t>_________________________________</w:t>
                      </w:r>
                    </w:p>
                    <w:p w:rsidR="00A243C2" w:rsidRPr="00062806" w:rsidRDefault="00A243C2" w:rsidP="00E7007E">
                      <w:pPr>
                        <w:spacing w:line="240" w:lineRule="auto"/>
                        <w:ind w:firstLine="0"/>
                      </w:pPr>
                      <w:r>
                        <w:t>Post-doctoral Fellow</w:t>
                      </w:r>
                      <w:bookmarkStart w:id="3" w:name="_GoBack"/>
                      <w:bookmarkEnd w:id="3"/>
                    </w:p>
                    <w:p w:rsidR="0015147D" w:rsidRDefault="0015147D" w:rsidP="00E7007E">
                      <w:pPr>
                        <w:spacing w:line="240" w:lineRule="auto"/>
                        <w:ind w:firstLine="0"/>
                      </w:pPr>
                      <w:r>
                        <w:t>Department of Epidemiology</w:t>
                      </w:r>
                    </w:p>
                    <w:p w:rsidR="0015147D" w:rsidRDefault="0015147D" w:rsidP="00E7007E">
                      <w:pPr>
                        <w:spacing w:line="240" w:lineRule="auto"/>
                        <w:ind w:firstLine="0"/>
                      </w:pPr>
                      <w:r>
                        <w:t>Graduate School of Public Health</w:t>
                      </w:r>
                    </w:p>
                    <w:p w:rsidR="0015147D" w:rsidRDefault="0015147D" w:rsidP="00E7007E">
                      <w:pPr>
                        <w:spacing w:line="240" w:lineRule="auto"/>
                        <w:ind w:firstLine="0"/>
                      </w:pPr>
                      <w:r>
                        <w:t>University of Pittsburgh</w:t>
                      </w:r>
                    </w:p>
                    <w:p w:rsidR="0015147D" w:rsidRDefault="0015147D" w:rsidP="00E7007E">
                      <w:pPr>
                        <w:spacing w:line="240" w:lineRule="auto"/>
                        <w:ind w:firstLine="0"/>
                      </w:pPr>
                    </w:p>
                    <w:p w:rsidR="0015147D" w:rsidRPr="00936D40" w:rsidRDefault="0015147D"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7D" w:rsidRDefault="0015147D" w:rsidP="006B1124">
                            <w:pPr>
                              <w:ind w:firstLine="0"/>
                              <w:jc w:val="center"/>
                            </w:pPr>
                            <w:r>
                              <w:t>Copyright © by Xiaoshuang Xun</w:t>
                            </w:r>
                          </w:p>
                          <w:p w:rsidR="0015147D" w:rsidRDefault="0015147D"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" stroked="f">
                <v:path arrowok="t"/>
                <v:textbox>
                  <w:txbxContent>
                    <w:p w:rsidR="0015147D" w:rsidRDefault="0015147D" w:rsidP="006B1124">
                      <w:pPr>
                        <w:ind w:firstLine="0"/>
                        <w:jc w:val="center"/>
                      </w:pPr>
                      <w:r>
                        <w:t>Copyright © by Xiaoshuang Xun</w:t>
                      </w:r>
                    </w:p>
                    <w:p w:rsidR="0015147D" w:rsidRDefault="0015147D" w:rsidP="006B1124">
                      <w:pPr>
                        <w:ind w:firstLine="0"/>
                        <w:jc w:val="center"/>
                      </w:pPr>
                      <w:r>
                        <w:t>2018</w:t>
                      </w:r>
                    </w:p>
                  </w:txbxContent>
                </v:textbox>
                <w10:wrap type="square" anchorx="page" anchory="page"/>
              </v:shape>
            </w:pict>
          </mc:Fallback>
        </mc:AlternateContent>
      </w:r>
      <w:r w:rsidR="002D01B1">
        <w:br w:type="page"/>
      </w:r>
      <w:r w:rsidR="005F2D86" w:rsidRPr="00471663">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margin">
                  <wp:posOffset>-10160</wp:posOffset>
                </wp:positionV>
                <wp:extent cx="5943600" cy="1799590"/>
                <wp:effectExtent l="0" t="0" r="0" b="0"/>
                <wp:wrapSquare wrapText="bothSides"/>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7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47D" w:rsidRPr="005F1BB6" w:rsidRDefault="0015147D" w:rsidP="005F1BB6">
                            <w:pPr>
                              <w:ind w:firstLine="0"/>
                              <w:jc w:val="right"/>
                            </w:pPr>
                            <w:r>
                              <w:t>Jian-Min Yuan, MD, PhD</w:t>
                            </w:r>
                          </w:p>
                          <w:p w:rsidR="0015147D" w:rsidRDefault="0015147D" w:rsidP="005F2D86">
                            <w:pPr>
                              <w:spacing w:line="240" w:lineRule="auto"/>
                              <w:ind w:firstLine="0"/>
                              <w:jc w:val="center"/>
                              <w:rPr>
                                <w:b/>
                              </w:rPr>
                            </w:pPr>
                            <w:r>
                              <w:rPr>
                                <w:b/>
                              </w:rPr>
                              <w:t xml:space="preserve">THE ASSOCIATION BETWEEN TELOMERE </w:t>
                            </w:r>
                            <w:proofErr w:type="gramStart"/>
                            <w:r>
                              <w:rPr>
                                <w:b/>
                              </w:rPr>
                              <w:t>LENGTH</w:t>
                            </w:r>
                            <w:proofErr w:type="gramEnd"/>
                            <w:r>
                              <w:rPr>
                                <w:b/>
                              </w:rPr>
                              <w:t xml:space="preserve"> </w:t>
                            </w:r>
                          </w:p>
                          <w:p w:rsidR="0015147D" w:rsidRDefault="0015147D" w:rsidP="005F2D86">
                            <w:pPr>
                              <w:spacing w:line="240" w:lineRule="auto"/>
                              <w:ind w:firstLine="0"/>
                              <w:jc w:val="center"/>
                              <w:rPr>
                                <w:b/>
                              </w:rPr>
                            </w:pPr>
                            <w:r>
                              <w:rPr>
                                <w:b/>
                              </w:rPr>
                              <w:t xml:space="preserve">AND RISK OF BREAST CANCER </w:t>
                            </w:r>
                          </w:p>
                          <w:p w:rsidR="0015147D" w:rsidRDefault="0015147D" w:rsidP="005F2D86">
                            <w:pPr>
                              <w:ind w:firstLine="0"/>
                              <w:jc w:val="center"/>
                              <w:rPr>
                                <w:b/>
                              </w:rPr>
                            </w:pPr>
                            <w:r>
                              <w:rPr>
                                <w:b/>
                              </w:rPr>
                              <w:t>IN SINGAPORE CHINESE HEALTH STUDY</w:t>
                            </w:r>
                          </w:p>
                          <w:p w:rsidR="0015147D" w:rsidRDefault="0015147D" w:rsidP="005F2D86">
                            <w:pPr>
                              <w:ind w:firstLine="0"/>
                              <w:jc w:val="center"/>
                            </w:pPr>
                            <w:r>
                              <w:rPr>
                                <w:rFonts w:hint="eastAsia"/>
                                <w:lang w:eastAsia="zh-CN"/>
                              </w:rPr>
                              <w:t>Xiaoshuang</w:t>
                            </w:r>
                            <w:r>
                              <w:rPr>
                                <w:lang w:eastAsia="zh-CN"/>
                              </w:rPr>
                              <w:t xml:space="preserve"> Xun</w:t>
                            </w:r>
                            <w:r>
                              <w:t>, MPH</w:t>
                            </w:r>
                          </w:p>
                          <w:p w:rsidR="0015147D" w:rsidRDefault="0015147D" w:rsidP="005F2D86">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0;margin-top:-.8pt;width:468pt;height:14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" filled="f" stroked="f">
                <v:path arrowok="t"/>
                <v:textbox>
                  <w:txbxContent>
                    <w:p w:rsidR="0015147D" w:rsidRPr="005F1BB6" w:rsidRDefault="0015147D" w:rsidP="005F1BB6">
                      <w:pPr>
                        <w:ind w:firstLine="0"/>
                        <w:jc w:val="right"/>
                      </w:pPr>
                      <w:r>
                        <w:t>Jian-Min Yuan, MD, PhD</w:t>
                      </w:r>
                    </w:p>
                    <w:p w:rsidR="0015147D" w:rsidRDefault="0015147D" w:rsidP="005F2D86">
                      <w:pPr>
                        <w:spacing w:line="240" w:lineRule="auto"/>
                        <w:ind w:firstLine="0"/>
                        <w:jc w:val="center"/>
                        <w:rPr>
                          <w:b/>
                        </w:rPr>
                      </w:pPr>
                      <w:r>
                        <w:rPr>
                          <w:b/>
                        </w:rPr>
                        <w:t xml:space="preserve">THE ASSOCIATION BETWEEN TELOMERE </w:t>
                      </w:r>
                      <w:proofErr w:type="gramStart"/>
                      <w:r>
                        <w:rPr>
                          <w:b/>
                        </w:rPr>
                        <w:t>LENGTH</w:t>
                      </w:r>
                      <w:proofErr w:type="gramEnd"/>
                      <w:r>
                        <w:rPr>
                          <w:b/>
                        </w:rPr>
                        <w:t xml:space="preserve"> </w:t>
                      </w:r>
                    </w:p>
                    <w:p w:rsidR="0015147D" w:rsidRDefault="0015147D" w:rsidP="005F2D86">
                      <w:pPr>
                        <w:spacing w:line="240" w:lineRule="auto"/>
                        <w:ind w:firstLine="0"/>
                        <w:jc w:val="center"/>
                        <w:rPr>
                          <w:b/>
                        </w:rPr>
                      </w:pPr>
                      <w:r>
                        <w:rPr>
                          <w:b/>
                        </w:rPr>
                        <w:t xml:space="preserve">AND RISK OF BREAST CANCER </w:t>
                      </w:r>
                    </w:p>
                    <w:p w:rsidR="0015147D" w:rsidRDefault="0015147D" w:rsidP="005F2D86">
                      <w:pPr>
                        <w:ind w:firstLine="0"/>
                        <w:jc w:val="center"/>
                        <w:rPr>
                          <w:b/>
                        </w:rPr>
                      </w:pPr>
                      <w:r>
                        <w:rPr>
                          <w:b/>
                        </w:rPr>
                        <w:t>IN SINGAPORE CHINESE HEALTH STUDY</w:t>
                      </w:r>
                    </w:p>
                    <w:p w:rsidR="0015147D" w:rsidRDefault="0015147D" w:rsidP="005F2D86">
                      <w:pPr>
                        <w:ind w:firstLine="0"/>
                        <w:jc w:val="center"/>
                      </w:pPr>
                      <w:r>
                        <w:rPr>
                          <w:rFonts w:hint="eastAsia"/>
                          <w:lang w:eastAsia="zh-CN"/>
                        </w:rPr>
                        <w:t>Xiaoshuang</w:t>
                      </w:r>
                      <w:r>
                        <w:rPr>
                          <w:lang w:eastAsia="zh-CN"/>
                        </w:rPr>
                        <w:t xml:space="preserve"> Xun</w:t>
                      </w:r>
                      <w:r>
                        <w:t>, MPH</w:t>
                      </w:r>
                    </w:p>
                    <w:p w:rsidR="0015147D" w:rsidRDefault="0015147D" w:rsidP="005F2D86">
                      <w:pPr>
                        <w:ind w:firstLine="0"/>
                        <w:jc w:val="center"/>
                      </w:pPr>
                      <w:r>
                        <w:t>University of Pittsburgh, 2018</w:t>
                      </w:r>
                      <w:r>
                        <w:br w:type="page"/>
                      </w:r>
                    </w:p>
                  </w:txbxContent>
                </v:textbox>
                <w10:wrap type="square" anchory="margin"/>
              </v:shape>
            </w:pict>
          </mc:Fallback>
        </mc:AlternateContent>
      </w:r>
      <w:r w:rsidR="007F763B" w:rsidRPr="007F763B">
        <w:rPr>
          <w:b/>
        </w:rPr>
        <w:t>ABSTRACT</w:t>
      </w:r>
    </w:p>
    <w:p w:rsidR="007F763B" w:rsidRDefault="007F763B" w:rsidP="007F763B">
      <w:pPr>
        <w:pStyle w:val="Noindent"/>
        <w:spacing w:line="240" w:lineRule="auto"/>
      </w:pPr>
    </w:p>
    <w:p w:rsidR="006B1124" w:rsidRPr="00471663" w:rsidRDefault="00471663" w:rsidP="00471663">
      <w:pPr>
        <w:ind w:firstLine="0"/>
        <w:rPr>
          <w:color w:val="000000"/>
          <w:lang w:eastAsia="zh-CN"/>
        </w:rPr>
      </w:pPr>
      <w:r>
        <w:rPr>
          <w:b/>
          <w:color w:val="000000"/>
        </w:rPr>
        <w:t>Background</w:t>
      </w:r>
      <w:r w:rsidRPr="00471663">
        <w:rPr>
          <w:b/>
          <w:color w:val="000000"/>
        </w:rPr>
        <w:t>:</w:t>
      </w:r>
      <w:r w:rsidRPr="00B64F77">
        <w:rPr>
          <w:rFonts w:ascii="Calibri" w:hAnsi="Calibri"/>
          <w:b/>
          <w:color w:val="000000"/>
          <w:sz w:val="22"/>
          <w:szCs w:val="22"/>
        </w:rPr>
        <w:t> </w:t>
      </w:r>
      <w:r w:rsidR="00DD27B3" w:rsidRPr="007D22E6">
        <w:t>Telomeres are tandemly repeated sequences located at the distal ends of linear chromosomes</w:t>
      </w:r>
      <w:r w:rsidR="00EE6CF3">
        <w:rPr>
          <w:color w:val="000000"/>
        </w:rPr>
        <w:t>, which play an important</w:t>
      </w:r>
      <w:r w:rsidRPr="00471663">
        <w:rPr>
          <w:color w:val="000000"/>
        </w:rPr>
        <w:t xml:space="preserve"> </w:t>
      </w:r>
      <w:r w:rsidR="002E1A83">
        <w:rPr>
          <w:color w:val="000000"/>
        </w:rPr>
        <w:t>role in maintaining chromosome</w:t>
      </w:r>
      <w:r w:rsidRPr="00471663">
        <w:rPr>
          <w:color w:val="000000"/>
        </w:rPr>
        <w:t xml:space="preserve"> integrity and cell replication. Although numerous epidemiological studies have examined the association between telomere length and risk of breast cancer, the results are conflicting. In this study, we eval</w:t>
      </w:r>
      <w:r w:rsidR="004B74B8">
        <w:rPr>
          <w:color w:val="000000"/>
        </w:rPr>
        <w:t>uated the association between telomere length</w:t>
      </w:r>
      <w:r w:rsidRPr="00471663">
        <w:rPr>
          <w:color w:val="000000"/>
        </w:rPr>
        <w:t xml:space="preserve"> and risk of breast cancer using the data from the Singapore Chinese Health Study, a prospective, population-based study.</w:t>
      </w:r>
      <w:r>
        <w:rPr>
          <w:color w:val="000000"/>
        </w:rPr>
        <w:t xml:space="preserve"> </w:t>
      </w:r>
      <w:r w:rsidRPr="00471663">
        <w:rPr>
          <w:b/>
          <w:color w:val="000000"/>
        </w:rPr>
        <w:t>Methods: </w:t>
      </w:r>
      <w:r w:rsidRPr="00471663">
        <w:rPr>
          <w:color w:val="000000"/>
        </w:rPr>
        <w:t xml:space="preserve">Study subjects were 14,306 women aged 45-74 years at enrollment in the Singapore Chinese Health Study. The subjects’ information of demographics, lifestyle, and reproductive history was collected at enrollment and blood sample collection. </w:t>
      </w:r>
      <w:r w:rsidR="00BA475A">
        <w:rPr>
          <w:color w:val="000000"/>
        </w:rPr>
        <w:t>Telomere length</w:t>
      </w:r>
      <w:r w:rsidRPr="00471663">
        <w:rPr>
          <w:color w:val="000000"/>
        </w:rPr>
        <w:t xml:space="preserve"> was measured using </w:t>
      </w:r>
      <w:r w:rsidR="002E1A83">
        <w:rPr>
          <w:color w:val="000000"/>
        </w:rPr>
        <w:t xml:space="preserve">the </w:t>
      </w:r>
      <w:r w:rsidRPr="00471663">
        <w:rPr>
          <w:color w:val="000000"/>
        </w:rPr>
        <w:t xml:space="preserve">qPCR method. Hazard ratios (HRs) and 95% confidence intervals (95% CIs) for risk of </w:t>
      </w:r>
      <w:r w:rsidR="00B1749A">
        <w:rPr>
          <w:color w:val="000000"/>
        </w:rPr>
        <w:t>breast cancer associated with telomere length</w:t>
      </w:r>
      <w:r w:rsidRPr="00471663">
        <w:rPr>
          <w:color w:val="000000"/>
        </w:rPr>
        <w:t xml:space="preserve"> in quintiles were calculated using Cox proportional hazard regression, with adjustment for age at blood col</w:t>
      </w:r>
      <w:r w:rsidR="002E1A83">
        <w:rPr>
          <w:color w:val="000000"/>
        </w:rPr>
        <w:t>lection, level of education, body mass index (BMI)</w:t>
      </w:r>
      <w:r w:rsidRPr="00471663">
        <w:rPr>
          <w:color w:val="000000"/>
        </w:rPr>
        <w:t xml:space="preserve">, number of live births (0, 1-2, 3-4, </w:t>
      </w:r>
      <w:r w:rsidR="005400CF">
        <w:rPr>
          <w:color w:val="000000"/>
        </w:rPr>
        <w:t xml:space="preserve">or </w:t>
      </w:r>
      <w:r w:rsidRPr="00471663">
        <w:rPr>
          <w:color w:val="000000"/>
        </w:rPr>
        <w:t xml:space="preserve">5+) and age at first live birth (nulliparous, &lt;20, 21-25, 26-30, </w:t>
      </w:r>
      <w:r w:rsidR="005400CF">
        <w:rPr>
          <w:color w:val="000000"/>
        </w:rPr>
        <w:t xml:space="preserve">or </w:t>
      </w:r>
      <w:r w:rsidRPr="00471663">
        <w:rPr>
          <w:color w:val="000000"/>
        </w:rPr>
        <w:t>31+</w:t>
      </w:r>
      <w:r w:rsidR="00EA4279">
        <w:rPr>
          <w:color w:val="000000"/>
        </w:rPr>
        <w:t xml:space="preserve"> years</w:t>
      </w:r>
      <w:r w:rsidRPr="00471663">
        <w:rPr>
          <w:color w:val="000000"/>
        </w:rPr>
        <w:t>).</w:t>
      </w:r>
      <w:r>
        <w:rPr>
          <w:color w:val="000000"/>
        </w:rPr>
        <w:t xml:space="preserve"> </w:t>
      </w:r>
      <w:r w:rsidRPr="00471663">
        <w:rPr>
          <w:b/>
          <w:color w:val="000000"/>
        </w:rPr>
        <w:t>Results:</w:t>
      </w:r>
      <w:r w:rsidRPr="00471663">
        <w:rPr>
          <w:color w:val="000000"/>
        </w:rPr>
        <w:t xml:space="preserve"> Breast cancer risk was increased significant</w:t>
      </w:r>
      <w:r w:rsidR="00943D71">
        <w:rPr>
          <w:color w:val="000000"/>
        </w:rPr>
        <w:t>ly in association with longer telomere length</w:t>
      </w:r>
      <w:r w:rsidRPr="00471663">
        <w:rPr>
          <w:color w:val="000000"/>
        </w:rPr>
        <w:t xml:space="preserve">. Women with the highest quintile </w:t>
      </w:r>
      <w:r w:rsidR="002C10E0">
        <w:rPr>
          <w:color w:val="000000"/>
        </w:rPr>
        <w:t>of telomere length</w:t>
      </w:r>
      <w:r w:rsidRPr="00471663">
        <w:rPr>
          <w:color w:val="000000"/>
        </w:rPr>
        <w:t xml:space="preserve"> had </w:t>
      </w:r>
      <w:r w:rsidR="007D6C24">
        <w:rPr>
          <w:color w:val="000000"/>
        </w:rPr>
        <w:t xml:space="preserve">a </w:t>
      </w:r>
      <w:r w:rsidRPr="00471663">
        <w:rPr>
          <w:color w:val="000000"/>
        </w:rPr>
        <w:t>47% higher risk of breast cancer (HR</w:t>
      </w:r>
      <w:r w:rsidR="002E1A83">
        <w:rPr>
          <w:color w:val="000000"/>
        </w:rPr>
        <w:t xml:space="preserve"> </w:t>
      </w:r>
      <w:r w:rsidRPr="00471663">
        <w:rPr>
          <w:color w:val="000000"/>
        </w:rPr>
        <w:t>=</w:t>
      </w:r>
      <w:r w:rsidR="002E1A83">
        <w:rPr>
          <w:color w:val="000000"/>
        </w:rPr>
        <w:t xml:space="preserve"> </w:t>
      </w:r>
      <w:r w:rsidRPr="00471663">
        <w:rPr>
          <w:color w:val="000000"/>
        </w:rPr>
        <w:t>1.47, 95% CI</w:t>
      </w:r>
      <w:r w:rsidR="002E1A83">
        <w:rPr>
          <w:color w:val="000000"/>
        </w:rPr>
        <w:t xml:space="preserve"> </w:t>
      </w:r>
      <w:r w:rsidRPr="00471663">
        <w:rPr>
          <w:color w:val="000000"/>
        </w:rPr>
        <w:t>=</w:t>
      </w:r>
      <w:r w:rsidR="002E1A83">
        <w:rPr>
          <w:color w:val="000000"/>
        </w:rPr>
        <w:t xml:space="preserve"> </w:t>
      </w:r>
      <w:r w:rsidRPr="00471663">
        <w:rPr>
          <w:color w:val="000000"/>
        </w:rPr>
        <w:t>0.90-2.38</w:t>
      </w:r>
      <w:r w:rsidR="002C10E0">
        <w:rPr>
          <w:color w:val="000000"/>
        </w:rPr>
        <w:t xml:space="preserve">, </w:t>
      </w:r>
      <w:proofErr w:type="spellStart"/>
      <w:r w:rsidR="002C10E0" w:rsidRPr="002C10E0">
        <w:rPr>
          <w:i/>
          <w:color w:val="000000"/>
        </w:rPr>
        <w:t>P</w:t>
      </w:r>
      <w:r w:rsidR="002C10E0">
        <w:rPr>
          <w:color w:val="000000"/>
          <w:vertAlign w:val="subscript"/>
        </w:rPr>
        <w:t>trend</w:t>
      </w:r>
      <w:proofErr w:type="spellEnd"/>
      <w:r w:rsidR="002E1A83">
        <w:rPr>
          <w:color w:val="000000"/>
          <w:vertAlign w:val="subscript"/>
        </w:rPr>
        <w:t xml:space="preserve"> </w:t>
      </w:r>
      <w:r w:rsidR="002C10E0">
        <w:rPr>
          <w:color w:val="000000"/>
        </w:rPr>
        <w:t>= 0.01</w:t>
      </w:r>
      <w:r w:rsidRPr="00471663">
        <w:rPr>
          <w:color w:val="000000"/>
        </w:rPr>
        <w:t xml:space="preserve">) compared with the lowest quintile. The association is apparent </w:t>
      </w:r>
      <w:r w:rsidR="00D57830">
        <w:t>in women that</w:t>
      </w:r>
      <w:r w:rsidR="005400CF">
        <w:t xml:space="preserve"> were overweight/obese (HR = 2.0</w:t>
      </w:r>
      <w:r w:rsidR="00F031E0">
        <w:t>0</w:t>
      </w:r>
      <w:r w:rsidR="00760870">
        <w:t>, 95% CI 1.02</w:t>
      </w:r>
      <w:r w:rsidR="005400CF">
        <w:t xml:space="preserve"> </w:t>
      </w:r>
      <w:r w:rsidR="00D57830">
        <w:t>-</w:t>
      </w:r>
      <w:r w:rsidR="005400CF">
        <w:t xml:space="preserve"> </w:t>
      </w:r>
      <w:r w:rsidR="00760870">
        <w:t>3.91</w:t>
      </w:r>
      <w:r w:rsidR="00D57830">
        <w:t xml:space="preserve">, </w:t>
      </w:r>
      <w:proofErr w:type="spellStart"/>
      <w:r w:rsidR="00D57830" w:rsidRPr="00C7325C">
        <w:rPr>
          <w:i/>
        </w:rPr>
        <w:t>P</w:t>
      </w:r>
      <w:r w:rsidR="00D57830">
        <w:rPr>
          <w:vertAlign w:val="subscript"/>
        </w:rPr>
        <w:t>trend</w:t>
      </w:r>
      <w:proofErr w:type="spellEnd"/>
      <w:r w:rsidR="002E1A83">
        <w:rPr>
          <w:vertAlign w:val="subscript"/>
        </w:rPr>
        <w:t xml:space="preserve"> </w:t>
      </w:r>
      <w:r w:rsidR="00D57830">
        <w:t>=</w:t>
      </w:r>
      <w:r w:rsidR="00760870">
        <w:t xml:space="preserve"> 0.01</w:t>
      </w:r>
      <w:r w:rsidR="002E1A83">
        <w:t>);</w:t>
      </w:r>
      <w:r w:rsidR="00D57830">
        <w:t xml:space="preserve"> </w:t>
      </w:r>
      <w:r w:rsidR="00D57830">
        <w:lastRenderedPageBreak/>
        <w:t xml:space="preserve">women who had menarche less than 14 years old (HR = 1.56, 95% CI 0.84-2.89, </w:t>
      </w:r>
      <w:proofErr w:type="spellStart"/>
      <w:r w:rsidR="00D57830" w:rsidRPr="00C7325C">
        <w:rPr>
          <w:i/>
        </w:rPr>
        <w:t>P</w:t>
      </w:r>
      <w:r w:rsidR="00D57830">
        <w:rPr>
          <w:vertAlign w:val="subscript"/>
        </w:rPr>
        <w:t>trend</w:t>
      </w:r>
      <w:proofErr w:type="spellEnd"/>
      <w:r w:rsidR="002E1A83">
        <w:rPr>
          <w:vertAlign w:val="subscript"/>
        </w:rPr>
        <w:t xml:space="preserve"> </w:t>
      </w:r>
      <w:r w:rsidR="00D57830">
        <w:t>=</w:t>
      </w:r>
      <w:r w:rsidR="002E1A83">
        <w:t xml:space="preserve"> 0.01);</w:t>
      </w:r>
      <w:r w:rsidR="00C52E04">
        <w:t xml:space="preserve"> women who gave first live</w:t>
      </w:r>
      <w:r w:rsidR="00D57830">
        <w:t xml:space="preserve"> birth </w:t>
      </w:r>
      <w:r w:rsidR="00C52E04">
        <w:t xml:space="preserve">at or above </w:t>
      </w:r>
      <w:r w:rsidR="00D57830">
        <w:t xml:space="preserve">26 years old (HR = 1.74, 95% CI 0.86-3.54, </w:t>
      </w:r>
      <w:proofErr w:type="spellStart"/>
      <w:r w:rsidR="00D57830" w:rsidRPr="00C7325C">
        <w:rPr>
          <w:i/>
        </w:rPr>
        <w:t>P</w:t>
      </w:r>
      <w:r w:rsidR="00D57830">
        <w:rPr>
          <w:vertAlign w:val="subscript"/>
        </w:rPr>
        <w:t>trend</w:t>
      </w:r>
      <w:proofErr w:type="spellEnd"/>
      <w:r w:rsidR="002E1A83">
        <w:rPr>
          <w:vertAlign w:val="subscript"/>
        </w:rPr>
        <w:t xml:space="preserve"> </w:t>
      </w:r>
      <w:r w:rsidR="00D57830">
        <w:t>=</w:t>
      </w:r>
      <w:r w:rsidR="002E1A83">
        <w:t xml:space="preserve"> </w:t>
      </w:r>
      <w:r w:rsidR="00D57830">
        <w:t>0.02)</w:t>
      </w:r>
      <w:r w:rsidR="002E1A83">
        <w:t>;</w:t>
      </w:r>
      <w:r w:rsidR="00D57830">
        <w:t xml:space="preserve"> and women who had 3 or more children</w:t>
      </w:r>
      <w:r w:rsidR="002E1A83">
        <w:t xml:space="preserve"> </w:t>
      </w:r>
      <w:r w:rsidR="000E1A72">
        <w:t xml:space="preserve">(HR = 1.64, 95% CI 0.83-3.23, </w:t>
      </w:r>
      <w:proofErr w:type="spellStart"/>
      <w:r w:rsidR="000E1A72" w:rsidRPr="00C7325C">
        <w:rPr>
          <w:i/>
        </w:rPr>
        <w:t>P</w:t>
      </w:r>
      <w:r w:rsidR="000E1A72">
        <w:rPr>
          <w:vertAlign w:val="subscript"/>
        </w:rPr>
        <w:t>trend</w:t>
      </w:r>
      <w:proofErr w:type="spellEnd"/>
      <w:r w:rsidR="002E1A83">
        <w:rPr>
          <w:vertAlign w:val="subscript"/>
        </w:rPr>
        <w:t xml:space="preserve"> </w:t>
      </w:r>
      <w:r w:rsidR="000E1A72">
        <w:t>=</w:t>
      </w:r>
      <w:r w:rsidR="002E1A83">
        <w:t xml:space="preserve"> </w:t>
      </w:r>
      <w:r w:rsidR="000E1A72">
        <w:t>0.02)</w:t>
      </w:r>
      <w:r w:rsidR="008C71D0">
        <w:t>.</w:t>
      </w:r>
      <w:r w:rsidR="00D57830">
        <w:t xml:space="preserve"> </w:t>
      </w:r>
      <w:r w:rsidRPr="00471663">
        <w:rPr>
          <w:b/>
          <w:color w:val="000000"/>
        </w:rPr>
        <w:t xml:space="preserve">Conclusion: </w:t>
      </w:r>
      <w:r w:rsidRPr="00471663">
        <w:rPr>
          <w:color w:val="000000"/>
        </w:rPr>
        <w:t xml:space="preserve">Longer </w:t>
      </w:r>
      <w:r w:rsidR="002C10E0">
        <w:rPr>
          <w:color w:val="000000"/>
        </w:rPr>
        <w:t>telomere length</w:t>
      </w:r>
      <w:r w:rsidRPr="00471663">
        <w:rPr>
          <w:color w:val="000000"/>
        </w:rPr>
        <w:t xml:space="preserve"> is associated with increased risk of breast cancer</w:t>
      </w:r>
      <w:r w:rsidR="002E1A83">
        <w:rPr>
          <w:color w:val="000000"/>
        </w:rPr>
        <w:t xml:space="preserve"> in an Asian/Pacific Islander population</w:t>
      </w:r>
      <w:r w:rsidR="009D5255">
        <w:rPr>
          <w:color w:val="000000"/>
        </w:rPr>
        <w:t xml:space="preserve">. </w:t>
      </w:r>
      <w:r w:rsidR="009D5255">
        <w:t xml:space="preserve">This </w:t>
      </w:r>
      <w:r w:rsidR="006F1BD7">
        <w:t xml:space="preserve">finding </w:t>
      </w:r>
      <w:r w:rsidR="009D5255">
        <w:t xml:space="preserve">could provide </w:t>
      </w:r>
      <w:r w:rsidR="002E1A83">
        <w:t>a significant</w:t>
      </w:r>
      <w:r w:rsidR="006F1BD7">
        <w:t xml:space="preserve"> benefit to public</w:t>
      </w:r>
      <w:r w:rsidR="002E1A83">
        <w:t xml:space="preserve"> health, as it could serve as convincing</w:t>
      </w:r>
      <w:r w:rsidR="006F1BD7">
        <w:t xml:space="preserve"> </w:t>
      </w:r>
      <w:r w:rsidR="002E1A83">
        <w:t xml:space="preserve">evidence for </w:t>
      </w:r>
      <w:r w:rsidR="009D5255">
        <w:t xml:space="preserve">telomere length </w:t>
      </w:r>
      <w:r w:rsidR="002E1A83">
        <w:t xml:space="preserve">measurement </w:t>
      </w:r>
      <w:r w:rsidR="009D5255">
        <w:t>as a biomarker in breast cancer prevention and development.</w:t>
      </w:r>
    </w:p>
    <w:p w:rsidR="00AA2C6A" w:rsidRDefault="00AA2C6A" w:rsidP="00AA2C6A"/>
    <w:p w:rsidR="00AA2C6A" w:rsidRPr="00AA2C6A" w:rsidRDefault="00AA2C6A" w:rsidP="00AA2C6A"/>
    <w:p w:rsidR="008A110F" w:rsidRDefault="008A110F" w:rsidP="00656EE6">
      <w:pPr>
        <w:pStyle w:val="Preliminary"/>
      </w:pPr>
      <w:bookmarkStart w:id="4" w:name="_Toc106717784"/>
      <w:r w:rsidRPr="00E36565">
        <w:lastRenderedPageBreak/>
        <w:t>TABLE</w:t>
      </w:r>
      <w:r>
        <w:t xml:space="preserve"> OF CONTENTS</w:t>
      </w:r>
      <w:bookmarkEnd w:id="4"/>
    </w:p>
    <w:p w:rsidR="00D57830" w:rsidRDefault="00367476">
      <w:pPr>
        <w:pStyle w:val="TOC1"/>
        <w:tabs>
          <w:tab w:val="left" w:pos="1008"/>
          <w:tab w:val="right" w:leader="dot" w:pos="9350"/>
        </w:tabs>
        <w:rPr>
          <w:rFonts w:asciiTheme="minorHAnsi" w:eastAsiaTheme="minorEastAsia" w:hAnsiTheme="minorHAnsi" w:cstheme="minorBidi"/>
          <w:b w:val="0"/>
          <w:caps w:val="0"/>
          <w:noProof/>
          <w:lang w:eastAsia="zh-CN"/>
        </w:rPr>
      </w:pPr>
      <w:r>
        <w:fldChar w:fldCharType="begin"/>
      </w:r>
      <w:r w:rsidRPr="00D57830">
        <w:instrText xml:space="preserve"> TOC \o "2-4" \h \z \t "Heading 1,1,Appendix,1,Heading,1" </w:instrText>
      </w:r>
      <w:r>
        <w:fldChar w:fldCharType="separate"/>
      </w:r>
      <w:hyperlink w:anchor="_Toc509180551" w:history="1">
        <w:r w:rsidR="00D57830" w:rsidRPr="00AA72A3">
          <w:rPr>
            <w:rStyle w:val="Hyperlink"/>
            <w:noProof/>
          </w:rPr>
          <w:t>1.0</w:t>
        </w:r>
        <w:r w:rsidR="00D57830">
          <w:rPr>
            <w:rFonts w:asciiTheme="minorHAnsi" w:eastAsiaTheme="minorEastAsia" w:hAnsiTheme="minorHAnsi" w:cstheme="minorBidi"/>
            <w:b w:val="0"/>
            <w:caps w:val="0"/>
            <w:noProof/>
            <w:lang w:eastAsia="zh-CN"/>
          </w:rPr>
          <w:tab/>
        </w:r>
        <w:r w:rsidR="00D57830" w:rsidRPr="00AA72A3">
          <w:rPr>
            <w:rStyle w:val="Hyperlink"/>
            <w:noProof/>
          </w:rPr>
          <w:t>Introduction</w:t>
        </w:r>
        <w:r w:rsidR="00D57830">
          <w:rPr>
            <w:noProof/>
            <w:webHidden/>
          </w:rPr>
          <w:tab/>
        </w:r>
        <w:r w:rsidR="00D57830">
          <w:rPr>
            <w:noProof/>
            <w:webHidden/>
          </w:rPr>
          <w:fldChar w:fldCharType="begin"/>
        </w:r>
        <w:r w:rsidR="00D57830">
          <w:rPr>
            <w:noProof/>
            <w:webHidden/>
          </w:rPr>
          <w:instrText xml:space="preserve"> PAGEREF _Toc509180551 \h </w:instrText>
        </w:r>
        <w:r w:rsidR="00D57830">
          <w:rPr>
            <w:noProof/>
            <w:webHidden/>
          </w:rPr>
        </w:r>
        <w:r w:rsidR="00D57830">
          <w:rPr>
            <w:noProof/>
            <w:webHidden/>
          </w:rPr>
          <w:fldChar w:fldCharType="separate"/>
        </w:r>
        <w:r w:rsidR="00803079">
          <w:rPr>
            <w:noProof/>
            <w:webHidden/>
          </w:rPr>
          <w:t>1</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52" w:history="1">
        <w:r w:rsidR="00D57830" w:rsidRPr="00AA72A3">
          <w:rPr>
            <w:rStyle w:val="Hyperlink"/>
            <w:noProof/>
          </w:rPr>
          <w:t>1.1</w:t>
        </w:r>
        <w:r w:rsidR="00D57830">
          <w:rPr>
            <w:rFonts w:asciiTheme="minorHAnsi" w:eastAsiaTheme="minorEastAsia" w:hAnsiTheme="minorHAnsi" w:cstheme="minorBidi"/>
            <w:b w:val="0"/>
            <w:caps w:val="0"/>
            <w:noProof/>
            <w:lang w:eastAsia="zh-CN"/>
          </w:rPr>
          <w:tab/>
        </w:r>
        <w:r w:rsidR="00D57830" w:rsidRPr="00AA72A3">
          <w:rPr>
            <w:rStyle w:val="Hyperlink"/>
            <w:noProof/>
          </w:rPr>
          <w:t>risk factors of Breast cancer</w:t>
        </w:r>
        <w:r w:rsidR="00D57830">
          <w:rPr>
            <w:noProof/>
            <w:webHidden/>
          </w:rPr>
          <w:tab/>
        </w:r>
        <w:r w:rsidR="00D57830">
          <w:rPr>
            <w:noProof/>
            <w:webHidden/>
          </w:rPr>
          <w:fldChar w:fldCharType="begin"/>
        </w:r>
        <w:r w:rsidR="00D57830">
          <w:rPr>
            <w:noProof/>
            <w:webHidden/>
          </w:rPr>
          <w:instrText xml:space="preserve"> PAGEREF _Toc509180552 \h </w:instrText>
        </w:r>
        <w:r w:rsidR="00D57830">
          <w:rPr>
            <w:noProof/>
            <w:webHidden/>
          </w:rPr>
        </w:r>
        <w:r w:rsidR="00D57830">
          <w:rPr>
            <w:noProof/>
            <w:webHidden/>
          </w:rPr>
          <w:fldChar w:fldCharType="separate"/>
        </w:r>
        <w:r w:rsidR="00803079">
          <w:rPr>
            <w:noProof/>
            <w:webHidden/>
          </w:rPr>
          <w:t>1</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53" w:history="1">
        <w:r w:rsidR="00D57830" w:rsidRPr="00AA72A3">
          <w:rPr>
            <w:rStyle w:val="Hyperlink"/>
            <w:noProof/>
          </w:rPr>
          <w:t>1.1.1</w:t>
        </w:r>
        <w:r w:rsidR="00D57830">
          <w:rPr>
            <w:rFonts w:asciiTheme="minorHAnsi" w:eastAsiaTheme="minorEastAsia" w:hAnsiTheme="minorHAnsi" w:cstheme="minorBidi"/>
            <w:b w:val="0"/>
            <w:noProof/>
            <w:lang w:eastAsia="zh-CN"/>
          </w:rPr>
          <w:tab/>
        </w:r>
        <w:r w:rsidR="00D57830" w:rsidRPr="00AA72A3">
          <w:rPr>
            <w:rStyle w:val="Hyperlink"/>
            <w:noProof/>
          </w:rPr>
          <w:t>Age</w:t>
        </w:r>
        <w:r w:rsidR="00D57830">
          <w:rPr>
            <w:noProof/>
            <w:webHidden/>
          </w:rPr>
          <w:tab/>
        </w:r>
        <w:r w:rsidR="00D57830">
          <w:rPr>
            <w:noProof/>
            <w:webHidden/>
          </w:rPr>
          <w:fldChar w:fldCharType="begin"/>
        </w:r>
        <w:r w:rsidR="00D57830">
          <w:rPr>
            <w:noProof/>
            <w:webHidden/>
          </w:rPr>
          <w:instrText xml:space="preserve"> PAGEREF _Toc509180553 \h </w:instrText>
        </w:r>
        <w:r w:rsidR="00D57830">
          <w:rPr>
            <w:noProof/>
            <w:webHidden/>
          </w:rPr>
        </w:r>
        <w:r w:rsidR="00D57830">
          <w:rPr>
            <w:noProof/>
            <w:webHidden/>
          </w:rPr>
          <w:fldChar w:fldCharType="separate"/>
        </w:r>
        <w:r w:rsidR="00803079">
          <w:rPr>
            <w:noProof/>
            <w:webHidden/>
          </w:rPr>
          <w:t>1</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54" w:history="1">
        <w:r w:rsidR="00D57830" w:rsidRPr="00AA72A3">
          <w:rPr>
            <w:rStyle w:val="Hyperlink"/>
            <w:noProof/>
          </w:rPr>
          <w:t>1.1.2</w:t>
        </w:r>
        <w:r w:rsidR="00D57830">
          <w:rPr>
            <w:rFonts w:asciiTheme="minorHAnsi" w:eastAsiaTheme="minorEastAsia" w:hAnsiTheme="minorHAnsi" w:cstheme="minorBidi"/>
            <w:b w:val="0"/>
            <w:noProof/>
            <w:lang w:eastAsia="zh-CN"/>
          </w:rPr>
          <w:tab/>
        </w:r>
        <w:r w:rsidR="00D57830" w:rsidRPr="00AA72A3">
          <w:rPr>
            <w:rStyle w:val="Hyperlink"/>
            <w:noProof/>
          </w:rPr>
          <w:t>Race</w:t>
        </w:r>
        <w:r w:rsidR="00D57830">
          <w:rPr>
            <w:noProof/>
            <w:webHidden/>
          </w:rPr>
          <w:tab/>
        </w:r>
        <w:r w:rsidR="00D57830">
          <w:rPr>
            <w:noProof/>
            <w:webHidden/>
          </w:rPr>
          <w:fldChar w:fldCharType="begin"/>
        </w:r>
        <w:r w:rsidR="00D57830">
          <w:rPr>
            <w:noProof/>
            <w:webHidden/>
          </w:rPr>
          <w:instrText xml:space="preserve"> PAGEREF _Toc509180554 \h </w:instrText>
        </w:r>
        <w:r w:rsidR="00D57830">
          <w:rPr>
            <w:noProof/>
            <w:webHidden/>
          </w:rPr>
        </w:r>
        <w:r w:rsidR="00D57830">
          <w:rPr>
            <w:noProof/>
            <w:webHidden/>
          </w:rPr>
          <w:fldChar w:fldCharType="separate"/>
        </w:r>
        <w:r w:rsidR="00803079">
          <w:rPr>
            <w:noProof/>
            <w:webHidden/>
          </w:rPr>
          <w:t>2</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55" w:history="1">
        <w:r w:rsidR="00D57830" w:rsidRPr="00AA72A3">
          <w:rPr>
            <w:rStyle w:val="Hyperlink"/>
            <w:noProof/>
          </w:rPr>
          <w:t>1.1.3</w:t>
        </w:r>
        <w:r w:rsidR="00D57830">
          <w:rPr>
            <w:rFonts w:asciiTheme="minorHAnsi" w:eastAsiaTheme="minorEastAsia" w:hAnsiTheme="minorHAnsi" w:cstheme="minorBidi"/>
            <w:b w:val="0"/>
            <w:noProof/>
            <w:lang w:eastAsia="zh-CN"/>
          </w:rPr>
          <w:tab/>
        </w:r>
        <w:r w:rsidR="00D57830" w:rsidRPr="00AA72A3">
          <w:rPr>
            <w:rStyle w:val="Hyperlink"/>
            <w:noProof/>
          </w:rPr>
          <w:t>Body Mass Index</w:t>
        </w:r>
        <w:r w:rsidR="00D57830">
          <w:rPr>
            <w:noProof/>
            <w:webHidden/>
          </w:rPr>
          <w:tab/>
        </w:r>
        <w:r w:rsidR="00D57830">
          <w:rPr>
            <w:noProof/>
            <w:webHidden/>
          </w:rPr>
          <w:fldChar w:fldCharType="begin"/>
        </w:r>
        <w:r w:rsidR="00D57830">
          <w:rPr>
            <w:noProof/>
            <w:webHidden/>
          </w:rPr>
          <w:instrText xml:space="preserve"> PAGEREF _Toc509180555 \h </w:instrText>
        </w:r>
        <w:r w:rsidR="00D57830">
          <w:rPr>
            <w:noProof/>
            <w:webHidden/>
          </w:rPr>
        </w:r>
        <w:r w:rsidR="00D57830">
          <w:rPr>
            <w:noProof/>
            <w:webHidden/>
          </w:rPr>
          <w:fldChar w:fldCharType="separate"/>
        </w:r>
        <w:r w:rsidR="00803079">
          <w:rPr>
            <w:noProof/>
            <w:webHidden/>
          </w:rPr>
          <w:t>2</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56" w:history="1">
        <w:r w:rsidR="00D57830" w:rsidRPr="00AA72A3">
          <w:rPr>
            <w:rStyle w:val="Hyperlink"/>
            <w:noProof/>
          </w:rPr>
          <w:t>1.1.4</w:t>
        </w:r>
        <w:r w:rsidR="00D57830">
          <w:rPr>
            <w:rFonts w:asciiTheme="minorHAnsi" w:eastAsiaTheme="minorEastAsia" w:hAnsiTheme="minorHAnsi" w:cstheme="minorBidi"/>
            <w:b w:val="0"/>
            <w:noProof/>
            <w:lang w:eastAsia="zh-CN"/>
          </w:rPr>
          <w:tab/>
        </w:r>
        <w:r w:rsidR="00D57830" w:rsidRPr="00AA72A3">
          <w:rPr>
            <w:rStyle w:val="Hyperlink"/>
            <w:noProof/>
          </w:rPr>
          <w:t>Reproductive Factors</w:t>
        </w:r>
        <w:r w:rsidR="00D57830">
          <w:rPr>
            <w:noProof/>
            <w:webHidden/>
          </w:rPr>
          <w:tab/>
        </w:r>
        <w:r w:rsidR="00D57830">
          <w:rPr>
            <w:noProof/>
            <w:webHidden/>
          </w:rPr>
          <w:fldChar w:fldCharType="begin"/>
        </w:r>
        <w:r w:rsidR="00D57830">
          <w:rPr>
            <w:noProof/>
            <w:webHidden/>
          </w:rPr>
          <w:instrText xml:space="preserve"> PAGEREF _Toc509180556 \h </w:instrText>
        </w:r>
        <w:r w:rsidR="00D57830">
          <w:rPr>
            <w:noProof/>
            <w:webHidden/>
          </w:rPr>
        </w:r>
        <w:r w:rsidR="00D57830">
          <w:rPr>
            <w:noProof/>
            <w:webHidden/>
          </w:rPr>
          <w:fldChar w:fldCharType="separate"/>
        </w:r>
        <w:r w:rsidR="00803079">
          <w:rPr>
            <w:noProof/>
            <w:webHidden/>
          </w:rPr>
          <w:t>2</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57" w:history="1">
        <w:r w:rsidR="00D57830" w:rsidRPr="00AA72A3">
          <w:rPr>
            <w:rStyle w:val="Hyperlink"/>
            <w:noProof/>
          </w:rPr>
          <w:t>1.1.5</w:t>
        </w:r>
        <w:r w:rsidR="00D57830">
          <w:rPr>
            <w:rFonts w:asciiTheme="minorHAnsi" w:eastAsiaTheme="minorEastAsia" w:hAnsiTheme="minorHAnsi" w:cstheme="minorBidi"/>
            <w:b w:val="0"/>
            <w:noProof/>
            <w:lang w:eastAsia="zh-CN"/>
          </w:rPr>
          <w:tab/>
        </w:r>
        <w:r w:rsidR="00D57830" w:rsidRPr="00AA72A3">
          <w:rPr>
            <w:rStyle w:val="Hyperlink"/>
            <w:noProof/>
          </w:rPr>
          <w:t>Exogenous Hormones</w:t>
        </w:r>
        <w:r w:rsidR="00D57830">
          <w:rPr>
            <w:noProof/>
            <w:webHidden/>
          </w:rPr>
          <w:tab/>
        </w:r>
        <w:r w:rsidR="00D57830">
          <w:rPr>
            <w:noProof/>
            <w:webHidden/>
          </w:rPr>
          <w:fldChar w:fldCharType="begin"/>
        </w:r>
        <w:r w:rsidR="00D57830">
          <w:rPr>
            <w:noProof/>
            <w:webHidden/>
          </w:rPr>
          <w:instrText xml:space="preserve"> PAGEREF _Toc509180557 \h </w:instrText>
        </w:r>
        <w:r w:rsidR="00D57830">
          <w:rPr>
            <w:noProof/>
            <w:webHidden/>
          </w:rPr>
        </w:r>
        <w:r w:rsidR="00D57830">
          <w:rPr>
            <w:noProof/>
            <w:webHidden/>
          </w:rPr>
          <w:fldChar w:fldCharType="separate"/>
        </w:r>
        <w:r w:rsidR="00803079">
          <w:rPr>
            <w:noProof/>
            <w:webHidden/>
          </w:rPr>
          <w:t>3</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60" w:history="1">
        <w:r w:rsidR="00D57830" w:rsidRPr="00AA72A3">
          <w:rPr>
            <w:rStyle w:val="Hyperlink"/>
            <w:noProof/>
          </w:rPr>
          <w:t>1.1.6</w:t>
        </w:r>
        <w:r w:rsidR="00D57830">
          <w:rPr>
            <w:rFonts w:asciiTheme="minorHAnsi" w:eastAsiaTheme="minorEastAsia" w:hAnsiTheme="minorHAnsi" w:cstheme="minorBidi"/>
            <w:b w:val="0"/>
            <w:noProof/>
            <w:lang w:eastAsia="zh-CN"/>
          </w:rPr>
          <w:tab/>
        </w:r>
        <w:r w:rsidR="00D57830" w:rsidRPr="00AA72A3">
          <w:rPr>
            <w:rStyle w:val="Hyperlink"/>
            <w:noProof/>
          </w:rPr>
          <w:t>Lifestyle Factors</w:t>
        </w:r>
        <w:r w:rsidR="00D57830">
          <w:rPr>
            <w:noProof/>
            <w:webHidden/>
          </w:rPr>
          <w:tab/>
        </w:r>
        <w:r w:rsidR="00D57830">
          <w:rPr>
            <w:noProof/>
            <w:webHidden/>
          </w:rPr>
          <w:fldChar w:fldCharType="begin"/>
        </w:r>
        <w:r w:rsidR="00D57830">
          <w:rPr>
            <w:noProof/>
            <w:webHidden/>
          </w:rPr>
          <w:instrText xml:space="preserve"> PAGEREF _Toc509180560 \h </w:instrText>
        </w:r>
        <w:r w:rsidR="00D57830">
          <w:rPr>
            <w:noProof/>
            <w:webHidden/>
          </w:rPr>
        </w:r>
        <w:r w:rsidR="00D57830">
          <w:rPr>
            <w:noProof/>
            <w:webHidden/>
          </w:rPr>
          <w:fldChar w:fldCharType="separate"/>
        </w:r>
        <w:r w:rsidR="00803079">
          <w:rPr>
            <w:noProof/>
            <w:webHidden/>
          </w:rPr>
          <w:t>4</w:t>
        </w:r>
        <w:r w:rsidR="00D57830">
          <w:rPr>
            <w:noProof/>
            <w:webHidden/>
          </w:rPr>
          <w:fldChar w:fldCharType="end"/>
        </w:r>
      </w:hyperlink>
    </w:p>
    <w:p w:rsidR="00D57830" w:rsidRDefault="00A243C2">
      <w:pPr>
        <w:pStyle w:val="TOC3"/>
        <w:tabs>
          <w:tab w:val="left" w:pos="1920"/>
          <w:tab w:val="right" w:leader="dot" w:pos="9350"/>
        </w:tabs>
        <w:rPr>
          <w:rFonts w:asciiTheme="minorHAnsi" w:eastAsiaTheme="minorEastAsia" w:hAnsiTheme="minorHAnsi" w:cstheme="minorBidi"/>
          <w:b w:val="0"/>
          <w:noProof/>
          <w:lang w:eastAsia="zh-CN"/>
        </w:rPr>
      </w:pPr>
      <w:hyperlink w:anchor="_Toc509180563" w:history="1">
        <w:r w:rsidR="00D57830" w:rsidRPr="00AA72A3">
          <w:rPr>
            <w:rStyle w:val="Hyperlink"/>
            <w:noProof/>
          </w:rPr>
          <w:t>1.1.7</w:t>
        </w:r>
        <w:r w:rsidR="00D57830">
          <w:rPr>
            <w:rFonts w:asciiTheme="minorHAnsi" w:eastAsiaTheme="minorEastAsia" w:hAnsiTheme="minorHAnsi" w:cstheme="minorBidi"/>
            <w:b w:val="0"/>
            <w:noProof/>
            <w:lang w:eastAsia="zh-CN"/>
          </w:rPr>
          <w:tab/>
        </w:r>
        <w:r w:rsidR="00D57830" w:rsidRPr="00AA72A3">
          <w:rPr>
            <w:rStyle w:val="Hyperlink"/>
            <w:noProof/>
          </w:rPr>
          <w:t>Family History and Genetic Factors</w:t>
        </w:r>
        <w:r w:rsidR="00D57830">
          <w:rPr>
            <w:noProof/>
            <w:webHidden/>
          </w:rPr>
          <w:tab/>
        </w:r>
        <w:r w:rsidR="00D57830">
          <w:rPr>
            <w:noProof/>
            <w:webHidden/>
          </w:rPr>
          <w:fldChar w:fldCharType="begin"/>
        </w:r>
        <w:r w:rsidR="00D57830">
          <w:rPr>
            <w:noProof/>
            <w:webHidden/>
          </w:rPr>
          <w:instrText xml:space="preserve"> PAGEREF _Toc509180563 \h </w:instrText>
        </w:r>
        <w:r w:rsidR="00D57830">
          <w:rPr>
            <w:noProof/>
            <w:webHidden/>
          </w:rPr>
        </w:r>
        <w:r w:rsidR="00D57830">
          <w:rPr>
            <w:noProof/>
            <w:webHidden/>
          </w:rPr>
          <w:fldChar w:fldCharType="separate"/>
        </w:r>
        <w:r w:rsidR="00803079">
          <w:rPr>
            <w:noProof/>
            <w:webHidden/>
          </w:rPr>
          <w:t>5</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64" w:history="1">
        <w:r w:rsidR="00D57830" w:rsidRPr="00AA72A3">
          <w:rPr>
            <w:rStyle w:val="Hyperlink"/>
            <w:noProof/>
          </w:rPr>
          <w:t>1.2</w:t>
        </w:r>
        <w:r w:rsidR="00D57830">
          <w:rPr>
            <w:rFonts w:asciiTheme="minorHAnsi" w:eastAsiaTheme="minorEastAsia" w:hAnsiTheme="minorHAnsi" w:cstheme="minorBidi"/>
            <w:b w:val="0"/>
            <w:caps w:val="0"/>
            <w:noProof/>
            <w:lang w:eastAsia="zh-CN"/>
          </w:rPr>
          <w:tab/>
        </w:r>
        <w:r w:rsidR="00D57830" w:rsidRPr="00AA72A3">
          <w:rPr>
            <w:rStyle w:val="Hyperlink"/>
            <w:noProof/>
          </w:rPr>
          <w:t>telomere length and breast cancer</w:t>
        </w:r>
        <w:r w:rsidR="00D57830">
          <w:rPr>
            <w:noProof/>
            <w:webHidden/>
          </w:rPr>
          <w:tab/>
        </w:r>
        <w:r w:rsidR="00D57830">
          <w:rPr>
            <w:noProof/>
            <w:webHidden/>
          </w:rPr>
          <w:fldChar w:fldCharType="begin"/>
        </w:r>
        <w:r w:rsidR="00D57830">
          <w:rPr>
            <w:noProof/>
            <w:webHidden/>
          </w:rPr>
          <w:instrText xml:space="preserve"> PAGEREF _Toc509180564 \h </w:instrText>
        </w:r>
        <w:r w:rsidR="00D57830">
          <w:rPr>
            <w:noProof/>
            <w:webHidden/>
          </w:rPr>
        </w:r>
        <w:r w:rsidR="00D57830">
          <w:rPr>
            <w:noProof/>
            <w:webHidden/>
          </w:rPr>
          <w:fldChar w:fldCharType="separate"/>
        </w:r>
        <w:r w:rsidR="00803079">
          <w:rPr>
            <w:noProof/>
            <w:webHidden/>
          </w:rPr>
          <w:t>6</w:t>
        </w:r>
        <w:r w:rsidR="00D57830">
          <w:rPr>
            <w:noProof/>
            <w:webHidden/>
          </w:rPr>
          <w:fldChar w:fldCharType="end"/>
        </w:r>
      </w:hyperlink>
    </w:p>
    <w:p w:rsidR="00D57830" w:rsidRDefault="00A243C2">
      <w:pPr>
        <w:pStyle w:val="TOC1"/>
        <w:tabs>
          <w:tab w:val="left" w:pos="1008"/>
          <w:tab w:val="right" w:leader="dot" w:pos="9350"/>
        </w:tabs>
        <w:rPr>
          <w:rFonts w:asciiTheme="minorHAnsi" w:eastAsiaTheme="minorEastAsia" w:hAnsiTheme="minorHAnsi" w:cstheme="minorBidi"/>
          <w:b w:val="0"/>
          <w:caps w:val="0"/>
          <w:noProof/>
          <w:lang w:eastAsia="zh-CN"/>
        </w:rPr>
      </w:pPr>
      <w:hyperlink w:anchor="_Toc509180565" w:history="1">
        <w:r w:rsidR="00D57830" w:rsidRPr="00AA72A3">
          <w:rPr>
            <w:rStyle w:val="Hyperlink"/>
            <w:noProof/>
          </w:rPr>
          <w:t>2.0</w:t>
        </w:r>
        <w:r w:rsidR="00D57830">
          <w:rPr>
            <w:rFonts w:asciiTheme="minorHAnsi" w:eastAsiaTheme="minorEastAsia" w:hAnsiTheme="minorHAnsi" w:cstheme="minorBidi"/>
            <w:b w:val="0"/>
            <w:caps w:val="0"/>
            <w:noProof/>
            <w:lang w:eastAsia="zh-CN"/>
          </w:rPr>
          <w:tab/>
        </w:r>
        <w:r w:rsidR="00D57830" w:rsidRPr="00AA72A3">
          <w:rPr>
            <w:rStyle w:val="Hyperlink"/>
            <w:noProof/>
          </w:rPr>
          <w:t>materials and methods</w:t>
        </w:r>
        <w:r w:rsidR="00D57830">
          <w:rPr>
            <w:noProof/>
            <w:webHidden/>
          </w:rPr>
          <w:tab/>
        </w:r>
        <w:r w:rsidR="00D57830">
          <w:rPr>
            <w:noProof/>
            <w:webHidden/>
          </w:rPr>
          <w:fldChar w:fldCharType="begin"/>
        </w:r>
        <w:r w:rsidR="00D57830">
          <w:rPr>
            <w:noProof/>
            <w:webHidden/>
          </w:rPr>
          <w:instrText xml:space="preserve"> PAGEREF _Toc509180565 \h </w:instrText>
        </w:r>
        <w:r w:rsidR="00D57830">
          <w:rPr>
            <w:noProof/>
            <w:webHidden/>
          </w:rPr>
        </w:r>
        <w:r w:rsidR="00D57830">
          <w:rPr>
            <w:noProof/>
            <w:webHidden/>
          </w:rPr>
          <w:fldChar w:fldCharType="separate"/>
        </w:r>
        <w:r w:rsidR="00803079">
          <w:rPr>
            <w:noProof/>
            <w:webHidden/>
          </w:rPr>
          <w:t>8</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66" w:history="1">
        <w:r w:rsidR="00D57830" w:rsidRPr="00AA72A3">
          <w:rPr>
            <w:rStyle w:val="Hyperlink"/>
            <w:noProof/>
          </w:rPr>
          <w:t>2.1</w:t>
        </w:r>
        <w:r w:rsidR="00D57830">
          <w:rPr>
            <w:rFonts w:asciiTheme="minorHAnsi" w:eastAsiaTheme="minorEastAsia" w:hAnsiTheme="minorHAnsi" w:cstheme="minorBidi"/>
            <w:b w:val="0"/>
            <w:caps w:val="0"/>
            <w:noProof/>
            <w:lang w:eastAsia="zh-CN"/>
          </w:rPr>
          <w:tab/>
        </w:r>
        <w:r w:rsidR="00D57830" w:rsidRPr="00AA72A3">
          <w:rPr>
            <w:rStyle w:val="Hyperlink"/>
            <w:noProof/>
          </w:rPr>
          <w:t>Study population</w:t>
        </w:r>
        <w:r w:rsidR="00D57830">
          <w:rPr>
            <w:noProof/>
            <w:webHidden/>
          </w:rPr>
          <w:tab/>
        </w:r>
        <w:r w:rsidR="00D57830">
          <w:rPr>
            <w:noProof/>
            <w:webHidden/>
          </w:rPr>
          <w:fldChar w:fldCharType="begin"/>
        </w:r>
        <w:r w:rsidR="00D57830">
          <w:rPr>
            <w:noProof/>
            <w:webHidden/>
          </w:rPr>
          <w:instrText xml:space="preserve"> PAGEREF _Toc509180566 \h </w:instrText>
        </w:r>
        <w:r w:rsidR="00D57830">
          <w:rPr>
            <w:noProof/>
            <w:webHidden/>
          </w:rPr>
        </w:r>
        <w:r w:rsidR="00D57830">
          <w:rPr>
            <w:noProof/>
            <w:webHidden/>
          </w:rPr>
          <w:fldChar w:fldCharType="separate"/>
        </w:r>
        <w:r w:rsidR="00803079">
          <w:rPr>
            <w:noProof/>
            <w:webHidden/>
          </w:rPr>
          <w:t>8</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67" w:history="1">
        <w:r w:rsidR="00D57830" w:rsidRPr="00AA72A3">
          <w:rPr>
            <w:rStyle w:val="Hyperlink"/>
            <w:noProof/>
          </w:rPr>
          <w:t>2.2</w:t>
        </w:r>
        <w:r w:rsidR="00D57830">
          <w:rPr>
            <w:rFonts w:asciiTheme="minorHAnsi" w:eastAsiaTheme="minorEastAsia" w:hAnsiTheme="minorHAnsi" w:cstheme="minorBidi"/>
            <w:b w:val="0"/>
            <w:caps w:val="0"/>
            <w:noProof/>
            <w:lang w:eastAsia="zh-CN"/>
          </w:rPr>
          <w:tab/>
        </w:r>
        <w:r w:rsidR="00D57830" w:rsidRPr="00AA72A3">
          <w:rPr>
            <w:rStyle w:val="Hyperlink"/>
            <w:noProof/>
          </w:rPr>
          <w:t>Assessment of breast cancer cases</w:t>
        </w:r>
        <w:r w:rsidR="00D57830">
          <w:rPr>
            <w:noProof/>
            <w:webHidden/>
          </w:rPr>
          <w:tab/>
        </w:r>
        <w:r w:rsidR="00D57830">
          <w:rPr>
            <w:noProof/>
            <w:webHidden/>
          </w:rPr>
          <w:fldChar w:fldCharType="begin"/>
        </w:r>
        <w:r w:rsidR="00D57830">
          <w:rPr>
            <w:noProof/>
            <w:webHidden/>
          </w:rPr>
          <w:instrText xml:space="preserve"> PAGEREF _Toc509180567 \h </w:instrText>
        </w:r>
        <w:r w:rsidR="00D57830">
          <w:rPr>
            <w:noProof/>
            <w:webHidden/>
          </w:rPr>
        </w:r>
        <w:r w:rsidR="00D57830">
          <w:rPr>
            <w:noProof/>
            <w:webHidden/>
          </w:rPr>
          <w:fldChar w:fldCharType="separate"/>
        </w:r>
        <w:r w:rsidR="00803079">
          <w:rPr>
            <w:noProof/>
            <w:webHidden/>
          </w:rPr>
          <w:t>8</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68" w:history="1">
        <w:r w:rsidR="00D57830" w:rsidRPr="00AA72A3">
          <w:rPr>
            <w:rStyle w:val="Hyperlink"/>
            <w:noProof/>
          </w:rPr>
          <w:t>2.3</w:t>
        </w:r>
        <w:r w:rsidR="00D57830">
          <w:rPr>
            <w:rFonts w:asciiTheme="minorHAnsi" w:eastAsiaTheme="minorEastAsia" w:hAnsiTheme="minorHAnsi" w:cstheme="minorBidi"/>
            <w:b w:val="0"/>
            <w:caps w:val="0"/>
            <w:noProof/>
            <w:lang w:eastAsia="zh-CN"/>
          </w:rPr>
          <w:tab/>
        </w:r>
        <w:r w:rsidR="00D57830" w:rsidRPr="00AA72A3">
          <w:rPr>
            <w:rStyle w:val="Hyperlink"/>
            <w:noProof/>
          </w:rPr>
          <w:t>Laboratory methods</w:t>
        </w:r>
        <w:r w:rsidR="00D57830">
          <w:rPr>
            <w:noProof/>
            <w:webHidden/>
          </w:rPr>
          <w:tab/>
        </w:r>
        <w:r w:rsidR="00D57830">
          <w:rPr>
            <w:noProof/>
            <w:webHidden/>
          </w:rPr>
          <w:fldChar w:fldCharType="begin"/>
        </w:r>
        <w:r w:rsidR="00D57830">
          <w:rPr>
            <w:noProof/>
            <w:webHidden/>
          </w:rPr>
          <w:instrText xml:space="preserve"> PAGEREF _Toc509180568 \h </w:instrText>
        </w:r>
        <w:r w:rsidR="00D57830">
          <w:rPr>
            <w:noProof/>
            <w:webHidden/>
          </w:rPr>
        </w:r>
        <w:r w:rsidR="00D57830">
          <w:rPr>
            <w:noProof/>
            <w:webHidden/>
          </w:rPr>
          <w:fldChar w:fldCharType="separate"/>
        </w:r>
        <w:r w:rsidR="00803079">
          <w:rPr>
            <w:noProof/>
            <w:webHidden/>
          </w:rPr>
          <w:t>9</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69" w:history="1">
        <w:r w:rsidR="00D57830" w:rsidRPr="00AA72A3">
          <w:rPr>
            <w:rStyle w:val="Hyperlink"/>
            <w:noProof/>
          </w:rPr>
          <w:t>2.4</w:t>
        </w:r>
        <w:r w:rsidR="00D57830">
          <w:rPr>
            <w:rFonts w:asciiTheme="minorHAnsi" w:eastAsiaTheme="minorEastAsia" w:hAnsiTheme="minorHAnsi" w:cstheme="minorBidi"/>
            <w:b w:val="0"/>
            <w:caps w:val="0"/>
            <w:noProof/>
            <w:lang w:eastAsia="zh-CN"/>
          </w:rPr>
          <w:tab/>
        </w:r>
        <w:r w:rsidR="00D57830" w:rsidRPr="00AA72A3">
          <w:rPr>
            <w:rStyle w:val="Hyperlink"/>
            <w:noProof/>
          </w:rPr>
          <w:t>Statistical analysis</w:t>
        </w:r>
        <w:r w:rsidR="00D57830">
          <w:rPr>
            <w:noProof/>
            <w:webHidden/>
          </w:rPr>
          <w:tab/>
        </w:r>
        <w:r w:rsidR="00D57830">
          <w:rPr>
            <w:noProof/>
            <w:webHidden/>
          </w:rPr>
          <w:fldChar w:fldCharType="begin"/>
        </w:r>
        <w:r w:rsidR="00D57830">
          <w:rPr>
            <w:noProof/>
            <w:webHidden/>
          </w:rPr>
          <w:instrText xml:space="preserve"> PAGEREF _Toc509180569 \h </w:instrText>
        </w:r>
        <w:r w:rsidR="00D57830">
          <w:rPr>
            <w:noProof/>
            <w:webHidden/>
          </w:rPr>
        </w:r>
        <w:r w:rsidR="00D57830">
          <w:rPr>
            <w:noProof/>
            <w:webHidden/>
          </w:rPr>
          <w:fldChar w:fldCharType="separate"/>
        </w:r>
        <w:r w:rsidR="00803079">
          <w:rPr>
            <w:noProof/>
            <w:webHidden/>
          </w:rPr>
          <w:t>10</w:t>
        </w:r>
        <w:r w:rsidR="00D57830">
          <w:rPr>
            <w:noProof/>
            <w:webHidden/>
          </w:rPr>
          <w:fldChar w:fldCharType="end"/>
        </w:r>
      </w:hyperlink>
    </w:p>
    <w:p w:rsidR="00D57830" w:rsidRDefault="00A243C2">
      <w:pPr>
        <w:pStyle w:val="TOC1"/>
        <w:tabs>
          <w:tab w:val="left" w:pos="1008"/>
          <w:tab w:val="right" w:leader="dot" w:pos="9350"/>
        </w:tabs>
        <w:rPr>
          <w:rFonts w:asciiTheme="minorHAnsi" w:eastAsiaTheme="minorEastAsia" w:hAnsiTheme="minorHAnsi" w:cstheme="minorBidi"/>
          <w:b w:val="0"/>
          <w:caps w:val="0"/>
          <w:noProof/>
          <w:lang w:eastAsia="zh-CN"/>
        </w:rPr>
      </w:pPr>
      <w:hyperlink w:anchor="_Toc509180570" w:history="1">
        <w:r w:rsidR="00D57830" w:rsidRPr="00AA72A3">
          <w:rPr>
            <w:rStyle w:val="Hyperlink"/>
            <w:noProof/>
          </w:rPr>
          <w:t>3.0</w:t>
        </w:r>
        <w:r w:rsidR="00D57830">
          <w:rPr>
            <w:rFonts w:asciiTheme="minorHAnsi" w:eastAsiaTheme="minorEastAsia" w:hAnsiTheme="minorHAnsi" w:cstheme="minorBidi"/>
            <w:b w:val="0"/>
            <w:caps w:val="0"/>
            <w:noProof/>
            <w:lang w:eastAsia="zh-CN"/>
          </w:rPr>
          <w:tab/>
        </w:r>
        <w:r w:rsidR="00D57830" w:rsidRPr="00AA72A3">
          <w:rPr>
            <w:rStyle w:val="Hyperlink"/>
            <w:noProof/>
          </w:rPr>
          <w:t>Results</w:t>
        </w:r>
        <w:r w:rsidR="00D57830">
          <w:rPr>
            <w:noProof/>
            <w:webHidden/>
          </w:rPr>
          <w:tab/>
        </w:r>
        <w:r w:rsidR="00D57830">
          <w:rPr>
            <w:noProof/>
            <w:webHidden/>
          </w:rPr>
          <w:fldChar w:fldCharType="begin"/>
        </w:r>
        <w:r w:rsidR="00D57830">
          <w:rPr>
            <w:noProof/>
            <w:webHidden/>
          </w:rPr>
          <w:instrText xml:space="preserve"> PAGEREF _Toc509180570 \h </w:instrText>
        </w:r>
        <w:r w:rsidR="00D57830">
          <w:rPr>
            <w:noProof/>
            <w:webHidden/>
          </w:rPr>
        </w:r>
        <w:r w:rsidR="00D57830">
          <w:rPr>
            <w:noProof/>
            <w:webHidden/>
          </w:rPr>
          <w:fldChar w:fldCharType="separate"/>
        </w:r>
        <w:r w:rsidR="00803079">
          <w:rPr>
            <w:noProof/>
            <w:webHidden/>
          </w:rPr>
          <w:t>12</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71" w:history="1">
        <w:r w:rsidR="00D57830" w:rsidRPr="00AA72A3">
          <w:rPr>
            <w:rStyle w:val="Hyperlink"/>
            <w:noProof/>
          </w:rPr>
          <w:t>3.1</w:t>
        </w:r>
        <w:r w:rsidR="00D57830">
          <w:rPr>
            <w:rFonts w:asciiTheme="minorHAnsi" w:eastAsiaTheme="minorEastAsia" w:hAnsiTheme="minorHAnsi" w:cstheme="minorBidi"/>
            <w:b w:val="0"/>
            <w:caps w:val="0"/>
            <w:noProof/>
            <w:lang w:eastAsia="zh-CN"/>
          </w:rPr>
          <w:tab/>
        </w:r>
        <w:r w:rsidR="00D57830" w:rsidRPr="00AA72A3">
          <w:rPr>
            <w:rStyle w:val="Hyperlink"/>
            <w:noProof/>
          </w:rPr>
          <w:t>Basic characteristics of study population</w:t>
        </w:r>
        <w:r w:rsidR="00D57830">
          <w:rPr>
            <w:noProof/>
            <w:webHidden/>
          </w:rPr>
          <w:tab/>
        </w:r>
        <w:r w:rsidR="00D57830">
          <w:rPr>
            <w:noProof/>
            <w:webHidden/>
          </w:rPr>
          <w:fldChar w:fldCharType="begin"/>
        </w:r>
        <w:r w:rsidR="00D57830">
          <w:rPr>
            <w:noProof/>
            <w:webHidden/>
          </w:rPr>
          <w:instrText xml:space="preserve"> PAGEREF _Toc509180571 \h </w:instrText>
        </w:r>
        <w:r w:rsidR="00D57830">
          <w:rPr>
            <w:noProof/>
            <w:webHidden/>
          </w:rPr>
        </w:r>
        <w:r w:rsidR="00D57830">
          <w:rPr>
            <w:noProof/>
            <w:webHidden/>
          </w:rPr>
          <w:fldChar w:fldCharType="separate"/>
        </w:r>
        <w:r w:rsidR="00803079">
          <w:rPr>
            <w:noProof/>
            <w:webHidden/>
          </w:rPr>
          <w:t>12</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72" w:history="1">
        <w:r w:rsidR="00D57830" w:rsidRPr="00AA72A3">
          <w:rPr>
            <w:rStyle w:val="Hyperlink"/>
            <w:noProof/>
          </w:rPr>
          <w:t>3.2</w:t>
        </w:r>
        <w:r w:rsidR="00D57830">
          <w:rPr>
            <w:rFonts w:asciiTheme="minorHAnsi" w:eastAsiaTheme="minorEastAsia" w:hAnsiTheme="minorHAnsi" w:cstheme="minorBidi"/>
            <w:b w:val="0"/>
            <w:caps w:val="0"/>
            <w:noProof/>
            <w:lang w:eastAsia="zh-CN"/>
          </w:rPr>
          <w:tab/>
        </w:r>
        <w:r w:rsidR="00D57830" w:rsidRPr="00AA72A3">
          <w:rPr>
            <w:rStyle w:val="Hyperlink"/>
            <w:noProof/>
          </w:rPr>
          <w:t>factors related to telomere length</w:t>
        </w:r>
        <w:r w:rsidR="00D57830">
          <w:rPr>
            <w:noProof/>
            <w:webHidden/>
          </w:rPr>
          <w:tab/>
        </w:r>
        <w:r w:rsidR="00D57830">
          <w:rPr>
            <w:noProof/>
            <w:webHidden/>
          </w:rPr>
          <w:fldChar w:fldCharType="begin"/>
        </w:r>
        <w:r w:rsidR="00D57830">
          <w:rPr>
            <w:noProof/>
            <w:webHidden/>
          </w:rPr>
          <w:instrText xml:space="preserve"> PAGEREF _Toc509180572 \h </w:instrText>
        </w:r>
        <w:r w:rsidR="00D57830">
          <w:rPr>
            <w:noProof/>
            <w:webHidden/>
          </w:rPr>
        </w:r>
        <w:r w:rsidR="00D57830">
          <w:rPr>
            <w:noProof/>
            <w:webHidden/>
          </w:rPr>
          <w:fldChar w:fldCharType="separate"/>
        </w:r>
        <w:r w:rsidR="00803079">
          <w:rPr>
            <w:noProof/>
            <w:webHidden/>
          </w:rPr>
          <w:t>15</w:t>
        </w:r>
        <w:r w:rsidR="00D57830">
          <w:rPr>
            <w:noProof/>
            <w:webHidden/>
          </w:rPr>
          <w:fldChar w:fldCharType="end"/>
        </w:r>
      </w:hyperlink>
    </w:p>
    <w:p w:rsidR="00D57830" w:rsidRDefault="00A243C2">
      <w:pPr>
        <w:pStyle w:val="TOC2"/>
        <w:tabs>
          <w:tab w:val="left" w:pos="1512"/>
          <w:tab w:val="right" w:leader="dot" w:pos="9350"/>
        </w:tabs>
        <w:rPr>
          <w:rFonts w:asciiTheme="minorHAnsi" w:eastAsiaTheme="minorEastAsia" w:hAnsiTheme="minorHAnsi" w:cstheme="minorBidi"/>
          <w:b w:val="0"/>
          <w:caps w:val="0"/>
          <w:noProof/>
          <w:lang w:eastAsia="zh-CN"/>
        </w:rPr>
      </w:pPr>
      <w:hyperlink w:anchor="_Toc509180573" w:history="1">
        <w:r w:rsidR="00D57830" w:rsidRPr="00AA72A3">
          <w:rPr>
            <w:rStyle w:val="Hyperlink"/>
            <w:noProof/>
          </w:rPr>
          <w:t>3.3</w:t>
        </w:r>
        <w:r w:rsidR="00D57830">
          <w:rPr>
            <w:rFonts w:asciiTheme="minorHAnsi" w:eastAsiaTheme="minorEastAsia" w:hAnsiTheme="minorHAnsi" w:cstheme="minorBidi"/>
            <w:b w:val="0"/>
            <w:caps w:val="0"/>
            <w:noProof/>
            <w:lang w:eastAsia="zh-CN"/>
          </w:rPr>
          <w:tab/>
        </w:r>
        <w:r w:rsidR="00D57830" w:rsidRPr="00AA72A3">
          <w:rPr>
            <w:rStyle w:val="Hyperlink"/>
            <w:noProof/>
          </w:rPr>
          <w:t>Telomere length and risk of breast cancer</w:t>
        </w:r>
        <w:r w:rsidR="00D57830">
          <w:rPr>
            <w:noProof/>
            <w:webHidden/>
          </w:rPr>
          <w:tab/>
        </w:r>
        <w:r w:rsidR="00D57830">
          <w:rPr>
            <w:noProof/>
            <w:webHidden/>
          </w:rPr>
          <w:fldChar w:fldCharType="begin"/>
        </w:r>
        <w:r w:rsidR="00D57830">
          <w:rPr>
            <w:noProof/>
            <w:webHidden/>
          </w:rPr>
          <w:instrText xml:space="preserve"> PAGEREF _Toc509180573 \h </w:instrText>
        </w:r>
        <w:r w:rsidR="00D57830">
          <w:rPr>
            <w:noProof/>
            <w:webHidden/>
          </w:rPr>
        </w:r>
        <w:r w:rsidR="00D57830">
          <w:rPr>
            <w:noProof/>
            <w:webHidden/>
          </w:rPr>
          <w:fldChar w:fldCharType="separate"/>
        </w:r>
        <w:r w:rsidR="00803079">
          <w:rPr>
            <w:noProof/>
            <w:webHidden/>
          </w:rPr>
          <w:t>19</w:t>
        </w:r>
        <w:r w:rsidR="00D57830">
          <w:rPr>
            <w:noProof/>
            <w:webHidden/>
          </w:rPr>
          <w:fldChar w:fldCharType="end"/>
        </w:r>
      </w:hyperlink>
    </w:p>
    <w:p w:rsidR="00D57830" w:rsidRDefault="00A243C2">
      <w:pPr>
        <w:pStyle w:val="TOC1"/>
        <w:tabs>
          <w:tab w:val="left" w:pos="1008"/>
          <w:tab w:val="right" w:leader="dot" w:pos="9350"/>
        </w:tabs>
        <w:rPr>
          <w:rFonts w:asciiTheme="minorHAnsi" w:eastAsiaTheme="minorEastAsia" w:hAnsiTheme="minorHAnsi" w:cstheme="minorBidi"/>
          <w:b w:val="0"/>
          <w:caps w:val="0"/>
          <w:noProof/>
          <w:lang w:eastAsia="zh-CN"/>
        </w:rPr>
      </w:pPr>
      <w:hyperlink w:anchor="_Toc509180574" w:history="1">
        <w:r w:rsidR="00D57830" w:rsidRPr="00AA72A3">
          <w:rPr>
            <w:rStyle w:val="Hyperlink"/>
            <w:noProof/>
          </w:rPr>
          <w:t>4.0</w:t>
        </w:r>
        <w:r w:rsidR="00D57830">
          <w:rPr>
            <w:rFonts w:asciiTheme="minorHAnsi" w:eastAsiaTheme="minorEastAsia" w:hAnsiTheme="minorHAnsi" w:cstheme="minorBidi"/>
            <w:b w:val="0"/>
            <w:caps w:val="0"/>
            <w:noProof/>
            <w:lang w:eastAsia="zh-CN"/>
          </w:rPr>
          <w:tab/>
        </w:r>
        <w:r w:rsidR="00D57830" w:rsidRPr="00AA72A3">
          <w:rPr>
            <w:rStyle w:val="Hyperlink"/>
            <w:noProof/>
          </w:rPr>
          <w:t>discussion</w:t>
        </w:r>
        <w:r w:rsidR="00D57830">
          <w:rPr>
            <w:noProof/>
            <w:webHidden/>
          </w:rPr>
          <w:tab/>
        </w:r>
        <w:r w:rsidR="00D57830">
          <w:rPr>
            <w:noProof/>
            <w:webHidden/>
          </w:rPr>
          <w:fldChar w:fldCharType="begin"/>
        </w:r>
        <w:r w:rsidR="00D57830">
          <w:rPr>
            <w:noProof/>
            <w:webHidden/>
          </w:rPr>
          <w:instrText xml:space="preserve"> PAGEREF _Toc509180574 \h </w:instrText>
        </w:r>
        <w:r w:rsidR="00D57830">
          <w:rPr>
            <w:noProof/>
            <w:webHidden/>
          </w:rPr>
        </w:r>
        <w:r w:rsidR="00D57830">
          <w:rPr>
            <w:noProof/>
            <w:webHidden/>
          </w:rPr>
          <w:fldChar w:fldCharType="separate"/>
        </w:r>
        <w:r w:rsidR="00803079">
          <w:rPr>
            <w:noProof/>
            <w:webHidden/>
          </w:rPr>
          <w:t>24</w:t>
        </w:r>
        <w:r w:rsidR="00D57830">
          <w:rPr>
            <w:noProof/>
            <w:webHidden/>
          </w:rPr>
          <w:fldChar w:fldCharType="end"/>
        </w:r>
      </w:hyperlink>
    </w:p>
    <w:p w:rsidR="00D57830" w:rsidRDefault="00A243C2">
      <w:pPr>
        <w:pStyle w:val="TOC1"/>
        <w:tabs>
          <w:tab w:val="right" w:leader="dot" w:pos="9350"/>
        </w:tabs>
        <w:rPr>
          <w:rFonts w:asciiTheme="minorHAnsi" w:eastAsiaTheme="minorEastAsia" w:hAnsiTheme="minorHAnsi" w:cstheme="minorBidi"/>
          <w:b w:val="0"/>
          <w:caps w:val="0"/>
          <w:noProof/>
          <w:lang w:eastAsia="zh-CN"/>
        </w:rPr>
      </w:pPr>
      <w:hyperlink w:anchor="_Toc509180575" w:history="1">
        <w:r w:rsidR="00D57830" w:rsidRPr="00AA72A3">
          <w:rPr>
            <w:rStyle w:val="Hyperlink"/>
            <w:noProof/>
          </w:rPr>
          <w:t>bibliography</w:t>
        </w:r>
        <w:r w:rsidR="00D57830">
          <w:rPr>
            <w:noProof/>
            <w:webHidden/>
          </w:rPr>
          <w:tab/>
        </w:r>
        <w:r w:rsidR="00D57830">
          <w:rPr>
            <w:noProof/>
            <w:webHidden/>
          </w:rPr>
          <w:fldChar w:fldCharType="begin"/>
        </w:r>
        <w:r w:rsidR="00D57830">
          <w:rPr>
            <w:noProof/>
            <w:webHidden/>
          </w:rPr>
          <w:instrText xml:space="preserve"> PAGEREF _Toc509180575 \h </w:instrText>
        </w:r>
        <w:r w:rsidR="00D57830">
          <w:rPr>
            <w:noProof/>
            <w:webHidden/>
          </w:rPr>
        </w:r>
        <w:r w:rsidR="00D57830">
          <w:rPr>
            <w:noProof/>
            <w:webHidden/>
          </w:rPr>
          <w:fldChar w:fldCharType="separate"/>
        </w:r>
        <w:r w:rsidR="00803079">
          <w:rPr>
            <w:noProof/>
            <w:webHidden/>
          </w:rPr>
          <w:t>27</w:t>
        </w:r>
        <w:r w:rsidR="00D57830">
          <w:rPr>
            <w:noProof/>
            <w:webHidden/>
          </w:rPr>
          <w:fldChar w:fldCharType="end"/>
        </w:r>
      </w:hyperlink>
    </w:p>
    <w:p w:rsidR="00CB03F9" w:rsidRDefault="00367476" w:rsidP="00D57830">
      <w:pPr>
        <w:pStyle w:val="Preliminary"/>
      </w:pPr>
      <w:r>
        <w:lastRenderedPageBreak/>
        <w:fldChar w:fldCharType="end"/>
      </w:r>
      <w:r w:rsidR="00CB03F9">
        <w:t xml:space="preserve">List of </w:t>
      </w:r>
      <w:r w:rsidR="00CB03F9" w:rsidRPr="00B424B6">
        <w:t>tables</w:t>
      </w:r>
    </w:p>
    <w:p w:rsidR="00803079" w:rsidRDefault="00D57830">
      <w:pPr>
        <w:pStyle w:val="TableofFigures"/>
        <w:tabs>
          <w:tab w:val="right" w:leader="dot" w:pos="9350"/>
        </w:tabs>
        <w:rPr>
          <w:rFonts w:asciiTheme="minorHAnsi" w:eastAsiaTheme="minorEastAsia" w:hAnsiTheme="minorHAnsi" w:cstheme="minorBidi"/>
          <w:noProof/>
          <w:sz w:val="22"/>
          <w:szCs w:val="22"/>
        </w:rPr>
      </w:pPr>
      <w:r>
        <w:rPr>
          <w:b/>
          <w:bCs/>
          <w:caps/>
        </w:rPr>
        <w:fldChar w:fldCharType="begin"/>
      </w:r>
      <w:r>
        <w:rPr>
          <w:b/>
          <w:bCs/>
          <w:caps/>
        </w:rPr>
        <w:instrText xml:space="preserve"> TOC \h \z \t "Caption" \c </w:instrText>
      </w:r>
      <w:r>
        <w:rPr>
          <w:b/>
          <w:bCs/>
          <w:caps/>
        </w:rPr>
        <w:fldChar w:fldCharType="separate"/>
      </w:r>
      <w:hyperlink w:anchor="_Toc512007050" w:history="1">
        <w:r w:rsidR="00803079" w:rsidRPr="00345B68">
          <w:rPr>
            <w:rStyle w:val="Hyperlink"/>
            <w:noProof/>
          </w:rPr>
          <w:t>Table 1. Distribution of selected demographic characteristics and risk factors of breast cancer cases and non-cases: The Singapore Chinese Health Study.</w:t>
        </w:r>
        <w:r w:rsidR="00803079">
          <w:rPr>
            <w:noProof/>
            <w:webHidden/>
          </w:rPr>
          <w:tab/>
        </w:r>
        <w:r w:rsidR="00803079">
          <w:rPr>
            <w:noProof/>
            <w:webHidden/>
          </w:rPr>
          <w:fldChar w:fldCharType="begin"/>
        </w:r>
        <w:r w:rsidR="00803079">
          <w:rPr>
            <w:noProof/>
            <w:webHidden/>
          </w:rPr>
          <w:instrText xml:space="preserve"> PAGEREF _Toc512007050 \h </w:instrText>
        </w:r>
        <w:r w:rsidR="00803079">
          <w:rPr>
            <w:noProof/>
            <w:webHidden/>
          </w:rPr>
        </w:r>
        <w:r w:rsidR="00803079">
          <w:rPr>
            <w:noProof/>
            <w:webHidden/>
          </w:rPr>
          <w:fldChar w:fldCharType="separate"/>
        </w:r>
        <w:r w:rsidR="00803079">
          <w:rPr>
            <w:noProof/>
            <w:webHidden/>
          </w:rPr>
          <w:t>13</w:t>
        </w:r>
        <w:r w:rsidR="00803079">
          <w:rPr>
            <w:noProof/>
            <w:webHidden/>
          </w:rPr>
          <w:fldChar w:fldCharType="end"/>
        </w:r>
      </w:hyperlink>
    </w:p>
    <w:p w:rsidR="00803079" w:rsidRDefault="00A243C2">
      <w:pPr>
        <w:pStyle w:val="TableofFigures"/>
        <w:tabs>
          <w:tab w:val="right" w:leader="dot" w:pos="9350"/>
        </w:tabs>
        <w:rPr>
          <w:rFonts w:asciiTheme="minorHAnsi" w:eastAsiaTheme="minorEastAsia" w:hAnsiTheme="minorHAnsi" w:cstheme="minorBidi"/>
          <w:noProof/>
          <w:sz w:val="22"/>
          <w:szCs w:val="22"/>
        </w:rPr>
      </w:pPr>
      <w:hyperlink w:anchor="_Toc512007051" w:history="1">
        <w:r w:rsidR="00803079" w:rsidRPr="00345B68">
          <w:rPr>
            <w:rStyle w:val="Hyperlink"/>
            <w:noProof/>
          </w:rPr>
          <w:t>Table 2. Baseline characteristics of all participants by quintile levels of relative telomere length: The Singapore Chinese Health Study</w:t>
        </w:r>
        <w:r w:rsidR="00803079">
          <w:rPr>
            <w:noProof/>
            <w:webHidden/>
          </w:rPr>
          <w:tab/>
        </w:r>
        <w:r w:rsidR="00803079">
          <w:rPr>
            <w:noProof/>
            <w:webHidden/>
          </w:rPr>
          <w:fldChar w:fldCharType="begin"/>
        </w:r>
        <w:r w:rsidR="00803079">
          <w:rPr>
            <w:noProof/>
            <w:webHidden/>
          </w:rPr>
          <w:instrText xml:space="preserve"> PAGEREF _Toc512007051 \h </w:instrText>
        </w:r>
        <w:r w:rsidR="00803079">
          <w:rPr>
            <w:noProof/>
            <w:webHidden/>
          </w:rPr>
        </w:r>
        <w:r w:rsidR="00803079">
          <w:rPr>
            <w:noProof/>
            <w:webHidden/>
          </w:rPr>
          <w:fldChar w:fldCharType="separate"/>
        </w:r>
        <w:r w:rsidR="00803079">
          <w:rPr>
            <w:noProof/>
            <w:webHidden/>
          </w:rPr>
          <w:t>16</w:t>
        </w:r>
        <w:r w:rsidR="00803079">
          <w:rPr>
            <w:noProof/>
            <w:webHidden/>
          </w:rPr>
          <w:fldChar w:fldCharType="end"/>
        </w:r>
      </w:hyperlink>
    </w:p>
    <w:p w:rsidR="00803079" w:rsidRDefault="00A243C2">
      <w:pPr>
        <w:pStyle w:val="TableofFigures"/>
        <w:tabs>
          <w:tab w:val="right" w:leader="dot" w:pos="9350"/>
        </w:tabs>
        <w:rPr>
          <w:rFonts w:asciiTheme="minorHAnsi" w:eastAsiaTheme="minorEastAsia" w:hAnsiTheme="minorHAnsi" w:cstheme="minorBidi"/>
          <w:noProof/>
          <w:sz w:val="22"/>
          <w:szCs w:val="22"/>
        </w:rPr>
      </w:pPr>
      <w:hyperlink w:anchor="_Toc512007052" w:history="1">
        <w:r w:rsidR="00803079" w:rsidRPr="00345B68">
          <w:rPr>
            <w:rStyle w:val="Hyperlink"/>
            <w:noProof/>
          </w:rPr>
          <w:t>Table 3. Hazard ratio (HR) of breast cancer in relation to relative telomere length in all subjects: The Singapore Chinese Health Study.</w:t>
        </w:r>
        <w:r w:rsidR="00803079">
          <w:rPr>
            <w:noProof/>
            <w:webHidden/>
          </w:rPr>
          <w:tab/>
        </w:r>
        <w:r w:rsidR="00803079">
          <w:rPr>
            <w:noProof/>
            <w:webHidden/>
          </w:rPr>
          <w:fldChar w:fldCharType="begin"/>
        </w:r>
        <w:r w:rsidR="00803079">
          <w:rPr>
            <w:noProof/>
            <w:webHidden/>
          </w:rPr>
          <w:instrText xml:space="preserve"> PAGEREF _Toc512007052 \h </w:instrText>
        </w:r>
        <w:r w:rsidR="00803079">
          <w:rPr>
            <w:noProof/>
            <w:webHidden/>
          </w:rPr>
        </w:r>
        <w:r w:rsidR="00803079">
          <w:rPr>
            <w:noProof/>
            <w:webHidden/>
          </w:rPr>
          <w:fldChar w:fldCharType="separate"/>
        </w:r>
        <w:r w:rsidR="00803079">
          <w:rPr>
            <w:noProof/>
            <w:webHidden/>
          </w:rPr>
          <w:t>20</w:t>
        </w:r>
        <w:r w:rsidR="00803079">
          <w:rPr>
            <w:noProof/>
            <w:webHidden/>
          </w:rPr>
          <w:fldChar w:fldCharType="end"/>
        </w:r>
      </w:hyperlink>
    </w:p>
    <w:p w:rsidR="00803079" w:rsidRDefault="00A243C2">
      <w:pPr>
        <w:pStyle w:val="TableofFigures"/>
        <w:tabs>
          <w:tab w:val="right" w:leader="dot" w:pos="9350"/>
        </w:tabs>
        <w:rPr>
          <w:rFonts w:asciiTheme="minorHAnsi" w:eastAsiaTheme="minorEastAsia" w:hAnsiTheme="minorHAnsi" w:cstheme="minorBidi"/>
          <w:noProof/>
          <w:sz w:val="22"/>
          <w:szCs w:val="22"/>
        </w:rPr>
      </w:pPr>
      <w:hyperlink w:anchor="_Toc512007053" w:history="1">
        <w:r w:rsidR="00803079" w:rsidRPr="00345B68">
          <w:rPr>
            <w:rStyle w:val="Hyperlink"/>
            <w:noProof/>
          </w:rPr>
          <w:t>Table 4. Hazard ratio (HR) of breast cancer in relation to relative telomere length in all subjects by stratified by median age, BMI, age at menarche, age at first live birth, number of children and length of follow-up: The Singapore Chinese Health Study.</w:t>
        </w:r>
        <w:r w:rsidR="00803079">
          <w:rPr>
            <w:noProof/>
            <w:webHidden/>
          </w:rPr>
          <w:tab/>
        </w:r>
        <w:r w:rsidR="00803079">
          <w:rPr>
            <w:noProof/>
            <w:webHidden/>
          </w:rPr>
          <w:fldChar w:fldCharType="begin"/>
        </w:r>
        <w:r w:rsidR="00803079">
          <w:rPr>
            <w:noProof/>
            <w:webHidden/>
          </w:rPr>
          <w:instrText xml:space="preserve"> PAGEREF _Toc512007053 \h </w:instrText>
        </w:r>
        <w:r w:rsidR="00803079">
          <w:rPr>
            <w:noProof/>
            <w:webHidden/>
          </w:rPr>
        </w:r>
        <w:r w:rsidR="00803079">
          <w:rPr>
            <w:noProof/>
            <w:webHidden/>
          </w:rPr>
          <w:fldChar w:fldCharType="separate"/>
        </w:r>
        <w:r w:rsidR="00803079">
          <w:rPr>
            <w:noProof/>
            <w:webHidden/>
          </w:rPr>
          <w:t>21</w:t>
        </w:r>
        <w:r w:rsidR="00803079">
          <w:rPr>
            <w:noProof/>
            <w:webHidden/>
          </w:rPr>
          <w:fldChar w:fldCharType="end"/>
        </w:r>
      </w:hyperlink>
    </w:p>
    <w:p w:rsidR="00AA2C6A" w:rsidRPr="00AA2C6A" w:rsidRDefault="00D57830" w:rsidP="00441932">
      <w:pPr>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r>
        <w:fldChar w:fldCharType="end"/>
      </w:r>
    </w:p>
    <w:p w:rsidR="006B1124" w:rsidRDefault="006B1124" w:rsidP="006B1124">
      <w:pPr>
        <w:pStyle w:val="Heading1"/>
      </w:pPr>
      <w:bookmarkStart w:id="5" w:name="_Toc106513527"/>
      <w:bookmarkStart w:id="6" w:name="_Toc106717785"/>
      <w:bookmarkStart w:id="7" w:name="_Toc509180551"/>
      <w:r>
        <w:lastRenderedPageBreak/>
        <w:t>Introduction</w:t>
      </w:r>
      <w:bookmarkEnd w:id="5"/>
      <w:bookmarkEnd w:id="6"/>
      <w:bookmarkEnd w:id="7"/>
    </w:p>
    <w:p w:rsidR="00FF2943" w:rsidRDefault="00717A64" w:rsidP="00FF2943">
      <w:pPr>
        <w:widowControl w:val="0"/>
        <w:autoSpaceDE w:val="0"/>
        <w:autoSpaceDN w:val="0"/>
        <w:adjustRightInd w:val="0"/>
        <w:spacing w:line="360" w:lineRule="auto"/>
        <w:ind w:firstLine="0"/>
      </w:pPr>
      <w:r>
        <w:t>As</w:t>
      </w:r>
      <w:r w:rsidR="007F67C5" w:rsidRPr="007D22E6">
        <w:t xml:space="preserve"> the most common canc</w:t>
      </w:r>
      <w:r w:rsidR="003A7E66">
        <w:t>er for women in most</w:t>
      </w:r>
      <w:r w:rsidR="007F67C5">
        <w:t xml:space="preserve"> countries </w:t>
      </w:r>
      <w:r w:rsidR="007F67C5">
        <w:rPr>
          <w:rFonts w:hint="eastAsia"/>
        </w:rPr>
        <w:t>around</w:t>
      </w:r>
      <w:r w:rsidR="007F67C5" w:rsidRPr="007D22E6">
        <w:t xml:space="preserve"> the world, </w:t>
      </w:r>
      <w:r>
        <w:t xml:space="preserve">breast cancer caused 534,000 deaths </w:t>
      </w:r>
      <w:r w:rsidR="007F67C5">
        <w:t>with 2.4 million incidence cases worldwide in 2015</w:t>
      </w:r>
      <w:r w:rsidR="00C4578E">
        <w:t xml:space="preserve"> </w:t>
      </w:r>
      <w:r w:rsidR="007F67C5" w:rsidRPr="007D22E6">
        <w:fldChar w:fldCharType="begin" w:fldLock="1"/>
      </w:r>
      <w:r w:rsidR="00516FFC">
        <w:instrText>ADDIN CSL_CITATION { "citationItems" : [ { "id" : "ITEM-1", "itemData" : { "DOI" : "10.1001/jamaoncol.2016.5688", "ISBN" : "2374-2437", "ISSN" : "23742445", "PMID" : "27918777", "abstract" : "Importance Cancer is the second leading cause of death worldwide. Current estimates on the burden of cancer are needed for cancer control planning. Objective To estimate mortality, incidence, years lived with disability (YLDs), years of life lost (YLLs), and disability-adjusted life-years (DALYs) for 32 cancers in 195 countries and territories from 1990 to 2015. Evidence Review Cancer mortality was estimated using vital registration system data, cancer registry incidence data (transformed to mortality estimates using separately estimated mortality to incidence [MI] ratios), and verbal autopsy data. Cancer incidence was calculated by dividing mortality estimates through the modeled MI ratios. To calculate cancer prevalence, MI ratios were used to model survival. To calculate YLDs, prevalence estimates were multiplied by disability weights. The YLLs were estimated by multiplying age-specific cancer deaths by the reference life expectancy. DALYs were estimated as the sum of YLDs and YLLs. A sociodemographic index (SDI) was created for each location based on income per capita, educational attainment, and fertility. Countries were categorized by SDI quintiles to summarize results. Findings In 2015, there were 17.5 million cancer cases worldwide and 8.7 million deaths. Between 2005 and 2015, cancer cases increased by 33%, with population aging contributing 16%, population growth 13%, and changes in age-specific rates contributing 4%. For men, the most common cancer globally was prostate cancer (1.6 million cases). Tracheal, bronchus, and lung cancer was the leading cause of cancer deaths and DALYs in men (1.2 million deaths and 25.9 million DALYs). For women, the most common cancer was breast cancer (2.4 million cases). Breast cancer was also the leading cause of cancer deaths and DALYs for women (523 000 deaths and 15.1 million DALYs). Overall, cancer caused 208.3 million DALYs worldwide in 2015 for both sexes combined. Between 2005 and 2015, age-standardized incidence rates for all cancers combined increased in 174 of 195 countries or territories. Age-standardized death rates (ASDRs) for all cancers combined decreased within that timeframe in 140 of 195 countries or territories. Countries with an increase in the ASDR due to all cancers were largely located on the African continent. Of all cancers, deaths between 2005 and 2015 decreased significantly for Hodgkin lymphoma (-6.1% [95% uncertainty interval (UI), -10.6% to -1.3%]). The number of deaths also decr\u2026", "author" : [ { "dropping-particle" : "", "family" : "Fitzmaurice", "given" : "Christina", "non-dropping-particle" : "", "parse-names" : false, "suffix" : "" }, { "dropping-particle" : "", "family" : "Allen", "given" : "Christine", "non-dropping-particle" : "", "parse-names" : false, "suffix" : "" }, { "dropping-particle" : "", "family" : "Barber", "given" : "Ryan M.", "non-dropping-particle" : "", "parse-names" : false, "suffix" : "" }, { "dropping-particle" : "", "family" : "Barregard", "given" : "Lars", "non-dropping-particle" : "", "parse-names" : false, "suffix" : "" }, { "dropping-particle" : "", "family" : "Bhutta", "given" : "Zulfiqar A.", "non-dropping-particle" : "", "parse-names" : false, "suffix" : "" }, { "dropping-particle" : "", "family" : "Brenner", "given" : "Hermann", "non-dropping-particle" : "", "parse-names" : false, "suffix" : "" }, { "dropping-particle" : "", "family" : "Dicker", "given" : "Daniel J.", "non-dropping-particle" : "", "parse-names" : false, "suffix" : "" }, { "dropping-particle" : "", "family" : "Chimed-Orchir", "given" : "Odgerel", "non-dropping-particle" : "", "parse-names" : false, "suffix" : "" }, { "dropping-particle" : "", "family" : "Dandona", "given" : "Rakhi", "non-dropping-particle" : "", "parse-names" : false, "suffix" : "" }, { "dropping-particle" : "", "family" : "Dandona", "given" : "Lalit", "non-dropping-particle" : "", "parse-names" : false, "suffix" : "" }, { "dropping-particle" : "", "family" : "Fleming", "given" : "Tom", "non-dropping-particle" : "", "parse-names" : false, "suffix" : "" }, { "dropping-particle" : "", "family" : "Forouzanfar", "given" : "Mohammad H.", "non-dropping-particle" : "", "parse-names" : false, "suffix" : "" }, { "dropping-particle" : "", "family" : "Hancock", "given" : "Jamie", "non-dropping-particle" : "", "parse-names" : false, "suffix" : "" }, { "dropping-particle" : "", "family" : "Hay", "given" : "Roderick J.", "non-dropping-particle" : "", "parse-names" : false, "suffix" : "" }, { "dropping-particle" : "", "family" : "Hunter-Merrill", "given" : "Rachel", "non-dropping-particle" : "", "parse-names" : false, "suffix" : "" }, { "dropping-particle" : "", "family" : "Huynh", "given" : "Chantal", "non-dropping-particle" : "", "parse-names" : false, "suffix" : "" }, { "dropping-particle" : "", "family" : "Hosgood", "given" : "H. Dean", "non-dropping-particle" : "", "parse-names" : false, "suffix" : "" }, { "dropping-particle" : "", "family" : "Johnson", "given" : "Catherine O.", "non-dropping-particle" : "", "parse-names" : false, "suffix" : "" }, { "dropping-particle" : "", "family" : "Jonas", "given" : "Jost B.", "non-dropping-particle" : "", "parse-names" : false, "suffix" : "" }, { "dropping-particle" : "", "family" : "Khubchandani", "given" : "Jagdish", "non-dropping-particle" : "", "parse-names" : false, "suffix" : "" }, { "dropping-particle" : "", "family" : "Kumar", "given" : "G. Anil", "non-dropping-particle" : "", "parse-names" : false, "suffix" : "" }, { "dropping-particle" : "", "family" : "Kutz", "given" : "Michael", "non-dropping-particle" : "", "parse-names" : false, "suffix" : "" }, { "dropping-particle" : "", "family" : "Lan", "given" : "Qing", "non-dropping-particle" : "", "parse-names" : false, "suffix" : "" }, { "dropping-particle" : "", "family" : "Larson", "given" : "Heidi J.", "non-dropping-particle" : "", "parse-names" : false, "suffix" : "" }, { "dropping-particle" : "", "family" : "Liang", "given" : "Xiaofeng", "non-dropping-particle" : "", "parse-names" : false, "suffix" : "" }, { "dropping-particle" : "", "family" : "Lim", "given" : "Stephen S.", "non-dropping-particle" : "", "parse-names" : false, "suffix" : "" }, { "dropping-particle" : "", "family" : "Lopez", "given" : "Alan D.", "non-dropping-particle" : "", "parse-names" : false, "suffix" : "" }, { "dropping-particle" : "", "family" : "MacIntyre", "given" : "Michael F.", "non-dropping-particle" : "", "parse-names" : false, "suffix" : "" }, { "dropping-particle" : "", "family" : "Marczak", "given" : "Laurie", "non-dropping-particle" : "", "parse-names" : false, "suffix" : "" }, { "dropping-particle" : "", "family" : "Marquez", "given" : "Neal", "non-dropping-particle" : "", "parse-names" : false, "suffix" : "" }, { "dropping-particle" : "", "family" : "Mokdad", "given" : "Ali H.", "non-dropping-particle" : "", "parse-names" : false, "suffix" : "" }, { "dropping-particle" : "", "family" : "Pinho", "given" : "Christine", "non-dropping-particle" : "", "parse-names" : false, "suffix" : "" }, { "dropping-particle" : "", "family" : "Pourmalek", "given" : "Farshad", "non-dropping-particle" : "", "parse-names" : false, "suffix" : "" }, { "dropping-particle" : "", "family" : "Salomon", "given" : "Joshua A.", "non-dropping-particle" : "", "parse-names" : false, "suffix" : "" }, { "dropping-particle" : "", "family" : "Sanabria", "given" : "Juan Ramon", "non-dropping-particle" : "", "parse-names" : false, "suffix" : "" }, { "dropping-particle" : "", "family" : "Sandar", "given" : "Logan", "non-dropping-particle" : "", "parse-names" : false, "suffix" : "" }, { "dropping-particle" : "", "family" : "Sartorius", "given" : "Benn", "non-dropping-particle" : "", "parse-names" : false, "suffix" : "" }, { "dropping-particle" : "", "family" : "Schwartz", "given" : "Stephen M.", "non-dropping-particle" : "", "parse-names" : false, "suffix" : "" }, { "dropping-particle" : "", "family" : "Shackelford", "given" : "Katya A.", "non-dropping-particle" : "", "parse-names" : false, "suffix" : "" }, { "dropping-particle" : "", "family" : "Shibuya", "given" : "Kenji", "non-dropping-particle" : "", "parse-names" : false, "suffix" : "" }, { "dropping-particle" : "", "family" : "Stanaway", "given" : "Jeff", "non-dropping-particle" : "", "parse-names" : false, "suffix" : "" }, { "dropping-particle" : "", "family" : "Steiner", "given" : "Caitlyn", "non-dropping-particle" : "", "parse-names" : false, "suffix" : "" }, { "dropping-particle" : "", "family" : "Sun", "given" : "Jiandong", "non-dropping-particle" : "", "parse-names" : false, "suffix" : "" }, { "dropping-particle" : "", "family" : "Takahashi", "given" : "Ken", "non-dropping-particle" : "", "parse-names" : false, "suffix" : "" }, { "dropping-particle" : "", "family" : "Vollset", "given" : "Stein Emil", "non-dropping-particle" : "", "parse-names" : false, "suffix" : "" }, { "dropping-particle" : "", "family" : "Vos", "given" : "Theo", "non-dropping-particle" : "", "parse-names" : false, "suffix" : "" }, { "dropping-particle" : "", "family" : "Wagner", "given" : "Joseph A.", "non-dropping-particle" : "", "parse-names" : false, "suffix" : "" }, { "dropping-particle" : "", "family" : "Wang", "given" : "Haidong", "non-dropping-particle" : "", "parse-names" : false, "suffix" : "" }, { "dropping-particle" : "", "family" : "Westerman", "given" : "Ronny", "non-dropping-particle" : "", "parse-names" : false, "suffix" : "" }, { "dropping-particle" : "", "family" : "Zeeb", "given" : "Hajo", "non-dropping-particle" : "", "parse-names" : false, "suffix" : "" }, { "dropping-particle" : "", "family" : "Zoeckler", "given" : "Leo", "non-dropping-particle" : "", "parse-names" : false, "suffix" : "" }, { "dropping-particle" : "", "family" : "Abd-Allah", "given" : "Foad", "non-dropping-particle" : "", "parse-names" : false, "suffix" : "" }, { "dropping-particle" : "", "family" : "Ahmed", "given" : "Muktar Beshir", "non-dropping-particle" : "", "parse-names" : false, "suffix" : "" }, { "dropping-particle" : "", "family" : "Alabed", "given" : "Samer", "non-dropping-particle" : "", "parse-names" : false, "suffix" : "" }, { "dropping-particle" : "", "family" : "Alam", "given" : "Noore K.", "non-dropping-particle" : "", "parse-names" : false, "suffix" : "" }, { "dropping-particle" : "", "family" : "Aldhahri", "given" : "Saleh Fahed", "non-dropping-particle" : "", "parse-names" : false, "suffix" : "" }, { "dropping-particle" : "", "family" : "Alem", "given" : "Girma", "non-dropping-particle" : "", "parse-names" : false, "suffix" : "" }, { "dropping-particle" : "", "family" : "Alemayohu", "given" : "Mulubirhan Assefa", "non-dropping-particle" : "", "parse-names" : false, "suffix" : "" }, { "dropping-particle" : "", "family" : "Ali", "given" : "Raghib", "non-dropping-particle" : "", "parse-names" : false, "suffix" : "" }, { "dropping-particle" : "", "family" : "Al-Raddadi", "given" : "Rajaa", "non-dropping-particle" : "", "parse-names" : false, "suffix" : "" }, { "dropping-particle" : "", "family" : "Amare", "given" : "Azmeraw", "non-dropping-particle" : "", "parse-names" : false, "suffix" : "" }, { "dropping-particle" : "", "family" : "Amoako", "given" : "Yaw", "non-dropping-particle" : "", "parse-names" : false, "suffix" : "" }, { "dropping-particle" : "", "family" : "Artaman", "given" : "Al", "non-dropping-particle" : "", "parse-names" : false, "suffix" : "" }, { "dropping-particle" : "", "family" : "Asayesh", "given" : "Hamid", "non-dropping-particle" : "", "parse-names" : false, "suffix" : "" }, { "dropping-particle" : "", "family" : "Atnafu", "given" : "Niguse", "non-dropping-particle" : "", "parse-names" : false, "suffix" : "" }, { "dropping-particle" : "", "family" : "Awasthi", "given" : "Ashish", "non-dropping-particle" : "", "parse-names" : false, "suffix" : "" }, { "dropping-particle" : "", "family" : "Saleem", "given" : "Huda Ba", "non-dropping-particle" : "", "parse-names" : false, "suffix" : "" }, { "dropping-particle" : "", "family" : "Barac", "given" : "Aleksandra", "non-dropping-particle" : "", "parse-names" : false, "suffix" : "" }, { "dropping-particle" : "", "family" : "Bedi", "given" : "Neeraj", "non-dropping-particle" : "", "parse-names" : false, "suffix" : "" }, { "dropping-particle" : "", "family" : "Bensenor", "given" : "Isabela", "non-dropping-particle" : "", "parse-names" : false, "suffix" : "" }, { "dropping-particle" : "", "family" : "Berhane", "given" : "Adugnaw", "non-dropping-particle" : "", "parse-names" : false, "suffix" : "" }, { "dropping-particle" : "", "family" : "Bernab\u00e9", "given" : "Eduardo", "non-dropping-particle" : "", "parse-names" : false, "suffix" : "" }, { "dropping-particle" : "", "family" : "Betsu", "given" : "Balem", "non-dropping-particle" : "", "parse-names" : false, "suffix" : "" }, { "dropping-particle" : "", "family" : "Binagwaho", "given" : "Agnes", "non-dropping-particle" : "", "parse-names" : false, "suffix" : "" }, { "dropping-particle" : "", "family" : "Boneya", "given" : "Dube", "non-dropping-particle" : "", "parse-names" : false, "suffix" : "" }, { "dropping-particle" : "", "family" : "Campos-Nonato", "given" : "Ismael", "non-dropping-particle" : "", "parse-names" : false, "suffix" : "" }, { "dropping-particle" : "", "family" : "Casta\u00f1eda-Orjuela", "given" : "Carlos", "non-dropping-particle" : "", "parse-names" : false, "suffix" : "" }, { "dropping-particle" : "", "family" : "Catal\u00e1-L\u00f3pez", "given" : "Ferr\u00e1n", "non-dropping-particle" : "", "parse-names" : false, "suffix" : "" }, { "dropping-particle" : "", "family" : "Chiang", "given" : "Peggy", "non-dropping-particle" : "", "parse-names" : false, "suffix" : "" }, { "dropping-particle" : "", "family" : "Chibueze", "given" : "Chioma", "non-dropping-particle" : "", "parse-names" : false, "suffix" : "" }, { "dropping-particle" : "", "family" : "Chitheer", "given" : "Abdulaal", "non-dropping-particle" : "", "parse-names" : false, "suffix" : "" }, { "dropping-particle" : "", "family" : "Choi", "given" : "Jee Young", "non-dropping-particle" : "", "parse-names" : false, "suffix" : "" }, { "dropping-particle" : "", "family" : "Cowie", "given" : "Benjamin", "non-dropping-particle" : "", "parse-names" : false, "suffix" : "" }, { "dropping-particle" : "", "family" : "Damtew", "given" : "Solomon", "non-dropping-particle" : "", "parse-names" : false, "suffix" : "" }, { "dropping-particle" : "", "family" : "Neves", "given" : "Jos\u00e9", "non-dropping-particle" : "Das", "parse-names" : false, "suffix" : "" }, { "dropping-particle" : "", "family" : "Dey", "given" : "Suhojit", "non-dropping-particle" : "", "parse-names" : false, "suffix" : "" }, { "dropping-particle" : "", "family" : "Dharmaratne", "given" : "Samath", "non-dropping-particle" : "", "parse-names" : false, "suffix" : "" }, { "dropping-particle" : "", "family" : "Dhillon", "given" : "Preet", "non-dropping-particle" : "", "parse-names" : false, "suffix" : "" }, { "dropping-particle" : "", "family" : "Ding", "given" : "Eric", "non-dropping-particle" : "", "parse-names" : false, "suffix" : "" }, { "dropping-particle" : "", "family" : "Driscoll", "given" : "Tim", "non-dropping-particle" : "", "parse-names" : false, "suffix" : "" }, { "dropping-particle" : "", "family" : "Ekwueme", "given" : "Donatus", "non-dropping-particle" : "", "parse-names" : false, "suffix" : "" }, { "dropping-particle" : "", "family" : "Endries", "given" : "Aman Yesuf", "non-dropping-particle" : "", "parse-names" : false, "suffix" : "" }, { "dropping-particle" : "", "family" : "Farvid", "given" : "Maryam", "non-dropping-particle" : "", "parse-names" : false, "suffix" : "" }, { "dropping-particle" : "", "family" : "Farzadfar", "given" : "Farshad", "non-dropping-particle" : "", "parse-names" : false, "suffix" : "" }, { "dropping-particle" : "", "family" : "Fernandes", "given" : "Joao", "non-dropping-particle" : "", "parse-names" : false, "suffix" : "" }, { "dropping-particle" : "", "family" : "Fischer", "given" : "Florian", "non-dropping-particle" : "", "parse-names" : false, "suffix" : "" }, { "dropping-particle" : "", "family" : "Ghiwot", "given" : "Tsegaye Tewelde", "non-dropping-particle" : "", "parse-names" : false, "suffix" : "" }, { "dropping-particle" : "", "family" : "Gebru", "given" : "Alemseged", "non-dropping-particle" : "", "parse-names" : false, "suffix" : "" }, { "dropping-particle" : "", "family" : "Gopalani", "given" : "Sameer", "non-dropping-particle" : "", "parse-names" : false, "suffix" : "" }, { "dropping-particle" : "", "family" : "Hailu", "given" : "Alemayehu", "non-dropping-particle" : "", "parse-names" : false, "suffix" : "" }, { "dropping-particle" : "", "family" : "Horino", "given" : "Masako", "non-dropping-particle" : "", "parse-names" : false, "suffix" : "" }, { "dropping-particle" : "", "family" : "Horita", "given" : "Nobuyuki", "non-dropping-particle" : "", "parse-names" : false, "suffix" : "" }, { "dropping-particle" : "", "family" : "Husseini", "given" : "Abdullatif", "non-dropping-particle" : "", "parse-names" : false, "suffix" : "" }, { "dropping-particle" : "", "family" : "Huybrechts", "given" : "Inge", "non-dropping-particle" : "", "parse-names" : false, "suffix" : "" }, { "dropping-particle" : "", "family" : "Inoue", "given" : "Manami", "non-dropping-particle" : "", "parse-names" : false, "suffix" : "" }, { "dropping-particle" : "", "family" : "Islami", "given" : "Farhad", "non-dropping-particle" : "", "parse-names" : false, "suffix" : "" }, { "dropping-particle" : "", "family" : "Jakovljevic", "given" : "Mihajlo", "non-dropping-particle" : "", "parse-names" : false, "suffix" : "" }, { "dropping-particle" : "", "family" : "James", "given" : "Spencer", "non-dropping-particle" : "", "parse-names" : false, "suffix" : "" }, { "dropping-particle" : "", "family" : "Javanbakht", "given" : "Mehdi", "non-dropping-particle" : "", "parse-names" : false, "suffix" : "" }, { "dropping-particle" : "", "family" : "Jee", "given" : "Sun Ha", "non-dropping-particle" : "", "parse-names" : false, "suffix" : "" }, { "dropping-particle" : "", "family" : "Kasaeian", "given" : "Amir", "non-dropping-particle" : "", "parse-names" : false, "suffix" : "" }, { "dropping-particle" : "", "family" : "Kedir", "given" : "Muktar Sano", "non-dropping-particle" : "", "parse-names" : false, "suffix" : "" }, { "dropping-particle" : "", "family" : "Khader", "given" : "Yousef S.", "non-dropping-particle" : "", "parse-names" : false, "suffix" : "" }, { "dropping-particle" : "", "family" : "Khang", "given" : "Young Ho", "non-dropping-particle" : "", "parse-names" : false, "suffix" : "" }, { "dropping-particle" : "", "family" : "Kim", "given" : "Daniel", "non-dropping-particle" : "", "parse-names" : false, "suffix" : "" }, { "dropping-particle" : "", "family" : "Leigh", "given" : "James", "non-dropping-particle" : "", "parse-names" : false, "suffix" : "" }, { "dropping-particle" : "", "family" : "Linn", "given" : "Shai", "non-dropping-particle" : "", "parse-names" : false, "suffix" : "" }, { "dropping-particle" : "", "family" : "Lunevicius", "given" : "Raimundas", "non-dropping-particle" : "", "parse-names" : false, "suffix" : "" }, { "dropping-particle" : "", "family" : "Razek", "given" : "Hassan Magdy Abd", "non-dropping-particle" : "El", "parse-names" : false, "suffix" : "" }, { "dropping-particle" : "", "family" : "Malekzadeh", "given" : "Reza", "non-dropping-particle" : "", "parse-names" : false, "suffix" : "" }, { "dropping-particle" : "", "family" : "Malta", "given" : "Deborah Carvalho", "non-dropping-particle" : "", "parse-names" : false, "suffix" : "" }, { "dropping-particle" : "", "family" : "Marcenes", "given" : "Wagner", "non-dropping-particle" : "", "parse-names" : false, "suffix" : "" }, { "dropping-particle" : "", "family" : "Markos", "given" : "Desalegn", "non-dropping-particle" : "", "parse-names" : false, "suffix" : "" }, { "dropping-particle" : "", "family" : "Melaku", "given" : "Yohannes A.", "non-dropping-particle" : "", "parse-names" : false, "suffix" : "" }, { "dropping-particle" : "", "family" : "Meles", "given" : "Kidanu G.", "non-dropping-particle" : "", "parse-names" : false, "suffix" : "" }, { "dropping-particle" : "", "family" : "Mendoza", "given" : "Walter", "non-dropping-particle" : "", "parse-names" : false, "suffix" : "" }, { "dropping-particle" : "", "family" : "Mengiste", "given" : "Desalegn Tadese", "non-dropping-particle" : "", "parse-names" : false, "suffix" : "" }, { "dropping-particle" : "", "family" : "Meretoja", "given" : "Tuomo J.", "non-dropping-particle" : "", "parse-names" : false, "suffix" : "" }, { "dropping-particle" : "", "family" : "Miller", "given" : "Ted R.", "non-dropping-particle" : "", "parse-names" : false, "suffix" : "" }, { "dropping-particle" : "", "family" : "Mohammad", "given" : "Karzan Abdulmuhsin", "non-dropping-particle" : "", "parse-names" : false, "suffix" : "" }, { "dropping-particle" : "", "family" : "Mohammadi", "given" : "Alireza", "non-dropping-particle" : "", "parse-names" : false, "suffix" : "" }, { "dropping-particle" : "", "family" : "Mohammed", "given" : "Shafiu", "non-dropping-particle" : "", "parse-names" : false, "suffix" : "" }, { "dropping-particle" : "", "family" : "Moradi-Lakeh", "given" : "Maziar", "non-dropping-particle" : "", "parse-names" : false, "suffix" : "" }, { "dropping-particle" : "", "family" : "Nagel", "given" : "Gabriele", "non-dropping-particle" : "", "parse-names" : false, "suffix" : "" }, { "dropping-particle" : "", "family" : "Nand", "given" : "Devina", "non-dropping-particle" : "", "parse-names" : false, "suffix" : "" }, { "dropping-particle" : "", "family" : "Nguyen", "given" : "Quyen", "non-dropping-particle" : "Le", "parse-names" : false, "suffix" : "" }, { "dropping-particle" : "", "family" : "Nolte", "given" : "Sandra", "non-dropping-particle" : "", "parse-names" : false, "suffix" : "" }, { "dropping-particle" : "", "family" : "Ogbo", "given" : "Felix A.", "non-dropping-particle" : "", "parse-names" : false, "suffix" : "" }, { "dropping-particle" : "", "family" : "Oladimeji", "given" : "Kelechi E.", "non-dropping-particle" : "", "parse-names" : false, "suffix" : "" }, { "dropping-particle" : "", "family" : "Oren", "given" : "Eyal", "non-dropping-particle" : "", "parse-names" : false, "suffix" : "" }, { "dropping-particle" : "", "family" : "Pa", "given" : "Mahesh", "non-dropping-particle" : "", "parse-names" : false, "suffix" : "" }, { "dropping-particle" : "", "family" : "Park", "given" : "Eun Kee", "non-dropping-particle" : "", "parse-names" : false, "suffix" : "" }, { "dropping-particle" : "", "family" : "Pereira", "given" : "David M.", "non-dropping-particle" : "", "parse-names" : false, "suffix" : "" }, { "dropping-particle" : "", "family" : "Plass", "given" : "Dietrich", "non-dropping-particle" : "", "parse-names" : false, "suffix" : "" }, { "dropping-particle" : "", "family" : "Qorbani", "given" : "Mostafa", "non-dropping-particle" : "", "parse-names" : false, "suffix" : "" }, { "dropping-particle" : "", "family" : "Radfar", "given" : "Amir", "non-dropping-particle" : "", "parse-names" : false, "suffix" : "" }, { "dropping-particle" : "", "family" : "Rafay", "given" : "Anwar", "non-dropping-particle" : "", "parse-names" : false, "suffix" : "" }, { "dropping-particle" : "", "family" : "Rahman", "given" : "Mahfuzar", "non-dropping-particle" : "", "parse-names" : false, "suffix" : "" }, { "dropping-particle" : "", "family" : "Rana", "given" : "Saleem M.", "non-dropping-particle" : "", "parse-names" : false, "suffix" : "" }, { "dropping-particle" : "", "family" : "S\u00f8reide", "given" : "Kjetil", "non-dropping-particle" : "", "parse-names" : false, "suffix" : "" }, { "dropping-particle" : "", "family" : "Satpathy", "given" : "Maheswar", "non-dropping-particle" : "", "parse-names" : false, "suffix" : "" }, { "dropping-particle" : "", "family" : "Sawhney", "given" : "Monika", "non-dropping-particle" : "", "parse-names" : false, "suffix" : "" }, { "dropping-particle" : "", "family" : "Sepanlou", "given" : "Sadaf G.", "non-dropping-particle" : "", "parse-names" : false, "suffix" : "" }, { "dropping-particle" : "", "family" : "Shaikh", "given" : "Masood Ali", "non-dropping-particle" : "", "parse-names" : false, "suffix" : "" }, { "dropping-particle" : "", "family" : "She", "given" : "Jun", "non-dropping-particle" : "", "parse-names" : false, "suffix" : "" }, { "dropping-particle" : "", "family" : "Shiue", "given" : "Ivy", "non-dropping-particle" : "", "parse-names" : false, "suffix" : "" }, { "dropping-particle" : "", "family" : "Shore", "given" : "Hirbo Roba", "non-dropping-particle" : "", "parse-names" : false, "suffix" : "" }, { "dropping-particle" : "", "family" : "Shrime", "given" : "Mark G.", "non-dropping-particle" : "", "parse-names" : false, "suffix" : "" }, { "dropping-particle" : "", "family" : "So", "given" : "Samuel", "non-dropping-particle" : "", "parse-names" : false, "suffix" : "" }, { "dropping-particle" : "", "family" : "Soneji", "given" : "Samir", "non-dropping-particle" : "", "parse-names" : false, "suffix" : "" }, { "dropping-particle" : "", "family" : "Stathopoulou", "given" : "Vasiliki", "non-dropping-particle" : "", "parse-names" : false, "suffix" : "" }, { "dropping-particle" : "", "family" : "Stroumpoulis", "given" : "Konstantinos", "non-dropping-particle" : "", "parse-names" : false, "suffix" : "" }, { "dropping-particle" : "", "family" : "Sufiyan", "given" : "Muawiyyah Babale", "non-dropping-particle" : "", "parse-names" : false, "suffix" : "" }, { "dropping-particle" : "", "family" : "Sykes", "given" : "Bryan L.", "non-dropping-particle" : "", "parse-names" : false, "suffix" : "" }, { "dropping-particle" : "", "family" : "Tabar\u00e9s-Seisdedos", "given" : "Rafael", "non-dropping-particle" : "", "parse-names" : false, "suffix" : "" }, { "dropping-particle" : "", "family" : "Tadese", "given" : "Fentaw", "non-dropping-particle" : "", "parse-names" : false, "suffix" : "" }, { "dropping-particle" : "", "family" : "Tedla", "given" : "Bemnet Amare", "non-dropping-particle" : "", "parse-names" : false, "suffix" : "" }, { "dropping-particle" : "", "family" : "Tessema", "given" : "Gizachew Assefa", "non-dropping-particle" : "", "parse-names" : false, "suffix" : "" }, { "dropping-particle" : "", "family" : "Thakur", "given" : "J. S.", "non-dropping-particle" : "", "parse-names" : false, "suffix" : "" }, { "dropping-particle" : "", "family" : "Tran", "given" : "Bach Xuan", "non-dropping-particle" : "", "parse-names" : false, "suffix" : "" }, { "dropping-particle" : "", "family" : "Ukwaja", "given" : "Kingsley Nnanna", "non-dropping-particle" : "", "parse-names" : false, "suffix" : "" }, { "dropping-particle" : "", "family" : "Chudi Uzochukwu", "given" : "Benjamin S.", "non-dropping-particle" : "", "parse-names" : false, "suffix" : "" }, { "dropping-particle" : "", "family" : "Vlassov", "given" : "Vasiliy Victorovich", "non-dropping-particle" : "", "parse-names" : false, "suffix" : "" }, { "dropping-particle" : "", "family" : "Weiderpass", "given" : "Elisabete", "non-dropping-particle" : "", "parse-names" : false, "suffix" : "" }, { "dropping-particle" : "", "family" : "Wubshet Terefe", "given" : "Mamo", "non-dropping-particle" : "", "parse-names" : false, "suffix" : "" }, { "dropping-particle" : "", "family" : "Yebyo", "given" : "Henock Gebremedhin", "non-dropping-particle" : "", "parse-names" : false, "suffix" : "" }, { "dropping-particle" : "", "family" : "Yimam", "given" : "Hassen Hamid", "non-dropping-particle" : "", "parse-names" : false, "suffix" : "" }, { "dropping-particle" : "", "family" : "Yonemoto", "given" : "Naohiro", "non-dropping-particle" : "", "parse-names" : false, "suffix" : "" }, { "dropping-particle" : "", "family" : "Younis", "given" : "Mustafa Z.", "non-dropping-particle" : "", "parse-names" : false, "suffix" : "" }, { "dropping-particle" : "", "family" : "Yu", "given" : "Chuanhua", "non-dropping-particle" : "", "parse-names" : false, "suffix" : "" }, { "dropping-particle" : "", "family" : "Zaidi", "given" : "Zoubida", "non-dropping-particle" : "", "parse-names" : false, "suffix" : "" }, { "dropping-particle" : "", "family" : "Zaki", "given" : "Maysaa El Sayed", "non-dropping-particle" : "", "parse-names" : false, "suffix" : "" }, { "dropping-particle" : "", "family" : "Zenebe", "given" : "Zerihun Menlkalew", "non-dropping-particle" : "", "parse-names" : false, "suffix" : "" }, { "dropping-particle" : "", "family" : "Murray", "given" : "Christopher J.L.", "non-dropping-particle" : "", "parse-names" : false, "suffix" : "" }, { "dropping-particle" : "", "family" : "Naghavi", "given" : "Mohsen", "non-dropping-particle" : "", "parse-names" : false, "suffix" : "" } ], "container-title" : "JAMA Oncology", "id" : "ITEM-1", "issue" : "4", "issued" : { "date-parts" : [ [ "2017" ] ] }, "page" : "524-548", "title" : "Global, regional, and national cancer incidence, mortality, years of life lost, years lived with disability, and disability-adjusted life-years for 32 cancer groups, 1990 to 2015: A Systematic Analysis for the Global Burden of Disease Study Global Burden ", "type" : "article", "volume" : "3" }, "uris" : [ "http://www.mendeley.com/documents/?uuid=20e442cc-b670-4d24-8108-8f5ecbfc2c3e" ] } ], "mendeley" : { "formattedCitation" : "(Fitzmaurice et al., 2017)", "plainTextFormattedCitation" : "(Fitzmaurice et al., 2017)", "previouslyFormattedCitation" : "(Fitzmaurice et al., 2017)" }, "properties" : {  }, "schema" : "https://github.com/citation-style-language/schema/raw/master/csl-citation.json" }</w:instrText>
      </w:r>
      <w:r w:rsidR="007F67C5" w:rsidRPr="007D22E6">
        <w:fldChar w:fldCharType="separate"/>
      </w:r>
      <w:r w:rsidR="00F13013" w:rsidRPr="00F13013">
        <w:rPr>
          <w:noProof/>
        </w:rPr>
        <w:t>(Fitzmaurice et al., 2017)</w:t>
      </w:r>
      <w:r w:rsidR="007F67C5" w:rsidRPr="007D22E6">
        <w:fldChar w:fldCharType="end"/>
      </w:r>
      <w:r w:rsidR="007F67C5" w:rsidRPr="007D22E6">
        <w:t xml:space="preserve">. </w:t>
      </w:r>
      <w:r w:rsidR="007F67C5">
        <w:t>It</w:t>
      </w:r>
      <w:r w:rsidR="007F67C5" w:rsidRPr="007D22E6">
        <w:t xml:space="preserve"> is estimated </w:t>
      </w:r>
      <w:r w:rsidR="007F67C5">
        <w:t xml:space="preserve">that breast cancer accounts for </w:t>
      </w:r>
      <w:r w:rsidR="007F67C5" w:rsidRPr="007D22E6">
        <w:t>1 in 3 new diagnosed</w:t>
      </w:r>
      <w:r w:rsidR="007F67C5">
        <w:t xml:space="preserve"> cancers in American women, and over 40,000 American women</w:t>
      </w:r>
      <w:r w:rsidR="007F67C5" w:rsidRPr="007D22E6">
        <w:t xml:space="preserve"> will die from breast cancer </w:t>
      </w:r>
      <w:r w:rsidR="007F67C5">
        <w:t>in 2018</w:t>
      </w:r>
      <w:r w:rsidR="00C4578E">
        <w:t xml:space="preserve"> </w:t>
      </w:r>
      <w:r w:rsidR="007F67C5" w:rsidRPr="007D22E6">
        <w:fldChar w:fldCharType="begin" w:fldLock="1"/>
      </w:r>
      <w:r w:rsidR="00516FFC">
        <w:instrText>ADDIN CSL_CITATION { "citationItems" : [ { "id" : "ITEM-1", "itemData" : { "DOI" : "10.3322/caac.21442", "ISBN" : "1542-4863 (Electronic)\\r0007-9235 (Linking)", "ISSN" : "00079235", "PMID" : "25559415", "abstract" : "Each year, the American Cancer Society estimates the numbers of new can-cer cases and deaths that will occur in the United States in the current year and com-piles the most recent data on cancer incidence, mortality, and survival. Incidence data were collected by the Surveillance, Epidemiology, and End Results Program; the National Program of Cancer Registries; and the North American Association of Central Cancer Registries. Mortality data were collected by the National Center for Health Statistics. In 2017, 1,688,780 new cancer cases and 600,920 cancer deaths are projected to occur in the United States. For all sites combined, the cancer incidence rate is 20% higher in men than in women, while the cancer death rate is 40% higher. However, sex disparities vary by cancer type. For example, thyroid cancer incidence rates are 3-fold higher in women than in men (21 vs 7 per 100,000 population), despite equivalent death rates (0.5 per 100,000 population), largely reflecting sex differences in the \" epidemic of diag-nosis. \" Over the past decade of available data, the overall cancer incidence rate (2004-2013) was stable in women and declined by approximately 2% annually in men, while the cancer death rate (2005-2014) declined by about 1.5% annually in both men and women. From 1991 to 2014, the overall cancer death rate dropped 25%, translating to approxi-mately 2,143,200 fewer cancer deaths than would have been expected if death rates had remained at their peak. Although the cancer death rate was 15% higher in blacks than in whites in 2014, increasing access to care as a result of the Patient Protection and Affordable Care Act may expedite the narrowing racial gap; from 2010 to 2015, the proportion of blacks who were uninsured halved, from 21% to 11%, as it did for Hispanics (31% to 16%). Gains in coverage for traditionally underserved Americans will facilitate the broader application of existing cancer control knowledge across every segment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 A Cancer Journal for Clinicians", "id" : "ITEM-1", "issue" : "1", "issued" : { "date-parts" : [ [ "2018" ] ] }, "page" : "7-30", "title" : "Cancer statistics, 2018", "type" : "article-journal", "volume" : "68" }, "uris" : [ "http://www.mendeley.com/documents/?uuid=665d4fe1-83ed-40dd-a4e4-40e240791fe3" ] } ], "mendeley" : { "formattedCitation" : "(Siegel, Miller, &amp; Jemal, 2018)", "plainTextFormattedCitation" : "(Siegel, Miller, &amp; Jemal, 2018)", "previouslyFormattedCitation" : "(Siegel, Miller, &amp; Jemal, 2018)" }, "properties" : {  }, "schema" : "https://github.com/citation-style-language/schema/raw/master/csl-citation.json" }</w:instrText>
      </w:r>
      <w:r w:rsidR="007F67C5" w:rsidRPr="007D22E6">
        <w:fldChar w:fldCharType="separate"/>
      </w:r>
      <w:r w:rsidR="00F13013" w:rsidRPr="00F13013">
        <w:rPr>
          <w:noProof/>
        </w:rPr>
        <w:t>(Siegel, Miller, &amp; Jemal, 2018)</w:t>
      </w:r>
      <w:r w:rsidR="007F67C5" w:rsidRPr="007D22E6">
        <w:fldChar w:fldCharType="end"/>
      </w:r>
      <w:r w:rsidR="007F67C5" w:rsidRPr="007D22E6">
        <w:t>. Though previous epidemiologic studies have e</w:t>
      </w:r>
      <w:r w:rsidR="006C4B13">
        <w:t>stablished many risk factors of breast cancer, such as</w:t>
      </w:r>
      <w:r w:rsidR="007F67C5" w:rsidRPr="007D22E6">
        <w:t xml:space="preserve"> age, parity, reproductive factors and exogenous hormone use</w:t>
      </w:r>
      <w:r w:rsidR="00C4578E">
        <w:t xml:space="preserve"> </w:t>
      </w:r>
      <w:r w:rsidR="007F67C5" w:rsidRPr="007D22E6">
        <w:fldChar w:fldCharType="begin" w:fldLock="1"/>
      </w:r>
      <w:r w:rsidR="00516FFC">
        <w:instrText>ADDIN CSL_CITATION { "citationItems" : [ { "id" : "ITEM-1", "itemData" : { "DOI" : "10.1007/978-3-319-19437-0", "ISBN" : "978-3-319-19436-3", "author" : [ { "dropping-particle" : "", "family" : "Mina", "given" : "Lida A.", "non-dropping-particle" : "", "parse-names" : false, "suffix" : "" }, { "dropping-particle" : "", "family" : "Storniolo", "given" : "Anna Maria", "non-dropping-particle" : "", "parse-names" : false, "suffix" : "" }, { "dropping-particle" : "", "family" : "Kipfer", "given" : "Hal Douglas", "non-dropping-particle" : "", "parse-names" : false, "suffix" : "" }, { "dropping-particle" : "", "family" : "Hunter", "given" : "Cindy", "non-dropping-particle" : "", "parse-names" : false, "suffix" : "" }, { "dropping-particle" : "", "family" : "Ludwig", "given" : "Kandice K.", "non-dropping-particle" : "", "parse-names" : false, "suffix" : "" } ], "id" : "ITEM-1", "issued" : { "date-parts" : [ [ "2016" ] ] }, "title" : "Breast Cancer Prevention and Treatment", "type" : "book" }, "uris" : [ "http://www.mendeley.com/documents/?uuid=42ac76d2-69cd-456f-8db3-388ec0f7608f" ] } ], "mendeley" : { "formattedCitation" : "(Mina, Storniolo, Kipfer, Hunter, &amp; Ludwig, 2016)", "plainTextFormattedCitation" : "(Mina, Storniolo, Kipfer, Hunter, &amp; Ludwig, 2016)", "previouslyFormattedCitation" : "(Mina, Storniolo, Kipfer, Hunter, &amp; Ludwig, 2016)" }, "properties" : {  }, "schema" : "https://github.com/citation-style-language/schema/raw/master/csl-citation.json" }</w:instrText>
      </w:r>
      <w:r w:rsidR="007F67C5" w:rsidRPr="007D22E6">
        <w:fldChar w:fldCharType="separate"/>
      </w:r>
      <w:r w:rsidR="00F13013" w:rsidRPr="00F13013">
        <w:rPr>
          <w:noProof/>
        </w:rPr>
        <w:t>(Mina, Storniolo, Kipfer, Hunter, &amp; Ludwig, 2016)</w:t>
      </w:r>
      <w:r w:rsidR="007F67C5" w:rsidRPr="007D22E6">
        <w:fldChar w:fldCharType="end"/>
      </w:r>
      <w:r w:rsidR="007F67C5" w:rsidRPr="007D22E6">
        <w:t xml:space="preserve">, </w:t>
      </w:r>
      <w:r w:rsidR="00D609A3">
        <w:t>with the upward</w:t>
      </w:r>
      <w:r w:rsidR="007F67C5">
        <w:t xml:space="preserve"> tre</w:t>
      </w:r>
      <w:r w:rsidR="00D609A3">
        <w:t>nd of breast cancer incide</w:t>
      </w:r>
      <w:r w:rsidR="002F4A41">
        <w:t>nce during</w:t>
      </w:r>
      <w:r w:rsidR="007F67C5">
        <w:t xml:space="preserve"> recent years</w:t>
      </w:r>
      <w:r w:rsidR="00C4578E">
        <w:t xml:space="preserve"> </w:t>
      </w:r>
      <w:r w:rsidR="007F67C5">
        <w:fldChar w:fldCharType="begin" w:fldLock="1"/>
      </w:r>
      <w:r w:rsidR="00516FFC">
        <w:instrText>ADDIN CSL_CITATION { "citationItems" : [ { "id" : "ITEM-1", "itemData" : { "DOI" : "10.3322/caac.21442", "ISBN" : "1542-4863 (Electronic)\\r0007-9235 (Linking)", "ISSN" : "00079235", "PMID" : "25559415", "abstract" : "Each year, the American Cancer Society estimates the numbers of new can-cer cases and deaths that will occur in the United States in the current year and com-piles the most recent data on cancer incidence, mortality, and survival. Incidence data were collected by the Surveillance, Epidemiology, and End Results Program; the National Program of Cancer Registries; and the North American Association of Central Cancer Registries. Mortality data were collected by the National Center for Health Statistics. In 2017, 1,688,780 new cancer cases and 600,920 cancer deaths are projected to occur in the United States. For all sites combined, the cancer incidence rate is 20% higher in men than in women, while the cancer death rate is 40% higher. However, sex disparities vary by cancer type. For example, thyroid cancer incidence rates are 3-fold higher in women than in men (21 vs 7 per 100,000 population), despite equivalent death rates (0.5 per 100,000 population), largely reflecting sex differences in the \" epidemic of diag-nosis. \" Over the past decade of available data, the overall cancer incidence rate (2004-2013) was stable in women and declined by approximately 2% annually in men, while the cancer death rate (2005-2014) declined by about 1.5% annually in both men and women. From 1991 to 2014, the overall cancer death rate dropped 25%, translating to approxi-mately 2,143,200 fewer cancer deaths than would have been expected if death rates had remained at their peak. Although the cancer death rate was 15% higher in blacks than in whites in 2014, increasing access to care as a result of the Patient Protection and Affordable Care Act may expedite the narrowing racial gap; from 2010 to 2015, the proportion of blacks who were uninsured halved, from 21% to 11%, as it did for Hispanics (31% to 16%). Gains in coverage for traditionally underserved Americans will facilitate the broader application of existing cancer control knowledge across every segment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 A Cancer Journal for Clinicians", "id" : "ITEM-1", "issue" : "1", "issued" : { "date-parts" : [ [ "2018" ] ] }, "page" : "7-30", "title" : "Cancer statistics, 2018", "type" : "article-journal", "volume" : "68" }, "uris" : [ "http://www.mendeley.com/documents/?uuid=665d4fe1-83ed-40dd-a4e4-40e240791fe3" ] } ], "mendeley" : { "formattedCitation" : "(Siegel et al., 2018)", "plainTextFormattedCitation" : "(Siegel et al., 2018)", "previouslyFormattedCitation" : "(Siegel et al., 2018)" }, "properties" : {  }, "schema" : "https://github.com/citation-style-language/schema/raw/master/csl-citation.json" }</w:instrText>
      </w:r>
      <w:r w:rsidR="007F67C5">
        <w:fldChar w:fldCharType="separate"/>
      </w:r>
      <w:r w:rsidR="00F13013" w:rsidRPr="00F13013">
        <w:rPr>
          <w:noProof/>
        </w:rPr>
        <w:t>(Siegel et al., 2018)</w:t>
      </w:r>
      <w:r w:rsidR="007F67C5">
        <w:fldChar w:fldCharType="end"/>
      </w:r>
      <w:r w:rsidR="002E1A83">
        <w:t>, there is an urgent need to identify</w:t>
      </w:r>
      <w:r w:rsidR="007F67C5" w:rsidRPr="007D22E6">
        <w:t xml:space="preserve"> </w:t>
      </w:r>
      <w:r w:rsidR="007F67C5">
        <w:t xml:space="preserve">more </w:t>
      </w:r>
      <w:r w:rsidR="002E1A83">
        <w:t xml:space="preserve">modifiable </w:t>
      </w:r>
      <w:r w:rsidR="007F67C5">
        <w:t xml:space="preserve">risk factors or </w:t>
      </w:r>
      <w:r w:rsidR="007F67C5" w:rsidRPr="007D22E6">
        <w:t xml:space="preserve">biomarkers </w:t>
      </w:r>
      <w:r w:rsidR="002E1A83">
        <w:t>to prevent more incidences of</w:t>
      </w:r>
      <w:r w:rsidR="007F67C5">
        <w:t xml:space="preserve"> breast cancer. </w:t>
      </w:r>
    </w:p>
    <w:p w:rsidR="00191BA5" w:rsidRDefault="00F23071" w:rsidP="00FF2943">
      <w:pPr>
        <w:pStyle w:val="Heading2"/>
      </w:pPr>
      <w:bookmarkStart w:id="8" w:name="_Toc509180552"/>
      <w:r>
        <w:t>risk factors of Breast cancer</w:t>
      </w:r>
      <w:bookmarkEnd w:id="8"/>
    </w:p>
    <w:p w:rsidR="00701927" w:rsidRDefault="00701927" w:rsidP="00701927">
      <w:pPr>
        <w:pStyle w:val="Heading3"/>
      </w:pPr>
      <w:bookmarkStart w:id="9" w:name="_Toc509180553"/>
      <w:r>
        <w:t>Age</w:t>
      </w:r>
      <w:bookmarkEnd w:id="9"/>
    </w:p>
    <w:p w:rsidR="00A84C80" w:rsidRPr="00A84C80" w:rsidRDefault="00A84C80" w:rsidP="001A647C">
      <w:pPr>
        <w:pStyle w:val="Noindent"/>
        <w:spacing w:line="360" w:lineRule="auto"/>
      </w:pPr>
      <w:r>
        <w:t xml:space="preserve">Older age </w:t>
      </w:r>
      <w:r w:rsidRPr="00701927">
        <w:t xml:space="preserve">is </w:t>
      </w:r>
      <w:r w:rsidR="008A5279">
        <w:t>a</w:t>
      </w:r>
      <w:r w:rsidR="00BE4C65">
        <w:t xml:space="preserve"> crucial </w:t>
      </w:r>
      <w:r w:rsidR="002E1A83">
        <w:t>risk fa</w:t>
      </w:r>
      <w:r w:rsidRPr="00701927">
        <w:t>ctor of breast cancer. As women grow old, the DNA damage in aging cells accumulates, which would increase the possibility of malignancy</w:t>
      </w:r>
      <w:r w:rsidR="00C4578E">
        <w:t xml:space="preserve"> </w:t>
      </w:r>
      <w:r w:rsidRPr="00701927">
        <w:fldChar w:fldCharType="begin" w:fldLock="1"/>
      </w:r>
      <w:r w:rsidR="00516FFC">
        <w:instrText>ADDIN CSL_CITATION { "citationItems" : [ { "id" : "ITEM-1", "itemData" : { "DOI" : "10.1016/j.cell.2013.05.039", "ISBN" : "0092-8674", "ISSN" : "10974172", "PMID" : "23746838", "abstract" : "Aging is characterized by a progressive loss of physiological integrity, leading to impaired function and increased vulnerability to death. This deterioration is the primary risk factor for major human pathologies, including cancer, diabetes, cardiovascular disorders, and neurodegenerative diseases. Aging research has experienced an unprecedented advance over recent years, particularly with the discovery that the rate of aging is controlled, at least to some extent, by genetic pathways and biochemical processes conserved in evolution. This Review enumerates nine tentative hallmarks that represent common denominators of aging in different organisms, with special emphasis on mammalian aging. These hallmarks are: genomic instability, telomere attrition, epigenetic alterations, loss of proteostasis, deregulated nutrient sensing, mitochondrial dysfunction, cellular senescence, stem cell exhaustion, and altered intercellular communication. A major challenge is to dissect the interconnectedness between the candidate hallmarks and their relative contributions to aging, with the final goal of identifying pharmaceutical targets to improve human health during aging, with minimal side effects. \u00a9 2013 Elsevier Inc.", "author" : [ { "dropping-particle" : "", "family" : "L\u00f3pez-Ot\u00edn", "given" : "Carlos", "non-dropping-particle" : "", "parse-names" : false, "suffix" : "" }, { "dropping-particle" : "", "family" : "Blasco", "given" : "Maria A.", "non-dropping-particle" : "", "parse-names" : false, "suffix" : "" }, { "dropping-particle" : "", "family" : "Partridge", "given" : "Linda", "non-dropping-particle" : "", "parse-names" : false, "suffix" : "" }, { "dropping-particle" : "", "family" : "Serrano", "given" : "Manuel", "non-dropping-particle" : "", "parse-names" : false, "suffix" : "" }, { "dropping-particle" : "", "family" : "Kroemer", "given" : "Guido", "non-dropping-particle" : "", "parse-names" : false, "suffix" : "" } ], "container-title" : "Cell", "id" : "ITEM-1", "issue" : "6", "issued" : { "date-parts" : [ [ "2013" ] ] }, "title" : "The hallmarks of aging", "type" : "article", "volume" : "153" }, "uris" : [ "http://www.mendeley.com/documents/?uuid=76fa7c67-a031-4700-95e6-3adea14b135d" ] } ], "mendeley" : { "formattedCitation" : "(L\u00f3pez-Ot\u00edn, Blasco, Partridge, Serrano, &amp; Kroemer, 2013)", "plainTextFormattedCitation" : "(L\u00f3pez-Ot\u00edn, Blasco, Partridge, Serrano, &amp; Kroemer, 2013)", "previouslyFormattedCitation" : "(L\u00f3pez-Ot\u00edn, Blasco, Partridge, Serrano, &amp; Kroemer, 2013)" }, "properties" : {  }, "schema" : "https://github.com/citation-style-language/schema/raw/master/csl-citation.json" }</w:instrText>
      </w:r>
      <w:r w:rsidRPr="00701927">
        <w:fldChar w:fldCharType="separate"/>
      </w:r>
      <w:r w:rsidR="00F13013" w:rsidRPr="00F13013">
        <w:rPr>
          <w:noProof/>
        </w:rPr>
        <w:t>(López-Otín, Blasco, Partridge, Serrano, &amp; Kroemer, 2013)</w:t>
      </w:r>
      <w:r w:rsidRPr="00701927">
        <w:fldChar w:fldCharType="end"/>
      </w:r>
      <w:r w:rsidRPr="00701927">
        <w:t xml:space="preserve">. The </w:t>
      </w:r>
      <w:r w:rsidR="008B13C8">
        <w:t xml:space="preserve">10-year </w:t>
      </w:r>
      <w:r w:rsidRPr="00701927">
        <w:t>probability of developing breast cancer</w:t>
      </w:r>
      <w:r w:rsidR="002E1A83">
        <w:t xml:space="preserve"> increases from 0.1% in 20 year</w:t>
      </w:r>
      <w:r w:rsidRPr="00701927">
        <w:t xml:space="preserve"> old</w:t>
      </w:r>
      <w:r w:rsidR="002E1A83">
        <w:t>s to nearly 4% in 70 year</w:t>
      </w:r>
      <w:r w:rsidRPr="00701927">
        <w:t xml:space="preserve"> old</w:t>
      </w:r>
      <w:r w:rsidR="002E1A83">
        <w:t>s</w:t>
      </w:r>
      <w:r w:rsidR="00C4578E">
        <w:t xml:space="preserve"> </w:t>
      </w:r>
      <w:r w:rsidR="008B13C8">
        <w:fldChar w:fldCharType="begin" w:fldLock="1"/>
      </w:r>
      <w:r w:rsidR="008B13C8">
        <w:instrText>ADDIN CSL_CITATION { "citationItems" : [ { "id" : "ITEM-1", "itemData" : { "DOI" : "10.1007/s10549-012-2018-4.Mesothelin", "abstract" : "ACS stats 2017", "author" : [ { "dropping-particle" : "", "family" : "American Cancer Society", "given" : "", "non-dropping-particle" : "", "parse-names" : false, "suffix" : "" } ], "container-title" : "Breast Cancer Facts &amp; Figures", "id" : "ITEM-1", "issued" : { "date-parts" : [ [ "2017" ] ] }, "number-of-pages" : "1-44", "publisher-place" : "Atlanta", "title" : "Breast Cancer Facts and Figures 2017-2018", "type" : "report" }, "uris" : [ "http://www.mendeley.com/documents/?uuid=5d5808c4-6877-4689-af67-f890773a17eb" ] } ], "mendeley" : { "formattedCitation" : "(American Cancer Society, 2017)", "plainTextFormattedCitation" : "(American Cancer Society, 2017)", "previouslyFormattedCitation" : "(American Cancer Society, 2017)" }, "properties" : {  }, "schema" : "https://github.com/citation-style-language/schema/raw/master/csl-citation.json" }</w:instrText>
      </w:r>
      <w:r w:rsidR="008B13C8">
        <w:fldChar w:fldCharType="separate"/>
      </w:r>
      <w:r w:rsidR="008B13C8" w:rsidRPr="008B13C8">
        <w:rPr>
          <w:noProof/>
        </w:rPr>
        <w:t>(American Cancer Society, 2017)</w:t>
      </w:r>
      <w:r w:rsidR="008B13C8">
        <w:fldChar w:fldCharType="end"/>
      </w:r>
      <w:r w:rsidRPr="00701927">
        <w:t xml:space="preserve">. </w:t>
      </w:r>
      <w:r w:rsidR="002E1A83">
        <w:t>With</w:t>
      </w:r>
      <w:r w:rsidR="00B90A33">
        <w:t xml:space="preserve"> l</w:t>
      </w:r>
      <w:r w:rsidRPr="00701927">
        <w:t>onger life expectancy</w:t>
      </w:r>
      <w:r w:rsidR="002E1A83">
        <w:t>,</w:t>
      </w:r>
      <w:r w:rsidRPr="00701927">
        <w:t xml:space="preserve"> </w:t>
      </w:r>
      <w:r w:rsidR="00FF1F20">
        <w:t xml:space="preserve">lifetime risk </w:t>
      </w:r>
      <w:r w:rsidR="002E1A83">
        <w:t xml:space="preserve">of </w:t>
      </w:r>
      <w:r w:rsidR="002E1A83" w:rsidRPr="00701927">
        <w:t xml:space="preserve">breast cancer </w:t>
      </w:r>
      <w:r w:rsidR="002E1A83">
        <w:t xml:space="preserve">has increased </w:t>
      </w:r>
      <w:r w:rsidRPr="00701927">
        <w:t>to 12%</w:t>
      </w:r>
      <w:r w:rsidR="002E1A83">
        <w:t xml:space="preserve"> in recent years</w:t>
      </w:r>
      <w:r w:rsidR="00C4578E">
        <w:t xml:space="preserve"> </w:t>
      </w:r>
      <w:r w:rsidR="001B31A7" w:rsidRPr="00701927">
        <w:fldChar w:fldCharType="begin" w:fldLock="1"/>
      </w:r>
      <w:r w:rsidR="008B13C8">
        <w:instrText>ADDIN CSL_CITATION { "citationItems" : [ { "id" : "ITEM-1", "itemData" : { "DOI" : "10.1007/s10549-012-2018-4.Mesothelin", "abstract" : "ACS stats 2017", "author" : [ { "dropping-particle" : "", "family" : "American Cancer Society", "given" : "", "non-dropping-particle" : "", "parse-names" : false, "suffix" : "" } ], "container-title" : "Breast Cancer Facts &amp; Figures", "id" : "ITEM-1", "issued" : { "date-parts" : [ [ "2017" ] ] }, "number-of-pages" : "1-44", "publisher-place" : "Atlanta", "title" : "Breast Cancer Facts and Figures 2017-2018", "type" : "report" }, "uris" : [ "http://www.mendeley.com/documents/?uuid=5d5808c4-6877-4689-af67-f890773a17eb" ] } ], "mendeley" : { "formattedCitation" : "(American Cancer Society, 2017)", "plainTextFormattedCitation" : "(American Cancer Society, 2017)", "previouslyFormattedCitation" : "(American Cancer Society, 2017)" }, "properties" : {  }, "schema" : "https://github.com/citation-style-language/schema/raw/master/csl-citation.json" }</w:instrText>
      </w:r>
      <w:r w:rsidR="001B31A7" w:rsidRPr="00701927">
        <w:fldChar w:fldCharType="separate"/>
      </w:r>
      <w:r w:rsidR="008B13C8" w:rsidRPr="008B13C8">
        <w:rPr>
          <w:noProof/>
        </w:rPr>
        <w:t>(American Cancer Society, 2017)</w:t>
      </w:r>
      <w:r w:rsidR="001B31A7" w:rsidRPr="00701927">
        <w:fldChar w:fldCharType="end"/>
      </w:r>
      <w:r w:rsidR="00DB1A60">
        <w:t>.</w:t>
      </w:r>
      <w:r w:rsidR="00BA01A3">
        <w:t xml:space="preserve"> Thus more and more women are under </w:t>
      </w:r>
      <w:proofErr w:type="gramStart"/>
      <w:r w:rsidR="00BA01A3">
        <w:t>the</w:t>
      </w:r>
      <w:r w:rsidR="00B90A33">
        <w:t xml:space="preserve"> </w:t>
      </w:r>
      <w:r w:rsidR="00F05A65">
        <w:t>threaten</w:t>
      </w:r>
      <w:proofErr w:type="gramEnd"/>
      <w:r w:rsidR="00B90A33">
        <w:t xml:space="preserve"> </w:t>
      </w:r>
      <w:r w:rsidR="00F05A65">
        <w:t xml:space="preserve">of </w:t>
      </w:r>
      <w:r w:rsidR="00B90A33">
        <w:t>developing breast cancer.</w:t>
      </w:r>
    </w:p>
    <w:p w:rsidR="00A84C80" w:rsidRDefault="00701927" w:rsidP="00A84C80">
      <w:pPr>
        <w:pStyle w:val="Heading3"/>
      </w:pPr>
      <w:bookmarkStart w:id="10" w:name="_Toc509180554"/>
      <w:r w:rsidRPr="00701927">
        <w:lastRenderedPageBreak/>
        <w:t>Race</w:t>
      </w:r>
      <w:bookmarkEnd w:id="10"/>
    </w:p>
    <w:p w:rsidR="00A84C80" w:rsidRPr="00A84C80" w:rsidRDefault="00A84C80" w:rsidP="001A647C">
      <w:pPr>
        <w:spacing w:line="360" w:lineRule="auto"/>
        <w:ind w:firstLine="0"/>
      </w:pPr>
      <w:r>
        <w:t>Race</w:t>
      </w:r>
      <w:r w:rsidRPr="00A84C80">
        <w:t xml:space="preserve"> </w:t>
      </w:r>
      <w:r w:rsidRPr="00701927">
        <w:t xml:space="preserve">is another </w:t>
      </w:r>
      <w:r w:rsidR="00EF7E93">
        <w:rPr>
          <w:rFonts w:hint="eastAsia"/>
          <w:lang w:eastAsia="zh-CN"/>
        </w:rPr>
        <w:t>wid</w:t>
      </w:r>
      <w:r w:rsidR="00EF7E93">
        <w:rPr>
          <w:lang w:eastAsia="zh-CN"/>
        </w:rPr>
        <w:t xml:space="preserve">ely recognized </w:t>
      </w:r>
      <w:r w:rsidRPr="00701927">
        <w:t xml:space="preserve">risk factor of breast cancer. According to </w:t>
      </w:r>
      <w:r w:rsidR="00BA6344">
        <w:t xml:space="preserve">the </w:t>
      </w:r>
      <w:r w:rsidRPr="00701927">
        <w:t>National Center for Health Statistics, non</w:t>
      </w:r>
      <w:r w:rsidR="00183837">
        <w:t>-Hispanic white women have a 40%</w:t>
      </w:r>
      <w:r w:rsidRPr="00701927">
        <w:t xml:space="preserve"> higher incidence rate than Asian/Pacific Islander women</w:t>
      </w:r>
      <w:r w:rsidR="00C4578E">
        <w:t xml:space="preserve"> </w:t>
      </w:r>
      <w:r w:rsidRPr="00701927">
        <w:fldChar w:fldCharType="begin" w:fldLock="1"/>
      </w:r>
      <w:r w:rsidR="008B13C8">
        <w:instrText>ADDIN CSL_CITATION { "citationItems" : [ { "id" : "ITEM-1", "itemData" : { "DOI" : "10.1007/s10549-012-2018-4.Mesothelin", "abstract" : "ACS stats 2017", "author" : [ { "dropping-particle" : "", "family" : "American Cancer Society", "given" : "", "non-dropping-particle" : "", "parse-names" : false, "suffix" : "" } ], "container-title" : "Breast Cancer Facts &amp; Figures", "id" : "ITEM-1", "issued" : { "date-parts" : [ [ "2017" ] ] }, "number-of-pages" : "1-44", "publisher-place" : "Atlanta", "title" : "Breast Cancer Facts and Figures 2017-2018", "type" : "report" }, "uris" : [ "http://www.mendeley.com/documents/?uuid=5d5808c4-6877-4689-af67-f890773a17eb" ] } ], "mendeley" : { "formattedCitation" : "(American Cancer Society, 2017)", "plainTextFormattedCitation" : "(American Cancer Society, 2017)", "previouslyFormattedCitation" : "(American Cancer Society, 2017)" }, "properties" : {  }, "schema" : "https://github.com/citation-style-language/schema/raw/master/csl-citation.json" }</w:instrText>
      </w:r>
      <w:r w:rsidRPr="00701927">
        <w:fldChar w:fldCharType="separate"/>
      </w:r>
      <w:r w:rsidR="008B13C8" w:rsidRPr="008B13C8">
        <w:rPr>
          <w:noProof/>
        </w:rPr>
        <w:t>(American Cancer Society, 2017)</w:t>
      </w:r>
      <w:r w:rsidRPr="00701927">
        <w:fldChar w:fldCharType="end"/>
      </w:r>
      <w:r w:rsidR="00E6315B">
        <w:t xml:space="preserve">. </w:t>
      </w:r>
      <w:r w:rsidRPr="00701927">
        <w:t>Incidence rate in non-Hispanic black women is 126 per 100,000 and slightly less than the highest rate of 129 per 100,000 in non-Hispanic white women</w:t>
      </w:r>
      <w:r w:rsidR="00C4578E">
        <w:t xml:space="preserve"> </w:t>
      </w:r>
      <w:r w:rsidRPr="00701927">
        <w:fldChar w:fldCharType="begin" w:fldLock="1"/>
      </w:r>
      <w:r w:rsidR="008B13C8">
        <w:instrText>ADDIN CSL_CITATION { "citationItems" : [ { "id" : "ITEM-1", "itemData" : { "DOI" : "10.1007/s10549-012-2018-4.Mesothelin", "abstract" : "ACS stats 2017", "author" : [ { "dropping-particle" : "", "family" : "American Cancer Society", "given" : "", "non-dropping-particle" : "", "parse-names" : false, "suffix" : "" } ], "container-title" : "Breast Cancer Facts &amp; Figures", "id" : "ITEM-1", "issued" : { "date-parts" : [ [ "2017" ] ] }, "number-of-pages" : "1-44", "publisher-place" : "Atlanta", "title" : "Breast Cancer Facts and Figures 2017-2018", "type" : "report" }, "uris" : [ "http://www.mendeley.com/documents/?uuid=5d5808c4-6877-4689-af67-f890773a17eb" ] } ], "mendeley" : { "formattedCitation" : "(American Cancer Society, 2017)", "plainTextFormattedCitation" : "(American Cancer Society, 2017)", "previouslyFormattedCitation" : "(American Cancer Society, 2017)" }, "properties" : {  }, "schema" : "https://github.com/citation-style-language/schema/raw/master/csl-citation.json" }</w:instrText>
      </w:r>
      <w:r w:rsidRPr="00701927">
        <w:fldChar w:fldCharType="separate"/>
      </w:r>
      <w:r w:rsidR="008B13C8" w:rsidRPr="008B13C8">
        <w:rPr>
          <w:noProof/>
        </w:rPr>
        <w:t>(American Cancer Society, 2017)</w:t>
      </w:r>
      <w:r w:rsidRPr="00701927">
        <w:fldChar w:fldCharType="end"/>
      </w:r>
      <w:r w:rsidR="00B90A33">
        <w:t xml:space="preserve">. </w:t>
      </w:r>
      <w:r w:rsidR="00E6315B">
        <w:t>Alt</w:t>
      </w:r>
      <w:r w:rsidR="00B90A33">
        <w:t>hough Asian w</w:t>
      </w:r>
      <w:r w:rsidR="00E6315B">
        <w:t>omen historically t</w:t>
      </w:r>
      <w:r w:rsidR="00B90A33">
        <w:t>end</w:t>
      </w:r>
      <w:r w:rsidRPr="00701927">
        <w:t xml:space="preserve"> to have the lowest incidence and </w:t>
      </w:r>
      <w:r w:rsidR="00E6315B">
        <w:t>mortality rates of breast cancer</w:t>
      </w:r>
      <w:r w:rsidRPr="00701927">
        <w:t>, the</w:t>
      </w:r>
      <w:r w:rsidR="00E6315B">
        <w:t>re</w:t>
      </w:r>
      <w:r w:rsidRPr="00701927">
        <w:t xml:space="preserve"> </w:t>
      </w:r>
      <w:r w:rsidR="00E6315B">
        <w:t xml:space="preserve">has been an increasing trend of </w:t>
      </w:r>
      <w:r w:rsidRPr="00701927">
        <w:t xml:space="preserve">breast cancer incidence </w:t>
      </w:r>
      <w:r w:rsidR="00B90A33">
        <w:t xml:space="preserve">among </w:t>
      </w:r>
      <w:r w:rsidR="00E6315B">
        <w:t>them between 2005 and 2014. Surprisingly,</w:t>
      </w:r>
      <w:r w:rsidRPr="00701927">
        <w:t xml:space="preserve"> during </w:t>
      </w:r>
      <w:r w:rsidR="00E6315B">
        <w:t>the same</w:t>
      </w:r>
      <w:r w:rsidRPr="00701927">
        <w:t xml:space="preserve"> time </w:t>
      </w:r>
      <w:r w:rsidR="00E6315B">
        <w:t xml:space="preserve">period, </w:t>
      </w:r>
      <w:r w:rsidRPr="00701927">
        <w:t xml:space="preserve">the </w:t>
      </w:r>
      <w:r w:rsidR="00E6315B">
        <w:t xml:space="preserve">breast cancer incidence </w:t>
      </w:r>
      <w:r w:rsidRPr="00701927">
        <w:t>rate remained stable among non-Hispanic white women</w:t>
      </w:r>
      <w:r w:rsidR="00C4578E">
        <w:t xml:space="preserve"> </w:t>
      </w:r>
      <w:r w:rsidR="00B90A33" w:rsidRPr="00701927">
        <w:fldChar w:fldCharType="begin" w:fldLock="1"/>
      </w:r>
      <w:r w:rsidR="008B13C8">
        <w:instrText>ADDIN CSL_CITATION { "citationItems" : [ { "id" : "ITEM-1", "itemData" : { "DOI" : "10.1007/s10549-012-2018-4.Mesothelin", "abstract" : "ACS stats 2017", "author" : [ { "dropping-particle" : "", "family" : "American Cancer Society", "given" : "", "non-dropping-particle" : "", "parse-names" : false, "suffix" : "" } ], "container-title" : "Breast Cancer Facts &amp; Figures", "id" : "ITEM-1", "issued" : { "date-parts" : [ [ "2017" ] ] }, "number-of-pages" : "1-44", "publisher-place" : "Atlanta", "title" : "Breast Cancer Facts and Figures 2017-2018", "type" : "report" }, "uris" : [ "http://www.mendeley.com/documents/?uuid=5d5808c4-6877-4689-af67-f890773a17eb" ] } ], "mendeley" : { "formattedCitation" : "(American Cancer Society, 2017)", "plainTextFormattedCitation" : "(American Cancer Society, 2017)", "previouslyFormattedCitation" : "(American Cancer Society, 2017)" }, "properties" : {  }, "schema" : "https://github.com/citation-style-language/schema/raw/master/csl-citation.json" }</w:instrText>
      </w:r>
      <w:r w:rsidR="00B90A33" w:rsidRPr="00701927">
        <w:fldChar w:fldCharType="separate"/>
      </w:r>
      <w:r w:rsidR="008B13C8" w:rsidRPr="008B13C8">
        <w:rPr>
          <w:noProof/>
        </w:rPr>
        <w:t>(American Cancer Society, 2017)</w:t>
      </w:r>
      <w:r w:rsidR="00B90A33" w:rsidRPr="00701927">
        <w:fldChar w:fldCharType="end"/>
      </w:r>
      <w:r w:rsidRPr="00701927">
        <w:t>.</w:t>
      </w:r>
      <w:r>
        <w:t xml:space="preserve"> </w:t>
      </w:r>
    </w:p>
    <w:p w:rsidR="00A84C80" w:rsidRDefault="00A84C80" w:rsidP="00A84C80">
      <w:pPr>
        <w:pStyle w:val="Heading3"/>
      </w:pPr>
      <w:bookmarkStart w:id="11" w:name="_Toc509180555"/>
      <w:r>
        <w:t xml:space="preserve">Body </w:t>
      </w:r>
      <w:r w:rsidRPr="00A84C80">
        <w:t>Mass</w:t>
      </w:r>
      <w:r>
        <w:t xml:space="preserve"> Index</w:t>
      </w:r>
      <w:bookmarkEnd w:id="11"/>
    </w:p>
    <w:p w:rsidR="00701927" w:rsidRPr="00701927" w:rsidRDefault="00CE519B" w:rsidP="00627B78">
      <w:pPr>
        <w:pStyle w:val="Noindent"/>
        <w:spacing w:line="360" w:lineRule="auto"/>
      </w:pPr>
      <w:r>
        <w:t>Numerous studies have shown</w:t>
      </w:r>
      <w:r w:rsidR="001A647C">
        <w:t xml:space="preserve"> that body mass index (BMI) </w:t>
      </w:r>
      <w:r w:rsidR="00942679">
        <w:t>has</w:t>
      </w:r>
      <w:r w:rsidR="001A647C">
        <w:t xml:space="preserve"> </w:t>
      </w:r>
      <w:r w:rsidR="00E055F1">
        <w:t xml:space="preserve">a significant </w:t>
      </w:r>
      <w:r w:rsidR="001A647C">
        <w:t xml:space="preserve">impact </w:t>
      </w:r>
      <w:r w:rsidR="00942679">
        <w:t xml:space="preserve">on </w:t>
      </w:r>
      <w:r w:rsidR="001A647C">
        <w:t xml:space="preserve">breast cancer risk </w:t>
      </w:r>
      <w:r w:rsidR="00942679">
        <w:t>that is dependent</w:t>
      </w:r>
      <w:r w:rsidR="001A647C">
        <w:t xml:space="preserve"> on menopausal status</w:t>
      </w:r>
      <w:r w:rsidR="00942679">
        <w:t xml:space="preserve"> of women</w:t>
      </w:r>
      <w:r w:rsidR="001A647C">
        <w:t>. For</w:t>
      </w:r>
      <w:r w:rsidR="001A647C" w:rsidRPr="00A84C80">
        <w:t xml:space="preserve"> postme</w:t>
      </w:r>
      <w:r w:rsidR="001A647C">
        <w:t xml:space="preserve">nopausal women, with </w:t>
      </w:r>
      <w:r w:rsidR="002A20EA">
        <w:t>a 4 kg/m</w:t>
      </w:r>
      <w:r w:rsidR="002A20EA">
        <w:rPr>
          <w:vertAlign w:val="superscript"/>
        </w:rPr>
        <w:t>2</w:t>
      </w:r>
      <w:r w:rsidR="002A20EA">
        <w:t xml:space="preserve"> incre</w:t>
      </w:r>
      <w:r w:rsidR="001A647C">
        <w:t>ment of BMI</w:t>
      </w:r>
      <w:r w:rsidR="002A20EA">
        <w:t xml:space="preserve">, the risk of being diagnosed with breast cancer </w:t>
      </w:r>
      <w:r w:rsidR="001A647C">
        <w:t xml:space="preserve">increases </w:t>
      </w:r>
      <w:r w:rsidR="00E055F1">
        <w:t xml:space="preserve">by </w:t>
      </w:r>
      <w:r w:rsidR="001A647C">
        <w:t>7%</w:t>
      </w:r>
      <w:r w:rsidR="00905526">
        <w:t xml:space="preserve"> </w:t>
      </w:r>
      <w:r w:rsidR="00C65975">
        <w:fldChar w:fldCharType="begin" w:fldLock="1"/>
      </w:r>
      <w:r w:rsidR="00516FFC">
        <w:instrText>ADDIN CSL_CITATION { "citationItems" : [ { "id" : "ITEM-1", "itemData" : { "DOI" : "10.1093/aje/152.6.514", "ISBN" : "0002-9262 (Print)\\n0002-9262 (Linking)", "ISSN" : "0002-9262", "PMID" : "10997541", "abstract" : "The association between anthropometric indices and the risk of breast cancer was analyzed using pooled data from seven prospective cohort studies. Together, these cohorts comprise 337,819 women and 4,385 incident invasive breast cancer cases. In multivariate analyses controlling for reproductive, dietary, and other risk factors, the pooled relative risk (RR) of breast cancer per height increment of 5 cm was 1.02 (95% confidence interval (CI): 0.96, 1.10) in premenopausal women and 1.07 (95% CI: 1.03, 1.12) in postmenopausal women. Body mass index (BMI) showed significant inverse and positive associations with breast cancer among pre- and postmenopausal women, respectively; these associations were nonlinear. Compared with premenopausal women with a BMI of less than 21 kg/m2, women with a BMI exceeding 31 kg/m2 had an RR of 0.54 (95% CI: 0.34, 0.85). In postmenopausal women, the RRs did not increase further when BMI exceeded 28 kg/m2; the RR for these women was 1.26 (95% CI: 1.09, 1.46). The authors found little evidence for interaction with other breast cancer risk factors. Their data indicate that height is an independent risk factor for postmenopausal breast cancer; in premenopausal women, this relation is less clear. The association between BMI and breast cancer varies by menopausal status. Weight control may reduce the risk among postmenopausal women.", "author" : [ { "dropping-particle" : "", "family" : "Brandt", "given" : "P A", "non-dropping-particle" : "van den", "parse-names" : false, "suffix" : "" }, { "dropping-particle" : "", "family" : "Spiegelman", "given" : "D", "non-dropping-particle" : "", "parse-names" : false, "suffix" : "" }, { "dropping-particle" : "", "family" : "Yaun", "given" : "S S", "non-dropping-particle" : "", "parse-names" : false, "suffix" : "" }, { "dropping-particle" : "", "family" : "Adami", "given" : "H O", "non-dropping-particle" : "", "parse-names" : false, "suffix" : "" }, { "dropping-particle" : "", "family" : "Beeson", "given" : "L", "non-dropping-particle" : "", "parse-names" : false, "suffix" : "" }, { "dropping-particle" : "", "family" : "Folsom", "given" : "A R", "non-dropping-particle" : "", "parse-names" : false, "suffix" : "" }, { "dropping-particle" : "", "family" : "Fraser", "given" : "G", "non-dropping-particle" : "", "parse-names" : false, "suffix" : "" }, { "dropping-particle" : "", "family" : "Goldbohm", "given" : "R A", "non-dropping-particle" : "", "parse-names" : false, "suffix" : "" }, { "dropping-particle" : "", "family" : "Graham", "given" : "S", "non-dropping-particle" : "", "parse-names" : false, "suffix" : "" }, { "dropping-particle" : "", "family" : "Kushi", "given" : "L", "non-dropping-particle" : "", "parse-names" : false, "suffix" : "" }, { "dropping-particle" : "", "family" : "Marshall", "given" : "J R", "non-dropping-particle" : "", "parse-names" : false, "suffix" : "" }, { "dropping-particle" : "", "family" : "Miller", "given" : "A B", "non-dropping-particle" : "", "parse-names" : false, "suffix" : "" }, { "dropping-particle" : "", "family" : "Rohan", "given" : "T", "non-dropping-particle" : "", "parse-names" : false, "suffix" : "" }, { "dropping-particle" : "", "family" : "Smith-Warner", "given" : "S A", "non-dropping-particle" : "", "parse-names" : false, "suffix" : "" }, { "dropping-particle" : "", "family" : "Speizer", "given" : "F E", "non-dropping-particle" : "", "parse-names" : false, "suffix" : "" }, { "dropping-particle" : "", "family" : "Willett", "given" : "W C", "non-dropping-particle" : "", "parse-names" : false, "suffix" : "" }, { "dropping-particle" : "", "family" : "Wolk", "given" : "A", "non-dropping-particle" : "", "parse-names" : false, "suffix" : "" }, { "dropping-particle" : "", "family" : "Hunter", "given" : "D J", "non-dropping-particle" : "", "parse-names" : false, "suffix" : "" } ], "container-title" : "American journal of epidemiology", "id" : "ITEM-1", "issue" : "6", "issued" : { "date-parts" : [ [ "2000" ] ] }, "page" : "514-27", "title" : "Pooled analysis of prospective cohort studies on height, weight, and breast cancer risk.", "type" : "article-journal", "volume" : "152" }, "uris" : [ "http://www.mendeley.com/documents/?uuid=cd92b215-3fe0-4194-8103-2f0f9b7c5a12" ] } ], "mendeley" : { "formattedCitation" : "(van den Brandt et al., 2000)", "plainTextFormattedCitation" : "(van den Brandt et al., 2000)", "previouslyFormattedCitation" : "(van den Brandt et al., 2000)" }, "properties" : {  }, "schema" : "https://github.com/citation-style-language/schema/raw/master/csl-citation.json" }</w:instrText>
      </w:r>
      <w:r w:rsidR="00C65975">
        <w:fldChar w:fldCharType="separate"/>
      </w:r>
      <w:r w:rsidR="00F13013" w:rsidRPr="00F13013">
        <w:rPr>
          <w:noProof/>
        </w:rPr>
        <w:t>(van den Brandt et al., 2000)</w:t>
      </w:r>
      <w:r w:rsidR="00C65975">
        <w:fldChar w:fldCharType="end"/>
      </w:r>
      <w:r w:rsidR="00E055F1">
        <w:t>. On the contrary, among</w:t>
      </w:r>
      <w:r w:rsidR="009D213B">
        <w:t xml:space="preserve"> premenopausal women, lower</w:t>
      </w:r>
      <w:r w:rsidR="001A647C">
        <w:t xml:space="preserve"> BMI </w:t>
      </w:r>
      <w:r w:rsidR="009D213B">
        <w:t>is related to a</w:t>
      </w:r>
      <w:r w:rsidR="00C86603">
        <w:t>n</w:t>
      </w:r>
      <w:r w:rsidR="001A647C">
        <w:t xml:space="preserve"> </w:t>
      </w:r>
      <w:r w:rsidR="009D213B">
        <w:rPr>
          <w:lang w:eastAsia="zh-CN"/>
        </w:rPr>
        <w:t>increased</w:t>
      </w:r>
      <w:r w:rsidR="00E055F1">
        <w:rPr>
          <w:lang w:eastAsia="zh-CN"/>
        </w:rPr>
        <w:t xml:space="preserve"> risk of </w:t>
      </w:r>
      <w:r w:rsidR="001A647C">
        <w:t>breast cancer</w:t>
      </w:r>
      <w:r w:rsidR="00905526">
        <w:t xml:space="preserve"> </w:t>
      </w:r>
      <w:r w:rsidR="00C65975">
        <w:fldChar w:fldCharType="begin" w:fldLock="1"/>
      </w:r>
      <w:r w:rsidR="00516FFC">
        <w:instrText>ADDIN CSL_CITATION { "citationItems" : [ { "id" : "ITEM-1", "itemData" : { "DOI" : "10.1093/aje/152.6.514", "ISBN" : "0002-9262 (Print)\\n0002-9262 (Linking)", "ISSN" : "0002-9262", "PMID" : "10997541", "abstract" : "The association between anthropometric indices and the risk of breast cancer was analyzed using pooled data from seven prospective cohort studies. Together, these cohorts comprise 337,819 women and 4,385 incident invasive breast cancer cases. In multivariate analyses controlling for reproductive, dietary, and other risk factors, the pooled relative risk (RR) of breast cancer per height increment of 5 cm was 1.02 (95% confidence interval (CI): 0.96, 1.10) in premenopausal women and 1.07 (95% CI: 1.03, 1.12) in postmenopausal women. Body mass index (BMI) showed significant inverse and positive associations with breast cancer among pre- and postmenopausal women, respectively; these associations were nonlinear. Compared with premenopausal women with a BMI of less than 21 kg/m2, women with a BMI exceeding 31 kg/m2 had an RR of 0.54 (95% CI: 0.34, 0.85). In postmenopausal women, the RRs did not increase further when BMI exceeded 28 kg/m2; the RR for these women was 1.26 (95% CI: 1.09, 1.46). The authors found little evidence for interaction with other breast cancer risk factors. Their data indicate that height is an independent risk factor for postmenopausal breast cancer; in premenopausal women, this relation is less clear. The association between BMI and breast cancer varies by menopausal status. Weight control may reduce the risk among postmenopausal women.", "author" : [ { "dropping-particle" : "", "family" : "Brandt", "given" : "P A", "non-dropping-particle" : "van den", "parse-names" : false, "suffix" : "" }, { "dropping-particle" : "", "family" : "Spiegelman", "given" : "D", "non-dropping-particle" : "", "parse-names" : false, "suffix" : "" }, { "dropping-particle" : "", "family" : "Yaun", "given" : "S S", "non-dropping-particle" : "", "parse-names" : false, "suffix" : "" }, { "dropping-particle" : "", "family" : "Adami", "given" : "H O", "non-dropping-particle" : "", "parse-names" : false, "suffix" : "" }, { "dropping-particle" : "", "family" : "Beeson", "given" : "L", "non-dropping-particle" : "", "parse-names" : false, "suffix" : "" }, { "dropping-particle" : "", "family" : "Folsom", "given" : "A R", "non-dropping-particle" : "", "parse-names" : false, "suffix" : "" }, { "dropping-particle" : "", "family" : "Fraser", "given" : "G", "non-dropping-particle" : "", "parse-names" : false, "suffix" : "" }, { "dropping-particle" : "", "family" : "Goldbohm", "given" : "R A", "non-dropping-particle" : "", "parse-names" : false, "suffix" : "" }, { "dropping-particle" : "", "family" : "Graham", "given" : "S", "non-dropping-particle" : "", "parse-names" : false, "suffix" : "" }, { "dropping-particle" : "", "family" : "Kushi", "given" : "L", "non-dropping-particle" : "", "parse-names" : false, "suffix" : "" }, { "dropping-particle" : "", "family" : "Marshall", "given" : "J R", "non-dropping-particle" : "", "parse-names" : false, "suffix" : "" }, { "dropping-particle" : "", "family" : "Miller", "given" : "A B", "non-dropping-particle" : "", "parse-names" : false, "suffix" : "" }, { "dropping-particle" : "", "family" : "Rohan", "given" : "T", "non-dropping-particle" : "", "parse-names" : false, "suffix" : "" }, { "dropping-particle" : "", "family" : "Smith-Warner", "given" : "S A", "non-dropping-particle" : "", "parse-names" : false, "suffix" : "" }, { "dropping-particle" : "", "family" : "Speizer", "given" : "F E", "non-dropping-particle" : "", "parse-names" : false, "suffix" : "" }, { "dropping-particle" : "", "family" : "Willett", "given" : "W C", "non-dropping-particle" : "", "parse-names" : false, "suffix" : "" }, { "dropping-particle" : "", "family" : "Wolk", "given" : "A", "non-dropping-particle" : "", "parse-names" : false, "suffix" : "" }, { "dropping-particle" : "", "family" : "Hunter", "given" : "D J", "non-dropping-particle" : "", "parse-names" : false, "suffix" : "" } ], "container-title" : "American journal of epidemiology", "id" : "ITEM-1", "issue" : "6", "issued" : { "date-parts" : [ [ "2000" ] ] }, "page" : "514-27", "title" : "Pooled analysis of prospective cohort studies on height, weight, and breast cancer risk.", "type" : "article-journal", "volume" : "152" }, "uris" : [ "http://www.mendeley.com/documents/?uuid=cd92b215-3fe0-4194-8103-2f0f9b7c5a12" ] } ], "mendeley" : { "formattedCitation" : "(van den Brandt et al., 2000)", "plainTextFormattedCitation" : "(van den Brandt et al., 2000)", "previouslyFormattedCitation" : "(van den Brandt et al., 2000)" }, "properties" : {  }, "schema" : "https://github.com/citation-style-language/schema/raw/master/csl-citation.json" }</w:instrText>
      </w:r>
      <w:r w:rsidR="00C65975">
        <w:fldChar w:fldCharType="separate"/>
      </w:r>
      <w:r w:rsidR="00F13013" w:rsidRPr="00F13013">
        <w:rPr>
          <w:noProof/>
        </w:rPr>
        <w:t>(van den Brandt et al., 2000)</w:t>
      </w:r>
      <w:r w:rsidR="00C65975">
        <w:fldChar w:fldCharType="end"/>
      </w:r>
      <w:r w:rsidR="001A647C">
        <w:t xml:space="preserve">. </w:t>
      </w:r>
      <w:r w:rsidR="00C65975">
        <w:t xml:space="preserve">When </w:t>
      </w:r>
      <w:r w:rsidR="00E055F1">
        <w:t>the association between BMI and breast cancer risk among postmenopausal women is adjusted</w:t>
      </w:r>
      <w:r w:rsidR="00C65975">
        <w:t xml:space="preserve"> for serum concentration of </w:t>
      </w:r>
      <w:r w:rsidR="00E055F1">
        <w:t xml:space="preserve">sex </w:t>
      </w:r>
      <w:r w:rsidR="00C65975">
        <w:t>hormones</w:t>
      </w:r>
      <w:r w:rsidR="00B15C42">
        <w:t xml:space="preserve"> such as </w:t>
      </w:r>
      <w:r w:rsidR="00E055F1">
        <w:t xml:space="preserve">estradiol, risk is </w:t>
      </w:r>
      <w:r w:rsidR="00C65975">
        <w:t xml:space="preserve">reduced, </w:t>
      </w:r>
      <w:r w:rsidR="00B15C42">
        <w:t xml:space="preserve">which </w:t>
      </w:r>
      <w:r w:rsidR="00C65975">
        <w:t xml:space="preserve">suggests that </w:t>
      </w:r>
      <w:r w:rsidR="00627B78">
        <w:t xml:space="preserve">increased </w:t>
      </w:r>
      <w:r w:rsidR="00E055F1">
        <w:t xml:space="preserve">levels of </w:t>
      </w:r>
      <w:r w:rsidR="00B15C42">
        <w:t>estrogen</w:t>
      </w:r>
      <w:r w:rsidR="00E055F1">
        <w:t>s</w:t>
      </w:r>
      <w:r w:rsidR="00E54822">
        <w:t xml:space="preserve"> </w:t>
      </w:r>
      <w:r w:rsidR="0033580D">
        <w:t xml:space="preserve">may partly explain the </w:t>
      </w:r>
      <w:r w:rsidR="00E055F1">
        <w:t xml:space="preserve">higher risk </w:t>
      </w:r>
      <w:r w:rsidR="0033580D">
        <w:t xml:space="preserve">of breast cancer </w:t>
      </w:r>
      <w:r w:rsidR="00E055F1">
        <w:t>in obese</w:t>
      </w:r>
      <w:r w:rsidR="00627B78">
        <w:t xml:space="preserve"> postmenopausal women</w:t>
      </w:r>
      <w:r w:rsidR="00905526">
        <w:t xml:space="preserve"> </w:t>
      </w:r>
      <w:r w:rsidR="00627B78">
        <w:fldChar w:fldCharType="begin" w:fldLock="1"/>
      </w:r>
      <w:r w:rsidR="00516FFC">
        <w:instrText>ADDIN CSL_CITATION { "citationItems" : [ { "id" : "ITEM-1", "itemData" : { "DOI" : "10.1093/jnci/djg022", "ISBN" : "1460-2105 (Electronic)0027-8874 (Linking)", "ISSN" : "0027-8874", "PMID" : "12928347", "abstract" : "Background: Obesity is associated with increased breast cancer risk among postmenopausal women. We examined whether this association could be explained by the relationship of body mass index (BMI) with serum sex hormone concentrations. Methods: We analyzed individual data from eight prospective studies of postmenopausal women. Data on BMI and prediagnostic estradiol levels were available for 624 case subjects and 1669 control subjects; data on the other sex hormones were available for fewer subjects. The relative risks (RRs) with 95% confidence intervals (CIs) of breast cancer associated with increasing BMI were estimated by conditional logistic regression on case-control sets, matched within each study for age and recruitment date, and adjusted for parity. All statistical tests were two-sided. Results: Breast cancer risk increased with increasing BMI (Ptrend = .002), and this increase in RR was substantially reduced by adjustment for serum estrogen concentrations. Adjusting for free estradiol reduced the RR for breast cancer associated with a 5 kg/m2 increase in BMI from 1.19 (95% CI = 1.05 to 1.34) to 1.02 (95% CI = 0.89 to 1.17). The increased risk was also substantially reduced after adjusting for other estrogens (total estradiol, non-sex hormone-binding globulin-bound estradiol, estrone, and estrone sulfate), and moderately reduced after adjusting for sex hormone-binding globulin, whereas adjustment for the androgens (androstenedione, dehydroepiandrosterone, dehydroepiandrosterone sulfate, and testosterone) had little effect on the excess risk. Conclusion: The results are compatible with the hypothesis that the increase in breast cancer risk with increasing BMI among postmenopausal women is largely the result of the associated increase in estrogens, particularly bioavailable estradiol.", "author" : [ { "dropping-particle" : "", "family" : "Endogenous Hormones Breast Cancer Collaborative Group", "given" : "", "non-dropping-particle" : "", "parse-names" : false, "suffix" : "" } ], "container-title" : "JNCI Journal of the National Cancer Institute", "id" : "ITEM-1", "issue" : "16", "issued" : { "date-parts" : [ [ "2003" ] ] }, "page" : "1218-1226", "title" : "Body Mass Index, Serum Sex Hormones, and Breast Cancer Risk in Postmenopausal Women", "type" : "article-journal", "volume" : "95" }, "uris" : [ "http://www.mendeley.com/documents/?uuid=0165b832-c059-44b6-9876-7c91bbbecda6" ] } ], "mendeley" : { "formattedCitation" : "(Endogenous Hormones Breast Cancer Collaborative Group, 2003)", "plainTextFormattedCitation" : "(Endogenous Hormones Breast Cancer Collaborative Group, 2003)", "previouslyFormattedCitation" : "(Endogenous Hormones Breast Cancer Collaborative Group, 2003)" }, "properties" : {  }, "schema" : "https://github.com/citation-style-language/schema/raw/master/csl-citation.json" }</w:instrText>
      </w:r>
      <w:r w:rsidR="00627B78">
        <w:fldChar w:fldCharType="separate"/>
      </w:r>
      <w:r w:rsidR="00F13013" w:rsidRPr="00F13013">
        <w:rPr>
          <w:noProof/>
        </w:rPr>
        <w:t>(Endogenous Hormones Breast Cancer Collaborative Group, 2003)</w:t>
      </w:r>
      <w:r w:rsidR="00627B78">
        <w:fldChar w:fldCharType="end"/>
      </w:r>
      <w:r w:rsidR="00627B78">
        <w:t xml:space="preserve">. </w:t>
      </w:r>
    </w:p>
    <w:p w:rsidR="00627B78" w:rsidRDefault="002329A9" w:rsidP="00627B78">
      <w:pPr>
        <w:pStyle w:val="Heading3"/>
      </w:pPr>
      <w:bookmarkStart w:id="12" w:name="_Toc509180556"/>
      <w:r>
        <w:t>Reproductive Factors</w:t>
      </w:r>
      <w:bookmarkEnd w:id="12"/>
      <w:r>
        <w:t xml:space="preserve"> </w:t>
      </w:r>
      <w:r w:rsidR="008F3084">
        <w:t xml:space="preserve"> </w:t>
      </w:r>
    </w:p>
    <w:p w:rsidR="00627B78" w:rsidRDefault="00C4578E" w:rsidP="00193962">
      <w:pPr>
        <w:pStyle w:val="Noindent"/>
        <w:spacing w:line="360" w:lineRule="auto"/>
      </w:pPr>
      <w:r>
        <w:t>Younger a</w:t>
      </w:r>
      <w:r w:rsidR="00627B78">
        <w:t xml:space="preserve">ge at menarche, </w:t>
      </w:r>
      <w:r>
        <w:t xml:space="preserve">older </w:t>
      </w:r>
      <w:r w:rsidR="00627B78">
        <w:t xml:space="preserve">age at first live birth, </w:t>
      </w:r>
      <w:r>
        <w:t>lower number of births</w:t>
      </w:r>
      <w:r w:rsidR="002F4A41">
        <w:t>,</w:t>
      </w:r>
      <w:r w:rsidR="00627B78">
        <w:t xml:space="preserve"> and</w:t>
      </w:r>
      <w:r>
        <w:t xml:space="preserve"> older</w:t>
      </w:r>
      <w:r w:rsidR="00627B78">
        <w:t xml:space="preserve"> age at menopause are all </w:t>
      </w:r>
      <w:r w:rsidR="002F4A41">
        <w:rPr>
          <w:rFonts w:hint="eastAsia"/>
          <w:lang w:eastAsia="zh-CN"/>
        </w:rPr>
        <w:t>related</w:t>
      </w:r>
      <w:r w:rsidR="002F4A41">
        <w:rPr>
          <w:lang w:eastAsia="zh-CN"/>
        </w:rPr>
        <w:t xml:space="preserve"> </w:t>
      </w:r>
      <w:r w:rsidR="002F4A41">
        <w:rPr>
          <w:rFonts w:hint="eastAsia"/>
          <w:lang w:eastAsia="zh-CN"/>
        </w:rPr>
        <w:t>to</w:t>
      </w:r>
      <w:r w:rsidR="002F4A41">
        <w:rPr>
          <w:lang w:eastAsia="zh-CN"/>
        </w:rPr>
        <w:t xml:space="preserve"> </w:t>
      </w:r>
      <w:r w:rsidR="002F4A41">
        <w:rPr>
          <w:rFonts w:hint="eastAsia"/>
          <w:lang w:eastAsia="zh-CN"/>
        </w:rPr>
        <w:t>a</w:t>
      </w:r>
      <w:r w:rsidR="002F4A41">
        <w:rPr>
          <w:lang w:eastAsia="zh-CN"/>
        </w:rPr>
        <w:t xml:space="preserve"> </w:t>
      </w:r>
      <w:r>
        <w:rPr>
          <w:rFonts w:hint="eastAsia"/>
          <w:lang w:eastAsia="zh-CN"/>
        </w:rPr>
        <w:t>h</w:t>
      </w:r>
      <w:r>
        <w:t>igher risk of</w:t>
      </w:r>
      <w:r w:rsidR="006565DE">
        <w:t xml:space="preserve"> breast cancer. This</w:t>
      </w:r>
      <w:r w:rsidR="003038CE">
        <w:t xml:space="preserve"> association</w:t>
      </w:r>
      <w:r w:rsidR="000D18E3">
        <w:t xml:space="preserve"> could be largely owing to the time of estrogen exposure. </w:t>
      </w:r>
      <w:r w:rsidR="00193962">
        <w:t xml:space="preserve">The greater lifetime exposure to estrogen, the higher risk of </w:t>
      </w:r>
      <w:r w:rsidR="00193962">
        <w:lastRenderedPageBreak/>
        <w:t>developing breast cancer</w:t>
      </w:r>
      <w:r>
        <w:t xml:space="preserve"> </w:t>
      </w:r>
      <w:r w:rsidR="00A80DB9">
        <w:fldChar w:fldCharType="begin" w:fldLock="1"/>
      </w:r>
      <w:r w:rsidR="00A80DB9">
        <w:instrText>ADDIN CSL_CITATION { "citationItems" : [ { "id" : "ITEM-1", "itemData" : { "DOI" : "10.1016/S0378-5122(12)70032-4", "ISBN" : "0193-936X (Print)\\r0193-936X (Linking)", "ISSN" : "0193-936X", "PMID" : "8405211", "abstract" : "Early age at menarche, late age at menopause, and late age at first full-term pregnancy are linked to a modest increase in the risk of developing breast cancer.  Some evidence suggests that the earlier the full-term pregnancy, the earlier the period of decreased susceptibility of breast tissue changes begins.  Nulliparity is related to an increased risk for breast cancer diagnosed after 40 years old.  Multiple full-term pregnancies decrease the risk of breast cancers diagnosed after 40 years regardless of the age at first birth.  On the other hand, they may increase the risk for breast cancers diagnosed before 40 years old. Surgical removal of the ovaries protects against breast cancer.  Breast feeding apparently protects against breast cancer in China, but a protective effect has not been established in the US.  Other than shorter intervals between menstrual periods, which tend to increase the risk, research has not yet made clear the etiologic roles of menstrual cycle characteristics.  Other unclear etiologic roles include increased intervals between births, spontaneous and induced abortion, infertility, multiple births at last pregnancy, and hypertension during pregnancy. Researchers tend to accept a mechanism to explain the epidemiologic characteristics of menstrual activity and the increased risk of breast cancer, but no mechanisms have emerged for the other likely risk factors.  Greater exposure to estrogen and progesterone simultaneously are linked to early age at menarche, late age at menopause, and shorter menstrual cycle length.  So far, data show that long-term combined estrogen/progestin hormone replacement therapy and long-term use of oral contraceptives increase the risk of breast cancer.  Moderately increased risks linked to longterm estrogen replacement therapy and obesity in postmenopausal women indicate that estrogen alone influences breast cancer risk.  Since much of the research on breast cancer risk factors are inconclusive, more research is needed, especially research examining the probability of prolonged exposure to both estrogens and progesterone concurrently.", "author" : [ { "dropping-particle" : "", "family" : "Kelsey", "given" : "J L", "non-dropping-particle" : "", "parse-names" : false, "suffix" : "" }, { "dropping-particle" : "", "family" : "Gammon", "given" : "M D", "non-dropping-particle" : "", "parse-names" : false, "suffix" : "" }, { "dropping-particle" : "", "family" : "John", "given" : "E M", "non-dropping-particle" : "", "parse-names" : false, "suffix" : "" } ], "container-title" : "Epidemiologic reviews", "id" : "ITEM-1", "issue" : "1", "issued" : { "date-parts" : [ [ "1993" ] ] }, "page" : "36-47", "title" : "Reproductive factors and breast cancer.", "type" : "article-journal", "volume" : "15" }, "uris" : [ "http://www.mendeley.com/documents/?uuid=2a8ef778-6def-4639-9f8f-8daf9192f789" ] } ], "mendeley" : { "formattedCitation" : "(Kelsey, Gammon, &amp; John, 1993)", "plainTextFormattedCitation" : "(Kelsey, Gammon, &amp; John, 1993)", "previouslyFormattedCitation" : "(Kelsey, Gammon, &amp; John, 1993)" }, "properties" : {  }, "schema" : "https://github.com/citation-style-language/schema/raw/master/csl-citation.json" }</w:instrText>
      </w:r>
      <w:r w:rsidR="00A80DB9">
        <w:fldChar w:fldCharType="separate"/>
      </w:r>
      <w:r w:rsidR="00A80DB9" w:rsidRPr="00F13013">
        <w:rPr>
          <w:noProof/>
        </w:rPr>
        <w:t>(Kelsey, Gammon, &amp; John, 1993)</w:t>
      </w:r>
      <w:r w:rsidR="00A80DB9">
        <w:fldChar w:fldCharType="end"/>
      </w:r>
      <w:r w:rsidR="00193962">
        <w:t xml:space="preserve">. Thus, younger age at menarche and older age at menopause are linked to more menstrual cycles and more cell proliferation in breast tissues, and </w:t>
      </w:r>
      <w:r w:rsidR="00BD6C5B">
        <w:t xml:space="preserve">ultimately leads to higher possibility of cancer </w:t>
      </w:r>
      <w:r w:rsidR="002A2AFC">
        <w:t>occurrence</w:t>
      </w:r>
      <w:r w:rsidR="00BD6C5B">
        <w:t>. Each one year delay in menarche and menopause correspond</w:t>
      </w:r>
      <w:r>
        <w:t>s</w:t>
      </w:r>
      <w:r w:rsidR="00BD6C5B">
        <w:t xml:space="preserve"> to a 5% decrease and 3% increase in breast cancer risk, respectively</w:t>
      </w:r>
      <w:r>
        <w:t xml:space="preserve"> </w:t>
      </w:r>
      <w:r w:rsidR="00BD6C5B">
        <w:fldChar w:fldCharType="begin" w:fldLock="1"/>
      </w:r>
      <w:r w:rsidR="00516FFC">
        <w:instrText>ADDIN CSL_CITATION { "citationItems" : [ { "id" : "ITEM-1", "itemData" : { "DOI" : "10.1023/A:1018431104786", "ISBN" : "0957-5243 (Print)\\r0957-5243 (Linking)", "ISSN" : "0957-5243", "PMID" : "9051322", "abstract" : "To assess more precisely the relative risks associated with established risk factors for breast cancer, and whether the association between dietary fat and breast cancer risk varies according to levels of these risk factors, we pooled primary data from six prospective studies in North America and Western Europe in which individual estimates of dietary fat intake had been obtained by validated food-frequency questionnaires. Based on information from 322,647 women among whom 4,827 cases occurred during follow-up: the multivariate-adjusted risk of late menarche (age 15 years or more compared with under 12) was 0.72 (95 percent confidence interval [CI] = 0.62-0.82); of being postmenopausal was 0.82 (CI = 0.69-0.97); of high parity (three or more births compared with none) was 0.72 (CI = 0.61-0.86); of late age at first birth (over 30 years of age compared with 20 or under) was 1.46 (CI = 1.22-1.75); of benign breast disease was 1.53 (CI = 1.41-1.65); of maternal history of breast cancer was 1.38 (CI = 1.14-1.67); and history of a sister with breast cancer was 1.47 (CI = 1.27-1.70). Greater duration of schooling (more than high-school graduation compared with less than high-school graduation) was associated significantly with higher risk in age-adjusted analyses, but was attenuated after controlling for other risk factors. Total fat intake (adjusted for energy consumption) was not associated significantly with breast cancer risk in any strata of these non-dietary risk factors. We observed a marginally significant interaction between total fat intake and risk of breast cancer according to history of benign breast disease; with fat intake being associated nonsignificantly positively with risk among women with a previous history of benign breast disease; no other significant interactions were observed. Risks for reproductive factors were similar to those observed in case-control studies; relative risks for family history of breast cancer were lower. We found no clear evidence in any subgroups of a major relation between total energy-adjusted fat intake and breast cancer risk.", "author" : [ { "dropping-particle" : "", "family" : "Hunter", "given" : "D J", "non-dropping-particle" : "", "parse-names" : false, "suffix" : "" }, { "dropping-particle" : "", "family" : "Spiegelman", "given" : "D", "non-dropping-particle" : "", "parse-names" : false, "suffix" : "" }, { "dropping-particle" : "", "family" : "Adami", "given" : "H O", "non-dropping-particle" : "", "parse-names" : false, "suffix" : "" }, { "dropping-particle" : "", "family" : "Brandt", "given" : "P a", "non-dropping-particle" : "van den", "parse-names" : false, "suffix" : "" }, { "dropping-particle" : "", "family" : "Folsom", "given" : "a R", "non-dropping-particle" : "", "parse-names" : false, "suffix" : "" }, { "dropping-particle" : "", "family" : "Goldbohm", "given" : "R a", "non-dropping-particle" : "", "parse-names" : false, "suffix" : "" }, { "dropping-particle" : "", "family" : "Graham", "given" : "S", "non-dropping-particle" : "", "parse-names" : false, "suffix" : "" }, { "dropping-particle" : "", "family" : "Howe", "given" : "G R", "non-dropping-particle" : "", "parse-names" : false, "suffix" : "" }, { "dropping-particle" : "", "family" : "Kushi", "given" : "L H", "non-dropping-particle" : "", "parse-names" : false, "suffix" : "" }, { "dropping-particle" : "", "family" : "Marshall", "given" : "J R", "non-dropping-particle" : "", "parse-names" : false, "suffix" : "" }, { "dropping-particle" : "", "family" : "Miller", "given" : "a B", "non-dropping-particle" : "", "parse-names" : false, "suffix" : "" }, { "dropping-particle" : "", "family" : "Speizer", "given" : "F E", "non-dropping-particle" : "", "parse-names" : false, "suffix" : "" }, { "dropping-particle" : "", "family" : "Willett", "given" : "W", "non-dropping-particle" : "", "parse-names" : false, "suffix" : "" }, { "dropping-particle" : "", "family" : "Wolk", "given" : "a", "non-dropping-particle" : "", "parse-names" : false, "suffix" : "" }, { "dropping-particle" : "", "family" : "Yaun", "given" : "S S", "non-dropping-particle" : "", "parse-names" : false, "suffix" : "" } ], "container-title" : "Cancer causes &amp; control : CCC", "id" : "ITEM-1", "issue" : "1", "issued" : { "date-parts" : [ [ "1997" ] ] }, "page" : "49-56", "title" : "Non-dietary factors as risk factors for breast cancer, and as effect modifiers of the association of fat intake and risk of breast cancer.", "type" : "article-journal", "volume" : "8" }, "uris" : [ "http://www.mendeley.com/documents/?uuid=4056f6e3-e735-4c59-9246-32632e98a357" ] }, { "id" : "ITEM-2", "itemData" : { "ISSN" : "0027-8874", "PMID" : "5058966", "abstract" : "Age at menopause and type of menopause from hospital records of breast cancer patients were compared with similar information reported by a national probability sample of women. The national sample comprised 3581 women who responded to the 1960-1962 National Health Examination Survey. The cancer series consisted of 3887 patients selected from those reported to the Connecticut Cancer Registry between 1950 and 1959. No substantial bias was identified when the validity of the comparison and the effect of the relatively large number of breast cancer patients whose menopause histories were deficient were evaluated. Overall, surgically induced menopause was associated with a reduction in breast cancer risk to about 60% of that experienced by women having natural menopause induced before age 35, but induction up to age 50 was protective. There was little effect in the 10 years following the surgical procedure, but substantial reduction occurred in all subsequent periods. Among women with menopause induced before age 35, breast cancer risk stayed as low as 1/3 that expected 30 and more years later. Relative risk of breast cancer increased with age at natural menopause. Women with natural menopause at age 55 or older had twice the breast cancer risk experienced by those whose menopause occurred before age 45. The relative risk of breast cancer associated with late natural menopause was greatest after age 70.", "author" : [ { "dropping-particle" : "", "family" : "Trichopoulos", "given" : "D", "non-dropping-particle" : "", "parse-names" : false, "suffix" : "" }, { "dropping-particle" : "", "family" : "MacMahon", "given" : "B", "non-dropping-particle" : "", "parse-names" : false, "suffix" : "" }, { "dropping-particle" : "", "family" : "Cole", "given" : "P", "non-dropping-particle" : "", "parse-names" : false, "suffix" : "" } ], "container-title" : "Journal of the National Cancer Institute", "id" : "ITEM-2", "issue" : "3", "issued" : { "date-parts" : [ [ "1972" ] ] }, "page" : "605-13", "title" : "Menopause and breast cancer risk.", "type" : "article-journal", "volume" : "48" }, "uris" : [ "http://www.mendeley.com/documents/?uuid=8170b964-7dbd-476f-9bdf-2585a6b90a67" ] } ], "mendeley" : { "formattedCitation" : "(Hunter et al., 1997; Trichopoulos, MacMahon, &amp; Cole, 1972)", "plainTextFormattedCitation" : "(Hunter et al., 1997; Trichopoulos, MacMahon, &amp; Cole, 1972)", "previouslyFormattedCitation" : "(Hunter et al., 1997; Trichopoulos, MacMahon, &amp; Cole, 1972)" }, "properties" : {  }, "schema" : "https://github.com/citation-style-language/schema/raw/master/csl-citation.json" }</w:instrText>
      </w:r>
      <w:r w:rsidR="00BD6C5B">
        <w:fldChar w:fldCharType="separate"/>
      </w:r>
      <w:r w:rsidR="00F13013" w:rsidRPr="00F13013">
        <w:rPr>
          <w:noProof/>
        </w:rPr>
        <w:t>(Hunter et al., 1997; Trichopoulos, MacMahon, &amp; Cole, 1972)</w:t>
      </w:r>
      <w:r w:rsidR="00BD6C5B">
        <w:fldChar w:fldCharType="end"/>
      </w:r>
      <w:r w:rsidR="00BD6C5B">
        <w:t xml:space="preserve">. </w:t>
      </w:r>
    </w:p>
    <w:p w:rsidR="00BD6C5B" w:rsidRDefault="0096743C" w:rsidP="0096743C">
      <w:pPr>
        <w:spacing w:line="360" w:lineRule="auto"/>
      </w:pPr>
      <w:r>
        <w:t>Comparing to nulliparo</w:t>
      </w:r>
      <w:r w:rsidR="006C44BE">
        <w:t>us women, parous women</w:t>
      </w:r>
      <w:r>
        <w:t xml:space="preserve"> have</w:t>
      </w:r>
      <w:r w:rsidR="000D40FB">
        <w:t xml:space="preserve"> a</w:t>
      </w:r>
      <w:r w:rsidR="006E3735">
        <w:t>n</w:t>
      </w:r>
      <w:r w:rsidR="000D40FB">
        <w:t xml:space="preserve"> </w:t>
      </w:r>
      <w:r w:rsidR="00B0532F">
        <w:t>overall</w:t>
      </w:r>
      <w:r w:rsidR="006E3735">
        <w:t xml:space="preserve"> </w:t>
      </w:r>
      <w:r w:rsidR="00B0532F">
        <w:t>30</w:t>
      </w:r>
      <w:r w:rsidR="003D77EF">
        <w:t xml:space="preserve">% </w:t>
      </w:r>
      <w:r w:rsidR="000D40FB">
        <w:t>lower risk of breast cancer, whereas this association is not consistent among different age groups</w:t>
      </w:r>
      <w:r w:rsidR="00C4578E">
        <w:t xml:space="preserve"> </w:t>
      </w:r>
      <w:r w:rsidR="00B0532F">
        <w:fldChar w:fldCharType="begin" w:fldLock="1"/>
      </w:r>
      <w:r w:rsidR="00516FFC">
        <w:instrText>ADDIN CSL_CITATION { "citationItems" : [ { "id" : "ITEM-1", "itemData" : { "DOI" : "10.1002/ijc.2910460408", "ISBN" : "0020-7136 (Print)", "ISSN" : "10970215", "PMID" : "2145231", "abstract" : "Several large epidemiological studies in the Nordic countries have failed to confirm an association between age at first birth and breast cancer independent of parity. To assess whether lack of power or heterogeneity between the countries could explain this, a meta-analysis was performed of 8 population-based studies (3 cohort and 5 case-control) of breast cancer and reproductive variables in the Nordic countries, including a total of 5,568 cases. It confirmed that low parity and late age at first birth are significant and independent determinants of breast-cancer risk. Nulliparity was associated with a 30% increase in risk compared with parous women, and for every 2 births, the risk was reduced by about 16%. There was a significant trend of increasing risk with increasing age at first birth, women giving first birth after the age of 35 years having a 40% increased risk compared to those with a first birth before the age of 20 years. Tests for heterogeneity between studies were not significant for any of the examined variables. In the absence of bias, this suggests that several individual Nordic studies may have had too little power to detect the weak effect of age at first birth observed in the meta-analysis.", "author" : [ { "dropping-particle" : "", "family" : "Ewertz", "given" : "Marianne", "non-dropping-particle" : "", "parse-names" : false, "suffix" : "" }, { "dropping-particle" : "", "family" : "Duffy", "given" : "Stephen W.", "non-dropping-particle" : "", "parse-names" : false, "suffix" : "" }, { "dropping-particle" : "", "family" : "Adami", "given" : "Hans\u2010Olov \u2010O", "non-dropping-particle" : "", "parse-names" : false, "suffix" : "" }, { "dropping-particle" : "", "family" : "Kv\u00e5le", "given" : "Gunnar", "non-dropping-particle" : "", "parse-names" : false, "suffix" : "" }, { "dropping-particle" : "", "family" : "Lund", "given" : "Eiliv", "non-dropping-particle" : "", "parse-names" : false, "suffix" : "" }, { "dropping-particle" : "", "family" : "Meirik", "given" : "Olav", "non-dropping-particle" : "", "parse-names" : false, "suffix" : "" }, { "dropping-particle" : "", "family" : "Mellemgaard", "given" : "Anders", "non-dropping-particle" : "", "parse-names" : false, "suffix" : "" }, { "dropping-particle" : "", "family" : "Soini", "given" : "Irma", "non-dropping-particle" : "", "parse-names" : false, "suffix" : "" }, { "dropping-particle" : "", "family" : "Tulinius", "given" : "Hrafn", "non-dropping-particle" : "", "parse-names" : false, "suffix" : "" } ], "container-title" : "International Journal of Cancer", "id" : "ITEM-1", "issue" : "4", "issued" : { "date-parts" : [ [ "1990" ] ] }, "page" : "597-603", "title" : "Age at first birth, parity and risk of breast cancer: A meta\u2010analysis of 8 studies from the nordic countries", "type" : "article-journal", "volume" : "46" }, "uris" : [ "http://www.mendeley.com/documents/?uuid=78bfd075-3996-486c-a7b0-49d953b24d5d" ] }, { "id" : "ITEM-2", "itemData" : { "DOI" : "10.1016/S0378-5122(12)70032-4", "ISBN" : "0193-936X (Print)\\r0193-936X (Linking)", "ISSN" : "0193-936X", "PMID" : "8405211", "abstract" : "Early age at menarche, late age at menopause, and late age at first full-term pregnancy are linked to a modest increase in the risk of developing breast cancer.  Some evidence suggests that the earlier the full-term pregnancy, the earlier the period of decreased susceptibility of breast tissue changes begins.  Nulliparity is related to an increased risk for breast cancer diagnosed after 40 years old.  Multiple full-term pregnancies decrease the risk of breast cancers diagnosed after 40 years regardless of the age at first birth.  On the other hand, they may increase the risk for breast cancers diagnosed before 40 years old. Surgical removal of the ovaries protects against breast cancer.  Breast feeding apparently protects against breast cancer in China, but a protective effect has not been established in the US.  Other than shorter intervals between menstrual periods, which tend to increase the risk, research has not yet made clear the etiologic roles of menstrual cycle characteristics.  Other unclear etiologic roles include increased intervals between births, spontaneous and induced abortion, infertility, multiple births at last pregnancy, and hypertension during pregnancy. Researchers tend to accept a mechanism to explain the epidemiologic characteristics of menstrual activity and the increased risk of breast cancer, but no mechanisms have emerged for the other likely risk factors.  Greater exposure to estrogen and progesterone simultaneously are linked to early age at menarche, late age at menopause, and shorter menstrual cycle length.  So far, data show that long-term combined estrogen/progestin hormone replacement therapy and long-term use of oral contraceptives increase the risk of breast cancer.  Moderately increased risks linked to longterm estrogen replacement therapy and obesity in postmenopausal women indicate that estrogen alone influences breast cancer risk.  Since much of the research on breast cancer risk factors are inconclusive, more research is needed, especially research examining the probability of prolonged exposure to both estrogens and progesterone concurrently.", "author" : [ { "dropping-particle" : "", "family" : "Kelsey", "given" : "J L", "non-dropping-particle" : "", "parse-names" : false, "suffix" : "" }, { "dropping-particle" : "", "family" : "Gammon", "given" : "M D", "non-dropping-particle" : "", "parse-names" : false, "suffix" : "" }, { "dropping-particle" : "", "family" : "John", "given" : "E M", "non-dropping-particle" : "", "parse-names" : false, "suffix" : "" } ], "container-title" : "Epidemiologic reviews", "id" : "ITEM-2", "issue" : "1", "issued" : { "date-parts" : [ [ "1993" ] ] }, "page" : "36-47", "title" : "Reproductive factors and breast cancer.", "type" : "article-journal", "volume" : "15" }, "uris" : [ "http://www.mendeley.com/documents/?uuid=2a8ef778-6def-4639-9f8f-8daf9192f789" ] } ], "mendeley" : { "formattedCitation" : "(Ewertz et al., 1990; Kelsey et al., 1993)", "plainTextFormattedCitation" : "(Ewertz et al., 1990; Kelsey et al., 1993)", "previouslyFormattedCitation" : "(Ewertz et al., 1990; Kelsey et al., 1993)" }, "properties" : {  }, "schema" : "https://github.com/citation-style-language/schema/raw/master/csl-citation.json" }</w:instrText>
      </w:r>
      <w:r w:rsidR="00B0532F">
        <w:fldChar w:fldCharType="separate"/>
      </w:r>
      <w:r w:rsidR="00F13013" w:rsidRPr="00F13013">
        <w:rPr>
          <w:noProof/>
        </w:rPr>
        <w:t>(Ewertz et al., 1990; Kelsey et al., 1993)</w:t>
      </w:r>
      <w:r w:rsidR="00B0532F">
        <w:fldChar w:fldCharType="end"/>
      </w:r>
      <w:r w:rsidR="000D40FB">
        <w:t xml:space="preserve">. </w:t>
      </w:r>
      <w:r w:rsidR="00033747">
        <w:t xml:space="preserve">For </w:t>
      </w:r>
      <w:r w:rsidR="00627F01">
        <w:t>example, for women younger than</w:t>
      </w:r>
      <w:r w:rsidR="003D77EF">
        <w:t xml:space="preserve"> 40 years old, </w:t>
      </w:r>
      <w:r w:rsidR="003B2999">
        <w:t>full-term pregnancy</w:t>
      </w:r>
      <w:r w:rsidR="00627F01">
        <w:t xml:space="preserve"> might have an adverse effect on</w:t>
      </w:r>
      <w:r w:rsidR="00AC0E20">
        <w:t xml:space="preserve"> the</w:t>
      </w:r>
      <w:r w:rsidR="003B2999">
        <w:t xml:space="preserve"> </w:t>
      </w:r>
      <w:r w:rsidR="00AC0E20">
        <w:t xml:space="preserve">risk of developing </w:t>
      </w:r>
      <w:r w:rsidR="003B2999">
        <w:t xml:space="preserve">breast cancer. On the other hand, </w:t>
      </w:r>
      <w:r w:rsidR="00627F01">
        <w:t>full term pregnancy</w:t>
      </w:r>
      <w:r w:rsidR="00207B2F">
        <w:t xml:space="preserve"> act</w:t>
      </w:r>
      <w:r w:rsidR="00B01182">
        <w:t>s</w:t>
      </w:r>
      <w:r w:rsidR="00207B2F">
        <w:t xml:space="preserve"> as</w:t>
      </w:r>
      <w:r w:rsidR="003B2999">
        <w:t xml:space="preserve"> a protective factor for breast cancer diagnosis after 40 years old</w:t>
      </w:r>
      <w:r w:rsidR="006E3735">
        <w:t xml:space="preserve"> for both premenopausal and postmenopausal women</w:t>
      </w:r>
      <w:r w:rsidR="00C4578E">
        <w:t xml:space="preserve"> </w:t>
      </w:r>
      <w:r w:rsidR="009845EA">
        <w:fldChar w:fldCharType="begin" w:fldLock="1"/>
      </w:r>
      <w:r w:rsidR="00516FFC">
        <w:instrText>ADDIN CSL_CITATION { "citationItems" : [ { "id" : "ITEM-1", "itemData" : { "DOI" : "10.1016/S0378-5122(12)70032-4", "ISBN" : "0193-936X (Print)\\r0193-936X (Linking)", "ISSN" : "0193-936X", "PMID" : "8405211", "abstract" : "Early age at menarche, late age at menopause, and late age at first full-term pregnancy are linked to a modest increase in the risk of developing breast cancer.  Some evidence suggests that the earlier the full-term pregnancy, the earlier the period of decreased susceptibility of breast tissue changes begins.  Nulliparity is related to an increased risk for breast cancer diagnosed after 40 years old.  Multiple full-term pregnancies decrease the risk of breast cancers diagnosed after 40 years regardless of the age at first birth.  On the other hand, they may increase the risk for breast cancers diagnosed before 40 years old. Surgical removal of the ovaries protects against breast cancer.  Breast feeding apparently protects against breast cancer in China, but a protective effect has not been established in the US.  Other than shorter intervals between menstrual periods, which tend to increase the risk, research has not yet made clear the etiologic roles of menstrual cycle characteristics.  Other unclear etiologic roles include increased intervals between births, spontaneous and induced abortion, infertility, multiple births at last pregnancy, and hypertension during pregnancy. Researchers tend to accept a mechanism to explain the epidemiologic characteristics of menstrual activity and the increased risk of breast cancer, but no mechanisms have emerged for the other likely risk factors.  Greater exposure to estrogen and progesterone simultaneously are linked to early age at menarche, late age at menopause, and shorter menstrual cycle length.  So far, data show that long-term combined estrogen/progestin hormone replacement therapy and long-term use of oral contraceptives increase the risk of breast cancer.  Moderately increased risks linked to longterm estrogen replacement therapy and obesity in postmenopausal women indicate that estrogen alone influences breast cancer risk.  Since much of the research on breast cancer risk factors are inconclusive, more research is needed, especially research examining the probability of prolonged exposure to both estrogens and progesterone concurrently.", "author" : [ { "dropping-particle" : "", "family" : "Kelsey", "given" : "J L", "non-dropping-particle" : "", "parse-names" : false, "suffix" : "" }, { "dropping-particle" : "", "family" : "Gammon", "given" : "M D", "non-dropping-particle" : "", "parse-names" : false, "suffix" : "" }, { "dropping-particle" : "", "family" : "John", "given" : "E M", "non-dropping-particle" : "", "parse-names" : false, "suffix" : "" } ], "container-title" : "Epidemiologic reviews", "id" : "ITEM-1", "issue" : "1", "issued" : { "date-parts" : [ [ "1993" ] ] }, "page" : "36-47", "title" : "Reproductive factors and breast cancer.", "type" : "article-journal", "volume" : "15" }, "uris" : [ "http://www.mendeley.com/documents/?uuid=2a8ef778-6def-4639-9f8f-8daf9192f789" ] } ], "mendeley" : { "formattedCitation" : "(Kelsey et al., 1993)", "plainTextFormattedCitation" : "(Kelsey et al., 1993)", "previouslyFormattedCitation" : "(Kelsey et al., 1993)" }, "properties" : {  }, "schema" : "https://github.com/citation-style-language/schema/raw/master/csl-citation.json" }</w:instrText>
      </w:r>
      <w:r w:rsidR="009845EA">
        <w:fldChar w:fldCharType="separate"/>
      </w:r>
      <w:r w:rsidR="00F13013" w:rsidRPr="00F13013">
        <w:rPr>
          <w:noProof/>
        </w:rPr>
        <w:t>(Kelsey et al., 1993)</w:t>
      </w:r>
      <w:r w:rsidR="009845EA">
        <w:fldChar w:fldCharType="end"/>
      </w:r>
      <w:r w:rsidR="003B2999">
        <w:t xml:space="preserve">. </w:t>
      </w:r>
    </w:p>
    <w:p w:rsidR="006E3735" w:rsidRDefault="002F4A41" w:rsidP="0096743C">
      <w:pPr>
        <w:spacing w:line="360" w:lineRule="auto"/>
      </w:pPr>
      <w:r>
        <w:rPr>
          <w:lang w:eastAsia="zh-CN"/>
        </w:rPr>
        <w:t>Having first live birth at a younger age</w:t>
      </w:r>
      <w:r>
        <w:t xml:space="preserve"> </w:t>
      </w:r>
      <w:r w:rsidR="00597D2E">
        <w:t xml:space="preserve">and </w:t>
      </w:r>
      <w:r>
        <w:t>more</w:t>
      </w:r>
      <w:r w:rsidR="00782853">
        <w:t xml:space="preserve"> children</w:t>
      </w:r>
      <w:r w:rsidR="00E9303C">
        <w:t xml:space="preserve"> also</w:t>
      </w:r>
      <w:r w:rsidR="00B0532F">
        <w:t xml:space="preserve"> protect against breast cancer. The risk of developing breast cancer among </w:t>
      </w:r>
      <w:r w:rsidR="00A0270A">
        <w:t>women who have their first live birth</w:t>
      </w:r>
      <w:r w:rsidR="00B0532F">
        <w:t xml:space="preserve"> after 35 years old is estimated to be 40% higher than </w:t>
      </w:r>
      <w:r w:rsidR="00A0270A">
        <w:t>those</w:t>
      </w:r>
      <w:r w:rsidR="00B0532F">
        <w:t xml:space="preserve"> who have their first </w:t>
      </w:r>
      <w:r w:rsidR="000447FA">
        <w:t>live birth earlier than</w:t>
      </w:r>
      <w:r w:rsidR="00B0532F">
        <w:t xml:space="preserve"> 20 years old, and </w:t>
      </w:r>
      <w:r w:rsidR="001B135A">
        <w:t>the risk reduces by 16% for every 2 more births</w:t>
      </w:r>
      <w:r w:rsidR="00627F01">
        <w:t xml:space="preserve"> </w:t>
      </w:r>
      <w:r w:rsidR="001B135A">
        <w:fldChar w:fldCharType="begin" w:fldLock="1"/>
      </w:r>
      <w:r w:rsidR="00516FFC">
        <w:instrText>ADDIN CSL_CITATION { "citationItems" : [ { "id" : "ITEM-1", "itemData" : { "DOI" : "10.1002/ijc.2910460408", "ISBN" : "0020-7136 (Print)", "ISSN" : "10970215", "PMID" : "2145231", "abstract" : "Several large epidemiological studies in the Nordic countries have failed to confirm an association between age at first birth and breast cancer independent of parity. To assess whether lack of power or heterogeneity between the countries could explain this, a meta-analysis was performed of 8 population-based studies (3 cohort and 5 case-control) of breast cancer and reproductive variables in the Nordic countries, including a total of 5,568 cases. It confirmed that low parity and late age at first birth are significant and independent determinants of breast-cancer risk. Nulliparity was associated with a 30% increase in risk compared with parous women, and for every 2 births, the risk was reduced by about 16%. There was a significant trend of increasing risk with increasing age at first birth, women giving first birth after the age of 35 years having a 40% increased risk compared to those with a first birth before the age of 20 years. Tests for heterogeneity between studies were not significant for any of the examined variables. In the absence of bias, this suggests that several individual Nordic studies may have had too little power to detect the weak effect of age at first birth observed in the meta-analysis.", "author" : [ { "dropping-particle" : "", "family" : "Ewertz", "given" : "Marianne", "non-dropping-particle" : "", "parse-names" : false, "suffix" : "" }, { "dropping-particle" : "", "family" : "Duffy", "given" : "Stephen W.", "non-dropping-particle" : "", "parse-names" : false, "suffix" : "" }, { "dropping-particle" : "", "family" : "Adami", "given" : "Hans\u2010Olov \u2010O", "non-dropping-particle" : "", "parse-names" : false, "suffix" : "" }, { "dropping-particle" : "", "family" : "Kv\u00e5le", "given" : "Gunnar", "non-dropping-particle" : "", "parse-names" : false, "suffix" : "" }, { "dropping-particle" : "", "family" : "Lund", "given" : "Eiliv", "non-dropping-particle" : "", "parse-names" : false, "suffix" : "" }, { "dropping-particle" : "", "family" : "Meirik", "given" : "Olav", "non-dropping-particle" : "", "parse-names" : false, "suffix" : "" }, { "dropping-particle" : "", "family" : "Mellemgaard", "given" : "Anders", "non-dropping-particle" : "", "parse-names" : false, "suffix" : "" }, { "dropping-particle" : "", "family" : "Soini", "given" : "Irma", "non-dropping-particle" : "", "parse-names" : false, "suffix" : "" }, { "dropping-particle" : "", "family" : "Tulinius", "given" : "Hrafn", "non-dropping-particle" : "", "parse-names" : false, "suffix" : "" } ], "container-title" : "International Journal of Cancer", "id" : "ITEM-1", "issue" : "4", "issued" : { "date-parts" : [ [ "1990" ] ] }, "page" : "597-603", "title" : "Age at first birth, parity and risk of breast cancer: A meta\u2010analysis of 8 studies from the nordic countries", "type" : "article-journal", "volume" : "46" }, "uris" : [ "http://www.mendeley.com/documents/?uuid=78bfd075-3996-486c-a7b0-49d953b24d5d" ] } ], "mendeley" : { "formattedCitation" : "(Ewertz et al., 1990)", "plainTextFormattedCitation" : "(Ewertz et al., 1990)", "previouslyFormattedCitation" : "(Ewertz et al., 1990)" }, "properties" : {  }, "schema" : "https://github.com/citation-style-language/schema/raw/master/csl-citation.json" }</w:instrText>
      </w:r>
      <w:r w:rsidR="001B135A">
        <w:fldChar w:fldCharType="separate"/>
      </w:r>
      <w:r w:rsidR="00F13013" w:rsidRPr="00F13013">
        <w:rPr>
          <w:noProof/>
        </w:rPr>
        <w:t>(Ewertz et al., 1990)</w:t>
      </w:r>
      <w:r w:rsidR="001B135A">
        <w:fldChar w:fldCharType="end"/>
      </w:r>
      <w:r w:rsidR="00B0532F">
        <w:t>.</w:t>
      </w:r>
      <w:r w:rsidR="000B440E">
        <w:t xml:space="preserve"> Breastfeeding could also reduce the risk of breast cancer, and this effect is greater with a longer time of breastfeeding </w:t>
      </w:r>
      <w:r w:rsidR="000B440E">
        <w:fldChar w:fldCharType="begin" w:fldLock="1"/>
      </w:r>
      <w:r w:rsidR="000B440E">
        <w:instrText>ADDIN CSL_CITATION { "citationItems" : [ { "id" : "ITEM-1", "itemData" : { "DOI" : "10.1016/S0140-6736(02)09454-0", "ISBN" : "0007-0920", "ISSN" : "01406736", "PMID" : "1995", "abstract" : "Background: Although childbearing is known to protect against breast cancer, whether or not breastfeeding contributes to this protective effect is unclear. Methods: Individual data from 47 epidemiological studies in 30 countries that included information on breastfeeding patterns and other aspects of childbearing were collected, checked, and analysed centrally, for 50 302 women with invasive breast cancer and 96 973 controls. Estimates of the relative risk for breast cancer associated with breastfeeding in parous women were obtained after stratification by fine divisions of age, parity, and women's ages when their first child was born, as well as by study and menopausal status. Findings: Women with breast cancer had, on average, fewer births than did controls (2.2 vs 2.6). Furthermore, fewer parous women with cancer than parous controls had ever breastfed (71% vs 79%), and their average lifetime duration of breastfeeding was shorter (9.8 vs 15.6 months). The relative risk of breast cancer decreased by 4.3% (95% CI 2.9-5.8; p&lt;0.0001) for every 12 months of breastfeeding in addition to a decrease of 7.0% (5.0-9.0; p&lt;0.0001) for each birth. The size of the decline in the relative risk of breast cancer associated with breastfeeding did not differ significantly for women in developed and developing countries, and did not vary significantly by age, menopausal status, ethnic origin, the number of births a woman had, her age when her first child was born, or any of nine other personal characteristics examined. It is estimated that the cumulative incidence of breast cancer in developed countries would be reduced by more than half, from 6.3 to 2.7 per 100 women by age 70, if women had the average number of births and lifetime duration of breastfeeding that had been prevalent in developing countries until recently. Breastfeeding could account for almost two-thirds of this estimated reduction in breast cancer incidence. Interpretation: The longer women breast feed the more they are protected against breast cancer. The lack of or short lifetime duration of breastfeeding typical of women in developed countries makes a major contribution to the high incidence of breast cancer in these countries.", "author" : [ { "dropping-particle" : "", "family" : "Beral", "given" : "Valerie", "non-dropping-particle" : "", "parse-names" : false, "suffix" : "" }, { "dropping-particle" : "", "family" : "Bull", "given" : "D.", "non-dropping-particle" : "", "parse-names" : false, "suffix" : "" }, { "dropping-particle" : "", "family" : "Doll", "given" : "R.", "non-dropping-particle" : "", "parse-names" : false, "suffix" : "" }, { "dropping-particle" : "", "family" : "Peto", "given" : "R.", "non-dropping-particle" : "", "parse-names" : false, "suffix" : "" }, { "dropping-particle" : "", "family" : "Reeves", "given" : "G.", "non-dropping-particle" : "", "parse-names" : false, "suffix" : "" } ], "container-title" : "Lancet", "id" : "ITEM-1", "issue" : "9328", "issued" : { "date-parts" : [ [ "2002" ] ] }, "page" : "187-195", "title" : "Breast cancer and breastfeeding: Collaborative reanalysis of individual data from 47 epidemiological studies in 30 countries, including 50 302 women with breast cancer and 96 973 women without the disease", "type" : "article-journal", "volume" : "360" }, "uris" : [ "http://www.mendeley.com/documents/?uuid=af6ff56c-8bbb-4d44-9a65-5ebfb75e0563" ] } ], "mendeley" : { "formattedCitation" : "(Beral, Bull, Doll, Peto, &amp; Reeves, 2002)", "plainTextFormattedCitation" : "(Beral, Bull, Doll, Peto, &amp; Reeves, 2002)", "previouslyFormattedCitation" : "(Beral, Bull, Doll, Peto, &amp; Reeves, 2002)" }, "properties" : {  }, "schema" : "https://github.com/citation-style-language/schema/raw/master/csl-citation.json" }</w:instrText>
      </w:r>
      <w:r w:rsidR="000B440E">
        <w:fldChar w:fldCharType="separate"/>
      </w:r>
      <w:r w:rsidR="000B440E" w:rsidRPr="000B440E">
        <w:rPr>
          <w:noProof/>
        </w:rPr>
        <w:t>(Beral, Bull, Doll, Peto, &amp; Reeves, 2002)</w:t>
      </w:r>
      <w:r w:rsidR="000B440E">
        <w:fldChar w:fldCharType="end"/>
      </w:r>
      <w:r w:rsidR="000B440E">
        <w:t xml:space="preserve">. </w:t>
      </w:r>
    </w:p>
    <w:p w:rsidR="001B135A" w:rsidRDefault="001B135A" w:rsidP="001B135A">
      <w:pPr>
        <w:pStyle w:val="Heading3"/>
      </w:pPr>
      <w:bookmarkStart w:id="13" w:name="_Toc509180557"/>
      <w:r>
        <w:t>Exogenous Hormones</w:t>
      </w:r>
      <w:bookmarkEnd w:id="13"/>
    </w:p>
    <w:p w:rsidR="001B135A" w:rsidRDefault="001B135A" w:rsidP="00493E8A">
      <w:pPr>
        <w:pStyle w:val="Heading4"/>
        <w:spacing w:line="360" w:lineRule="auto"/>
        <w:rPr>
          <w:b w:val="0"/>
        </w:rPr>
      </w:pPr>
      <w:bookmarkStart w:id="14" w:name="_Toc509180558"/>
      <w:r>
        <w:t xml:space="preserve">Oral Contraceptives   </w:t>
      </w:r>
      <w:r>
        <w:rPr>
          <w:b w:val="0"/>
        </w:rPr>
        <w:t>Oral contraceptives</w:t>
      </w:r>
      <w:r w:rsidR="0068556E">
        <w:rPr>
          <w:b w:val="0"/>
        </w:rPr>
        <w:t xml:space="preserve"> (OC)</w:t>
      </w:r>
      <w:r>
        <w:rPr>
          <w:b w:val="0"/>
        </w:rPr>
        <w:t xml:space="preserve"> </w:t>
      </w:r>
      <w:r w:rsidR="007E63F7">
        <w:rPr>
          <w:b w:val="0"/>
        </w:rPr>
        <w:t>u</w:t>
      </w:r>
      <w:r w:rsidR="00DD01A5">
        <w:rPr>
          <w:b w:val="0"/>
        </w:rPr>
        <w:t xml:space="preserve">se </w:t>
      </w:r>
      <w:r w:rsidR="00601479">
        <w:rPr>
          <w:rFonts w:hint="eastAsia"/>
          <w:b w:val="0"/>
          <w:lang w:eastAsia="zh-CN"/>
        </w:rPr>
        <w:t>hav</w:t>
      </w:r>
      <w:r w:rsidR="00601479">
        <w:rPr>
          <w:b w:val="0"/>
          <w:lang w:eastAsia="zh-CN"/>
        </w:rPr>
        <w:t>e been</w:t>
      </w:r>
      <w:r w:rsidR="007E63F7">
        <w:rPr>
          <w:b w:val="0"/>
        </w:rPr>
        <w:t xml:space="preserve"> </w:t>
      </w:r>
      <w:r w:rsidR="00DD01A5">
        <w:rPr>
          <w:b w:val="0"/>
        </w:rPr>
        <w:t>positive</w:t>
      </w:r>
      <w:r w:rsidR="00601479">
        <w:rPr>
          <w:b w:val="0"/>
        </w:rPr>
        <w:t>ly</w:t>
      </w:r>
      <w:r w:rsidR="00DD01A5">
        <w:rPr>
          <w:b w:val="0"/>
        </w:rPr>
        <w:t xml:space="preserve"> associ</w:t>
      </w:r>
      <w:r w:rsidR="00601479">
        <w:rPr>
          <w:b w:val="0"/>
        </w:rPr>
        <w:t>ated</w:t>
      </w:r>
      <w:r w:rsidR="007E63F7">
        <w:rPr>
          <w:b w:val="0"/>
        </w:rPr>
        <w:t xml:space="preserve"> </w:t>
      </w:r>
      <w:r w:rsidR="00585D34">
        <w:rPr>
          <w:b w:val="0"/>
        </w:rPr>
        <w:t>with breast cancer risk</w:t>
      </w:r>
      <w:r w:rsidR="007E63F7">
        <w:rPr>
          <w:b w:val="0"/>
        </w:rPr>
        <w:t xml:space="preserve"> due to the presence of </w:t>
      </w:r>
      <w:r w:rsidR="0068556E">
        <w:rPr>
          <w:b w:val="0"/>
        </w:rPr>
        <w:t xml:space="preserve">estrogen and progestin. </w:t>
      </w:r>
      <w:r w:rsidR="009C5BEC">
        <w:rPr>
          <w:b w:val="0"/>
        </w:rPr>
        <w:t>However, according to the epidemiologic studies, t</w:t>
      </w:r>
      <w:r w:rsidR="0068556E">
        <w:rPr>
          <w:b w:val="0"/>
        </w:rPr>
        <w:t xml:space="preserve">he relationship is relatively weak for women who </w:t>
      </w:r>
      <w:r w:rsidR="00F96FF7">
        <w:rPr>
          <w:b w:val="0"/>
        </w:rPr>
        <w:t xml:space="preserve">have </w:t>
      </w:r>
      <w:r w:rsidR="0068556E">
        <w:rPr>
          <w:b w:val="0"/>
        </w:rPr>
        <w:t xml:space="preserve">stopped using OC within </w:t>
      </w:r>
      <w:r w:rsidR="00235431">
        <w:rPr>
          <w:b w:val="0"/>
        </w:rPr>
        <w:t xml:space="preserve">the past </w:t>
      </w:r>
      <w:r w:rsidR="00DD01A5">
        <w:rPr>
          <w:b w:val="0"/>
        </w:rPr>
        <w:t>10 years, and</w:t>
      </w:r>
      <w:r w:rsidR="00F96FF7">
        <w:rPr>
          <w:b w:val="0"/>
        </w:rPr>
        <w:t xml:space="preserve"> not</w:t>
      </w:r>
      <w:r w:rsidR="0068556E">
        <w:rPr>
          <w:b w:val="0"/>
        </w:rPr>
        <w:t xml:space="preserve"> significant for women who </w:t>
      </w:r>
      <w:r w:rsidR="00F96FF7">
        <w:rPr>
          <w:b w:val="0"/>
        </w:rPr>
        <w:t xml:space="preserve">have </w:t>
      </w:r>
      <w:r w:rsidR="0068556E">
        <w:rPr>
          <w:b w:val="0"/>
        </w:rPr>
        <w:t xml:space="preserve">stopped using </w:t>
      </w:r>
      <w:r w:rsidR="00DD01A5">
        <w:rPr>
          <w:b w:val="0"/>
        </w:rPr>
        <w:t xml:space="preserve">them </w:t>
      </w:r>
      <w:r w:rsidR="0068556E">
        <w:rPr>
          <w:b w:val="0"/>
        </w:rPr>
        <w:t>for 10 or more years</w:t>
      </w:r>
      <w:r w:rsidR="007E63F7">
        <w:rPr>
          <w:b w:val="0"/>
        </w:rPr>
        <w:t xml:space="preserve"> </w:t>
      </w:r>
      <w:r w:rsidR="0068556E">
        <w:rPr>
          <w:b w:val="0"/>
        </w:rPr>
        <w:fldChar w:fldCharType="begin" w:fldLock="1"/>
      </w:r>
      <w:r w:rsidR="00516FFC">
        <w:rPr>
          <w:b w:val="0"/>
        </w:rPr>
        <w:instrText>ADDIN CSL_CITATION { "citationItems" : [ { "id" : "ITEM-1", "itemData" : { "DOI" : "10.1016/S0140-6736(97)08233-0", "ISBN" : "0140-6736 (Print)\\n0140-6736 (Linking)", "ISSN" : "01406736", "PMID" : "10213546", "abstract" : "BACKGROUND: The Collaborative Group on Hormonal Factors in Breast Cancer has brought together and reanalysed about 90% of the worldwide epidemiological evidence on the relation between risk of breast cancer and use of hormone replacement therapy (HRT). METHODS: Individual data on 52,705 women with breast cancer and 108,411 women without breast cancer from 51 studies in 21 countries were collected, checked, and analysed centrally. The main analyses are based on 53,865 postmenopausal women with a known age at menopause, of whom 17,830 (33%) had used HRT at some time. The median age at first use was 48 years, and 34% of ever-users had used HRT for 5 years or longer. Estimates of the relative risk of breast cancer associated with the use of HRT were obtained after stratification of all analyses by study, age at diagnosis, time since menopause, body-mass index, parity, and the age a woman was when her first child was born. FINDINGS: Among current users of HRT or those who ceased use 1-4 years previously, the relative risk of having breast cancer diagnosed increased by a factor of 1.023 (95% CI 1.011-1.036; 2p=0.0002) for each year of use; the relative risk was 1.35 (1.21-1.49; 2p=0.00001) for women who had used HRT for 5 years or longer (average duration of use in this group 11 years). This increase is comparable with the effect on breast cancer of delaying menopause, since among never-users of HRT the relative risk of breast cancer increases by a factor of 1.028 (95% CI 1.021-1.034) for each year older at menopause. 5 or more years after cessation of HRT use, there was no significant excess of breast cancer overall or in relation to duration of use. These main findings did not vary between individual studies. Of the many factors examined that might affect the relation between breast cancer risk and use of HRT, only a woman's weight and body-mass index had a material effect: the increase in the relative risk of breast cancer associated with long durations of use in current and recent users was greater for women of lower than of higher weight or body-mass index. There was no marked variation in the results according to hormonal type or dose but little information was available about long durations of use of any specific preparation. Cancers diagnosed in women who had ever used HRT tended to be less advanced clinically than those diagnosed in never-users. In North America and Europe the cumulative incidence of breast cancer between the ages of 50 and 70 in nev\u2026", "author" : [ { "dropping-particle" : "", "family" : "Collaborative Group on Hormonal Factors in Breast Cancer", "given" : "", "non-dropping-particle" : "", "parse-names" : false, "suffix" : "" } ], "container-title" : "Lancet", "id" : "ITEM-1", "issue" : "9084", "issued" : { "date-parts" : [ [ "1997" ] ] }, "page" : "1047-1059", "title" : "Breast cancer and hormonal contraceptives: collaborative reanalysis of individual data on 53297 women with breast cancer and 100239 women without breast cancer from 54 epidemiologic studies", "type" : "article-journal", "volume" : "350" }, "uris" : [ "http://www.mendeley.com/documents/?uuid=80099762-11a0-48e7-848c-58383f6fb95d" ] } ], "mendeley" : { "formattedCitation" : "(Collaborative Group on Hormonal Factors in Breast Cancer, 1997a)", "manualFormatting" : "(Collaborative Group on Hormonal Factors in Breast Cancer, 1996)", "plainTextFormattedCitation" : "(Collaborative Group on Hormonal Factors in Breast Cancer, 1997a)", "previouslyFormattedCitation" : "(Collaborative Group on Hormonal Factors in Breast Cancer, 1997a)" }, "properties" : {  }, "schema" : "https://github.com/citation-style-language/schema/raw/master/csl-citation.json" }</w:instrText>
      </w:r>
      <w:r w:rsidR="0068556E">
        <w:rPr>
          <w:b w:val="0"/>
        </w:rPr>
        <w:fldChar w:fldCharType="separate"/>
      </w:r>
      <w:r w:rsidR="0068556E" w:rsidRPr="0068556E">
        <w:rPr>
          <w:b w:val="0"/>
          <w:noProof/>
        </w:rPr>
        <w:t>(Collaborative Group on Hormona</w:t>
      </w:r>
      <w:r w:rsidR="0068556E">
        <w:rPr>
          <w:b w:val="0"/>
          <w:noProof/>
        </w:rPr>
        <w:t>l Factors in Breast Cancer, 1996</w:t>
      </w:r>
      <w:r w:rsidR="0068556E" w:rsidRPr="0068556E">
        <w:rPr>
          <w:b w:val="0"/>
          <w:noProof/>
        </w:rPr>
        <w:t>)</w:t>
      </w:r>
      <w:r w:rsidR="0068556E">
        <w:rPr>
          <w:b w:val="0"/>
        </w:rPr>
        <w:fldChar w:fldCharType="end"/>
      </w:r>
      <w:r w:rsidR="0068556E">
        <w:rPr>
          <w:b w:val="0"/>
        </w:rPr>
        <w:t xml:space="preserve">. The </w:t>
      </w:r>
      <w:r w:rsidR="00235431">
        <w:rPr>
          <w:b w:val="0"/>
        </w:rPr>
        <w:t xml:space="preserve">effect of OC </w:t>
      </w:r>
      <w:r w:rsidR="00F96FF7">
        <w:rPr>
          <w:b w:val="0"/>
        </w:rPr>
        <w:t xml:space="preserve">use on breast cancer </w:t>
      </w:r>
      <w:r w:rsidR="00DD01A5">
        <w:rPr>
          <w:b w:val="0"/>
        </w:rPr>
        <w:t>does not</w:t>
      </w:r>
      <w:r w:rsidR="007E63F7">
        <w:rPr>
          <w:b w:val="0"/>
        </w:rPr>
        <w:t xml:space="preserve"> vary </w:t>
      </w:r>
      <w:r w:rsidR="00235431">
        <w:rPr>
          <w:b w:val="0"/>
        </w:rPr>
        <w:t xml:space="preserve">by the </w:t>
      </w:r>
      <w:r w:rsidR="009B05A7">
        <w:rPr>
          <w:b w:val="0"/>
        </w:rPr>
        <w:t xml:space="preserve">age </w:t>
      </w:r>
      <w:r w:rsidR="009B05A7">
        <w:rPr>
          <w:rFonts w:hint="eastAsia"/>
          <w:b w:val="0"/>
          <w:lang w:eastAsia="zh-CN"/>
        </w:rPr>
        <w:t>star</w:t>
      </w:r>
      <w:r w:rsidR="009B05A7">
        <w:rPr>
          <w:b w:val="0"/>
          <w:lang w:eastAsia="zh-CN"/>
        </w:rPr>
        <w:t>ted</w:t>
      </w:r>
      <w:r w:rsidR="009B05A7">
        <w:rPr>
          <w:b w:val="0"/>
        </w:rPr>
        <w:t xml:space="preserve"> using and dos</w:t>
      </w:r>
      <w:r w:rsidR="009B05A7">
        <w:rPr>
          <w:rFonts w:hint="eastAsia"/>
          <w:b w:val="0"/>
          <w:lang w:eastAsia="zh-CN"/>
        </w:rPr>
        <w:t>age</w:t>
      </w:r>
      <w:r w:rsidR="009B05A7">
        <w:rPr>
          <w:b w:val="0"/>
          <w:lang w:eastAsia="zh-CN"/>
        </w:rPr>
        <w:t xml:space="preserve"> of OC</w:t>
      </w:r>
      <w:r w:rsidR="007E63F7">
        <w:rPr>
          <w:b w:val="0"/>
        </w:rPr>
        <w:t xml:space="preserve"> </w:t>
      </w:r>
      <w:r w:rsidR="00235431">
        <w:rPr>
          <w:b w:val="0"/>
        </w:rPr>
        <w:fldChar w:fldCharType="begin" w:fldLock="1"/>
      </w:r>
      <w:r w:rsidR="001D185B">
        <w:rPr>
          <w:b w:val="0"/>
        </w:rPr>
        <w:instrText>ADDIN CSL_CITATION { "citationItems" : [ { "id" : "ITEM-1", "itemData" : { "DOI" : "10.1016/S0140-6736(97)08233-0", "ISBN" : "0140-6736 (Print)\\n0140-6736 (Linking)", "ISSN" : "01406736", "PMID" : "10213546", "abstract" : "BACKGROUND: The Collaborative Group on Hormonal Factors in Breast Cancer has brought together and reanalysed about 90% of the worldwide epidemiological evidence on the relation between risk of breast cancer and use of hormone replacement therapy (HRT). METHODS: Individual data on 52,705 women with breast cancer and 108,411 women without breast cancer from 51 studies in 21 countries were collected, checked, and analysed centrally. The main analyses are based on 53,865 postmenopausal women with a known age at menopause, of whom 17,830 (33%) had used HRT at some time. The median age at first use was 48 years, and 34% of ever-users had used HRT for 5 years or longer. Estimates of the relative risk of breast cancer associated with the use of HRT were obtained after stratification of all analyses by study, age at diagnosis, time since menopause, body-mass index, parity, and the age a woman was when her first child was born. FINDINGS: Among current users of HRT or those who ceased use 1-4 years previously, the relative risk of having breast cancer diagnosed increased by a factor of 1.023 (95% CI 1.011-1.036; 2p=0.0002) for each year of use; the relative risk was 1.35 (1.21-1.49; 2p=0.00001) for women who had used HRT for 5 years or longer (average duration of use in this group 11 years). This increase is comparable with the effect on breast cancer of delaying menopause, since among never-users of HRT the relative risk of breast cancer increases by a factor of 1.028 (95% CI 1.021-1.034) for each year older at menopause. 5 or more years after cessation of HRT use, there was no significant excess of breast cancer overall or in relation to duration of use. These main findings did not vary between individual studies. Of the many factors examined that might affect the relation between breast cancer risk and use of HRT, only a woman's weight and body-mass index had a material effect: the increase in the relative risk of breast cancer associated with long durations of use in current and recent users was greater for women of lower than of higher weight or body-mass index. There was no marked variation in the results according to hormonal type or dose but little information was available about long durations of use of any specific preparation. Cancers diagnosed in women who had ever used HRT tended to be less advanced clinically than those diagnosed in never-users. In North America and Europe the cumulative incidence of breast cancer between the ages of 50 and 70 in nev\u2026", "author" : [ { "dropping-particle" : "", "family" : "Collaborative Group on Hormonal Factors in Breast Cancer", "given" : "", "non-dropping-particle" : "", "parse-names" : false, "suffix" : "" } ], "container-title" : "Lancet", "id" : "ITEM-1", "issue" : "9084", "issued" : { "date-parts" : [ [ "1997" ] ] }, "page" : "1047-1059", "title" : "Breast cancer and hormonal contraceptives: collaborative reanalysis of individual data on 53297 women with breast cancer and 100239 women without breast cancer from 54 epidemiologic studies", "type" : "article-journal", "volume" : "350" }, "uris" : [ "http://www.mendeley.com/documents/?uuid=80099762-11a0-48e7-848c-58383f6fb95d" ] } ], "mendeley" : { "formattedCitation" : "(Collaborative Group on Hormonal Factors in Breast Cancer, 1997a)", "plainTextFormattedCitation" : "(Collaborative Group on Hormonal Factors in Breast Cancer, 1997a)", "previouslyFormattedCitation" : "(Collaborative Group on Hormonal Factors in Breast Cancer, 1997a)" }, "properties" : {  }, "schema" : "https://github.com/citation-style-language/schema/raw/master/csl-citation.json" }</w:instrText>
      </w:r>
      <w:r w:rsidR="00235431">
        <w:rPr>
          <w:b w:val="0"/>
        </w:rPr>
        <w:fldChar w:fldCharType="separate"/>
      </w:r>
      <w:r w:rsidR="001D185B" w:rsidRPr="001D185B">
        <w:rPr>
          <w:b w:val="0"/>
          <w:noProof/>
        </w:rPr>
        <w:t>(Collaborative Group on Hormonal Factors in Breast Cancer, 1997a)</w:t>
      </w:r>
      <w:r w:rsidR="00235431">
        <w:rPr>
          <w:b w:val="0"/>
        </w:rPr>
        <w:fldChar w:fldCharType="end"/>
      </w:r>
      <w:r w:rsidR="00DD01A5">
        <w:rPr>
          <w:b w:val="0"/>
        </w:rPr>
        <w:t>. A</w:t>
      </w:r>
      <w:r w:rsidR="00235431">
        <w:rPr>
          <w:b w:val="0"/>
        </w:rPr>
        <w:t xml:space="preserve"> study also found no association between OC use and risk of breast cancer among women aged 35-64 years</w:t>
      </w:r>
      <w:r w:rsidR="007E63F7">
        <w:rPr>
          <w:b w:val="0"/>
        </w:rPr>
        <w:t xml:space="preserve"> </w:t>
      </w:r>
      <w:r w:rsidR="00235431">
        <w:rPr>
          <w:b w:val="0"/>
        </w:rPr>
        <w:fldChar w:fldCharType="begin" w:fldLock="1"/>
      </w:r>
      <w:r w:rsidR="00516FFC">
        <w:rPr>
          <w:b w:val="0"/>
        </w:rPr>
        <w:instrText>ADDIN CSL_CITATION { "citationItems" : [ { "id" : "ITEM-1", "itemData" : { "DOI" : "10.1056/NEJMoa013202", "ISBN" : "0028-4793", "ISSN" : "0028-4793", "PMID" : "12087137", "abstract" : "Background It is uncertain whether the use of an oral contraceptive increases the risk of breast cancer later in life, when the incidence of breast cancer is increased. We conducted a population-based, case\u2013control study to determine the risk of breast cancer among former and current users of oral contraceptives. Methods We interviewed women who were 35 to 64 years old. A total of 4575 women with breast cancer and 4682 controls were interviewed. Conditional logistic regression was used to calculate odds ratios as estimates of the relative risk (incidence-density ratios) of breast cancer. Results The relative risk was 1.0 (95 percent confidence interval, 0.8 to 1.3) for women who were currently using oral contraceptives and 0.9 (95 percent confidence interval, 0.8 to 1.0) for those who had previously used them. The relative risk did not increase consistently with longer periods of use or with higher doses of estrogen. The results were similar among white and black women. Use of oral contraceptives by women...", "author" : [ { "dropping-particle" : "", "family" : "Marchbanks", "given" : "Polly A.", "non-dropping-particle" : "", "parse-names" : false, "suffix" : "" }, { "dropping-particle" : "", "family" : "McDonald", "given" : "Jill A.", "non-dropping-particle" : "", "parse-names" : false, "suffix" : "" }, { "dropping-particle" : "", "family" : "Wilson", "given" : "Hoyt G.", "non-dropping-particle" : "", "parse-names" : false, "suffix" : "" }, { "dropping-particle" : "", "family" : "Folger", "given" : "Suzanne G.", "non-dropping-particle" : "", "parse-names" : false, "suffix" : "" }, { "dropping-particle" : "", "family" : "Mandel", "given" : "Michele G.", "non-dropping-particle" : "", "parse-names" : false, "suffix" : "" }, { "dropping-particle" : "", "family" : "Daling", "given" : "Janet R.", "non-dropping-particle" : "", "parse-names" : false, "suffix" : "" }, { "dropping-particle" : "", "family" : "Bernstein", "given" : "Leslie", "non-dropping-particle" : "", "parse-names" : false, "suffix" : "" }, { "dropping-particle" : "", "family" : "Malone", "given" : "Kathleen E.", "non-dropping-particle" : "", "parse-names" : false, "suffix" : "" }, { "dropping-particle" : "", "family" : "Ursin", "given" : "Giske", "non-dropping-particle" : "", "parse-names" : false, "suffix" : "" }, { "dropping-particle" : "", "family" : "Strom", "given" : "Brian L.", "non-dropping-particle" : "", "parse-names" : false, "suffix" : "" }, { "dropping-particle" : "", "family" : "Norman", "given" : "Sandra A.", "non-dropping-particle" : "", "parse-names" : false, "suffix" : "" }, { "dropping-particle" : "", "family" : "Wingo", "given" : "Phyllis A.", "non-dropping-particle" : "", "parse-names" : false, "suffix" : "" }, { "dropping-particle" : "", "family" : "Burkman", "given" : "Ronald T.", "non-dropping-particle" : "", "parse-names" : false, "suffix" : "" }, { "dropping-particle" : "", "family" : "Berlin", "given" : "Jesse A.", "non-dropping-particle" : "", "parse-names" : false, "suffix" : "" }, { "dropping-particle" : "", "family" : "Simon", "given" : "Michael S.", "non-dropping-particle" : "", "parse-names" : false, "suffix" : "" }, { "dropping-particle" : "", "family" : "Spirtas", "given" : "Robert", "non-dropping-particle" : "", "parse-names" : false, "suffix" : "" }, { "dropping-particle" : "", "family" : "Weiss", "given" : "Linda K.", "non-dropping-particle" : "", "parse-names" : false, "suffix" : "" } ], "container-title" : "New England Journal of Medicine", "id" : "ITEM-1", "issue" : "26", "issued" : { "date-parts" : [ [ "2002" ] ] }, "page" : "2025-2032", "title" : "Oral Contraceptives and the Risk of Breast Cancer", "type" : "article-journal", "volume" : "346" }, "uris" : [ "http://www.mendeley.com/documents/?uuid=79339bea-16b9-40a4-972f-89c14d2937db" ] } ], "mendeley" : { "formattedCitation" : "(Marchbanks et al., 2002)", "plainTextFormattedCitation" : "(Marchbanks et al., 2002)", "previouslyFormattedCitation" : "(Marchbanks et al., 2002)" }, "properties" : {  }, "schema" : "https://github.com/citation-style-language/schema/raw/master/csl-citation.json" }</w:instrText>
      </w:r>
      <w:r w:rsidR="00235431">
        <w:rPr>
          <w:b w:val="0"/>
        </w:rPr>
        <w:fldChar w:fldCharType="separate"/>
      </w:r>
      <w:r w:rsidR="00F13013" w:rsidRPr="00F13013">
        <w:rPr>
          <w:b w:val="0"/>
          <w:noProof/>
        </w:rPr>
        <w:t>(Marchbanks et al., 2002)</w:t>
      </w:r>
      <w:r w:rsidR="00235431">
        <w:rPr>
          <w:b w:val="0"/>
        </w:rPr>
        <w:fldChar w:fldCharType="end"/>
      </w:r>
      <w:r w:rsidR="00235431">
        <w:rPr>
          <w:b w:val="0"/>
        </w:rPr>
        <w:t xml:space="preserve">. </w:t>
      </w:r>
      <w:r w:rsidR="000A047A">
        <w:rPr>
          <w:b w:val="0"/>
        </w:rPr>
        <w:t xml:space="preserve">As OC is </w:t>
      </w:r>
      <w:r w:rsidR="000A047A">
        <w:rPr>
          <w:b w:val="0"/>
        </w:rPr>
        <w:lastRenderedPageBreak/>
        <w:t>more usually used by young</w:t>
      </w:r>
      <w:r w:rsidR="00CC5968">
        <w:rPr>
          <w:b w:val="0"/>
        </w:rPr>
        <w:t>er</w:t>
      </w:r>
      <w:r w:rsidR="000A047A">
        <w:rPr>
          <w:b w:val="0"/>
        </w:rPr>
        <w:t xml:space="preserve"> women, </w:t>
      </w:r>
      <w:r w:rsidR="008C6ACA">
        <w:rPr>
          <w:b w:val="0"/>
        </w:rPr>
        <w:t xml:space="preserve">it is likely that </w:t>
      </w:r>
      <w:r w:rsidR="000A047A">
        <w:rPr>
          <w:b w:val="0"/>
        </w:rPr>
        <w:t xml:space="preserve">the effect of OC </w:t>
      </w:r>
      <w:r w:rsidR="008C6ACA">
        <w:rPr>
          <w:b w:val="0"/>
        </w:rPr>
        <w:t xml:space="preserve">has </w:t>
      </w:r>
      <w:r w:rsidR="000A047A">
        <w:rPr>
          <w:b w:val="0"/>
        </w:rPr>
        <w:t>already di</w:t>
      </w:r>
      <w:r w:rsidR="00CC5968">
        <w:rPr>
          <w:b w:val="0"/>
        </w:rPr>
        <w:t>minished</w:t>
      </w:r>
      <w:r w:rsidR="00F57840" w:rsidRPr="00F57840">
        <w:rPr>
          <w:b w:val="0"/>
        </w:rPr>
        <w:t xml:space="preserve"> </w:t>
      </w:r>
      <w:r w:rsidR="00F57840">
        <w:rPr>
          <w:b w:val="0"/>
        </w:rPr>
        <w:t>by the time of breast cancer development</w:t>
      </w:r>
      <w:r w:rsidR="008A1C0F">
        <w:rPr>
          <w:b w:val="0"/>
        </w:rPr>
        <w:t xml:space="preserve"> in older age</w:t>
      </w:r>
      <w:r w:rsidR="000A047A">
        <w:rPr>
          <w:b w:val="0"/>
        </w:rPr>
        <w:t>.</w:t>
      </w:r>
      <w:bookmarkEnd w:id="14"/>
    </w:p>
    <w:p w:rsidR="00235431" w:rsidRDefault="00371232" w:rsidP="00A018FF">
      <w:pPr>
        <w:pStyle w:val="Heading4"/>
        <w:spacing w:line="360" w:lineRule="auto"/>
        <w:rPr>
          <w:b w:val="0"/>
        </w:rPr>
      </w:pPr>
      <w:bookmarkStart w:id="15" w:name="_Toc509180559"/>
      <w:r>
        <w:t>Menopausal Hormone</w:t>
      </w:r>
      <w:r w:rsidR="00B52D83">
        <w:t xml:space="preserve"> Therapy   </w:t>
      </w:r>
      <w:r w:rsidR="009337D0">
        <w:rPr>
          <w:b w:val="0"/>
        </w:rPr>
        <w:t>Overall, l</w:t>
      </w:r>
      <w:r w:rsidR="00B6000B">
        <w:rPr>
          <w:b w:val="0"/>
        </w:rPr>
        <w:t xml:space="preserve">onger duration of </w:t>
      </w:r>
      <w:r>
        <w:rPr>
          <w:b w:val="0"/>
        </w:rPr>
        <w:t>menopausal hormone therapy (MHT)</w:t>
      </w:r>
      <w:r w:rsidR="00B52D83">
        <w:rPr>
          <w:b w:val="0"/>
        </w:rPr>
        <w:t xml:space="preserve"> </w:t>
      </w:r>
      <w:r w:rsidR="00B6000B">
        <w:rPr>
          <w:b w:val="0"/>
        </w:rPr>
        <w:t xml:space="preserve">is </w:t>
      </w:r>
      <w:r>
        <w:rPr>
          <w:b w:val="0"/>
        </w:rPr>
        <w:t>linked to increased risk of breast cancer</w:t>
      </w:r>
      <w:r w:rsidR="009337D0">
        <w:rPr>
          <w:b w:val="0"/>
        </w:rPr>
        <w:t xml:space="preserve">. One more year usage of </w:t>
      </w:r>
      <w:r w:rsidR="001254AD">
        <w:rPr>
          <w:b w:val="0"/>
        </w:rPr>
        <w:t xml:space="preserve">combined </w:t>
      </w:r>
      <w:r>
        <w:rPr>
          <w:b w:val="0"/>
        </w:rPr>
        <w:t>MHT</w:t>
      </w:r>
      <w:r w:rsidR="009337D0">
        <w:rPr>
          <w:b w:val="0"/>
        </w:rPr>
        <w:t xml:space="preserve"> </w:t>
      </w:r>
      <w:r>
        <w:rPr>
          <w:rFonts w:hint="eastAsia"/>
          <w:b w:val="0"/>
          <w:lang w:eastAsia="zh-CN"/>
        </w:rPr>
        <w:t>which</w:t>
      </w:r>
      <w:r>
        <w:rPr>
          <w:b w:val="0"/>
          <w:lang w:eastAsia="zh-CN"/>
        </w:rPr>
        <w:t xml:space="preserve"> contains estrogen and </w:t>
      </w:r>
      <w:r w:rsidR="00905B83">
        <w:rPr>
          <w:b w:val="0"/>
          <w:lang w:eastAsia="zh-CN"/>
        </w:rPr>
        <w:t xml:space="preserve">progestin </w:t>
      </w:r>
      <w:r w:rsidR="009337D0">
        <w:rPr>
          <w:b w:val="0"/>
        </w:rPr>
        <w:t>contributes to a</w:t>
      </w:r>
      <w:r>
        <w:rPr>
          <w:b w:val="0"/>
        </w:rPr>
        <w:t>n</w:t>
      </w:r>
      <w:r w:rsidR="009337D0">
        <w:rPr>
          <w:b w:val="0"/>
        </w:rPr>
        <w:t xml:space="preserve"> 8% increase in</w:t>
      </w:r>
      <w:r w:rsidR="00A018FF">
        <w:rPr>
          <w:b w:val="0"/>
        </w:rPr>
        <w:t xml:space="preserve"> </w:t>
      </w:r>
      <w:r w:rsidR="009337D0">
        <w:rPr>
          <w:b w:val="0"/>
        </w:rPr>
        <w:t>the risk of breast cancer</w:t>
      </w:r>
      <w:r>
        <w:rPr>
          <w:b w:val="0"/>
        </w:rPr>
        <w:t xml:space="preserve"> </w:t>
      </w:r>
      <w:r w:rsidR="009337D0">
        <w:rPr>
          <w:b w:val="0"/>
        </w:rPr>
        <w:fldChar w:fldCharType="begin" w:fldLock="1"/>
      </w:r>
      <w:r w:rsidR="00516FFC">
        <w:rPr>
          <w:b w:val="0"/>
        </w:rPr>
        <w:instrText>ADDIN CSL_CITATION { "citationItems" : [ { "id" : "ITEM-1", "itemData" : { "DOI" : "10.1038/sj.bjc.6602617", "ISBN" : "0007-0920 (Print) 0007-0920 (Linking)", "ISSN" : "00070920", "PMID" : "15900297", "abstract" : "Results from the Women's Health Initiative (WHI) trial support findings from observational studies that oestrogen-progestin therapy (EPT) use is associated with an increase in breast cancer risk. We conducted a meta-analysis using EPT-specific results from the Collaborative Group on Hormonal Factors in Breast Cancer (CGHFBC) pooled analysis and studies published since that report to obtain an overview of EPT use and breast cancer risk. We also assessed risk by histologic subtype of breast cancer, by schedule of the progestin component of EPT, and by recency of use. We estimate that overall, EPT results in a 7.6% increase in breast cancer risk per year of use. The risk was statistically significantly lower in US studies than in European studies - 5.2 vs 7.9%. There was a significantly higher risk for continuous-combined than for sequential EPT use in Scandinavian studies where much higher total doses of progestin were used in continuous-combined than in sequential EPT. We observed no overall difference in risk for lobular vs ductal carcinoma but did observe a slightly higher risk for current vs past EPT use.", "author" : [ { "dropping-particle" : "", "family" : "Lee", "given" : "S. A.", "non-dropping-particle" : "", "parse-names" : false, "suffix" : "" }, { "dropping-particle" : "", "family" : "Ross", "given" : "R. K.", "non-dropping-particle" : "", "parse-names" : false, "suffix" : "" }, { "dropping-particle" : "", "family" : "Pike", "given" : "M. C.", "non-dropping-particle" : "", "parse-names" : false, "suffix" : "" } ], "container-title" : "British Journal of Cancer", "id" : "ITEM-1", "issue" : "11", "issued" : { "date-parts" : [ [ "2005" ] ] }, "page" : "2049-2058", "title" : "An overview of menopausal oestrogen-progestin hormone therapy and breast cancer risk", "type" : "article", "volume" : "92" }, "uris" : [ "http://www.mendeley.com/documents/?uuid=e3b78de5-ce4f-45d3-a874-97b8bf5c3af2" ] } ], "mendeley" : { "formattedCitation" : "(Lee, Ross, &amp; Pike, 2005)", "plainTextFormattedCitation" : "(Lee, Ross, &amp; Pike, 2005)", "previouslyFormattedCitation" : "(Lee, Ross, &amp; Pike, 2005)" }, "properties" : {  }, "schema" : "https://github.com/citation-style-language/schema/raw/master/csl-citation.json" }</w:instrText>
      </w:r>
      <w:r w:rsidR="009337D0">
        <w:rPr>
          <w:b w:val="0"/>
        </w:rPr>
        <w:fldChar w:fldCharType="separate"/>
      </w:r>
      <w:r w:rsidR="00F13013" w:rsidRPr="00F13013">
        <w:rPr>
          <w:b w:val="0"/>
          <w:noProof/>
        </w:rPr>
        <w:t>(Lee, Ross, &amp; Pike, 2005)</w:t>
      </w:r>
      <w:r w:rsidR="009337D0">
        <w:rPr>
          <w:b w:val="0"/>
        </w:rPr>
        <w:fldChar w:fldCharType="end"/>
      </w:r>
      <w:r w:rsidR="00A018FF">
        <w:rPr>
          <w:b w:val="0"/>
        </w:rPr>
        <w:t xml:space="preserve">. </w:t>
      </w:r>
      <w:r w:rsidR="00944E79">
        <w:rPr>
          <w:b w:val="0"/>
        </w:rPr>
        <w:t xml:space="preserve">The effect is greater for women with lower BMI </w:t>
      </w:r>
      <w:r w:rsidR="008A41F4">
        <w:rPr>
          <w:b w:val="0"/>
        </w:rPr>
        <w:t xml:space="preserve">compared to women with </w:t>
      </w:r>
      <w:r w:rsidR="00944E79">
        <w:rPr>
          <w:b w:val="0"/>
        </w:rPr>
        <w:t>higher BMI</w:t>
      </w:r>
      <w:r w:rsidR="00905B83">
        <w:rPr>
          <w:b w:val="0"/>
        </w:rPr>
        <w:t xml:space="preserve"> </w:t>
      </w:r>
      <w:r w:rsidR="001D0BB5">
        <w:rPr>
          <w:b w:val="0"/>
        </w:rPr>
        <w:fldChar w:fldCharType="begin" w:fldLock="1"/>
      </w:r>
      <w:r w:rsidR="00516FFC">
        <w:rPr>
          <w:b w:val="0"/>
        </w:rPr>
        <w:instrText>ADDIN CSL_CITATION { "citationItems" : [ { "id" : "ITEM-1", "itemData" : { "DOI" : "10.1016/S0140-6736(97)08233-0", "ISBN" : "0140-6736 (Print)\\n0140-6736 (Linking)", "ISSN" : "01406736", "PMID" : "10213546", "abstract" : "BACKGROUND: The Collaborative Group on Hormonal Factors in Breast Cancer has brought together and reanalysed about 90% of the worldwide epidemiological evidence on the relation between risk of breast cancer and use of hormone replacement therapy (HRT). METHODS: Individual data on 52,705 women with breast cancer and 108,411 women without breast cancer from 51 studies in 21 countries were collected, checked, and analysed centrally. The main analyses are based on 53,865 postmenopausal women with a known age at menopause, of whom 17,830 (33%) had used HRT at some time. The median age at first use was 48 years, and 34% of ever-users had used HRT for 5 years or longer. Estimates of the relative risk of breast cancer associated with the use of HRT were obtained after stratification of all analyses by study, age at diagnosis, time since menopause, body-mass index, parity, and the age a woman was when her first child was born. FINDINGS: Among current users of HRT or those who ceased use 1-4 years previously, the relative risk of having breast cancer diagnosed increased by a factor of 1.023 (95% CI 1.011-1.036; 2p=0.0002) for each year of use; the relative risk was 1.35 (1.21-1.49; 2p=0.00001) for women who had used HRT for 5 years or longer (average duration of use in this group 11 years). This increase is comparable with the effect on breast cancer of delaying menopause, since among never-users of HRT the relative risk of breast cancer increases by a factor of 1.028 (95% CI 1.021-1.034) for each year older at menopause. 5 or more years after cessation of HRT use, there was no significant excess of breast cancer overall or in relation to duration of use. These main findings did not vary between individual studies. Of the many factors examined that might affect the relation between breast cancer risk and use of HRT, only a woman's weight and body-mass index had a material effect: the increase in the relative risk of breast cancer associated with long durations of use in current and recent users was greater for women of lower than of higher weight or body-mass index. There was no marked variation in the results according to hormonal type or dose but little information was available about long durations of use of any specific preparation. Cancers diagnosed in women who had ever used HRT tended to be less advanced clinically than those diagnosed in never-users. In North America and Europe the cumulative incidence of breast cancer between the ages of 50 and 70 in nev\u2026", "author" : [ { "dropping-particle" : "", "family" : "Collaborative Group on Hormonal Factors in Breast Cancer", "given" : "", "non-dropping-particle" : "", "parse-names" : false, "suffix" : "" } ], "container-title" : "The Lancet", "id" : "ITEM-1", "issue" : "9084", "issued" : { "date-parts" : [ [ "1997" ] ] }, "page" : "1047-1059", "title" : "Breast cancer and hormone replacement therapy: collaborative reanalysis of data from 51 epidemiological studies of 52 705 women with breast cancer and 108 411 women without breast cancer", "type" : "article-journal", "volume" : "350" }, "uris" : [ "http://www.mendeley.com/documents/?uuid=cb4a454a-8957-4cda-ba8b-b7ae8c331db0" ] } ], "mendeley" : { "formattedCitation" : "(Collaborative Group on Hormonal Factors in Breast Cancer, 1997b)", "manualFormatting" : "(Collaborative Group on Hormonal Factors in Breast Cancer, 1997)", "plainTextFormattedCitation" : "(Collaborative Group on Hormonal Factors in Breast Cancer, 1997b)", "previouslyFormattedCitation" : "(Collaborative Group on Hormonal Factors in Breast Cancer, 1997b)" }, "properties" : {  }, "schema" : "https://github.com/citation-style-language/schema/raw/master/csl-citation.json" }</w:instrText>
      </w:r>
      <w:r w:rsidR="001D0BB5">
        <w:rPr>
          <w:b w:val="0"/>
        </w:rPr>
        <w:fldChar w:fldCharType="separate"/>
      </w:r>
      <w:r w:rsidR="001D0BB5" w:rsidRPr="001D0BB5">
        <w:rPr>
          <w:b w:val="0"/>
          <w:noProof/>
        </w:rPr>
        <w:t>(Collaborative Group on Hormonal Factors in Breast Can</w:t>
      </w:r>
      <w:r w:rsidR="001D0BB5">
        <w:rPr>
          <w:b w:val="0"/>
          <w:noProof/>
        </w:rPr>
        <w:t>cer, 1997</w:t>
      </w:r>
      <w:r w:rsidR="001D0BB5" w:rsidRPr="001D0BB5">
        <w:rPr>
          <w:b w:val="0"/>
          <w:noProof/>
        </w:rPr>
        <w:t>)</w:t>
      </w:r>
      <w:r w:rsidR="001D0BB5">
        <w:rPr>
          <w:b w:val="0"/>
        </w:rPr>
        <w:fldChar w:fldCharType="end"/>
      </w:r>
      <w:r w:rsidR="00944E79">
        <w:rPr>
          <w:b w:val="0"/>
        </w:rPr>
        <w:t xml:space="preserve">. </w:t>
      </w:r>
      <w:r w:rsidR="00B45468">
        <w:rPr>
          <w:b w:val="0"/>
        </w:rPr>
        <w:t xml:space="preserve">Most of the studies </w:t>
      </w:r>
      <w:r w:rsidR="00905B83">
        <w:rPr>
          <w:b w:val="0"/>
        </w:rPr>
        <w:t>have shown</w:t>
      </w:r>
      <w:r w:rsidR="00B45468">
        <w:rPr>
          <w:b w:val="0"/>
        </w:rPr>
        <w:t xml:space="preserve"> that t</w:t>
      </w:r>
      <w:r w:rsidR="001254AD">
        <w:rPr>
          <w:b w:val="0"/>
        </w:rPr>
        <w:t xml:space="preserve">his </w:t>
      </w:r>
      <w:r w:rsidR="00944E79">
        <w:rPr>
          <w:b w:val="0"/>
        </w:rPr>
        <w:t xml:space="preserve">positive </w:t>
      </w:r>
      <w:r w:rsidR="001254AD">
        <w:rPr>
          <w:b w:val="0"/>
        </w:rPr>
        <w:t xml:space="preserve">association </w:t>
      </w:r>
      <w:r w:rsidR="00905B83">
        <w:rPr>
          <w:b w:val="0"/>
        </w:rPr>
        <w:t>between MHT</w:t>
      </w:r>
      <w:r w:rsidR="00944E79">
        <w:rPr>
          <w:b w:val="0"/>
        </w:rPr>
        <w:t xml:space="preserve"> and </w:t>
      </w:r>
      <w:r w:rsidR="00C46933">
        <w:rPr>
          <w:b w:val="0"/>
        </w:rPr>
        <w:t>risk of developing breast cancer</w:t>
      </w:r>
      <w:r w:rsidR="00944E79">
        <w:rPr>
          <w:b w:val="0"/>
        </w:rPr>
        <w:t xml:space="preserve"> </w:t>
      </w:r>
      <w:r w:rsidR="001254AD">
        <w:rPr>
          <w:b w:val="0"/>
        </w:rPr>
        <w:t>exist</w:t>
      </w:r>
      <w:r w:rsidR="00A67D18">
        <w:rPr>
          <w:b w:val="0"/>
        </w:rPr>
        <w:t>s</w:t>
      </w:r>
      <w:r w:rsidR="001254AD">
        <w:rPr>
          <w:b w:val="0"/>
        </w:rPr>
        <w:t xml:space="preserve"> only among current, long-term continuous </w:t>
      </w:r>
      <w:r>
        <w:rPr>
          <w:b w:val="0"/>
        </w:rPr>
        <w:t xml:space="preserve">users of </w:t>
      </w:r>
      <w:r w:rsidR="00905B83">
        <w:rPr>
          <w:b w:val="0"/>
        </w:rPr>
        <w:t>combined MHT</w:t>
      </w:r>
      <w:r w:rsidR="001254AD">
        <w:rPr>
          <w:b w:val="0"/>
        </w:rPr>
        <w:t xml:space="preserve"> users, </w:t>
      </w:r>
      <w:r w:rsidR="00B45468">
        <w:rPr>
          <w:b w:val="0"/>
        </w:rPr>
        <w:t xml:space="preserve">not in sequential scheduled users or </w:t>
      </w:r>
      <w:r w:rsidR="00905B83">
        <w:rPr>
          <w:b w:val="0"/>
        </w:rPr>
        <w:t xml:space="preserve">those who have been on MHT for </w:t>
      </w:r>
      <w:r w:rsidR="00B45468">
        <w:rPr>
          <w:b w:val="0"/>
        </w:rPr>
        <w:t xml:space="preserve">5 years </w:t>
      </w:r>
      <w:r w:rsidR="00905B83">
        <w:rPr>
          <w:b w:val="0"/>
        </w:rPr>
        <w:t>or longer after cessation of MHT</w:t>
      </w:r>
      <w:r w:rsidR="00B45468">
        <w:rPr>
          <w:b w:val="0"/>
        </w:rPr>
        <w:t xml:space="preserve"> use</w:t>
      </w:r>
      <w:r w:rsidR="00905B83">
        <w:rPr>
          <w:b w:val="0"/>
        </w:rPr>
        <w:t xml:space="preserve"> </w:t>
      </w:r>
      <w:r w:rsidR="00B45468">
        <w:rPr>
          <w:b w:val="0"/>
        </w:rPr>
        <w:fldChar w:fldCharType="begin" w:fldLock="1"/>
      </w:r>
      <w:r w:rsidR="00516FFC">
        <w:rPr>
          <w:b w:val="0"/>
        </w:rPr>
        <w:instrText>ADDIN CSL_CITATION { "citationItems" : [ { "id" : "ITEM-1", "itemData" : { "DOI" : "10.1016/S0140-6736(97)08233-0", "ISBN" : "0140-6736 (Print)\\n0140-6736 (Linking)", "ISSN" : "01406736", "PMID" : "10213546", "abstract" : "BACKGROUND: The Collaborative Group on Hormonal Factors in Breast Cancer has brought together and reanalysed about 90% of the worldwide epidemiological evidence on the relation between risk of breast cancer and use of hormone replacement therapy (HRT). METHODS: Individual data on 52,705 women with breast cancer and 108,411 women without breast cancer from 51 studies in 21 countries were collected, checked, and analysed centrally. The main analyses are based on 53,865 postmenopausal women with a known age at menopause, of whom 17,830 (33%) had used HRT at some time. The median age at first use was 48 years, and 34% of ever-users had used HRT for 5 years or longer. Estimates of the relative risk of breast cancer associated with the use of HRT were obtained after stratification of all analyses by study, age at diagnosis, time since menopause, body-mass index, parity, and the age a woman was when her first child was born. FINDINGS: Among current users of HRT or those who ceased use 1-4 years previously, the relative risk of having breast cancer diagnosed increased by a factor of 1.023 (95% CI 1.011-1.036; 2p=0.0002) for each year of use; the relative risk was 1.35 (1.21-1.49; 2p=0.00001) for women who had used HRT for 5 years or longer (average duration of use in this group 11 years). This increase is comparable with the effect on breast cancer of delaying menopause, since among never-users of HRT the relative risk of breast cancer increases by a factor of 1.028 (95% CI 1.021-1.034) for each year older at menopause. 5 or more years after cessation of HRT use, there was no significant excess of breast cancer overall or in relation to duration of use. These main findings did not vary between individual studies. Of the many factors examined that might affect the relation between breast cancer risk and use of HRT, only a woman's weight and body-mass index had a material effect: the increase in the relative risk of breast cancer associated with long durations of use in current and recent users was greater for women of lower than of higher weight or body-mass index. There was no marked variation in the results according to hormonal type or dose but little information was available about long durations of use of any specific preparation. Cancers diagnosed in women who had ever used HRT tended to be less advanced clinically than those diagnosed in never-users. In North America and Europe the cumulative incidence of breast cancer between the ages of 50 and 70 in nev\u2026", "author" : [ { "dropping-particle" : "", "family" : "Collaborative Group on Hormonal Factors in Breast Cancer", "given" : "", "non-dropping-particle" : "", "parse-names" : false, "suffix" : "" } ], "container-title" : "The Lancet", "id" : "ITEM-1", "issue" : "9084", "issued" : { "date-parts" : [ [ "1997" ] ] }, "page" : "1047-1059", "title" : "Breast cancer and hormone replacement therapy: collaborative reanalysis of data from 51 epidemiological studies of 52 705 women with breast cancer and 108 411 women without breast cancer", "type" : "article-journal", "volume" : "350" }, "uris" : [ "http://www.mendeley.com/documents/?uuid=cb4a454a-8957-4cda-ba8b-b7ae8c331db0" ] }, { "id" : "ITEM-2", "itemData" : { "DOI" : "10.1038/sj.bjc.6602617", "ISBN" : "0007-0920 (Print) 0007-0920 (Linking)", "ISSN" : "00070920", "PMID" : "15900297", "abstract" : "Results from the Women's Health Initiative (WHI) trial support findings from observational studies that oestrogen-progestin therapy (EPT) use is associated with an increase in breast cancer risk. We conducted a meta-analysis using EPT-specific results from the Collaborative Group on Hormonal Factors in Breast Cancer (CGHFBC) pooled analysis and studies published since that report to obtain an overview of EPT use and breast cancer risk. We also assessed risk by histologic subtype of breast cancer, by schedule of the progestin component of EPT, and by recency of use. We estimate that overall, EPT results in a 7.6% increase in breast cancer risk per year of use. The risk was statistically significantly lower in US studies than in European studies - 5.2 vs 7.9%. There was a significantly higher risk for continuous-combined than for sequential EPT use in Scandinavian studies where much higher total doses of progestin were used in continuous-combined than in sequential EPT. We observed no overall difference in risk for lobular vs ductal carcinoma but did observe a slightly higher risk for current vs past EPT use.", "author" : [ { "dropping-particle" : "", "family" : "Lee", "given" : "S. A.", "non-dropping-particle" : "", "parse-names" : false, "suffix" : "" }, { "dropping-particle" : "", "family" : "Ross", "given" : "R. K.", "non-dropping-particle" : "", "parse-names" : false, "suffix" : "" }, { "dropping-particle" : "", "family" : "Pike", "given" : "M. C.", "non-dropping-particle" : "", "parse-names" : false, "suffix" : "" } ], "container-title" : "British Journal of Cancer", "id" : "ITEM-2", "issue" : "11", "issued" : { "date-parts" : [ [ "2005" ] ] }, "page" : "2049-2058", "title" : "An overview of menopausal oestrogen-progestin hormone therapy and breast cancer risk", "type" : "article", "volume" : "92" }, "uris" : [ "http://www.mendeley.com/documents/?uuid=e3b78de5-ce4f-45d3-a874-97b8bf5c3af2" ] } ], "mendeley" : { "formattedCitation" : "(Collaborative Group on Hormonal Factors in Breast Cancer, 1997b; Lee et al., 2005)", "manualFormatting" : "(Collaborative Group on Hormonal Factors in Breast Cancer, 1997; Lee et al., 2005)", "plainTextFormattedCitation" : "(Collaborative Group on Hormonal Factors in Breast Cancer, 1997b; Lee et al., 2005)", "previouslyFormattedCitation" : "(Collaborative Group on Hormonal Factors in Breast Cancer, 1997b; Lee et al., 2005)" }, "properties" : {  }, "schema" : "https://github.com/citation-style-language/schema/raw/master/csl-citation.json" }</w:instrText>
      </w:r>
      <w:r w:rsidR="00B45468">
        <w:rPr>
          <w:b w:val="0"/>
        </w:rPr>
        <w:fldChar w:fldCharType="separate"/>
      </w:r>
      <w:r w:rsidR="00B45468" w:rsidRPr="00B45468">
        <w:rPr>
          <w:b w:val="0"/>
          <w:noProof/>
        </w:rPr>
        <w:t>(Collaborative Group on Hormonal</w:t>
      </w:r>
      <w:r w:rsidR="001D0BB5">
        <w:rPr>
          <w:b w:val="0"/>
          <w:noProof/>
        </w:rPr>
        <w:t xml:space="preserve"> Factors in Breast Cancer, 1997</w:t>
      </w:r>
      <w:r w:rsidR="00B45468" w:rsidRPr="00B45468">
        <w:rPr>
          <w:b w:val="0"/>
          <w:noProof/>
        </w:rPr>
        <w:t>; Lee et al., 2005)</w:t>
      </w:r>
      <w:r w:rsidR="00B45468">
        <w:rPr>
          <w:b w:val="0"/>
        </w:rPr>
        <w:fldChar w:fldCharType="end"/>
      </w:r>
      <w:r w:rsidR="00905B83">
        <w:rPr>
          <w:b w:val="0"/>
        </w:rPr>
        <w:t>. However, more studies</w:t>
      </w:r>
      <w:r w:rsidR="001145E6">
        <w:rPr>
          <w:b w:val="0"/>
        </w:rPr>
        <w:t xml:space="preserve"> are needed</w:t>
      </w:r>
      <w:r w:rsidR="00B45468">
        <w:rPr>
          <w:b w:val="0"/>
        </w:rPr>
        <w:t xml:space="preserve"> </w:t>
      </w:r>
      <w:r w:rsidR="00905B83">
        <w:rPr>
          <w:b w:val="0"/>
        </w:rPr>
        <w:t>to address</w:t>
      </w:r>
      <w:r w:rsidR="00B45468">
        <w:rPr>
          <w:b w:val="0"/>
        </w:rPr>
        <w:t xml:space="preserve"> this question. </w:t>
      </w:r>
      <w:r w:rsidR="00905B83">
        <w:rPr>
          <w:b w:val="0"/>
        </w:rPr>
        <w:t>Although</w:t>
      </w:r>
      <w:r w:rsidR="00874367">
        <w:rPr>
          <w:b w:val="0"/>
        </w:rPr>
        <w:t xml:space="preserve"> t</w:t>
      </w:r>
      <w:r w:rsidR="00A67D18">
        <w:rPr>
          <w:b w:val="0"/>
        </w:rPr>
        <w:t xml:space="preserve">he </w:t>
      </w:r>
      <w:r w:rsidR="00905B83">
        <w:rPr>
          <w:b w:val="0"/>
        </w:rPr>
        <w:t xml:space="preserve">exact </w:t>
      </w:r>
      <w:r w:rsidR="00A67D18">
        <w:rPr>
          <w:b w:val="0"/>
        </w:rPr>
        <w:t>mechanism</w:t>
      </w:r>
      <w:r w:rsidR="00874367">
        <w:rPr>
          <w:b w:val="0"/>
        </w:rPr>
        <w:t xml:space="preserve"> </w:t>
      </w:r>
      <w:r w:rsidR="00CB6934">
        <w:rPr>
          <w:b w:val="0"/>
        </w:rPr>
        <w:t xml:space="preserve">behind </w:t>
      </w:r>
      <w:r w:rsidR="0063369F">
        <w:rPr>
          <w:b w:val="0"/>
        </w:rPr>
        <w:t xml:space="preserve">the association between </w:t>
      </w:r>
      <w:r w:rsidR="00905B83">
        <w:rPr>
          <w:b w:val="0"/>
        </w:rPr>
        <w:t xml:space="preserve">MHT </w:t>
      </w:r>
      <w:r w:rsidR="00CB6934">
        <w:rPr>
          <w:b w:val="0"/>
        </w:rPr>
        <w:t>and</w:t>
      </w:r>
      <w:r w:rsidR="00905B83">
        <w:rPr>
          <w:b w:val="0"/>
        </w:rPr>
        <w:t xml:space="preserve"> </w:t>
      </w:r>
      <w:r w:rsidR="00CB6934">
        <w:rPr>
          <w:b w:val="0"/>
        </w:rPr>
        <w:t xml:space="preserve">risk of </w:t>
      </w:r>
      <w:r w:rsidR="00905B83">
        <w:rPr>
          <w:b w:val="0"/>
        </w:rPr>
        <w:t xml:space="preserve">breast cancer </w:t>
      </w:r>
      <w:r w:rsidR="00874367">
        <w:rPr>
          <w:b w:val="0"/>
        </w:rPr>
        <w:t xml:space="preserve">is not clear, the </w:t>
      </w:r>
      <w:r w:rsidR="003C3E9D">
        <w:rPr>
          <w:b w:val="0"/>
        </w:rPr>
        <w:t xml:space="preserve">enhancement of </w:t>
      </w:r>
      <w:r w:rsidR="00874367">
        <w:rPr>
          <w:b w:val="0"/>
        </w:rPr>
        <w:t xml:space="preserve">cell proliferation </w:t>
      </w:r>
      <w:r w:rsidR="00905B83">
        <w:rPr>
          <w:b w:val="0"/>
        </w:rPr>
        <w:t xml:space="preserve">due to use of </w:t>
      </w:r>
      <w:r w:rsidR="00A67D18">
        <w:rPr>
          <w:b w:val="0"/>
        </w:rPr>
        <w:t xml:space="preserve">progestin and estrogen </w:t>
      </w:r>
      <w:r w:rsidR="00905B83">
        <w:rPr>
          <w:b w:val="0"/>
        </w:rPr>
        <w:t>may</w:t>
      </w:r>
      <w:r w:rsidR="003C3E9D">
        <w:rPr>
          <w:b w:val="0"/>
        </w:rPr>
        <w:t xml:space="preserve"> play an important role in this process</w:t>
      </w:r>
      <w:r>
        <w:rPr>
          <w:b w:val="0"/>
        </w:rPr>
        <w:t xml:space="preserve"> </w:t>
      </w:r>
      <w:r w:rsidR="00944E79">
        <w:rPr>
          <w:b w:val="0"/>
        </w:rPr>
        <w:fldChar w:fldCharType="begin" w:fldLock="1"/>
      </w:r>
      <w:r w:rsidR="00516FFC">
        <w:rPr>
          <w:b w:val="0"/>
        </w:rPr>
        <w:instrText>ADDIN CSL_CITATION { "citationItems" : [ { "id" : "ITEM-1", "itemData" : { "DOI" : "10.1067/mob.2001.110447", "ISBN" : "0002-9378 (Print)", "ISSN" : "00029378", "PMID" : "11228484", "abstract" : "OBJECTIVE: The aim of the study was to analyze the proliferative response of the normal mammary gland to combination hormone replacement therapy with estrogen and progesterone in a murine model of early versus late postmenopausal states. STUDY DESIGN: Ovariectomized mice were injected daily for up to 56 days with estrogen plus progesterone, starling at either 1 or 5 weeks after ovariectomy to simulate early and late menopausal periods, respectively. At various times after treatment, proliferation was analyzed by deoxyribonucleic acid histoautoradiography and whole-mount preparations. The induction of progesterone receptor by estrogen was also analyzed. To distinguish between estrogen- and progesterone-specific responses, we tested the effects of the antiprogesterone mifepristone (RU 486) and the antiestrogen ICI 182,780. RESULTS: The acute response to estrogen-progesterone therapy in the early postmenopausal period resulted in duct-end enlargement, ductal side branching, alveolar bud formation, and a 100-fold increase in epithelial cell proliferation. This was caused by the dominant effect of progesterone acting through the progesterone receptor. In the late postmenopausal period the acute response produced only duct-end enlargement; the 100-fold increase in epithelial cell proliferation resulted from the dominant effect of estrogen. After long-term treatment, both early and late postmenopausal glands exhibited similar morphologic features and a 9-fold higher steady-state proliferation rate than was found in control-treated groups. CONCLUSIONS: Starling combined estrogen and progesterone hormone replacement therapy in either early or late postmenopause produced a persistent, steady-state 9-fold increase in epithelial cell proliferation, which could be a contributing factor to increased breast cancer risk. The acute response in the late postmenopausal period mimics the hormonal response of the pubertal mammary gland, which in rodents is the stage most susceptible to carcinogen-induced mammary tumorigenesis. These observations raise questions about increased susceptibility of the late postmenopausal gland to carcinogenesis and a role for hormone replacement therapy in the promotion of tumorigenesis.", "author" : [ { "dropping-particle" : "", "family" : "Raafat", "given" : "Ahmed M.", "non-dropping-particle" : "", "parse-names" : false, "suffix" : "" }, { "dropping-particle" : "", "family" : "Hofseth", "given" : "Lorne J.", "non-dropping-particle" : "", "parse-names" : false, "suffix" : "" }, { "dropping-particle" : "", "family" : "Haslam", "given" : "Sandra Z.", "non-dropping-particle" : "", "parse-names" : false, "suffix" : "" } ], "container-title" : "American Journal of Obstetrics and Gynecology", "id" : "ITEM-1", "issue" : "3", "issued" : { "date-parts" : [ [ "2001" ] ] }, "page" : "340-349", "title" : "Proliferative effects of combination estrogen and progesterone replacement therapy on the normal postmenopausal mammary gland in a murine model", "type" : "article-journal", "volume" : "184" }, "uris" : [ "http://www.mendeley.com/documents/?uuid=bef3385a-71a9-47c9-8aab-3e8e0924e4b7" ] } ], "mendeley" : { "formattedCitation" : "(Raafat, Hofseth, &amp; Haslam, 2001)", "plainTextFormattedCitation" : "(Raafat, Hofseth, &amp; Haslam, 2001)", "previouslyFormattedCitation" : "(Raafat, Hofseth, &amp; Haslam, 2001)" }, "properties" : {  }, "schema" : "https://github.com/citation-style-language/schema/raw/master/csl-citation.json" }</w:instrText>
      </w:r>
      <w:r w:rsidR="00944E79">
        <w:rPr>
          <w:b w:val="0"/>
        </w:rPr>
        <w:fldChar w:fldCharType="separate"/>
      </w:r>
      <w:r w:rsidR="00F13013" w:rsidRPr="00F13013">
        <w:rPr>
          <w:b w:val="0"/>
          <w:noProof/>
        </w:rPr>
        <w:t>(Raafat, Hofseth, &amp; Haslam, 2001)</w:t>
      </w:r>
      <w:r w:rsidR="00944E79">
        <w:rPr>
          <w:b w:val="0"/>
        </w:rPr>
        <w:fldChar w:fldCharType="end"/>
      </w:r>
      <w:r w:rsidR="003C3E9D">
        <w:rPr>
          <w:b w:val="0"/>
        </w:rPr>
        <w:t>.</w:t>
      </w:r>
      <w:bookmarkEnd w:id="15"/>
      <w:r w:rsidR="003C3E9D">
        <w:rPr>
          <w:b w:val="0"/>
        </w:rPr>
        <w:t xml:space="preserve"> </w:t>
      </w:r>
    </w:p>
    <w:p w:rsidR="00B6000B" w:rsidRDefault="00B6000B" w:rsidP="00B6000B">
      <w:pPr>
        <w:pStyle w:val="Heading3"/>
      </w:pPr>
      <w:bookmarkStart w:id="16" w:name="_Toc509180560"/>
      <w:r>
        <w:t>Lifestyle</w:t>
      </w:r>
      <w:r w:rsidR="00A018FF">
        <w:t xml:space="preserve"> Factors</w:t>
      </w:r>
      <w:bookmarkEnd w:id="16"/>
    </w:p>
    <w:p w:rsidR="00452F5F" w:rsidRDefault="00452F5F" w:rsidP="001B1421">
      <w:pPr>
        <w:pStyle w:val="Heading4"/>
        <w:spacing w:line="360" w:lineRule="auto"/>
        <w:rPr>
          <w:b w:val="0"/>
        </w:rPr>
      </w:pPr>
      <w:bookmarkStart w:id="17" w:name="_Toc509180561"/>
      <w:r>
        <w:t>Alcohol C</w:t>
      </w:r>
      <w:r w:rsidR="00335F48">
        <w:t>onsumption</w:t>
      </w:r>
      <w:r w:rsidR="006A5A5A">
        <w:t xml:space="preserve"> </w:t>
      </w:r>
      <w:r>
        <w:t xml:space="preserve">and Smoking   </w:t>
      </w:r>
      <w:proofErr w:type="gramStart"/>
      <w:r w:rsidR="00287735">
        <w:rPr>
          <w:b w:val="0"/>
        </w:rPr>
        <w:t>A</w:t>
      </w:r>
      <w:proofErr w:type="gramEnd"/>
      <w:r w:rsidR="00287735">
        <w:rPr>
          <w:b w:val="0"/>
        </w:rPr>
        <w:t xml:space="preserve"> </w:t>
      </w:r>
      <w:r w:rsidR="00D43515">
        <w:rPr>
          <w:b w:val="0"/>
        </w:rPr>
        <w:t xml:space="preserve">reanalysis of 53 epidemiological studies </w:t>
      </w:r>
      <w:bookmarkStart w:id="18" w:name="OLE_LINK3"/>
      <w:bookmarkStart w:id="19" w:name="OLE_LINK4"/>
      <w:r w:rsidR="00D43515">
        <w:rPr>
          <w:b w:val="0"/>
        </w:rPr>
        <w:t xml:space="preserve">including 153,582 women </w:t>
      </w:r>
      <w:bookmarkEnd w:id="18"/>
      <w:bookmarkEnd w:id="19"/>
      <w:r w:rsidR="00D43515">
        <w:rPr>
          <w:b w:val="0"/>
        </w:rPr>
        <w:t xml:space="preserve">found a </w:t>
      </w:r>
      <w:r w:rsidR="00287735">
        <w:rPr>
          <w:b w:val="0"/>
        </w:rPr>
        <w:t>l</w:t>
      </w:r>
      <w:r w:rsidR="00EA6E20">
        <w:rPr>
          <w:b w:val="0"/>
        </w:rPr>
        <w:t xml:space="preserve">inear relationship </w:t>
      </w:r>
      <w:r w:rsidR="00D43515">
        <w:rPr>
          <w:b w:val="0"/>
        </w:rPr>
        <w:t>between</w:t>
      </w:r>
      <w:r w:rsidR="00D660D1">
        <w:rPr>
          <w:b w:val="0"/>
        </w:rPr>
        <w:t xml:space="preserve"> </w:t>
      </w:r>
      <w:r w:rsidR="001F1627">
        <w:rPr>
          <w:b w:val="0"/>
        </w:rPr>
        <w:t xml:space="preserve">drinking </w:t>
      </w:r>
      <w:r w:rsidR="00D660D1">
        <w:rPr>
          <w:b w:val="0"/>
        </w:rPr>
        <w:t xml:space="preserve">alcohol </w:t>
      </w:r>
      <w:r w:rsidR="00287735">
        <w:rPr>
          <w:b w:val="0"/>
        </w:rPr>
        <w:t>and</w:t>
      </w:r>
      <w:r w:rsidR="00D43515">
        <w:rPr>
          <w:b w:val="0"/>
        </w:rPr>
        <w:t xml:space="preserve"> breast cancer</w:t>
      </w:r>
      <w:r w:rsidR="001F1627">
        <w:rPr>
          <w:b w:val="0"/>
        </w:rPr>
        <w:t xml:space="preserve"> risk</w:t>
      </w:r>
      <w:r w:rsidR="00D43515">
        <w:rPr>
          <w:b w:val="0"/>
        </w:rPr>
        <w:t>.</w:t>
      </w:r>
      <w:r w:rsidR="00D660D1">
        <w:rPr>
          <w:b w:val="0"/>
        </w:rPr>
        <w:t xml:space="preserve"> </w:t>
      </w:r>
      <w:r w:rsidR="00D43515">
        <w:rPr>
          <w:b w:val="0"/>
        </w:rPr>
        <w:t>T</w:t>
      </w:r>
      <w:r w:rsidR="000252D9">
        <w:rPr>
          <w:b w:val="0"/>
        </w:rPr>
        <w:t xml:space="preserve">he relative risk of breast cancer increases </w:t>
      </w:r>
      <w:r w:rsidR="00287735">
        <w:rPr>
          <w:b w:val="0"/>
        </w:rPr>
        <w:t xml:space="preserve">by </w:t>
      </w:r>
      <w:r w:rsidR="000252D9">
        <w:rPr>
          <w:b w:val="0"/>
        </w:rPr>
        <w:t>7%</w:t>
      </w:r>
      <w:r w:rsidR="00287735">
        <w:rPr>
          <w:b w:val="0"/>
        </w:rPr>
        <w:t xml:space="preserve"> per 10 g higher consumption of alcohol per day </w:t>
      </w:r>
      <w:r w:rsidR="00D76EB6">
        <w:rPr>
          <w:b w:val="0"/>
        </w:rPr>
        <w:fldChar w:fldCharType="begin" w:fldLock="1"/>
      </w:r>
      <w:r w:rsidR="00516FFC">
        <w:rPr>
          <w:b w:val="0"/>
        </w:rPr>
        <w:instrText>ADDIN CSL_CITATION { "citationItems" : [ { "id" : "ITEM-1", "itemData" : { "DOI" : "10.1038/sj.bjc.6600596", "ISBN" : "0007-0920", "ISSN" : "00070920", "PMID" : "2003003636", "abstract" : "The BJC is owned by Cancer Research UK, a charity dedicated to understanding the causes, prevention and treatment of cancer and to making sure that the best new treatments reach patients in the clinic as quickly as possible. The journal reflects these aims. It was founded more than fifty years ago and, from the start, its far-sighted mission was to encourage communication of the very best cancer research from laboratories and clinics in all countries. The breadth of its coverage, its editorial independence and it consistent high standards, have made BJC one of the world's premier general cancer journals. Its increasing popularity is reflected by a steadily rising impact factor.", "author" : [ { "dropping-particle" : "", "family" : "Collaborative Group on Hormonal Factors in Breast Cancer", "given" : "", "non-dropping-particle" : "", "parse-names" : false, "suffix" : "" } ], "container-title" : "British Journal of Cancer", "id" : "ITEM-1", "issue" : "11", "issued" : { "date-parts" : [ [ "2002" ] ] }, "page" : "1234-1245", "title" : "Alcohol, tobacco and breast cancer - Collaborative reanalysis of individual data from 53 epidemiological studies, including 58 515 women with breast cancer and 95 067 women without the disease", "type" : "article-journal", "volume" : "87" }, "uris" : [ "http://www.mendeley.com/documents/?uuid=f073c0f7-5d7e-4bd9-9209-f516b6038477" ] } ], "mendeley" : { "formattedCitation" : "(Collaborative Group on Hormonal Factors in Breast Cancer, 2002)", "plainTextFormattedCitation" : "(Collaborative Group on Hormonal Factors in Breast Cancer, 2002)", "previouslyFormattedCitation" : "(Collaborative Group on Hormonal Factors in Breast Cancer, 2002)" }, "properties" : {  }, "schema" : "https://github.com/citation-style-language/schema/raw/master/csl-citation.json" }</w:instrText>
      </w:r>
      <w:r w:rsidR="00D76EB6">
        <w:rPr>
          <w:b w:val="0"/>
        </w:rPr>
        <w:fldChar w:fldCharType="separate"/>
      </w:r>
      <w:r w:rsidR="00F13013" w:rsidRPr="00F13013">
        <w:rPr>
          <w:b w:val="0"/>
          <w:noProof/>
        </w:rPr>
        <w:t>(Collaborative Group on Hormonal Factors in Breast Cancer, 2002)</w:t>
      </w:r>
      <w:r w:rsidR="00D76EB6">
        <w:rPr>
          <w:b w:val="0"/>
        </w:rPr>
        <w:fldChar w:fldCharType="end"/>
      </w:r>
      <w:r w:rsidR="000252D9">
        <w:rPr>
          <w:b w:val="0"/>
        </w:rPr>
        <w:t xml:space="preserve">. </w:t>
      </w:r>
      <w:r w:rsidR="00D76EB6">
        <w:rPr>
          <w:b w:val="0"/>
        </w:rPr>
        <w:t xml:space="preserve">As alcohol </w:t>
      </w:r>
      <w:r w:rsidR="00287735">
        <w:rPr>
          <w:b w:val="0"/>
        </w:rPr>
        <w:t xml:space="preserve">drinking </w:t>
      </w:r>
      <w:r w:rsidR="00D76EB6">
        <w:rPr>
          <w:b w:val="0"/>
        </w:rPr>
        <w:t xml:space="preserve">and </w:t>
      </w:r>
      <w:r w:rsidR="00287735">
        <w:rPr>
          <w:b w:val="0"/>
        </w:rPr>
        <w:t xml:space="preserve">cigarette </w:t>
      </w:r>
      <w:r w:rsidR="00D76EB6">
        <w:rPr>
          <w:b w:val="0"/>
        </w:rPr>
        <w:t xml:space="preserve">smoking are highly </w:t>
      </w:r>
      <w:r w:rsidR="00287735">
        <w:rPr>
          <w:b w:val="0"/>
        </w:rPr>
        <w:t>correlated</w:t>
      </w:r>
      <w:r w:rsidR="00D76EB6">
        <w:rPr>
          <w:b w:val="0"/>
        </w:rPr>
        <w:t xml:space="preserve"> with each other, </w:t>
      </w:r>
      <w:r w:rsidR="00F639C0">
        <w:rPr>
          <w:b w:val="0"/>
        </w:rPr>
        <w:t xml:space="preserve">the study also stratified the participants by smoking status </w:t>
      </w:r>
      <w:r w:rsidR="00D76EB6">
        <w:rPr>
          <w:b w:val="0"/>
        </w:rPr>
        <w:t xml:space="preserve">to eliminate potential confounding </w:t>
      </w:r>
      <w:r w:rsidR="00F639C0">
        <w:rPr>
          <w:b w:val="0"/>
        </w:rPr>
        <w:t>effects</w:t>
      </w:r>
      <w:r w:rsidR="00D76EB6">
        <w:rPr>
          <w:b w:val="0"/>
        </w:rPr>
        <w:t xml:space="preserve"> of </w:t>
      </w:r>
      <w:r w:rsidR="00F639C0">
        <w:rPr>
          <w:b w:val="0"/>
        </w:rPr>
        <w:t xml:space="preserve">cigarette </w:t>
      </w:r>
      <w:r w:rsidR="00D76EB6">
        <w:rPr>
          <w:b w:val="0"/>
        </w:rPr>
        <w:t>smoking.</w:t>
      </w:r>
      <w:r w:rsidR="001B1421">
        <w:rPr>
          <w:b w:val="0"/>
        </w:rPr>
        <w:t xml:space="preserve"> </w:t>
      </w:r>
      <w:r w:rsidR="00D76EB6">
        <w:rPr>
          <w:b w:val="0"/>
        </w:rPr>
        <w:t>H</w:t>
      </w:r>
      <w:r w:rsidR="001B1421">
        <w:rPr>
          <w:b w:val="0"/>
        </w:rPr>
        <w:t>owever, the relationship remain</w:t>
      </w:r>
      <w:r w:rsidR="001461FC">
        <w:rPr>
          <w:b w:val="0"/>
        </w:rPr>
        <w:t>ed</w:t>
      </w:r>
      <w:r w:rsidR="001B1421">
        <w:rPr>
          <w:b w:val="0"/>
        </w:rPr>
        <w:t xml:space="preserve"> the same between alcohol consumption and </w:t>
      </w:r>
      <w:r w:rsidR="00AF38EB">
        <w:rPr>
          <w:b w:val="0"/>
        </w:rPr>
        <w:t xml:space="preserve">risk of </w:t>
      </w:r>
      <w:r w:rsidR="001B1421">
        <w:rPr>
          <w:b w:val="0"/>
        </w:rPr>
        <w:t xml:space="preserve">breast cancer in both </w:t>
      </w:r>
      <w:r w:rsidR="004A3DB2">
        <w:rPr>
          <w:b w:val="0"/>
        </w:rPr>
        <w:t>ever-smokers and never</w:t>
      </w:r>
      <w:r w:rsidR="001B1421">
        <w:rPr>
          <w:b w:val="0"/>
        </w:rPr>
        <w:t>-smokers</w:t>
      </w:r>
      <w:r w:rsidR="001461FC">
        <w:rPr>
          <w:b w:val="0"/>
        </w:rPr>
        <w:t xml:space="preserve"> </w:t>
      </w:r>
      <w:r w:rsidR="00D76EB6">
        <w:rPr>
          <w:b w:val="0"/>
        </w:rPr>
        <w:fldChar w:fldCharType="begin" w:fldLock="1"/>
      </w:r>
      <w:r w:rsidR="00516FFC">
        <w:rPr>
          <w:b w:val="0"/>
        </w:rPr>
        <w:instrText>ADDIN CSL_CITATION { "citationItems" : [ { "id" : "ITEM-1", "itemData" : { "DOI" : "10.1038/sj.bjc.6600596", "ISBN" : "0007-0920", "ISSN" : "00070920", "PMID" : "2003003636", "abstract" : "The BJC is owned by Cancer Research UK, a charity dedicated to understanding the causes, prevention and treatment of cancer and to making sure that the best new treatments reach patients in the clinic as quickly as possible. The journal reflects these aims. It was founded more than fifty years ago and, from the start, its far-sighted mission was to encourage communication of the very best cancer research from laboratories and clinics in all countries. The breadth of its coverage, its editorial independence and it consistent high standards, have made BJC one of the world's premier general cancer journals. Its increasing popularity is reflected by a steadily rising impact factor.", "author" : [ { "dropping-particle" : "", "family" : "Collaborative Group on Hormonal Factors in Breast Cancer", "given" : "", "non-dropping-particle" : "", "parse-names" : false, "suffix" : "" } ], "container-title" : "British Journal of Cancer", "id" : "ITEM-1", "issue" : "11", "issued" : { "date-parts" : [ [ "2002" ] ] }, "page" : "1234-1245", "title" : "Alcohol, tobacco and breast cancer - Collaborative reanalysis of individual data from 53 epidemiological studies, including 58 515 women with breast cancer and 95 067 women without the disease", "type" : "article-journal", "volume" : "87" }, "uris" : [ "http://www.mendeley.com/documents/?uuid=f073c0f7-5d7e-4bd9-9209-f516b6038477" ] } ], "mendeley" : { "formattedCitation" : "(Collaborative Group on Hormonal Factors in Breast Cancer, 2002)", "plainTextFormattedCitation" : "(Collaborative Group on Hormonal Factors in Breast Cancer, 2002)", "previouslyFormattedCitation" : "(Collaborative Group on Hormonal Factors in Breast Cancer, 2002)" }, "properties" : {  }, "schema" : "https://github.com/citation-style-language/schema/raw/master/csl-citation.json" }</w:instrText>
      </w:r>
      <w:r w:rsidR="00D76EB6">
        <w:rPr>
          <w:b w:val="0"/>
        </w:rPr>
        <w:fldChar w:fldCharType="separate"/>
      </w:r>
      <w:r w:rsidR="00F13013" w:rsidRPr="00F13013">
        <w:rPr>
          <w:b w:val="0"/>
          <w:noProof/>
        </w:rPr>
        <w:t>(Collaborative Group on Hormonal Factors in Breast Cancer, 2002)</w:t>
      </w:r>
      <w:r w:rsidR="00D76EB6">
        <w:rPr>
          <w:b w:val="0"/>
        </w:rPr>
        <w:fldChar w:fldCharType="end"/>
      </w:r>
      <w:r w:rsidR="001B1421">
        <w:rPr>
          <w:b w:val="0"/>
        </w:rPr>
        <w:t>.</w:t>
      </w:r>
      <w:bookmarkEnd w:id="17"/>
      <w:r w:rsidR="001B1421">
        <w:rPr>
          <w:b w:val="0"/>
        </w:rPr>
        <w:t xml:space="preserve"> </w:t>
      </w:r>
    </w:p>
    <w:p w:rsidR="004A7592" w:rsidRDefault="00EA2FA8" w:rsidP="00EA2FA8">
      <w:pPr>
        <w:spacing w:line="360" w:lineRule="auto"/>
        <w:rPr>
          <w:rFonts w:cs="Arial"/>
          <w:iCs/>
        </w:rPr>
      </w:pPr>
      <w:r>
        <w:rPr>
          <w:rFonts w:cs="Arial"/>
          <w:iCs/>
        </w:rPr>
        <w:t xml:space="preserve">Based on a </w:t>
      </w:r>
      <w:r w:rsidR="00CF4F77">
        <w:rPr>
          <w:rFonts w:cs="Arial"/>
          <w:iCs/>
        </w:rPr>
        <w:t>literature review</w:t>
      </w:r>
      <w:r>
        <w:rPr>
          <w:rFonts w:cs="Arial"/>
          <w:iCs/>
        </w:rPr>
        <w:t xml:space="preserve">, tobacco </w:t>
      </w:r>
      <w:r w:rsidR="001461FC">
        <w:rPr>
          <w:rFonts w:cs="Arial"/>
          <w:iCs/>
        </w:rPr>
        <w:t xml:space="preserve">smoking </w:t>
      </w:r>
      <w:r>
        <w:rPr>
          <w:rFonts w:cs="Arial"/>
          <w:iCs/>
        </w:rPr>
        <w:t xml:space="preserve">might not increase the risk of breast cancer, except for long-term </w:t>
      </w:r>
      <w:r w:rsidR="00563C1B">
        <w:rPr>
          <w:rFonts w:cs="Arial"/>
          <w:iCs/>
        </w:rPr>
        <w:t>duration of smoking and heavy smoking before first live birth</w:t>
      </w:r>
      <w:r w:rsidR="001461FC">
        <w:rPr>
          <w:rFonts w:cs="Arial"/>
          <w:iCs/>
        </w:rPr>
        <w:t xml:space="preserve"> </w:t>
      </w:r>
      <w:r w:rsidR="00CF4F77">
        <w:rPr>
          <w:rFonts w:cs="Arial"/>
          <w:iCs/>
        </w:rPr>
        <w:fldChar w:fldCharType="begin" w:fldLock="1"/>
      </w:r>
      <w:r w:rsidR="00516FFC">
        <w:rPr>
          <w:rFonts w:cs="Arial"/>
          <w:iCs/>
        </w:rPr>
        <w:instrText>ADDIN CSL_CITATION { "citationItems" : [ { "id" : "ITEM-1", "itemData" : { "ISSN" : "1055-9965", "PMID" : "12376493", "abstract" : "Animal experiments and in vitro studies have shown that compounds found in tobacco smoke, such as polycyclic hydrocarbons, aromatic amines, and N-nitrosamines, may induce mammary tumors. The findings of smoking-specific DNA adducts and p53 gene mutations in the breast tissue of smokers also support the biological plausibility of a positive association between cigarette smoking and breast cancer, as does the detection of carcinogenic activity in breast fluid. However, epidemiological studies conducted over the past few decades have variably shown positive, inverse, or null associations. To help reconcile the discrepant findings, epidemiologists have paid increasing attention to measures of exposure to tobacco smoke that might be of the greatest etiological importance, to aspects of the smoker that might modify the association between smoking and breast cancer risk, and to the potentially different associations that might exist with different types of breast tumors, such as those with and without estrogen or progesterone receptors. Overall, the results of these studies suggest that smoking probably does not decrease the risk and indeed suggest that there may be an increased breast cancer risk with smoking of long duration, smoking before a first full-term pregnancy, and passive smoking. These findings require confirmation in future studies, as do suggestions of increased risk among women with certain genotypes.", "author" : [ { "dropping-particle" : "", "family" : "Terry", "given" : "Paul D", "non-dropping-particle" : "", "parse-names" : false, "suffix" : "" }, { "dropping-particle" : "", "family" : "Rohan", "given" : "Thomas E", "non-dropping-particle" : "", "parse-names" : false, "suffix" : "" } ], "container-title" : "Cancer epidemiology, biomarkers &amp; prevention : a publication of the American Association for Cancer Research, cosponsored by the American Society of Preventive Oncology", "id" : "ITEM-1", "issue" : "10 Pt 1", "issued" : { "date-parts" : [ [ "2002" ] ] }, "page" : "953-71", "title" : "Cigarette Smoking and the Risk of Breast Cancer in Women: a Review of the Literature.", "type" : "article-journal", "volume" : "11" }, "uris" : [ "http://www.mendeley.com/documents/?uuid=a49a2eb5-5230-47d8-bde6-eedf1a90b4bd" ] } ], "mendeley" : { "formattedCitation" : "(Terry &amp; Rohan, 2002)", "plainTextFormattedCitation" : "(Terry &amp; Rohan, 2002)", "previouslyFormattedCitation" : "(Terry &amp; Rohan, 2002)" }, "properties" : {  }, "schema" : "https://github.com/citation-style-language/schema/raw/master/csl-citation.json" }</w:instrText>
      </w:r>
      <w:r w:rsidR="00CF4F77">
        <w:rPr>
          <w:rFonts w:cs="Arial"/>
          <w:iCs/>
        </w:rPr>
        <w:fldChar w:fldCharType="separate"/>
      </w:r>
      <w:r w:rsidR="00F13013" w:rsidRPr="00F13013">
        <w:rPr>
          <w:rFonts w:cs="Arial"/>
          <w:iCs/>
          <w:noProof/>
        </w:rPr>
        <w:t xml:space="preserve">(Terry &amp; </w:t>
      </w:r>
      <w:r w:rsidR="00F13013" w:rsidRPr="00F13013">
        <w:rPr>
          <w:rFonts w:cs="Arial"/>
          <w:iCs/>
          <w:noProof/>
        </w:rPr>
        <w:lastRenderedPageBreak/>
        <w:t>Rohan, 2002)</w:t>
      </w:r>
      <w:r w:rsidR="00CF4F77">
        <w:rPr>
          <w:rFonts w:cs="Arial"/>
          <w:iCs/>
        </w:rPr>
        <w:fldChar w:fldCharType="end"/>
      </w:r>
      <w:r w:rsidR="00563C1B">
        <w:rPr>
          <w:rFonts w:cs="Arial"/>
          <w:iCs/>
        </w:rPr>
        <w:t xml:space="preserve">. The relationship is confounded by alcohol consumption, as most studies </w:t>
      </w:r>
      <w:r w:rsidR="00C21008">
        <w:rPr>
          <w:rFonts w:cs="Arial"/>
          <w:iCs/>
        </w:rPr>
        <w:t xml:space="preserve">have not been successful in detecting </w:t>
      </w:r>
      <w:r w:rsidR="00563C1B">
        <w:rPr>
          <w:rFonts w:cs="Arial"/>
          <w:iCs/>
        </w:rPr>
        <w:t xml:space="preserve">a significant relationship </w:t>
      </w:r>
      <w:r w:rsidR="00C21008">
        <w:rPr>
          <w:rFonts w:cs="Arial"/>
          <w:iCs/>
        </w:rPr>
        <w:t xml:space="preserve">between tobacco smoking and </w:t>
      </w:r>
      <w:r w:rsidR="00EA1A0F">
        <w:rPr>
          <w:rFonts w:cs="Arial"/>
          <w:iCs/>
        </w:rPr>
        <w:t xml:space="preserve">risk of </w:t>
      </w:r>
      <w:r w:rsidR="00C21008">
        <w:rPr>
          <w:rFonts w:cs="Arial"/>
          <w:iCs/>
        </w:rPr>
        <w:t>breast cancer after adjustment</w:t>
      </w:r>
      <w:r w:rsidR="00563C1B">
        <w:rPr>
          <w:rFonts w:cs="Arial"/>
          <w:iCs/>
        </w:rPr>
        <w:t xml:space="preserve"> for </w:t>
      </w:r>
      <w:r w:rsidR="001461FC">
        <w:rPr>
          <w:rFonts w:cs="Arial"/>
          <w:iCs/>
        </w:rPr>
        <w:t xml:space="preserve">alcohol </w:t>
      </w:r>
      <w:r w:rsidR="00563C1B">
        <w:rPr>
          <w:rFonts w:cs="Arial"/>
          <w:iCs/>
        </w:rPr>
        <w:t>drinking status</w:t>
      </w:r>
      <w:r w:rsidR="0006424C">
        <w:rPr>
          <w:rFonts w:cs="Arial"/>
          <w:iCs/>
        </w:rPr>
        <w:t xml:space="preserve"> </w:t>
      </w:r>
      <w:r w:rsidR="00CF4F77">
        <w:rPr>
          <w:rFonts w:cs="Arial"/>
          <w:iCs/>
        </w:rPr>
        <w:fldChar w:fldCharType="begin" w:fldLock="1"/>
      </w:r>
      <w:r w:rsidR="00516FFC">
        <w:rPr>
          <w:rFonts w:cs="Arial"/>
          <w:iCs/>
        </w:rPr>
        <w:instrText>ADDIN CSL_CITATION { "citationItems" : [ { "id" : "ITEM-1", "itemData" : { "DOI" : "10.1007/s10911-012-9269-x", "ISBN" : "1573-7039 (Electronic)\\r1083-3021 (Linking)", "ISSN" : "10833021", "PMID" : "16115170", "abstract" : "The potential role of smoking in breast cancer risk has been the subject of over 100 publications, numerous scientific reviews, and animated debate. Tobacco exposure is a well-established cause of lung cancer, and is thought to account for nearly one third of all cancer deaths. Tobacco smoke contains thousands of chemicals, many of which are known to be mammary carcinogens. Although not initially thought to be a tobacco-related cancer, over the last several decades evidence has been accumulating on the role of both active smoking and secondhand smoking in the etiology of breast cancer. The human health evidence has been systematically evaluated not only by several independent researchers but also by several expert agency panels including those of the U.S. Surgeon General, the International Agency for Research on Cancer, the California Environmental Protection Agency, and a coalition of Canadian health agencies. Although the assessments have varied with time and across reviewers, the most recent weight of the evidence has suggested a potentially casual role for active smoking and breast cancer, particularly for long-term heavy smoking and smoking initiation at an early age. The role of secondhand smoking and breast cancer is less clear, although there has been some suggestion for an increased risk for premenopausal breast cancer. Recent studies evaluating the possible modifying role of polymorphisms in genes involved in the metabolism of tobacco products, particularly NAT2, have contributed another dimension to these assessments, although to date that evidence remains equivocal.", "author" : [ { "dropping-particle" : "", "family" : "Reynolds", "given" : "Peggy", "non-dropping-particle" : "", "parse-names" : false, "suffix" : "" } ], "container-title" : "Journal of Mammary Gland Biology and Neoplasia", "id" : "ITEM-1", "issue" : "1", "issued" : { "date-parts" : [ [ "2013" ] ] }, "page" : "15-23", "title" : "Smoking and breast cancer", "type" : "article", "volume" : "18" }, "uris" : [ "http://www.mendeley.com/documents/?uuid=0e1ca45f-399a-49b2-acfd-c2135e85bf74" ] } ], "mendeley" : { "formattedCitation" : "(Reynolds, 2013)", "plainTextFormattedCitation" : "(Reynolds, 2013)", "previouslyFormattedCitation" : "(Reynolds, 2013)" }, "properties" : {  }, "schema" : "https://github.com/citation-style-language/schema/raw/master/csl-citation.json" }</w:instrText>
      </w:r>
      <w:r w:rsidR="00CF4F77">
        <w:rPr>
          <w:rFonts w:cs="Arial"/>
          <w:iCs/>
        </w:rPr>
        <w:fldChar w:fldCharType="separate"/>
      </w:r>
      <w:r w:rsidR="00F13013" w:rsidRPr="00F13013">
        <w:rPr>
          <w:rFonts w:cs="Arial"/>
          <w:iCs/>
          <w:noProof/>
        </w:rPr>
        <w:t>(Reynolds, 2013)</w:t>
      </w:r>
      <w:r w:rsidR="00CF4F77">
        <w:rPr>
          <w:rFonts w:cs="Arial"/>
          <w:iCs/>
        </w:rPr>
        <w:fldChar w:fldCharType="end"/>
      </w:r>
      <w:r w:rsidR="00563C1B">
        <w:rPr>
          <w:rFonts w:cs="Arial"/>
          <w:iCs/>
        </w:rPr>
        <w:t xml:space="preserve">. </w:t>
      </w:r>
      <w:r w:rsidR="00C21008">
        <w:rPr>
          <w:rFonts w:cs="Arial"/>
          <w:iCs/>
        </w:rPr>
        <w:t>Obviously, m</w:t>
      </w:r>
      <w:r w:rsidR="00563C1B">
        <w:rPr>
          <w:rFonts w:cs="Arial"/>
          <w:iCs/>
        </w:rPr>
        <w:t xml:space="preserve">ore investigations with </w:t>
      </w:r>
      <w:r w:rsidR="00CF4F77">
        <w:rPr>
          <w:rFonts w:cs="Arial"/>
          <w:iCs/>
        </w:rPr>
        <w:t>large</w:t>
      </w:r>
      <w:r w:rsidR="00C21008">
        <w:rPr>
          <w:rFonts w:cs="Arial"/>
          <w:iCs/>
        </w:rPr>
        <w:t>r</w:t>
      </w:r>
      <w:r w:rsidR="00CF4F77">
        <w:rPr>
          <w:rFonts w:cs="Arial"/>
          <w:iCs/>
        </w:rPr>
        <w:t xml:space="preserve"> </w:t>
      </w:r>
      <w:r w:rsidR="001461FC">
        <w:rPr>
          <w:rFonts w:cs="Arial"/>
          <w:iCs/>
        </w:rPr>
        <w:t>sample sizes</w:t>
      </w:r>
      <w:r w:rsidR="00CF4F77">
        <w:rPr>
          <w:rFonts w:cs="Arial"/>
          <w:iCs/>
        </w:rPr>
        <w:t xml:space="preserve"> and </w:t>
      </w:r>
      <w:r w:rsidR="00C21008">
        <w:rPr>
          <w:rFonts w:cs="Arial"/>
          <w:iCs/>
        </w:rPr>
        <w:t>validated assessment of exposure</w:t>
      </w:r>
      <w:r w:rsidR="00CF4F77">
        <w:rPr>
          <w:rFonts w:cs="Arial"/>
          <w:iCs/>
        </w:rPr>
        <w:t xml:space="preserve"> </w:t>
      </w:r>
      <w:r w:rsidR="00563C1B">
        <w:rPr>
          <w:rFonts w:cs="Arial"/>
          <w:iCs/>
        </w:rPr>
        <w:t xml:space="preserve">are required </w:t>
      </w:r>
      <w:r w:rsidR="00C21008">
        <w:rPr>
          <w:rFonts w:cs="Arial"/>
          <w:iCs/>
        </w:rPr>
        <w:t>to unravel this associat</w:t>
      </w:r>
      <w:r w:rsidR="00474EE6">
        <w:rPr>
          <w:rFonts w:cs="Arial"/>
          <w:iCs/>
        </w:rPr>
        <w:t>i</w:t>
      </w:r>
      <w:r w:rsidR="00C21008">
        <w:rPr>
          <w:rFonts w:cs="Arial"/>
          <w:iCs/>
        </w:rPr>
        <w:t>on</w:t>
      </w:r>
      <w:r w:rsidR="00CF4F77">
        <w:rPr>
          <w:rFonts w:cs="Arial"/>
          <w:iCs/>
        </w:rPr>
        <w:t xml:space="preserve">. </w:t>
      </w:r>
    </w:p>
    <w:p w:rsidR="00452F5F" w:rsidRDefault="00DB4496" w:rsidP="003758DE">
      <w:pPr>
        <w:pStyle w:val="Heading4"/>
        <w:spacing w:line="360" w:lineRule="auto"/>
        <w:rPr>
          <w:b w:val="0"/>
        </w:rPr>
      </w:pPr>
      <w:bookmarkStart w:id="20" w:name="_Toc509180562"/>
      <w:r>
        <w:t xml:space="preserve">Physical Activity   </w:t>
      </w:r>
      <w:r w:rsidRPr="003F2CFA">
        <w:rPr>
          <w:b w:val="0"/>
        </w:rPr>
        <w:t>Numerous epidemiologic</w:t>
      </w:r>
      <w:r w:rsidR="00C21008">
        <w:rPr>
          <w:b w:val="0"/>
        </w:rPr>
        <w:t>al studies</w:t>
      </w:r>
      <w:r w:rsidRPr="003F2CFA">
        <w:rPr>
          <w:b w:val="0"/>
        </w:rPr>
        <w:t xml:space="preserve"> </w:t>
      </w:r>
      <w:r w:rsidR="000142C6" w:rsidRPr="003F2CFA">
        <w:rPr>
          <w:b w:val="0"/>
        </w:rPr>
        <w:t xml:space="preserve">have </w:t>
      </w:r>
      <w:r w:rsidR="00BC1E50" w:rsidRPr="003F2CFA">
        <w:rPr>
          <w:b w:val="0"/>
        </w:rPr>
        <w:t xml:space="preserve">provided </w:t>
      </w:r>
      <w:r w:rsidR="000142C6" w:rsidRPr="003F2CFA">
        <w:rPr>
          <w:b w:val="0"/>
        </w:rPr>
        <w:t>convincing evidence</w:t>
      </w:r>
      <w:r w:rsidR="00C21008">
        <w:rPr>
          <w:b w:val="0"/>
        </w:rPr>
        <w:t xml:space="preserve"> that physical activity</w:t>
      </w:r>
      <w:r w:rsidRPr="003F2CFA">
        <w:rPr>
          <w:b w:val="0"/>
        </w:rPr>
        <w:t xml:space="preserve"> </w:t>
      </w:r>
      <w:r w:rsidR="00166765" w:rsidRPr="003F2CFA">
        <w:rPr>
          <w:b w:val="0"/>
        </w:rPr>
        <w:t xml:space="preserve">is associated with </w:t>
      </w:r>
      <w:r w:rsidR="00C21008">
        <w:rPr>
          <w:b w:val="0"/>
        </w:rPr>
        <w:t xml:space="preserve">a </w:t>
      </w:r>
      <w:r w:rsidR="00166765" w:rsidRPr="003F2CFA">
        <w:rPr>
          <w:b w:val="0"/>
        </w:rPr>
        <w:t>decreased risk of breast cancer</w:t>
      </w:r>
      <w:r w:rsidR="009D4C83" w:rsidRPr="003F2CFA">
        <w:rPr>
          <w:b w:val="0"/>
        </w:rPr>
        <w:t xml:space="preserve">, especially </w:t>
      </w:r>
      <w:bookmarkStart w:id="21" w:name="OLE_LINK7"/>
      <w:bookmarkStart w:id="22" w:name="OLE_LINK8"/>
      <w:r w:rsidR="0091668D">
        <w:rPr>
          <w:rFonts w:hint="eastAsia"/>
          <w:b w:val="0"/>
          <w:lang w:eastAsia="zh-CN"/>
        </w:rPr>
        <w:t>among</w:t>
      </w:r>
      <w:r w:rsidR="0091668D">
        <w:rPr>
          <w:b w:val="0"/>
          <w:lang w:eastAsia="zh-CN"/>
        </w:rPr>
        <w:t xml:space="preserve"> </w:t>
      </w:r>
      <w:r w:rsidR="0091668D" w:rsidRPr="003F2CFA">
        <w:rPr>
          <w:b w:val="0"/>
        </w:rPr>
        <w:t>women</w:t>
      </w:r>
      <w:r w:rsidR="0091668D" w:rsidRPr="003F2CFA">
        <w:rPr>
          <w:rFonts w:hint="eastAsia"/>
          <w:b w:val="0"/>
          <w:lang w:eastAsia="zh-CN"/>
        </w:rPr>
        <w:t xml:space="preserve"> </w:t>
      </w:r>
      <w:r w:rsidR="00581818">
        <w:rPr>
          <w:b w:val="0"/>
          <w:lang w:eastAsia="zh-CN"/>
        </w:rPr>
        <w:t xml:space="preserve">who are premenopausal </w:t>
      </w:r>
      <w:r w:rsidR="0091668D">
        <w:rPr>
          <w:b w:val="0"/>
          <w:lang w:eastAsia="zh-CN"/>
        </w:rPr>
        <w:t>and</w:t>
      </w:r>
      <w:r w:rsidR="009D4C83" w:rsidRPr="003F2CFA">
        <w:rPr>
          <w:b w:val="0"/>
        </w:rPr>
        <w:t xml:space="preserve"> </w:t>
      </w:r>
      <w:r w:rsidR="0091668D">
        <w:rPr>
          <w:b w:val="0"/>
        </w:rPr>
        <w:t xml:space="preserve">who have been diagnosed with </w:t>
      </w:r>
      <w:r w:rsidR="00C21008" w:rsidRPr="003F2CFA">
        <w:rPr>
          <w:b w:val="0"/>
        </w:rPr>
        <w:t>estrogen and progesterone receptor</w:t>
      </w:r>
      <w:r w:rsidR="0091668D">
        <w:rPr>
          <w:b w:val="0"/>
        </w:rPr>
        <w:t>-negative breast cancer</w:t>
      </w:r>
      <w:bookmarkEnd w:id="21"/>
      <w:bookmarkEnd w:id="22"/>
      <w:r w:rsidR="000142C6" w:rsidRPr="003F2CFA">
        <w:rPr>
          <w:b w:val="0"/>
        </w:rPr>
        <w:t xml:space="preserve">. According to a meta-analysis of 31 studies, </w:t>
      </w:r>
      <w:r w:rsidR="003F2CFA">
        <w:rPr>
          <w:b w:val="0"/>
        </w:rPr>
        <w:t xml:space="preserve">the </w:t>
      </w:r>
      <w:r w:rsidR="00041CA1">
        <w:rPr>
          <w:b w:val="0"/>
        </w:rPr>
        <w:t xml:space="preserve">overall </w:t>
      </w:r>
      <w:r w:rsidR="003F2CFA">
        <w:rPr>
          <w:b w:val="0"/>
        </w:rPr>
        <w:t xml:space="preserve">relative risk </w:t>
      </w:r>
      <w:r w:rsidR="00041CA1">
        <w:rPr>
          <w:b w:val="0"/>
        </w:rPr>
        <w:t xml:space="preserve">of all types of breast cancer decreases </w:t>
      </w:r>
      <w:r w:rsidR="003F2CFA">
        <w:rPr>
          <w:b w:val="0"/>
        </w:rPr>
        <w:t>14% and 3% for women who have rigorous and moderate intensity of activity, respectively</w:t>
      </w:r>
      <w:r w:rsidR="00041CA1">
        <w:rPr>
          <w:b w:val="0"/>
        </w:rPr>
        <w:t xml:space="preserve">, regardless of their menopausal status </w:t>
      </w:r>
      <w:r w:rsidR="003F2CFA">
        <w:rPr>
          <w:b w:val="0"/>
        </w:rPr>
        <w:fldChar w:fldCharType="begin" w:fldLock="1"/>
      </w:r>
      <w:r w:rsidR="00516FFC">
        <w:rPr>
          <w:b w:val="0"/>
        </w:rPr>
        <w:instrText>ADDIN CSL_CITATION { "citationItems" : [ { "id" : "ITEM-1", "itemData" : { "DOI" : "10.1007/s10549-012-2396-7", "ISBN" : "1573-7217 (Electronic)\\r0167-6806 (Linking)", "ISSN" : "01676806", "PMID" : "23274845", "abstract" : "We conducted a meta-analysis to summarize the evidence from prospective studies regarding the association between physical activity and breast cancer risk. A comprehensive search was conducted to identify eligible studies. The fixed or random effect model was used based on heterogeneity test. The dose-response relationship was assessed by restricted cubic spline model and multivariate random-effect meta-regression. Overall, 31 studies with 63,786 cases were included, and the combined relative risk (RR) with 95\u00a0% CI of breast cancer was 0.88 (0.85-0.91). In subgroup analysis by activity type, data from 27 studies including 37,568 cases for non-occupational activity (including recreational activity and household activity) and seven studies including 28,268 cases for occupational activity were used, and the RR (95\u00a0% CI) of breast cancer was 0.87 (0.83-0.91) and 0.90 (0.83-0.97), respectively. The inverse association was consistent among all subgroups analyses. Stronger association was found for subjects with BMI &lt;25\u00a0kg/m(2) [0.72 (0.65-0.81)], premenopausal women [0.77 (0.72-0.84)], and estrogen and progesterone receptor-negative breast cancer [0.80 (0.73-0.87)]. Dose-response analysis suggested that the risk of breast cancer decreased by 2\u00a0% (P\u00a0&lt;\u00a00.00) for every 25 metabolic equivalent (MET)-h/week increment in non-occupational physical activity, 3\u00a0% (P\u00a0&lt;\u00a00.00) for every 10 MET-h/week (roughly equivalent to 4\u00a0h/week of walking in 2 miles/h or 1\u00a0h/week of running in 6 miles/h) increment in recreational activity, and 5\u00a0% (P\u00a0&lt;\u00a00.00) for every 2\u00a0h/week increment in moderate plus vigorous recreational activity, respectively. Physical activity could significantly reduce the risk of breast cancer.", "author" : [ { "dropping-particle" : "", "family" : "Wu", "given" : "Yili", "non-dropping-particle" : "", "parse-names" : false, "suffix" : "" }, { "dropping-particle" : "", "family" : "Zhang", "given" : "Dongfeng", "non-dropping-particle" : "", "parse-names" : false, "suffix" : "" }, { "dropping-particle" : "", "family" : "Kang", "given" : "Shan", "non-dropping-particle" : "", "parse-names" : false, "suffix" : "" } ], "container-title" : "Breast Cancer Research and Treatment", "id" : "ITEM-1", "issue" : "3", "issued" : { "date-parts" : [ [ "2013" ] ] }, "page" : "869-882", "title" : "Physical activity and risk of breast cancer: A meta-analysis of prospective studies", "type" : "article-journal", "volume" : "137" }, "uris" : [ "http://www.mendeley.com/documents/?uuid=54507fea-95b6-4da4-83f6-a52559ce4f57" ] } ], "mendeley" : { "formattedCitation" : "(Wu, Zhang, &amp; Kang, 2013)", "plainTextFormattedCitation" : "(Wu, Zhang, &amp; Kang, 2013)", "previouslyFormattedCitation" : "(Wu, Zhang, &amp; Kang, 2013)" }, "properties" : {  }, "schema" : "https://github.com/citation-style-language/schema/raw/master/csl-citation.json" }</w:instrText>
      </w:r>
      <w:r w:rsidR="003F2CFA">
        <w:rPr>
          <w:b w:val="0"/>
        </w:rPr>
        <w:fldChar w:fldCharType="separate"/>
      </w:r>
      <w:r w:rsidR="00F13013" w:rsidRPr="00F13013">
        <w:rPr>
          <w:b w:val="0"/>
          <w:noProof/>
        </w:rPr>
        <w:t>(Wu, Zhang, &amp; Kang, 2013)</w:t>
      </w:r>
      <w:r w:rsidR="003F2CFA">
        <w:rPr>
          <w:b w:val="0"/>
        </w:rPr>
        <w:fldChar w:fldCharType="end"/>
      </w:r>
      <w:r w:rsidR="003F2CFA">
        <w:rPr>
          <w:b w:val="0"/>
        </w:rPr>
        <w:t xml:space="preserve">. </w:t>
      </w:r>
      <w:r w:rsidR="000B6700">
        <w:rPr>
          <w:b w:val="0"/>
        </w:rPr>
        <w:t xml:space="preserve">The mechanism behind this effect might related to the reduction in BMI, </w:t>
      </w:r>
      <w:bookmarkStart w:id="23" w:name="OLE_LINK5"/>
      <w:bookmarkStart w:id="24" w:name="OLE_LINK6"/>
      <w:r w:rsidR="004A1D3E">
        <w:rPr>
          <w:b w:val="0"/>
          <w:lang w:eastAsia="zh-CN"/>
        </w:rPr>
        <w:t>reduction in</w:t>
      </w:r>
      <w:r w:rsidR="000B6700">
        <w:rPr>
          <w:b w:val="0"/>
        </w:rPr>
        <w:t xml:space="preserve"> circulation of </w:t>
      </w:r>
      <w:r w:rsidR="004A1D3E">
        <w:rPr>
          <w:b w:val="0"/>
        </w:rPr>
        <w:t>estrogens</w:t>
      </w:r>
      <w:bookmarkEnd w:id="23"/>
      <w:bookmarkEnd w:id="24"/>
      <w:r w:rsidR="00711955">
        <w:rPr>
          <w:b w:val="0"/>
        </w:rPr>
        <w:t xml:space="preserve">, </w:t>
      </w:r>
      <w:r w:rsidR="008970C0">
        <w:rPr>
          <w:b w:val="0"/>
          <w:lang w:eastAsia="zh-CN"/>
        </w:rPr>
        <w:t>improved</w:t>
      </w:r>
      <w:r w:rsidR="00C85352">
        <w:rPr>
          <w:b w:val="0"/>
          <w:lang w:eastAsia="zh-CN"/>
        </w:rPr>
        <w:t xml:space="preserve"> </w:t>
      </w:r>
      <w:r w:rsidR="008970C0">
        <w:rPr>
          <w:b w:val="0"/>
          <w:lang w:eastAsia="zh-CN"/>
        </w:rPr>
        <w:t>effectiveness</w:t>
      </w:r>
      <w:r w:rsidR="00C85352">
        <w:rPr>
          <w:b w:val="0"/>
          <w:lang w:eastAsia="zh-CN"/>
        </w:rPr>
        <w:t xml:space="preserve"> of </w:t>
      </w:r>
      <w:r w:rsidR="00711955">
        <w:rPr>
          <w:b w:val="0"/>
        </w:rPr>
        <w:t>insulin</w:t>
      </w:r>
      <w:r w:rsidR="008970C0">
        <w:rPr>
          <w:b w:val="0"/>
        </w:rPr>
        <w:t>, which could inhibit tumor growth,</w:t>
      </w:r>
      <w:r w:rsidR="00711955">
        <w:rPr>
          <w:b w:val="0"/>
        </w:rPr>
        <w:t xml:space="preserve"> </w:t>
      </w:r>
      <w:r w:rsidR="000B6700">
        <w:rPr>
          <w:b w:val="0"/>
        </w:rPr>
        <w:t xml:space="preserve">and </w:t>
      </w:r>
      <w:r w:rsidR="00C67210">
        <w:rPr>
          <w:b w:val="0"/>
        </w:rPr>
        <w:t xml:space="preserve">the </w:t>
      </w:r>
      <w:r w:rsidR="008970C0">
        <w:rPr>
          <w:b w:val="0"/>
        </w:rPr>
        <w:t xml:space="preserve">stimulating </w:t>
      </w:r>
      <w:r w:rsidR="00C67210">
        <w:rPr>
          <w:b w:val="0"/>
        </w:rPr>
        <w:t xml:space="preserve">effect of physical activity on the </w:t>
      </w:r>
      <w:r w:rsidR="008970C0">
        <w:rPr>
          <w:b w:val="0"/>
        </w:rPr>
        <w:t>immune system</w:t>
      </w:r>
      <w:r w:rsidR="004E5326">
        <w:rPr>
          <w:b w:val="0"/>
        </w:rPr>
        <w:t xml:space="preserve"> </w:t>
      </w:r>
      <w:r w:rsidR="000B6700">
        <w:rPr>
          <w:b w:val="0"/>
        </w:rPr>
        <w:fldChar w:fldCharType="begin" w:fldLock="1"/>
      </w:r>
      <w:r w:rsidR="00516FFC">
        <w:rPr>
          <w:b w:val="0"/>
        </w:rPr>
        <w:instrText>ADDIN CSL_CITATION { "citationItems" : [ { "id" : "ITEM-1", "itemData" : { "DOI" : "10.1007/s11332-012-0125-6", "ISBN" : "1465-5411", "ISSN" : "18247490", "PMID" : "19656724", "abstract" : "Knowledge of the relationships between risks and benefits of a given lifestyle is fundamental to being able to change life-long habits responsible for the development of pathological processes. Breast cancer is a widely studied pathology of vast social importance. It is important to identify the most appropriate lifestyle to give the organism the necessary tools to prevent tumour development. Physical exercise can act on and modify the different risk factors responsible for the development of both the primary pathology of breast cancer and relapses, thus reducing mortality. The various hypotheses of the biological routes through which physical activity can reduce risk indicate involvement of the following mechanisms: reduction in body weight, reduction in circulating levels of sex hormones, reduction in insulin resistance, reduction in leptin and adiponectin and modulation of the immune system. Recent discoveries on the mechanisms of cancer development indicate that cancer is the chronic pathology par excellence, and it is highly unlikely that it will be possible to eliminate it by concentrating all our efforts on tumour treatment techniques alone; it will be necessary to cure the whole organism in depth. Physical activity can be considered an 'anticancer biology' that succeeds in exploiting the breakthroughs of medicine and our natural defences.; Knowledge of the relationships between risks and benefits of a given lifestyle is fundamental to being able to change life-long habits responsible for the development of pathological processes. Breast cancer is a widely studied pathology of vast social importance. It is important to identify the most appropriate lifestyle to give the organism the necessary tools to prevent tumour development. Physical exercise can act on and modify the different risk factors responsible for the development of both the primary pathology of breast cancer and relapses, thus reducing mortality. The various hypotheses of the biological routes through which physical activity can reduce risk indicate involvement of the following mechanisms: reduction in body weight, reduction in circulating levels of sex hormones, reduction in insulin resistance, reduction in leptin and adiponectin and modulation of the immune system. Recent discoveries on the mechanisms of cancer development indicate that cancer is the chronic pathology par excellence, and it is highly unlikely that it will be possible to eliminate it by concentrating all our effort\u2026", "author" : [ { "dropping-particle" : "", "family" : "Montaruli", "given" : "Angela", "non-dropping-particle" : "", "parse-names" : false, "suffix" : "" }, { "dropping-particle" : "", "family" : "Patrini", "given" : "Patrizia", "non-dropping-particle" : "", "parse-names" : false, "suffix" : "" }, { "dropping-particle" : "", "family" : "Roveda", "given" : "Eliana", "non-dropping-particle" : "", "parse-names" : false, "suffix" : "" }, { "dropping-particle" : "", "family" : "Carandente", "given" : "Franca", "non-dropping-particle" : "", "parse-names" : false, "suffix" : "" } ], "container-title" : "Sport Sciences for Health", "id" : "ITEM-1", "issue" : "1", "issued" : { "date-parts" : [ [ "2012" ] ] }, "page" : "1-13", "title" : "Physical activity and breast cancer", "type" : "article", "volume" : "8" }, "uris" : [ "http://www.mendeley.com/documents/?uuid=8e743f01-d2fe-4eea-adf5-a8da66e7812a" ] } ], "mendeley" : { "formattedCitation" : "(Montaruli, Patrini, Roveda, &amp; Carandente, 2012)", "plainTextFormattedCitation" : "(Montaruli, Patrini, Roveda, &amp; Carandente, 2012)", "previouslyFormattedCitation" : "(Montaruli, Patrini, Roveda, &amp; Carandente, 2012)" }, "properties" : {  }, "schema" : "https://github.com/citation-style-language/schema/raw/master/csl-citation.json" }</w:instrText>
      </w:r>
      <w:r w:rsidR="000B6700">
        <w:rPr>
          <w:b w:val="0"/>
        </w:rPr>
        <w:fldChar w:fldCharType="separate"/>
      </w:r>
      <w:r w:rsidR="00F13013" w:rsidRPr="00F13013">
        <w:rPr>
          <w:b w:val="0"/>
          <w:noProof/>
        </w:rPr>
        <w:t>(Montaruli, Patrini, Roveda, &amp; Carandente, 2012)</w:t>
      </w:r>
      <w:r w:rsidR="000B6700">
        <w:rPr>
          <w:b w:val="0"/>
        </w:rPr>
        <w:fldChar w:fldCharType="end"/>
      </w:r>
      <w:r w:rsidR="000B6700">
        <w:rPr>
          <w:b w:val="0"/>
        </w:rPr>
        <w:t>.</w:t>
      </w:r>
      <w:bookmarkEnd w:id="20"/>
      <w:r w:rsidR="000B6700">
        <w:rPr>
          <w:b w:val="0"/>
        </w:rPr>
        <w:t xml:space="preserve"> </w:t>
      </w:r>
    </w:p>
    <w:p w:rsidR="00521C7C" w:rsidRDefault="00CE7959" w:rsidP="00521C7C">
      <w:pPr>
        <w:pStyle w:val="Heading3"/>
      </w:pPr>
      <w:bookmarkStart w:id="25" w:name="_Toc509180563"/>
      <w:r>
        <w:t>Family History and Genetic Factors</w:t>
      </w:r>
      <w:bookmarkEnd w:id="25"/>
      <w:r>
        <w:t xml:space="preserve"> </w:t>
      </w:r>
    </w:p>
    <w:p w:rsidR="00521C7C" w:rsidRPr="003F3F78" w:rsidRDefault="004E30A0" w:rsidP="000209C2">
      <w:pPr>
        <w:pStyle w:val="Noindent"/>
        <w:spacing w:line="360" w:lineRule="auto"/>
      </w:pPr>
      <w:r>
        <w:t xml:space="preserve">For </w:t>
      </w:r>
      <w:r w:rsidR="000209C2">
        <w:t xml:space="preserve">women </w:t>
      </w:r>
      <w:r w:rsidR="00C5112B">
        <w:t>who have</w:t>
      </w:r>
      <w:r w:rsidR="000209C2">
        <w:t xml:space="preserve"> </w:t>
      </w:r>
      <w:r w:rsidR="00602A8C">
        <w:t>any relative</w:t>
      </w:r>
      <w:r w:rsidR="000209C2">
        <w:t xml:space="preserve"> with</w:t>
      </w:r>
      <w:r>
        <w:t xml:space="preserve"> </w:t>
      </w:r>
      <w:r w:rsidR="001A715A">
        <w:t xml:space="preserve">any type of </w:t>
      </w:r>
      <w:r>
        <w:t xml:space="preserve">breast cancer, the risk </w:t>
      </w:r>
      <w:r w:rsidR="000209C2">
        <w:t>of developing breast cancer</w:t>
      </w:r>
      <w:r w:rsidR="00C5112B">
        <w:t xml:space="preserve"> is nearly 2 times higher than </w:t>
      </w:r>
      <w:r w:rsidR="000209C2">
        <w:t>women without</w:t>
      </w:r>
      <w:r w:rsidR="00602A8C">
        <w:t xml:space="preserve"> </w:t>
      </w:r>
      <w:r w:rsidR="00112931">
        <w:t>any relative having</w:t>
      </w:r>
      <w:r w:rsidR="00602A8C">
        <w:t xml:space="preserve"> breast cancer</w:t>
      </w:r>
      <w:r w:rsidR="000209C2">
        <w:t xml:space="preserve">. </w:t>
      </w:r>
      <w:r w:rsidR="00711955">
        <w:t xml:space="preserve">The relative risk </w:t>
      </w:r>
      <w:r w:rsidR="00457CA4">
        <w:t>of</w:t>
      </w:r>
      <w:r w:rsidR="00711955">
        <w:t xml:space="preserve"> </w:t>
      </w:r>
      <w:r w:rsidR="00AF28F1">
        <w:t xml:space="preserve">developing breast cancer for women </w:t>
      </w:r>
      <w:r w:rsidR="00D2773B">
        <w:t xml:space="preserve">who have </w:t>
      </w:r>
      <w:r w:rsidR="00C5112B">
        <w:t xml:space="preserve">a </w:t>
      </w:r>
      <w:r w:rsidR="00711955">
        <w:t xml:space="preserve">first-degree relative with breast cancer </w:t>
      </w:r>
      <w:r w:rsidR="00457CA4">
        <w:t xml:space="preserve">is stronger </w:t>
      </w:r>
      <w:r w:rsidR="00711955">
        <w:t xml:space="preserve">than </w:t>
      </w:r>
      <w:r w:rsidR="00AF28F1">
        <w:t xml:space="preserve">women </w:t>
      </w:r>
      <w:r w:rsidR="00D2773B">
        <w:t>who have</w:t>
      </w:r>
      <w:r w:rsidR="00AF28F1">
        <w:t xml:space="preserve"> </w:t>
      </w:r>
      <w:r w:rsidR="00C5112B">
        <w:t xml:space="preserve">a </w:t>
      </w:r>
      <w:r w:rsidR="00711955">
        <w:t>second-degree relative</w:t>
      </w:r>
      <w:r w:rsidR="00AF28F1">
        <w:t xml:space="preserve"> with breast cancer</w:t>
      </w:r>
      <w:r w:rsidR="00602A8C">
        <w:t xml:space="preserve"> </w:t>
      </w:r>
      <w:r w:rsidR="00B038C8">
        <w:fldChar w:fldCharType="begin" w:fldLock="1"/>
      </w:r>
      <w:r w:rsidR="00516FFC">
        <w:instrText>ADDIN CSL_CITATION { "citationItems" : [ { "id" : "ITEM-1", "itemData" : { "DOI" : "10.1002/(SICI)1097-0215(19970529)71:5&lt;800::AID-IJC18&gt;3.0.CO;2-B", "ISBN" : "0020-7136 (Print)\\r0020-7136 (Linking)", "ISSN" : "0020-7136", "PMID" : "9180149", "abstract" : "An increased risk of breast cancer in women with a family history of breast cancer has been demonstrated by many studies using a variety of study designs. However, the extent of this risk varies according to the nature of the family history (type of relative affected, age at which relative developed breast cancer and number of relatives affected) and may also vary according to age of the individual. The aim of our study was to identify all the published studies which have quantified the risk of breast cancer associated with a family history of the disease, and to summarise the evidence from these studies, with particular emphasis on age-specific risks according to subject and relative age. Seventy-four published studies were identified. The pooled estimate of relative risk (RR) associated with various family histories was as follows: any relative, RR = 1.9 (95% CI, 1.7-2.0); a first-degree relative, RR = 2.1 (CI = 2.0, 2.2); mother, RR = 2.0 (CI = 1.8, 2.1); sister, RR = 2.3 (CI = 2.1, 2.4); daughter, RR = 1.8 (CI = 1.6, 2.0); mother and sister, RR = 3.6 (CI = 2.5, 5.0); and a second-degree relative, RR = 1.5 (CI = 1.4, 1.6). Risks were increased in subjects under age 50 and when the relative had been diagnosed before age 50.", "author" : [ { "dropping-particle" : "", "family" : "Pharoah", "given" : "P D", "non-dropping-particle" : "", "parse-names" : false, "suffix" : "" }, { "dropping-particle" : "", "family" : "Day", "given" : "N E", "non-dropping-particle" : "", "parse-names" : false, "suffix" : "" }, { "dropping-particle" : "", "family" : "Duffy", "given" : "S", "non-dropping-particle" : "", "parse-names" : false, "suffix" : "" }, { "dropping-particle" : "", "family" : "Easton", "given" : "D F", "non-dropping-particle" : "", "parse-names" : false, "suffix" : "" }, { "dropping-particle" : "", "family" : "Ponder", "given" : "B A", "non-dropping-particle" : "", "parse-names" : false, "suffix" : "" } ], "container-title" : "International journal of cancer", "id" : "ITEM-1", "issue" : "5", "issued" : { "date-parts" : [ [ "1997" ] ] }, "page" : "800-9", "title" : "Family history and the risk of breast cancer: a systematic review and meta-analysis.", "type" : "article-journal", "volume" : "71" }, "uris" : [ "http://www.mendeley.com/documents/?uuid=e63e39c0-59df-4222-b3ea-74ec1d669d17" ] } ], "mendeley" : { "formattedCitation" : "(Pharoah, Day, Duffy, Easton, &amp; Ponder, 1997)", "plainTextFormattedCitation" : "(Pharoah, Day, Duffy, Easton, &amp; Ponder, 1997)", "previouslyFormattedCitation" : "(Pharoah, Day, Duffy, Easton, &amp; Ponder, 1997)" }, "properties" : {  }, "schema" : "https://github.com/citation-style-language/schema/raw/master/csl-citation.json" }</w:instrText>
      </w:r>
      <w:r w:rsidR="00B038C8">
        <w:fldChar w:fldCharType="separate"/>
      </w:r>
      <w:r w:rsidR="00F13013" w:rsidRPr="00F13013">
        <w:rPr>
          <w:noProof/>
        </w:rPr>
        <w:t>(Pharoah, Day, Duffy, Easton, &amp; Ponder, 1997)</w:t>
      </w:r>
      <w:r w:rsidR="00B038C8">
        <w:fldChar w:fldCharType="end"/>
      </w:r>
      <w:r w:rsidR="00711955">
        <w:t xml:space="preserve">. Multiple studies have demonstrated that </w:t>
      </w:r>
      <w:r w:rsidR="00420AB4">
        <w:t>this relationship is related to inheritanc</w:t>
      </w:r>
      <w:r w:rsidR="00E16B2E">
        <w:t>e of certain gene</w:t>
      </w:r>
      <w:r w:rsidR="00420AB4">
        <w:t xml:space="preserve"> mutations, such as </w:t>
      </w:r>
      <w:r w:rsidR="00420AB4" w:rsidRPr="00F25527">
        <w:rPr>
          <w:i/>
        </w:rPr>
        <w:t>BRCA1</w:t>
      </w:r>
      <w:r w:rsidR="00420AB4">
        <w:t xml:space="preserve"> and </w:t>
      </w:r>
      <w:r w:rsidR="00420AB4" w:rsidRPr="00F25527">
        <w:rPr>
          <w:i/>
        </w:rPr>
        <w:t>BRCA2</w:t>
      </w:r>
      <w:r w:rsidR="00420AB4">
        <w:t>.</w:t>
      </w:r>
      <w:r w:rsidR="00B038C8">
        <w:t xml:space="preserve"> </w:t>
      </w:r>
      <w:r w:rsidR="00C5112B">
        <w:t xml:space="preserve">Mutations in these genes </w:t>
      </w:r>
      <w:r w:rsidR="00E16B2E">
        <w:t xml:space="preserve">are </w:t>
      </w:r>
      <w:r w:rsidR="00A4752A">
        <w:t>associated with</w:t>
      </w:r>
      <w:r w:rsidR="005327C4">
        <w:t xml:space="preserve"> def</w:t>
      </w:r>
      <w:r w:rsidR="00A4752A">
        <w:t>iciencies</w:t>
      </w:r>
      <w:r w:rsidR="00C5112B">
        <w:t xml:space="preserve"> in DNA repair potential, which may leads to</w:t>
      </w:r>
      <w:r w:rsidR="005327C4">
        <w:t xml:space="preserve"> cancer development</w:t>
      </w:r>
      <w:r w:rsidR="00C5112B">
        <w:t xml:space="preserve"> </w:t>
      </w:r>
      <w:r w:rsidR="005327C4">
        <w:fldChar w:fldCharType="begin" w:fldLock="1"/>
      </w:r>
      <w:r w:rsidR="00516FFC">
        <w:instrText>ADDIN CSL_CITATION { "citationItems" : [ { "id" : "ITEM-1", "itemData" : { "ISBN" : "0008-5472 (Print)", "ISSN" : "00085472", "PMID" : "10197592", "abstract" : "The two major hereditary breast cancer susceptibility genes, BRCA1 and BRCA2, are associated with early-onset breast and/or ovarian cancer and encode products that each interact with the product of the eukaryotic RecA homologue, hRad51. We have recently found that BRCA1 and BRCA2 coexist in a common biochemical complex. The two proteins also colocalize in subnuclear foci in somatic cells as well as on the axial elements of developing synaptonemal complexes in meiotic cells. Thus, BRCA1 and BRCA2 participate in a common DNA damage response pathway associated with the activation of homologous recombination and double-strand break repair. Dysfunction of this pathway may be a general phenomenon in the majority of cases of hereditary breast and/or ovarian cancer. The BRCA1/BRCA2 complex may function in postreplicational repair processes activated during the DNA synthesis stage of the cell cycle.", "author" : [ { "dropping-particle" : "", "family" : "Chen", "given" : "Jun Jie", "non-dropping-particle" : "", "parse-names" : false, "suffix" : "" }, { "dropping-particle" : "", "family" : "Silver", "given" : "Daniel", "non-dropping-particle" : "", "parse-names" : false, "suffix" : "" }, { "dropping-particle" : "", "family" : "Cantor", "given" : "Sharon", "non-dropping-particle" : "", "parse-names" : false, "suffix" : "" }, { "dropping-particle" : "", "family" : "Livingston", "given" : "David M.", "non-dropping-particle" : "", "parse-names" : false, "suffix" : "" }, { "dropping-particle" : "", "family" : "Scully", "given" : "Ralph", "non-dropping-particle" : "", "parse-names" : false, "suffix" : "" } ], "container-title" : "Cancer Research", "id" : "ITEM-1", "issue" : "7 SUPPL.", "issued" : { "date-parts" : [ [ "1999" ] ] }, "title" : "BRCA1, BRCA2, and Rad51 operate in a common DNA damage response pathway", "type" : "paper-conference", "volume" : "59" }, "uris" : [ "http://www.mendeley.com/documents/?uuid=ae128e51-4bb4-40d0-b560-9899c1df17db" ] } ], "mendeley" : { "formattedCitation" : "(Chen, Silver, Cantor, Livingston, &amp; Scully, 1999)", "plainTextFormattedCitation" : "(Chen, Silver, Cantor, Livingston, &amp; Scully, 1999)", "previouslyFormattedCitation" : "(Chen, Silver, Cantor, Livingston, &amp; Scully, 1999)" }, "properties" : {  }, "schema" : "https://github.com/citation-style-language/schema/raw/master/csl-citation.json" }</w:instrText>
      </w:r>
      <w:r w:rsidR="005327C4">
        <w:fldChar w:fldCharType="separate"/>
      </w:r>
      <w:r w:rsidR="00F13013" w:rsidRPr="00F13013">
        <w:rPr>
          <w:noProof/>
        </w:rPr>
        <w:t>(Chen, Silver, Cantor, Livingston, &amp; Scully, 1999)</w:t>
      </w:r>
      <w:r w:rsidR="005327C4">
        <w:fldChar w:fldCharType="end"/>
      </w:r>
      <w:r w:rsidR="005327C4">
        <w:t xml:space="preserve">. </w:t>
      </w:r>
      <w:r w:rsidR="00B038C8">
        <w:t>There are also other</w:t>
      </w:r>
      <w:r w:rsidR="00E16B2E">
        <w:t xml:space="preserve"> genes related to high risks of</w:t>
      </w:r>
      <w:r w:rsidR="00B038C8">
        <w:t xml:space="preserve"> breast cancer, including </w:t>
      </w:r>
      <w:r w:rsidR="00B038C8" w:rsidRPr="00F25527">
        <w:rPr>
          <w:i/>
        </w:rPr>
        <w:t>TP53</w:t>
      </w:r>
      <w:r w:rsidR="00B038C8">
        <w:t xml:space="preserve">, </w:t>
      </w:r>
      <w:r w:rsidR="00B038C8" w:rsidRPr="00E16B2E">
        <w:rPr>
          <w:i/>
        </w:rPr>
        <w:t>PTEN</w:t>
      </w:r>
      <w:r w:rsidR="00B038C8">
        <w:t xml:space="preserve">, </w:t>
      </w:r>
      <w:r w:rsidR="00B038C8" w:rsidRPr="00F25527">
        <w:rPr>
          <w:i/>
        </w:rPr>
        <w:t>CDH1</w:t>
      </w:r>
      <w:r w:rsidR="00B038C8">
        <w:t xml:space="preserve">, </w:t>
      </w:r>
      <w:r w:rsidR="00A4752A">
        <w:t xml:space="preserve">and </w:t>
      </w:r>
      <w:r w:rsidR="00B038C8" w:rsidRPr="00F25527">
        <w:rPr>
          <w:i/>
        </w:rPr>
        <w:t>STK11</w:t>
      </w:r>
      <w:r w:rsidR="005327C4">
        <w:t xml:space="preserve">. </w:t>
      </w:r>
      <w:r w:rsidR="00F25527">
        <w:t xml:space="preserve">Mutations in </w:t>
      </w:r>
      <w:r w:rsidR="00F25527" w:rsidRPr="00F25527">
        <w:rPr>
          <w:i/>
        </w:rPr>
        <w:t>TP53</w:t>
      </w:r>
      <w:r w:rsidR="00C5112B">
        <w:t xml:space="preserve"> cause</w:t>
      </w:r>
      <w:r w:rsidR="00F25527">
        <w:t xml:space="preserve"> Li-</w:t>
      </w:r>
      <w:proofErr w:type="spellStart"/>
      <w:r w:rsidR="00F25527">
        <w:t>Fraumeni</w:t>
      </w:r>
      <w:proofErr w:type="spellEnd"/>
      <w:r w:rsidR="00F25527">
        <w:t xml:space="preserve"> syndrome and those in </w:t>
      </w:r>
      <w:r w:rsidR="00F25527" w:rsidRPr="00F25527">
        <w:rPr>
          <w:i/>
        </w:rPr>
        <w:t>PTEN</w:t>
      </w:r>
      <w:r w:rsidR="00F25527">
        <w:rPr>
          <w:i/>
        </w:rPr>
        <w:t xml:space="preserve"> </w:t>
      </w:r>
      <w:r w:rsidR="00F25527">
        <w:t xml:space="preserve">result in </w:t>
      </w:r>
      <w:r w:rsidR="003F3F78">
        <w:t>Cowden syndrome</w:t>
      </w:r>
      <w:r w:rsidR="00F25527">
        <w:t xml:space="preserve">. </w:t>
      </w:r>
      <w:r w:rsidR="00F25527" w:rsidRPr="00F25527">
        <w:rPr>
          <w:i/>
        </w:rPr>
        <w:t>CDH1</w:t>
      </w:r>
      <w:r w:rsidR="00F25527">
        <w:rPr>
          <w:i/>
        </w:rPr>
        <w:t xml:space="preserve"> </w:t>
      </w:r>
      <w:r w:rsidR="00F25527">
        <w:t>mutation carriers have an increased risk of breast cancer and diffuse gastric cancer</w:t>
      </w:r>
      <w:r w:rsidR="003F3F78">
        <w:t xml:space="preserve"> and </w:t>
      </w:r>
      <w:r w:rsidR="003F3F78" w:rsidRPr="00F25527">
        <w:rPr>
          <w:i/>
        </w:rPr>
        <w:t>STK11</w:t>
      </w:r>
      <w:r w:rsidR="003F3F78">
        <w:rPr>
          <w:i/>
        </w:rPr>
        <w:t xml:space="preserve"> </w:t>
      </w:r>
      <w:r w:rsidR="003F3F78">
        <w:t xml:space="preserve">mutations result in </w:t>
      </w:r>
      <w:proofErr w:type="spellStart"/>
      <w:r w:rsidR="003F3F78">
        <w:t>Peutz-</w:t>
      </w:r>
      <w:r w:rsidR="003F3F78">
        <w:lastRenderedPageBreak/>
        <w:t>Jeghers</w:t>
      </w:r>
      <w:proofErr w:type="spellEnd"/>
      <w:r w:rsidR="003F3F78">
        <w:t xml:space="preserve"> syndrome</w:t>
      </w:r>
      <w:r w:rsidR="004323F7">
        <w:t>. All those syndromes mentioned above will significantly increase the risk of tumor development</w:t>
      </w:r>
      <w:r w:rsidR="00B30BC0">
        <w:fldChar w:fldCharType="begin" w:fldLock="1"/>
      </w:r>
      <w:r w:rsidR="00516FFC">
        <w:instrText>ADDIN CSL_CITATION { "citationItems" : [ { "id" : "ITEM-1", "itemData" : { "DOI" : "10.1007/978-3-319-19437-0", "ISBN" : "978-3-319-19436-3", "author" : [ { "dropping-particle" : "", "family" : "Mina", "given" : "Lida A.", "non-dropping-particle" : "", "parse-names" : false, "suffix" : "" }, { "dropping-particle" : "", "family" : "Storniolo", "given" : "Anna Maria", "non-dropping-particle" : "", "parse-names" : false, "suffix" : "" }, { "dropping-particle" : "", "family" : "Kipfer", "given" : "Hal Douglas", "non-dropping-particle" : "", "parse-names" : false, "suffix" : "" }, { "dropping-particle" : "", "family" : "Hunter", "given" : "Cindy", "non-dropping-particle" : "", "parse-names" : false, "suffix" : "" }, { "dropping-particle" : "", "family" : "Ludwig", "given" : "Kandice K.", "non-dropping-particle" : "", "parse-names" : false, "suffix" : "" } ], "id" : "ITEM-1", "issued" : { "date-parts" : [ [ "2016" ] ] }, "title" : "Breast Cancer Prevention and Treatment", "type" : "book" }, "uris" : [ "http://www.mendeley.com/documents/?uuid=42ac76d2-69cd-456f-8db3-388ec0f7608f" ] } ], "mendeley" : { "formattedCitation" : "(Mina et al., 2016)", "plainTextFormattedCitation" : "(Mina et al., 2016)", "previouslyFormattedCitation" : "(Mina et al., 2016)" }, "properties" : {  }, "schema" : "https://github.com/citation-style-language/schema/raw/master/csl-citation.json" }</w:instrText>
      </w:r>
      <w:r w:rsidR="00B30BC0">
        <w:fldChar w:fldCharType="separate"/>
      </w:r>
      <w:r w:rsidR="00F13013" w:rsidRPr="00F13013">
        <w:rPr>
          <w:noProof/>
        </w:rPr>
        <w:t>(Mina et al., 2016)</w:t>
      </w:r>
      <w:r w:rsidR="00B30BC0">
        <w:fldChar w:fldCharType="end"/>
      </w:r>
      <w:r w:rsidR="004323F7">
        <w:t>.</w:t>
      </w:r>
      <w:r w:rsidR="00A4752A">
        <w:t xml:space="preserve"> </w:t>
      </w:r>
    </w:p>
    <w:p w:rsidR="00B917F0" w:rsidRDefault="00F23071" w:rsidP="00B917F0">
      <w:pPr>
        <w:pStyle w:val="Heading2"/>
      </w:pPr>
      <w:bookmarkStart w:id="26" w:name="_Toc509180564"/>
      <w:r>
        <w:t>t</w:t>
      </w:r>
      <w:r w:rsidR="00A73BC4">
        <w:t>elomere length and breast cancer</w:t>
      </w:r>
      <w:bookmarkEnd w:id="26"/>
    </w:p>
    <w:p w:rsidR="00B67E51" w:rsidRPr="007D22E6" w:rsidRDefault="00B9459A" w:rsidP="000B2345">
      <w:pPr>
        <w:widowControl w:val="0"/>
        <w:autoSpaceDE w:val="0"/>
        <w:autoSpaceDN w:val="0"/>
        <w:adjustRightInd w:val="0"/>
        <w:spacing w:line="360" w:lineRule="auto"/>
        <w:ind w:firstLine="0"/>
      </w:pPr>
      <w:r w:rsidRPr="007D22E6">
        <w:t>Telomeres are tandemly repeated sequences of TTAGGG located at the distal ends of linear chromosomes</w:t>
      </w:r>
      <w:r w:rsidR="00C5112B">
        <w:t xml:space="preserve"> </w:t>
      </w:r>
      <w:r w:rsidRPr="007D22E6">
        <w:fldChar w:fldCharType="begin" w:fldLock="1"/>
      </w:r>
      <w:r w:rsidR="00516FFC">
        <w:instrText>ADDIN CSL_CITATION { "citationItems" : [ { "id" : "ITEM-1", "itemData" : { "DOI" : "10.1038/nrg1656", "ISBN" : "1471-0056 (Print)\\r1471-0056 (Linking)", "ISSN" : "14710056", "PMID" : "16136653", "abstract" : "Telomere length and telomerase activity are important factors in the pathobiology of human disease. Age-related diseases and premature ageing syndromes are characterized by short telomeres, which can compromise cell viability, whereas tumour cells can prevent telomere loss by aberrantly upregulating telomerase. Altered functioning of both telomerase and telomere-interacting proteins is present in some human premature ageing syndromes and in cancer, and recent findings indicate that alterations that affect telomeres at the level of chromatin structure might also have a role in human disease. These findings have inspired a number of potential therapeutic strategies that are based on telomerase and telomeres.", "author" : [ { "dropping-particle" : "", "family" : "Blasco", "given" : "Maria A.", "non-dropping-particle" : "", "parse-names" : false, "suffix" : "" } ], "container-title" : "Nature Reviews Genetics", "id" : "ITEM-1", "issue" : "8", "issued" : { "date-parts" : [ [ "2005" ] ] }, "page" : "611-622", "title" : "Telomeres and human disease: Ageing, cancer and beyond", "type" : "article", "volume" : "6" }, "uris" : [ "http://www.mendeley.com/documents/?uuid=3a9d45a6-2b6e-4cc9-9a50-5a0f48f65611" ] } ], "mendeley" : { "formattedCitation" : "(Blasco, 2005)", "plainTextFormattedCitation" : "(Blasco, 2005)", "previouslyFormattedCitation" : "(Blasco, 2005)" }, "properties" : {  }, "schema" : "https://github.com/citation-style-language/schema/raw/master/csl-citation.json" }</w:instrText>
      </w:r>
      <w:r w:rsidRPr="007D22E6">
        <w:fldChar w:fldCharType="separate"/>
      </w:r>
      <w:r w:rsidR="00F13013" w:rsidRPr="00F13013">
        <w:rPr>
          <w:noProof/>
        </w:rPr>
        <w:t>(Blasco, 2005)</w:t>
      </w:r>
      <w:r w:rsidRPr="007D22E6">
        <w:fldChar w:fldCharType="end"/>
      </w:r>
      <w:r w:rsidRPr="007D22E6">
        <w:t>. They play an essential role in preventing DNA double strand breaks, end-to-end chromosome fusions and degradation</w:t>
      </w:r>
      <w:r w:rsidR="00DB23DD">
        <w:t>;</w:t>
      </w:r>
      <w:r w:rsidR="00FB109D">
        <w:t xml:space="preserve"> therefore</w:t>
      </w:r>
      <w:r w:rsidR="00DB23DD">
        <w:t>,</w:t>
      </w:r>
      <w:r w:rsidR="00FB109D">
        <w:t xml:space="preserve"> maintaining the structural</w:t>
      </w:r>
      <w:r w:rsidR="00FB109D" w:rsidRPr="007D22E6">
        <w:t xml:space="preserve"> integrity of chromosomes and regulating cell replication</w:t>
      </w:r>
      <w:r w:rsidR="00C5112B">
        <w:t xml:space="preserve"> </w:t>
      </w:r>
      <w:r w:rsidRPr="007D22E6">
        <w:fldChar w:fldCharType="begin" w:fldLock="1"/>
      </w:r>
      <w:r w:rsidR="00516FFC">
        <w:instrText>ADDIN CSL_CITATION { "citationItems" : [ { "id" : "ITEM-1", "itemData" : { "DOI" : "10.1152/physrev.00026.2007", "ISBN" : "0031-9333 (Print)\\r0031-9333 (Linking)", "ISSN" : "0031-9333", "PMID" : "18391173", "abstract" : "Telomeres play a central role in cell fate and aging by adjusting the cellular response to stress and growth stimulation on the basis of previous cell divisions and DNA damage. At least a few hundred nucleotides of telomere repeats must \"cap\" each chromosome end to avoid activation of DNA repair pathways. Repair of critically short or \"uncapped\" telomeres by telomerase or recombination is limited in most somatic cells and apoptosis or cellular senescence is triggered when too many \"uncapped\" telomeres accumulate. The chance of the latter increases as the average telomere length decreases. The average telomere length is set and maintained in cells of the germline which typically express high levels of telomerase. In somatic cells, telomere length is very heterogeneous but typically declines with age, posing a barrier to tumor growth but also contributing to loss of cells with age. Loss of (stem) cells via telomere attrition provides strong selection for abnormal and malignant cells, a process facilitated by the genome instability and aneuploidy triggered by dysfunctional telomeres. The crucial role of telomeres in cell turnover and aging is highlighted by patients with 50% of normal telomerase levels resulting from a mutation in one of the telomerase genes. Short telomeres in such patients are implicated in a variety of disorders including dyskeratosis congenita, aplastic anemia, pulmonary fibrosis, and cancer. Here the role of telomeres and telomerase in human aging and aging-associated diseases is reviewed.", "author" : [ { "dropping-particle" : "", "family" : "Aubert", "given" : "G.", "non-dropping-particle" : "", "parse-names" : false, "suffix" : "" }, { "dropping-particle" : "", "family" : "Lansdorp", "given" : "P. M.", "non-dropping-particle" : "", "parse-names" : false, "suffix" : "" } ], "container-title" : "Physiological Reviews", "id" : "ITEM-1", "issue" : "2", "issued" : { "date-parts" : [ [ "2008" ] ] }, "page" : "557-579", "title" : "Telomeres and Aging", "type" : "article-journal", "volume" : "88" }, "uris" : [ "http://www.mendeley.com/documents/?uuid=a2643d08-ba94-4869-b0b5-9430d236da20" ] } ], "mendeley" : { "formattedCitation" : "(Aubert &amp; Lansdorp, 2008)", "plainTextFormattedCitation" : "(Aubert &amp; Lansdorp, 2008)", "previouslyFormattedCitation" : "(Aubert &amp; Lansdorp, 2008)" }, "properties" : {  }, "schema" : "https://github.com/citation-style-language/schema/raw/master/csl-citation.json" }</w:instrText>
      </w:r>
      <w:r w:rsidRPr="007D22E6">
        <w:fldChar w:fldCharType="separate"/>
      </w:r>
      <w:r w:rsidR="00F13013" w:rsidRPr="00F13013">
        <w:rPr>
          <w:noProof/>
        </w:rPr>
        <w:t>(Aubert &amp; Lansdorp, 2008)</w:t>
      </w:r>
      <w:r w:rsidRPr="007D22E6">
        <w:fldChar w:fldCharType="end"/>
      </w:r>
      <w:r w:rsidRPr="007D22E6">
        <w:t xml:space="preserve">. Owing to the incomplete DNA replication, the length of telomere decreases 50-200 </w:t>
      </w:r>
      <w:proofErr w:type="spellStart"/>
      <w:r w:rsidRPr="007D22E6">
        <w:t>bp</w:t>
      </w:r>
      <w:proofErr w:type="spellEnd"/>
      <w:r w:rsidRPr="007D22E6">
        <w:t xml:space="preserve"> during </w:t>
      </w:r>
      <w:r w:rsidRPr="007D22E6">
        <w:rPr>
          <w:rFonts w:hint="eastAsia"/>
        </w:rPr>
        <w:t>each</w:t>
      </w:r>
      <w:r w:rsidRPr="007D22E6">
        <w:t xml:space="preserve"> cell division</w:t>
      </w:r>
      <w:r w:rsidR="00C5112B">
        <w:t xml:space="preserve"> </w:t>
      </w:r>
      <w:r w:rsidRPr="007D22E6">
        <w:fldChar w:fldCharType="begin" w:fldLock="1"/>
      </w:r>
      <w:r w:rsidR="00516FFC">
        <w:instrText>ADDIN CSL_CITATION { "citationItems" : [ { "id" : "ITEM-1", "itemData" : { "DOI" : "10.3389/fonc.2012.00135", "ISBN" : "2234-943X (Electronic)\\n2234-943X (Linking)", "ISSN" : "2234-943X", "PMID" : "23061048", "abstract" : "The ends of chromosomes in mammals, called telomeres, are composed of a 6-bp repeat sequence, TTAGGG, which is added on by the enzyme telomerase. In combination with a protein complex called shelterin, these telomeric repeat sequences form a cap that protects the ends of chromosomes. Due to insufficient telomerase expression, telomeres shorten gradually with each cell division in human somatic cells, which limits the number of times they can divide. The extensive cell division involved in cancer cell progression therefore requires that cancer cells must acquire the ability to maintain telomeres, either through expression of telomerase, or through an alternative mechanism involving recombination. It is commonly thought that the source of many chromosome rearrangements in cancer cells is a result of the extensive telomere shortening that occurs prior to the expression of telomerase. However, despite the expression of telomerase, tumor cells can continue to show chromosome instability due to telomere loss. Dysfunctional telomeres in cancer cells can result from oncogene-induced replication stress, which results in double-strand breaks (DSBs) at fragile sites, including telomeres. DSBs near telomeres are especially prone to chromosome rearrangements, because telomeric regions are deficient in DSB repair. The deficiency in DSB repair near telomeres is also an important mechanism for ionizing radiation-induced replicative senescence in normal human cells. In addition, DSBs near telomeres can result in chromosome instability in mouse embryonic stem cells, suggesting that telomere loss can contribute to heritable chromosome rearrangements. Consistent with this possibility, telomeric regions in humans are highly heterogeneous, and chromosome rearrangements near telomeres are commonly involved in human genetic disease. Understanding the mechanisms of telomere loss will therefore provide important insights into both human cancer and genetic disease.", "author" : [ { "dropping-particle" : "", "family" : "Muraki", "given" : "Keiko", "non-dropping-particle" : "", "parse-names" : false, "suffix" : "" }, { "dropping-particle" : "", "family" : "Nyhan", "given" : "Kristine", "non-dropping-particle" : "", "parse-names" : false, "suffix" : "" }, { "dropping-particle" : "", "family" : "Han", "given" : "Limei", "non-dropping-particle" : "", "parse-names" : false, "suffix" : "" }, { "dropping-particle" : "", "family" : "Murnane", "given" : "John P.", "non-dropping-particle" : "", "parse-names" : false, "suffix" : "" } ], "container-title" : "Frontiers in Oncology", "id" : "ITEM-1", "issued" : { "date-parts" : [ [ "2012" ] ] }, "title" : "Mechanisms of telomere loss and their consequences for chromosome instability", "type" : "article-journal", "volume" : "2" }, "uris" : [ "http://www.mendeley.com/documents/?uuid=ee1e283c-4fd4-405a-9407-5cd4eeb9d2dd" ] } ], "mendeley" : { "formattedCitation" : "(Muraki, Nyhan, Han, &amp; Murnane, 2012)", "plainTextFormattedCitation" : "(Muraki, Nyhan, Han, &amp; Murnane, 2012)", "previouslyFormattedCitation" : "(Muraki, Nyhan, Han, &amp; Murnane, 2012)" }, "properties" : {  }, "schema" : "https://github.com/citation-style-language/schema/raw/master/csl-citation.json" }</w:instrText>
      </w:r>
      <w:r w:rsidRPr="007D22E6">
        <w:fldChar w:fldCharType="separate"/>
      </w:r>
      <w:r w:rsidR="00F13013" w:rsidRPr="00F13013">
        <w:rPr>
          <w:noProof/>
        </w:rPr>
        <w:t>(Muraki, Nyhan, Han, &amp; Murnane, 2012)</w:t>
      </w:r>
      <w:r w:rsidRPr="007D22E6">
        <w:fldChar w:fldCharType="end"/>
      </w:r>
      <w:r w:rsidRPr="007D22E6">
        <w:t>. Progressive telomere shortening often leads to genomic instability, and eventually results in apoptosis or cellular senescence</w:t>
      </w:r>
      <w:r w:rsidR="00C5112B">
        <w:t xml:space="preserve"> </w:t>
      </w:r>
      <w:r w:rsidRPr="007D22E6">
        <w:fldChar w:fldCharType="begin" w:fldLock="1"/>
      </w:r>
      <w:r w:rsidR="00516FFC">
        <w:instrText>ADDIN CSL_CITATION { "citationItems" : [ { "id" : "ITEM-1", "itemData" : { "DOI" : "10.1016/S0962-8924(01)02151-1", "ISBN" : "0962-8924", "ISSN" : "09628924", "PMID" : "11684439", "abstract" : "Organisms with renewable tissues had to evolve mechanisms to prevent the development of cancer. One such mechanism is cellular senescence, which irreversibly arrests the growth of cells at risk for neoplastic transformation. Recent findings have revealed the complexities of the senescence phenotype and unexpected possible consequences for the organism.", "author" : [ { "dropping-particle" : "", "family" : "Campisi", "given" : "Judith", "non-dropping-particle" : "", "parse-names" : false, "suffix" : "" } ], "container-title" : "Trends in Cell Biology", "id" : "ITEM-1", "issue" : "11", "issued" : { "date-parts" : [ [ "2001" ] ] }, "title" : "Cellular senescence as a tumor-suppressor mechanism", "type" : "article", "volume" : "11" }, "uris" : [ "http://www.mendeley.com/documents/?uuid=5dc85101-7a65-4951-bee8-c7dfb980eb88" ] } ], "mendeley" : { "formattedCitation" : "(Campisi, 2001)", "plainTextFormattedCitation" : "(Campisi, 2001)", "previouslyFormattedCitation" : "(Campisi, 2001)" }, "properties" : {  }, "schema" : "https://github.com/citation-style-language/schema/raw/master/csl-citation.json" }</w:instrText>
      </w:r>
      <w:r w:rsidRPr="007D22E6">
        <w:fldChar w:fldCharType="separate"/>
      </w:r>
      <w:r w:rsidR="00F13013" w:rsidRPr="00F13013">
        <w:rPr>
          <w:noProof/>
        </w:rPr>
        <w:t>(Campisi, 2001)</w:t>
      </w:r>
      <w:r w:rsidRPr="007D22E6">
        <w:fldChar w:fldCharType="end"/>
      </w:r>
      <w:r w:rsidRPr="007D22E6">
        <w:t xml:space="preserve">. </w:t>
      </w:r>
      <w:r w:rsidR="00C5112B">
        <w:t xml:space="preserve">Since telomere shortening controls the number of cell </w:t>
      </w:r>
      <w:r w:rsidR="005F0DCD" w:rsidRPr="007D22E6">
        <w:t>replications</w:t>
      </w:r>
      <w:r w:rsidR="005F0DCD">
        <w:t>, t</w:t>
      </w:r>
      <w:r w:rsidR="00C5112B">
        <w:t>his progress is considered</w:t>
      </w:r>
      <w:r w:rsidRPr="007D22E6">
        <w:t xml:space="preserve"> a tumor suppressor mechanism</w:t>
      </w:r>
      <w:r w:rsidR="00C5112B">
        <w:t xml:space="preserve"> </w:t>
      </w:r>
      <w:r w:rsidRPr="007D22E6">
        <w:fldChar w:fldCharType="begin" w:fldLock="1"/>
      </w:r>
      <w:r w:rsidR="00516FFC">
        <w:instrText>ADDIN CSL_CITATION { "citationItems" : [ { "id" : "ITEM-1", "itemData" : { "DOI" : "10.1038/nrg1656", "ISBN" : "1471-0056 (Print)\\r1471-0056 (Linking)", "ISSN" : "14710056", "PMID" : "16136653", "abstract" : "Telomere length and telomerase activity are important factors in the pathobiology of human disease. Age-related diseases and premature ageing syndromes are characterized by short telomeres, which can compromise cell viability, whereas tumour cells can prevent telomere loss by aberrantly upregulating telomerase. Altered functioning of both telomerase and telomere-interacting proteins is present in some human premature ageing syndromes and in cancer, and recent findings indicate that alterations that affect telomeres at the level of chromatin structure might also have a role in human disease. These findings have inspired a number of potential therapeutic strategies that are based on telomerase and telomeres.", "author" : [ { "dropping-particle" : "", "family" : "Blasco", "given" : "Maria A.", "non-dropping-particle" : "", "parse-names" : false, "suffix" : "" } ], "container-title" : "Nature Reviews Genetics", "id" : "ITEM-1", "issue" : "8", "issued" : { "date-parts" : [ [ "2005" ] ] }, "page" : "611-622", "title" : "Telomeres and human disease: Ageing, cancer and beyond", "type" : "article", "volume" : "6" }, "uris" : [ "http://www.mendeley.com/documents/?uuid=3a9d45a6-2b6e-4cc9-9a50-5a0f48f65611" ] } ], "mendeley" : { "formattedCitation" : "(Blasco, 2005)", "plainTextFormattedCitation" : "(Blasco, 2005)", "previouslyFormattedCitation" : "(Blasco, 2005)" }, "properties" : {  }, "schema" : "https://github.com/citation-style-language/schema/raw/master/csl-citation.json" }</w:instrText>
      </w:r>
      <w:r w:rsidRPr="007D22E6">
        <w:fldChar w:fldCharType="separate"/>
      </w:r>
      <w:r w:rsidR="00F13013" w:rsidRPr="00F13013">
        <w:rPr>
          <w:noProof/>
        </w:rPr>
        <w:t>(Blasco, 2005)</w:t>
      </w:r>
      <w:r w:rsidRPr="007D22E6">
        <w:fldChar w:fldCharType="end"/>
      </w:r>
      <w:r w:rsidRPr="007D22E6">
        <w:t>. However, 90% of human tumors have an up-regulated level of telomerase, a reverse transcriptase that increase</w:t>
      </w:r>
      <w:r>
        <w:t>s</w:t>
      </w:r>
      <w:r w:rsidRPr="007D22E6">
        <w:t xml:space="preserve"> the length of telomeres, which provide</w:t>
      </w:r>
      <w:r w:rsidR="005F0DCD">
        <w:t>s</w:t>
      </w:r>
      <w:r w:rsidRPr="007D22E6">
        <w:t xml:space="preserve"> </w:t>
      </w:r>
      <w:r>
        <w:t xml:space="preserve">an </w:t>
      </w:r>
      <w:r w:rsidRPr="007D22E6">
        <w:t>opportunity for cancer cells to maintain telomere length and hence preserve active proliferation</w:t>
      </w:r>
      <w:r w:rsidR="00C5112B">
        <w:t xml:space="preserve"> </w:t>
      </w:r>
      <w:r w:rsidRPr="007D22E6">
        <w:fldChar w:fldCharType="begin" w:fldLock="1"/>
      </w:r>
      <w:r w:rsidR="00516FFC">
        <w:instrText>ADDIN CSL_CITATION { "citationItems" : [ { "id" : "ITEM-1", "itemData" : { "DOI" : "10.1152/physrev.00026.2007", "ISBN" : "0031-9333 (Print)\\r0031-9333 (Linking)", "ISSN" : "0031-9333", "PMID" : "18391173", "abstract" : "Telomeres play a central role in cell fate and aging by adjusting the cellular response to stress and growth stimulation on the basis of previous cell divisions and DNA damage. At least a few hundred nucleotides of telomere repeats must \"cap\" each chromosome end to avoid activation of DNA repair pathways. Repair of critically short or \"uncapped\" telomeres by telomerase or recombination is limited in most somatic cells and apoptosis or cellular senescence is triggered when too many \"uncapped\" telomeres accumulate. The chance of the latter increases as the average telomere length decreases. The average telomere length is set and maintained in cells of the germline which typically express high levels of telomerase. In somatic cells, telomere length is very heterogeneous but typically declines with age, posing a barrier to tumor growth but also contributing to loss of cells with age. Loss of (stem) cells via telomere attrition provides strong selection for abnormal and malignant cells, a process facilitated by the genome instability and aneuploidy triggered by dysfunctional telomeres. The crucial role of telomeres in cell turnover and aging is highlighted by patients with 50% of normal telomerase levels resulting from a mutation in one of the telomerase genes. Short telomeres in such patients are implicated in a variety of disorders including dyskeratosis congenita, aplastic anemia, pulmonary fibrosis, and cancer. Here the role of telomeres and telomerase in human aging and aging-associated diseases is reviewed.", "author" : [ { "dropping-particle" : "", "family" : "Aubert", "given" : "G.", "non-dropping-particle" : "", "parse-names" : false, "suffix" : "" }, { "dropping-particle" : "", "family" : "Lansdorp", "given" : "P. M.", "non-dropping-particle" : "", "parse-names" : false, "suffix" : "" } ], "container-title" : "Physiological Reviews", "id" : "ITEM-1", "issue" : "2", "issued" : { "date-parts" : [ [ "2008" ] ] }, "page" : "557-579", "title" : "Telomeres and Aging", "type" : "article-journal", "volume" : "88" }, "uris" : [ "http://www.mendeley.com/documents/?uuid=a2643d08-ba94-4869-b0b5-9430d236da20" ] }, { "id" : "ITEM-2", "itemData" : { "DOI" : "10.1038/nrg1656", "ISBN" : "1471-0056 (Print)\\r1471-0056 (Linking)", "ISSN" : "14710056", "PMID" : "16136653", "abstract" : "Telomere length and telomerase activity are important factors in the pathobiology of human disease. Age-related diseases and premature ageing syndromes are characterized by short telomeres, which can compromise cell viability, whereas tumour cells can prevent telomere loss by aberrantly upregulating telomerase. Altered functioning of both telomerase and telomere-interacting proteins is present in some human premature ageing syndromes and in cancer, and recent findings indicate that alterations that affect telomeres at the level of chromatin structure might also have a role in human disease. These findings have inspired a number of potential therapeutic strategies that are based on telomerase and telomeres.", "author" : [ { "dropping-particle" : "", "family" : "Blasco", "given" : "Maria A.", "non-dropping-particle" : "", "parse-names" : false, "suffix" : "" } ], "container-title" : "Nature Reviews Genetics", "id" : "ITEM-2", "issue" : "8", "issued" : { "date-parts" : [ [ "2005" ] ] }, "page" : "611-622", "title" : "Telomeres and human disease: Ageing, cancer and beyond", "type" : "article", "volume" : "6" }, "uris" : [ "http://www.mendeley.com/documents/?uuid=3a9d45a6-2b6e-4cc9-9a50-5a0f48f65611" ] } ], "mendeley" : { "formattedCitation" : "(Aubert &amp; Lansdorp, 2008; Blasco, 2005)", "plainTextFormattedCitation" : "(Aubert &amp; Lansdorp, 2008; Blasco, 2005)", "previouslyFormattedCitation" : "(Aubert &amp; Lansdorp, 2008; Blasco, 2005)" }, "properties" : {  }, "schema" : "https://github.com/citation-style-language/schema/raw/master/csl-citation.json" }</w:instrText>
      </w:r>
      <w:r w:rsidRPr="007D22E6">
        <w:fldChar w:fldCharType="separate"/>
      </w:r>
      <w:r w:rsidR="00F13013" w:rsidRPr="00F13013">
        <w:rPr>
          <w:noProof/>
        </w:rPr>
        <w:t>(Aubert &amp; Lansdorp, 2008; Blasco, 2005)</w:t>
      </w:r>
      <w:r w:rsidRPr="007D22E6">
        <w:fldChar w:fldCharType="end"/>
      </w:r>
      <w:r w:rsidRPr="007D22E6">
        <w:t xml:space="preserve">. </w:t>
      </w:r>
    </w:p>
    <w:p w:rsidR="00B9459A" w:rsidRPr="00B9459A" w:rsidRDefault="00B9459A" w:rsidP="00110146">
      <w:pPr>
        <w:spacing w:line="360" w:lineRule="auto"/>
        <w:rPr>
          <w:lang w:eastAsia="zh-CN"/>
        </w:rPr>
      </w:pPr>
      <w:r w:rsidRPr="007D22E6">
        <w:t xml:space="preserve">Recently, a growing number of studies have focused on analyzing the association between telomere </w:t>
      </w:r>
      <w:proofErr w:type="gramStart"/>
      <w:r w:rsidRPr="007D22E6">
        <w:t>length</w:t>
      </w:r>
      <w:proofErr w:type="gramEnd"/>
      <w:r w:rsidRPr="007D22E6">
        <w:t xml:space="preserve"> </w:t>
      </w:r>
      <w:r w:rsidR="002002AB">
        <w:t xml:space="preserve">measured </w:t>
      </w:r>
      <w:r w:rsidR="00C5112B">
        <w:t xml:space="preserve">in peripheral blood </w:t>
      </w:r>
      <w:r w:rsidR="007F38C9">
        <w:t xml:space="preserve">cells </w:t>
      </w:r>
      <w:r w:rsidRPr="007D22E6">
        <w:t>and the risk of cancer</w:t>
      </w:r>
      <w:r w:rsidR="00491987">
        <w:t>s</w:t>
      </w:r>
      <w:r w:rsidRPr="007D22E6">
        <w:t>, and explore</w:t>
      </w:r>
      <w:r w:rsidR="00C5112B">
        <w:t>d</w:t>
      </w:r>
      <w:r w:rsidRPr="007D22E6">
        <w:t xml:space="preserve"> the potential possibility of </w:t>
      </w:r>
      <w:r w:rsidR="00C5112B">
        <w:t>using</w:t>
      </w:r>
      <w:r w:rsidRPr="007D22E6">
        <w:t xml:space="preserve"> telomere length as a clinical biomarker </w:t>
      </w:r>
      <w:r>
        <w:t>of</w:t>
      </w:r>
      <w:r w:rsidR="00C5112B">
        <w:t xml:space="preserve"> cancer risk</w:t>
      </w:r>
      <w:r w:rsidRPr="007D22E6">
        <w:t xml:space="preserve">. To date, there are 8 retrospective case-control studies with </w:t>
      </w:r>
      <w:r w:rsidRPr="007D22E6">
        <w:rPr>
          <w:rFonts w:hint="eastAsia"/>
        </w:rPr>
        <w:t>inconsistent</w:t>
      </w:r>
      <w:r w:rsidR="00DB23DD">
        <w:t xml:space="preserve"> results. Among them,</w:t>
      </w:r>
      <w:r w:rsidRPr="007D22E6">
        <w:t xml:space="preserve"> 2 </w:t>
      </w:r>
      <w:r w:rsidR="00DB23DD">
        <w:t>have shown</w:t>
      </w:r>
      <w:r w:rsidRPr="007D22E6">
        <w:t xml:space="preserve"> longer telomere length was associated with increased risk of breast cancer</w:t>
      </w:r>
      <w:r w:rsidR="00B27FC2">
        <w:t xml:space="preserve"> </w:t>
      </w:r>
      <w:r w:rsidRPr="007D22E6">
        <w:fldChar w:fldCharType="begin" w:fldLock="1"/>
      </w:r>
      <w:r w:rsidR="00516FFC">
        <w:instrText>ADDIN CSL_CITATION { "citationItems" : [ { "id" : "ITEM-1", "itemData" : { "DOI" : "10.1158/0008-5472.CAN-07-6497", "ISSN" : "00085472", "PMID" : "18483243", "abstract" : "Telomeres are essential for maintaining chromosomal stability. Previous studies have indicated that individuals with shorter blood telomeres may be at higher risk of developing various types of cancer, such as in lung, bladder, and kidney. We have analyzed relative telomere length (RTL) of peripheral blood cells in relation to breast cancer incidence and prognosis. The study included 265 newly diagnosed breast cancer patients and 446 female controls. RTL was measured by real-time PCR, and our results show that the patient group displayed significantly longer telomeres compared with controls (P &lt; 0.001). Age-adjusted odds ratios (OR) for breast cancer risk increased with increasing telomere length, with a maximal OR of 5.17 [95% confidence interval (95% CI), 3.09-8.64] for the quartile with the longest telomeres. Furthermore, RTL carried prognostic information for patients with advanced disease. Node positive (N+) patients with short telomeres (&lt;/=median) showed an increased survival compared with N+ patients with long telomeres (P = 0.001). For patients with ages &lt;50 years with tumors &gt;16 mm (median tumor diameter), short telomeres were associated with a significantly better outcome than longer telomeres (P = 0.006). Cox regression analysis showed that long RTL was a significant independent negative prognostic factor (hazards ratio, 2.92; 95% CI, 1.33-6.39; P = 0.007). Our results indicate that blood RTL may serve as a prognostic indicator in breast cancer patients with advanced disease.", "author" : [ { "dropping-particle" : "", "family" : "Svenson", "given" : "Ulrika", "non-dropping-particle" : "", "parse-names" : false, "suffix" : "" }, { "dropping-particle" : "", "family" : "Nordfj\u00e4ll", "given" : "Katarina", "non-dropping-particle" : "", "parse-names" : false, "suffix" : "" }, { "dropping-particle" : "", "family" : "Stegmayr", "given" : "Birgitta", "non-dropping-particle" : "", "parse-names" : false, "suffix" : "" }, { "dropping-particle" : "", "family" : "Manjer", "given" : "Jonas", "non-dropping-particle" : "", "parse-names" : false, "suffix" : "" }, { "dropping-particle" : "", "family" : "Nilsson", "given" : "Peter", "non-dropping-particle" : "", "parse-names" : false, "suffix" : "" }, { "dropping-particle" : "", "family" : "Tavelin", "given" : "Bj\u00f6rn", "non-dropping-particle" : "", "parse-names" : false, "suffix" : "" }, { "dropping-particle" : "", "family" : "Henriksson", "given" : "Roger", "non-dropping-particle" : "", "parse-names" : false, "suffix" : "" }, { "dropping-particle" : "", "family" : "Lenner", "given" : "Per", "non-dropping-particle" : "", "parse-names" : false, "suffix" : "" }, { "dropping-particle" : "", "family" : "Roos", "given" : "G\u00f6ran", "non-dropping-particle" : "", "parse-names" : false, "suffix" : "" } ], "container-title" : "Cancer Research", "id" : "ITEM-1", "issue" : "10", "issued" : { "date-parts" : [ [ "2008" ] ] }, "page" : "3618-3623", "title" : "Breast cancer survival is associated with telomere length in peripheral blood cells", "type" : "article-journal", "volume" : "68" }, "uris" : [ "http://www.mendeley.com/documents/?uuid=cb347be9-56e6-44ad-9393-c276c4fb7f3d" ] }, { "id" : "ITEM-2", "itemData" : { "DOI" : "10.1158/1055-9965.EPI-09-0896", "ISBN" : "1538-7755 (Electronic)\\r1055-9965 (Linking)", "ISSN" : "1538-7755", "PMID" : "20142254", "abstract" : "Telomeres cap the ends of chromosomes and are composed of a series of noncoding hexamer repeats. Telomeres protect the integrity of DNA coding sequences and are integral to the maintenance of genomic stability. Previous studies have shown an association between shortened lymphocyte telomeres and increased risk for specific cancers. However, the association between telomere length and breast cancer risk is less clear. We examined the relative telomere length (RTL) in blood from women with no personal or family history of cancer (controls) compared with different populations of women with breast cancer and women at high genetic risk for developing breast cancer. RTL was determined as the telomere to single gene copy number ratio assessed by quantitative PCR. Breast cancer cases (low risk, n = 40; high risk, n = 62) had significantly longer RTL compared with unaffected controls (n = 50; mean RTL = 1.11 versus 0.84; P &lt; 0.0001). The assessment of risk by RTL quartile showed an increased risk for breast cancer with each longer quartile, with the most significant risk observed in the longest quartile (odds ratio, 23.3; confidence interval, 4.4-122.3; P &lt; 0.0003). Women without breast cancer but at high risk due to family history (n = 30) also showed longer telomeres than controls (mean RTL = 1.09 versus 0.84; P &lt; 0.0001). Our analysis supports previous findings of longer RTL in breast cancer cases compared with controls, and is the first to observe longer RTL in women without breast cancer identified as high risk based on family history.", "author" : [ { "dropping-particle" : "", "family" : "Gramatges", "given" : "Maria M", "non-dropping-particle" : "", "parse-names" : false, "suffix" : "" }, { "dropping-particle" : "", "family" : "Telli", "given" : "Melinda L", "non-dropping-particle" : "", "parse-names" : false, "suffix" : "" }, { "dropping-particle" : "", "family" : "Balise", "given" : "Raymond", "non-dropping-particle" : "", "parse-names" : false, "suffix" : "" }, { "dropping-particle" : "", "family" : "Ford", "given" : "James M", "non-dropping-particle" : "", "parse-names" : false, "suffix" : "" } ], "container-title" : "Cancer epidemiology, biomarkers &amp; prevention : a publication of the American Association for Cancer Research, cosponsored by the American Society of Preventive Oncology", "id" : "ITEM-2", "issue" : "2", "issued" : { "date-parts" : [ [ "2010" ] ] }, "page" : "605-13", "title" : "Longer relative telomere length in blood from women with sporadic and familial breast cancer compared with healthy controls.", "type" : "article-journal", "volume" : "19" }, "uris" : [ "http://www.mendeley.com/documents/?uuid=803250c2-510d-49e4-9dbd-2e73d3010220" ] } ], "mendeley" : { "formattedCitation" : "(Gramatges, Telli, Balise, &amp; Ford, 2010; Svenson et al., 2008)", "plainTextFormattedCitation" : "(Gramatges, Telli, Balise, &amp; Ford, 2010; Svenson et al., 2008)", "previouslyFormattedCitation" : "(Gramatges, Telli, Balise, &amp; Ford, 2010; Svenson et al., 2008)" }, "properties" : {  }, "schema" : "https://github.com/citation-style-language/schema/raw/master/csl-citation.json" }</w:instrText>
      </w:r>
      <w:r w:rsidRPr="007D22E6">
        <w:fldChar w:fldCharType="separate"/>
      </w:r>
      <w:r w:rsidR="00F13013" w:rsidRPr="00F13013">
        <w:rPr>
          <w:noProof/>
        </w:rPr>
        <w:t>(Gramatges, Telli, Balise, &amp; Ford, 2010; Svenson et al., 2008)</w:t>
      </w:r>
      <w:r w:rsidRPr="007D22E6">
        <w:fldChar w:fldCharType="end"/>
      </w:r>
      <w:r w:rsidR="00DB23DD">
        <w:t>;</w:t>
      </w:r>
      <w:r>
        <w:t xml:space="preserve"> 4</w:t>
      </w:r>
      <w:r w:rsidRPr="007D22E6">
        <w:t xml:space="preserve"> </w:t>
      </w:r>
      <w:r w:rsidR="00DB23DD">
        <w:t>studies have shown</w:t>
      </w:r>
      <w:r w:rsidRPr="007D22E6">
        <w:t xml:space="preserve"> </w:t>
      </w:r>
      <w:r w:rsidR="00B27FC2">
        <w:t xml:space="preserve">a </w:t>
      </w:r>
      <w:r w:rsidRPr="007D22E6">
        <w:t>non-significant association</w:t>
      </w:r>
      <w:r w:rsidR="00B27FC2">
        <w:t xml:space="preserve"> </w:t>
      </w:r>
      <w:r w:rsidRPr="007D22E6">
        <w:fldChar w:fldCharType="begin" w:fldLock="1"/>
      </w:r>
      <w:r w:rsidR="00516FFC">
        <w:instrText>ADDIN CSL_CITATION { "citationItems" : [ { "id" : "ITEM-1", "itemData" : { "DOI" : "10.1002/ijc.24105", "ISBN" : "2123055328", "ISSN" : "1097-0215", "PMID" : "19089916", "abstract" : "Telomeres play a critical role in maintaining the integrity and stability of the genome, and are susceptible to oxidative damage after telomere shortening to a critical length. In the present study, we explored the role of white blood cell DNA telomere length on breast cancer risk, and examined whether urinary 15-F(2)-isoprostanes (15-F(2t)-IsoP) and 8-oxo-7,8-dihydrodeoxyguanosine (8-oxodG) or dietary antioxidant intake modified the relationship between telomere length and breast cancer risk. A population-based case-control study-the Long Island Breast Cancer Study Project-was conducted among 1,067 cases and 1,110 controls. Telomere length was assessed by quantitative PCR. Overall, the mean levels of telomere length (T/S ratio), 15-F(2t)-IsoP and 8-oxodG were not significantly different between cases and controls. Among premenopausal women only, carrying shorter telomeres (Q3 and Q4), as compared with the longest (Q1), was associated with significantly increased breast cancer risk. Age-adjusted OR and 95% CI were 1.71 (1.10-2.67) and 1.61 (1.05-2.45). The 5-F(2t)-IsoP and 8-oxodG biomarkers did not modify the telomere-breast cancer association. A moderate increase in breast cancer risk was observed among women with the shortest telomeres (Q4) and lower dietary and supplemental intake of beta-carotene, vitamin C or E intake [OR (95% CI) = 1.48 (1.08-2.03), 1.39 (1.01-1.92) and 1.57 (1.14-2.18), respectively], although the trend test exhibited statistical significance only within the lower vitamin E intake subgroup (p(trend) = 0.01). These results provided the strongest evidence to date that breast cancer risk may be affected by telomere length among premenopausal women or women with low dietary intake of antioxidants or antioxidant supplements.", "author" : [ { "dropping-particle" : "", "family" : "Shen", "given" : "Jing", "non-dropping-particle" : "", "parse-names" : false, "suffix" : "" }, { "dropping-particle" : "", "family" : "Gammon", "given" : "Marilie D", "non-dropping-particle" : "", "parse-names" : false, "suffix" : "" }, { "dropping-particle" : "", "family" : "Terry", "given" : "Mary Beth", "non-dropping-particle" : "", "parse-names" : false, "suffix" : "" }, { "dropping-particle" : "", "family" : "Wang", "given" : "Qiao", "non-dropping-particle" : "", "parse-names" : false, "suffix" : "" }, { "dropping-particle" : "", "family" : "Bradshaw", "given" : "Patrick", "non-dropping-particle" : "", "parse-names" : false, "suffix" : "" }, { "dropping-particle" : "", "family" : "Teitelbaum", "given" : "Susan L", "non-dropping-particle" : "", "parse-names" : false, "suffix" : "" }, { "dropping-particle" : "", "family" : "Neugut", "given" : "Alfred I", "non-dropping-particle" : "", "parse-names" : false, "suffix" : "" }, { "dropping-particle" : "", "family" : "Santella", "given" : "Regina M", "non-dropping-particle" : "", "parse-names" : false, "suffix" : "" } ], "container-title" : "International journal of cancer. Journal international du cancer", "id" : "ITEM-1", "issue" : "7", "issued" : { "date-parts" : [ [ "2009" ] ] }, "page" : "1637-43", "title" : "Telomere length, oxidative damage, antioxidants and breast cancer risk.", "type" : "article-journal", "volume" : "124" }, "uris" : [ "http://www.mendeley.com/documents/?uuid=6b208f08-4d42-49c4-8245-f4a4d32056e1" ] }, { "id" : "ITEM-2", "itemData" : { "DOI" : "10.1007/s10549-009-0440-z", "ISBN" : "0167-6806", "ISSN" : "1573-7217", "PMID" : "19543829", "abstract" : "Telomere dysfunction, which leads to genomic instability, is hypothesized to play a causal role in the development of breast cancer. However, the few epidemiologic studies that assessed the relationship between telomere length in blood cells and breast cancer risk have been inconsistent. We conducted two case-control studies to further understand the role of telomere length and breast cancer risk. Overall telomere lengths were measured by telomere quantitative fluorescent in situ hybridization (TQ-FISH) and telomere quantitative real-time PCR (TQ-PCR). The associations between telomere length in blood leukocytes and risk of breast cancer were examined in two breast cancer case-control studies that were conducted at Roswell Park Cancer Institute (RPCI) and Lombardi Comprehensive Cancer Center (LCCC). Using the 50th percentile value in controls as a cut point, women who had shorter telomere length were not at significantly increased risk of breast cancer compared with women who had longer telomere length in the RPCI study (odds ratio [OR] = 1.34, 95% confidence interval [CI] = 0.84-2.12), in the LCCC study (OR = 1.18, 95% CI = 0.73-1.91), or in the combined RPCI and LCCC studies (OR = 1.23, 95% CI = 0.89-1.71). There was no significant dose-response relationship across quartiles of telomere length and no significant difference when comparing women in the lowest to highest quartile of telomere length. Overall telomere length in blood leukocytes was not significantly associated with the risk of breast cancer.", "author" : [ { "dropping-particle" : "", "family" : "Zheng", "given" : "Yun-Ling", "non-dropping-particle" : "", "parse-names" : false, "suffix" : "" }, { "dropping-particle" : "", "family" : "Ambrosone", "given" : "Christine", "non-dropping-particle" : "", "parse-names" : false, "suffix" : "" }, { "dropping-particle" : "", "family" : "Byrne", "given" : "Celia", "non-dropping-particle" : "", "parse-names" : false, "suffix" : "" }, { "dropping-particle" : "", "family" : "Davis", "given" : "Warren", "non-dropping-particle" : "", "parse-names" : false, "suffix" : "" }, { "dropping-particle" : "", "family" : "Nesline", "given" : "Mary", "non-dropping-particle" : "", "parse-names" : false, "suffix" : "" }, { "dropping-particle" : "", "family" : "McCann", "given" : "Susan E", "non-dropping-particle" : "", "parse-names" : false, "suffix" : "" } ], "container-title" : "Breast cancer research and treatment", "id" : "ITEM-2", "issue" : "3", "issued" : { "date-parts" : [ [ "2010" ] ] }, "page" : "769-75", "title" : "Telomere length in blood cells and breast cancer risk: investigations in two case-control studies.", "type" : "article-journal", "volume" : "120" }, "uris" : [ "http://www.mendeley.com/documents/?uuid=543f306c-ecea-4f9a-a50e-40fe44c58a42" ] }, { "id" : "ITEM-3", "itemData" : { "DOI" : "10.1158/0008-5472.CAN-06-3490", "ISBN" : "2123055328", "ISSN" : "00085472", "PMID" : "17545637", "abstract" : "Telomeres consist of a tandem repeats of the sequence TTAGGG at the ends of chromosomes and play a key role in the maintenance of chromosomal stability. Previous studies indicated that short telomeres are associated with increased risk for human bladder, head and neck, lung, and renal cell cancer. We investigated the association between white blood cell telomere length and breast cancer risk among 268 family sets (287 breast cancer cases and 350 sister controls). Telomere length was assessed by quantitative PCR. The mean telomere length was shorter in cases (mean, 0.70; range, 0.03-1.95) than in unaffected control sisters (mean, 0.74; range, 0.03-2.29), but no significant difference was observed (P = 0.11). When subjects were categorized according to the median telomere length in controls (0.70), affected sisters had shorter telomeres compared with unaffected sisters after adjusting for age at blood donation and smoking status [odds ratio (OR), 1.3; 95% confidence interval (95% CI), 0.9-1.8], but the association was not statistically significant. The association by quartile of telomere length (Q4 shortest versus Q1 longest) also supported an increase in risk from shorter telomere length, although the association was not statistically significant (OR, 1.6; 95% CI, 0.9-2.7). This association was more pronounced among premenopausal women (OR, 2.1; 95% CI, 0.8-5.5) than postmenopausal women (OR, 1.3; 95% CI, 0.5-3.6 for Q4 versus Q1). If these associations are replicated in larger studies, they provide modest epidemiologic evidence that shortened telomere length may be associated with breast cancer risk.", "author" : [ { "dropping-particle" : "", "family" : "Shen", "given" : "Jing", "non-dropping-particle" : "", "parse-names" : false, "suffix" : "" }, { "dropping-particle" : "", "family" : "Terry", "given" : "Mary Beth", "non-dropping-particle" : "", "parse-names" : false, "suffix" : "" }, { "dropping-particle" : "", "family" : "Gurvich", "given" : "Irina", "non-dropping-particle" : "", "parse-names" : false, "suffix" : "" }, { "dropping-particle" : "", "family" : "Liao", "given" : "Yuyan", "non-dropping-particle" : "", "parse-names" : false, "suffix" : "" }, { "dropping-particle" : "", "family" : "Senie", "given" : "Ruby T.", "non-dropping-particle" : "", "parse-names" : false, "suffix" : "" }, { "dropping-particle" : "", "family" : "Santella", "given" : "Regina M.", "non-dropping-particle" : "", "parse-names" : false, "suffix" : "" } ], "container-title" : "Cancer Research", "id" : "ITEM-3", "issue" : "11", "issued" : { "date-parts" : [ [ "2007" ] ] }, "page" : "5538-5544", "title" : "Short telomere length and breast cancer risk: A study in sister sets", "type" : "article-journal", "volume" : "67" }, "uris" : [ "http://www.mendeley.com/documents/?uuid=04fb80c0-dae0-403c-9eca-98f480d5237f" ] }, { "id" : "ITEM-4", "itemData" : { "DOI" : "10.1038/sj.bjc.6604085", "ISBN" : "0007-0920 (Print)\\n0007-0920 (Linking)", "ISSN" : "00070920", "PMID" : "18000505", "abstract" : "Mean terminal restriction fragment (TRF) lengths in white blood cells (WBCs) have been previously found to be associated with breast cancer. To assess whether this marker could be used as a test for breast cancer susceptibility in women, TRF length was measured in 72 treated female breast cancer patients and 1696 unaffected female controls between the ages of 45 and 77 from the Twin Research Unit at St Thomas' Hospital, as well as 140 newly diagnosed breast cancer cases and 108 mammographically screened unaffected controls from Guy's Hospital. Mean TRF was also tested for correlation with chromosome radiosensitivity and apoptotic response in the Guy's Hospital patients. After adjusting for age, smoking and body mass index, there was no significant difference in TRF lengths between the treated breast cancer patients and unaffected controls (P=0.71). A positive correlation between age-adjusted apoptotic response and mean TRF in newly diagnosed untreated breast cancer patients (P=0.008) was identified but no significant difference in TRF lengths between breast cancer patients and unaffected controls was detected (P=0.53). This suggests that TRF lengths in WBC, is not a marker of breast cancer susceptibility and does not vary significantly between affected women before and after treatment.", "author" : [ { "dropping-particle" : "", "family" : "Barwell", "given" : "J.", "non-dropping-particle" : "", "parse-names" : false, "suffix" : "" }, { "dropping-particle" : "", "family" : "Pangon", "given" : "L.", "non-dropping-particle" : "", "parse-names" : false, "suffix" : "" }, { "dropping-particle" : "", "family" : "Georgiou", "given" : "A.", "non-dropping-particle" : "", "parse-names" : false, "suffix" : "" }, { "dropping-particle" : "", "family" : "Docherty", "given" : "Z.", "non-dropping-particle" : "", "parse-names" : false, "suffix" : "" }, { "dropping-particle" : "", "family" : "Kesterton", "given" : "I.", "non-dropping-particle" : "", "parse-names" : false, "suffix" : "" }, { "dropping-particle" : "", "family" : "Ball", "given" : "J.", "non-dropping-particle" : "", "parse-names" : false, "suffix" : "" }, { "dropping-particle" : "", "family" : "Camplejohn", "given" : "R.", "non-dropping-particle" : "", "parse-names" : false, "suffix" : "" }, { "dropping-particle" : "", "family" : "Berg", "given" : "J.", "non-dropping-particle" : "", "parse-names" : false, "suffix" : "" }, { "dropping-particle" : "", "family" : "Aviv", "given" : "A.", "non-dropping-particle" : "", "parse-names" : false, "suffix" : "" }, { "dropping-particle" : "", "family" : "Gardner", "given" : "J.", "non-dropping-particle" : "", "parse-names" : false, "suffix" : "" }, { "dropping-particle" : "", "family" : "Kato", "given" : "B. S.", "non-dropping-particle" : "", "parse-names" : false, "suffix" : "" }, { "dropping-particle" : "", "family" : "Carter", "given" : "N.", "non-dropping-particle" : "", "parse-names" : false, "suffix" : "" }, { "dropping-particle" : "", "family" : "Paximadas", "given" : "D.", "non-dropping-particle" : "", "parse-names" : false, "suffix" : "" }, { "dropping-particle" : "", "family" : "Spector", "given" : "T. D.", "non-dropping-particle" : "", "parse-names" : false, "suffix" : "" }, { "dropping-particle" : "", "family" : "Hodgson", "given" : "S.", "non-dropping-particle" : "", "parse-names" : false, "suffix" : "" } ], "container-title" : "British Journal of Cancer", "id" : "ITEM-4", "issue" : "12", "issued" : { "date-parts" : [ [ "2007" ] ] }, "page" : "1696-1700", "title" : "Is telomere length in peripheral blood lymphocytes correlated with cancer susceptibility or radiosensitivity?", "type" : "article-journal", "volume" : "97" }, "uris" : [ "http://www.mendeley.com/documents/?uuid=51668ba6-5b38-41ac-939c-bf56b5bd1a59" ] } ], "mendeley" : { "formattedCitation" : "(Barwell et al., 2007; Shen et al., 2007, 2009; Zheng et al., 2010)", "plainTextFormattedCitation" : "(Barwell et al., 2007; Shen et al., 2007, 2009; Zheng et al., 2010)", "previouslyFormattedCitation" : "(Barwell et al., 2007; Shen et al., 2007, 2009; Zheng et al., 2010)" }, "properties" : {  }, "schema" : "https://github.com/citation-style-language/schema/raw/master/csl-citation.json" }</w:instrText>
      </w:r>
      <w:r w:rsidRPr="007D22E6">
        <w:fldChar w:fldCharType="separate"/>
      </w:r>
      <w:r w:rsidR="00F13013" w:rsidRPr="00F13013">
        <w:rPr>
          <w:noProof/>
        </w:rPr>
        <w:t>(Barwell et al., 2007; Shen et al., 2007, 2009; Zheng et al., 2010)</w:t>
      </w:r>
      <w:r w:rsidRPr="007D22E6">
        <w:fldChar w:fldCharType="end"/>
      </w:r>
      <w:r w:rsidR="00DB23DD">
        <w:t>;</w:t>
      </w:r>
      <w:r w:rsidRPr="007D22E6">
        <w:t xml:space="preserve"> and 2 </w:t>
      </w:r>
      <w:r w:rsidR="00DB23DD">
        <w:t>have reported that</w:t>
      </w:r>
      <w:r w:rsidRPr="007D22E6">
        <w:t xml:space="preserve"> telomere length was significantly shorter in b</w:t>
      </w:r>
      <w:r w:rsidR="00134778">
        <w:t>reast cancer cases than non-cases</w:t>
      </w:r>
      <w:r w:rsidR="00B27FC2">
        <w:t xml:space="preserve"> </w:t>
      </w:r>
      <w:r w:rsidRPr="007D22E6">
        <w:fldChar w:fldCharType="begin" w:fldLock="1"/>
      </w:r>
      <w:r w:rsidR="00516FFC">
        <w:instrText>ADDIN CSL_CITATION { "citationItems" : [ { "id" : "ITEM-1", "itemData" : { "ISBN" : "0250-7005 (Print)", "ISSN" : "02507005", "PMID" : "9673338", "abstract" : "Background: Telomeres, which are TTAGGG repeats at the end of the eukaryotic chromosome, are essential for complete DNA replication. Telomere length has been reported to decrease in peripheral WBC, unlike the telomerase activity found in these cells. The purpose of this study Mas to investigate whether telomere length in WBC is indeed age dependent and could serve as a genetic marker in breast or ovarian cancer. Methods: Five age groups: 20-29; 30-39; 4049; 50-59 and greater than or equal to 60 years were examined. The cancer patients were 18 women with ovarian cancer and 18 women with breast cancel: Southern blot analysis of the DNA from peripheral white blood cells (WBC) was performed using P-32-labeled (TTAGGG)(3) probe. Blots were scanned in a phosphoimager and analyzed by computer-assisted image analysis. Results: No statistically significant correlation was observed between telomere length and age in either healthy females or cancer patients. However, significantly shorter median telomere length was found in WBC obtained fr om breast cancer patients as compared to healthy individuals and ovarian cancer patients. Conclusions: It is concluded that telomere length in WBC is not age dependen, but is significantly shorter in breast cancel patients.", "author" : [ { "dropping-particle" : "", "family" : "Levy", "given" : "Tally", "non-dropping-particle" : "", "parse-names" : false, "suffix" : "" }, { "dropping-particle" : "", "family" : "Agoulnik", "given" : "Irina", "non-dropping-particle" : "", "parse-names" : false, "suffix" : "" }, { "dropping-particle" : "", "family" : "Atkinson", "given" : "E. Neely", "non-dropping-particle" : "", "parse-names" : false, "suffix" : "" }, { "dropping-particle" : "", "family" : "Tong", "given" : "Xiao Wen", "non-dropping-particle" : "", "parse-names" : false, "suffix" : "" }, { "dropping-particle" : "", "family" : "Gause", "given" : "Heike M.", "non-dropping-particle" : "", "parse-names" : false, "suffix" : "" }, { "dropping-particle" : "", "family" : "Hasenburg", "given" : "Annette", "non-dropping-particle" : "", "parse-names" : false, "suffix" : "" }, { "dropping-particle" : "", "family" : "Runnebaum", "given" : "Ingo B.", "non-dropping-particle" : "", "parse-names" : false, "suffix" : "" }, { "dropping-particle" : "", "family" : "Stickeler", "given" : "Elmar", "non-dropping-particle" : "", "parse-names" : false, "suffix" : "" }, { "dropping-particle" : "", "family" : "M\u00f6bus", "given" : "Volker J.", "non-dropping-particle" : "", "parse-names" : false, "suffix" : "" }, { "dropping-particle" : "", "family" : "Kaplan", "given" : "Alan L.", "non-dropping-particle" : "", "parse-names" : false, "suffix" : "" }, { "dropping-particle" : "", "family" : "Kieback", "given" : "Dirk G.", "non-dropping-particle" : "", "parse-names" : false, "suffix" : "" } ], "container-title" : "Anticancer Research", "id" : "ITEM-1", "issue" : "3 A", "issued" : { "date-parts" : [ [ "1998" ] ] }, "page" : "1345-1349", "title" : "Telomere length in human white blood cells remains constant with age and is shorter in breast cancer patients", "type" : "article-journal", "volume" : "18" }, "uris" : [ "http://www.mendeley.com/documents/?uuid=c95716a2-f6a2-4689-877b-cc130506f09b" ] }, { "id" : "ITEM-2", "itemData" : { "DOI" : "10.1158/0008-5472.CAN-09-4595", "ISSN" : "00085472", "PMID" : "20395204", "abstract" : "Previous studies have reported that shorter mean telomere length in lymphocytes was associated with increased susceptibility to common diseases of aging, and may be predictive of cancer risk. However, most analyses have examined retrospectively collected case-control studies. Mean telomere length was measured using high-throughput quantitative real-time PCR. Blood for DNA extraction was collected after cancer diagnosis in the East Anglian SEARCH Breast (2,243 cases and 2,181 controls) and SEARCH Colorectal (2,249 cases and 2,161 controls) studies. Prospective case-control studies were conducted for breast cancer (199 cases) and colorectal cancer (185 cases), nested within the EPIC-Norfolk cohort. Blood was collected at least 6 months prior to diagnosis, and was matched to DNA from two cancer-free controls per case. In the retrospective SEARCH studies, the age-adjusted odds ratios for shortest (Q4) versus longest (Q1) quartile of mean telomere length was 15.5 [95% confidence intervals (CI), 11.6-20.8; p-het = 5.7 x 10(-75)], with a \"per quartile\" P-trend = 2.1 x 10(-80) for breast cancer; and 2.14 (95% CI, 1.77-2.59; p-het = 7.3 x 10(-15)), with a per quartile P-trend = 1.8 x 10(-13) for colorectal cancer. In the prospective EPIC study, the comparable odds ratios (Q4 versus Q1) were 1.58 (95% CI, 0.75-3.31; p-het = 0.23) for breast cancer and 1.13 (95% CI, 0.54-2.36; p-het = 0.75) for colorectal cancer risk. Mean telomere length was shorter in retrospectively collected cases than in controls but the equivalent association was markedly weaker in the prospective studies. This suggests that telomere shortening largely occurs after diagnosis, and therefore, might not be of value in cancer prediction.", "author" : [ { "dropping-particle" : "", "family" : "Pooley", "given" : "Karen A.", "non-dropping-particle" : "", "parse-names" : false, "suffix" : "" }, { "dropping-particle" : "", "family" : "Sandhu", "given" : "Manjinder S.", "non-dropping-particle" : "", "parse-names" : false, "suffix" : "" }, { "dropping-particle" : "", "family" : "Tyrer", "given" : "Jonathan", "non-dropping-particle" : "", "parse-names" : false, "suffix" : "" }, { "dropping-particle" : "", "family" : "Shah", "given" : "Mitul", "non-dropping-particle" : "", "parse-names" : false, "suffix" : "" }, { "dropping-particle" : "", "family" : "Driver", "given" : "Kristy E.", "non-dropping-particle" : "", "parse-names" : false, "suffix" : "" }, { "dropping-particle" : "", "family" : "Luben", "given" : "Robert N.", "non-dropping-particle" : "", "parse-names" : false, "suffix" : "" }, { "dropping-particle" : "", "family" : "Bingham", "given" : "Sheila A.", "non-dropping-particle" : "", "parse-names" : false, "suffix" : "" }, { "dropping-particle" : "", "family" : "Ponder", "given" : "Bruce A.J.", "non-dropping-particle" : "", "parse-names" : false, "suffix" : "" }, { "dropping-particle" : "", "family" : "Pharoah", "given" : "Paul D.P.", "non-dropping-particle" : "", "parse-names" : false, "suffix" : "" }, { "dropping-particle" : "", "family" : "Khaw", "given" : "Kay Tee", "non-dropping-particle" : "", "parse-names" : false, "suffix" : "" }, { "dropping-particle" : "", "family" : "Easton", "given" : "Douglas F.", "non-dropping-particle" : "", "parse-names" : false, "suffix" : "" }, { "dropping-particle" : "", "family" : "Dunning", "given" : "Alison M.", "non-dropping-particle" : "", "parse-names" : false, "suffix" : "" } ], "container-title" : "Cancer Research", "id" : "ITEM-2", "issue" : "8", "issued" : { "date-parts" : [ [ "2010" ] ] }, "page" : "3170-3176", "title" : "Telomere length in prospective and retrospective cancer case-control studies", "type" : "article-journal", "volume" : "70" }, "uris" : [ "http://www.mendeley.com/documents/?uuid=3a67a588-a6b3-4b16-83e7-fae0d96990d2" ] } ], "mendeley" : { "formattedCitation" : "(Levy et al., 1998; Pooley et al., 2010)", "plainTextFormattedCitation" : "(Levy et al., 1998; Pooley et al., 2010)", "previouslyFormattedCitation" : "(Levy et al., 1998; Pooley et al., 2010)" }, "properties" : {  }, "schema" : "https://github.com/citation-style-language/schema/raw/master/csl-citation.json" }</w:instrText>
      </w:r>
      <w:r w:rsidRPr="007D22E6">
        <w:fldChar w:fldCharType="separate"/>
      </w:r>
      <w:r w:rsidR="00F13013" w:rsidRPr="00F13013">
        <w:rPr>
          <w:noProof/>
        </w:rPr>
        <w:t>(Levy et al., 1998; Pooley et al., 2010)</w:t>
      </w:r>
      <w:r w:rsidRPr="007D22E6">
        <w:fldChar w:fldCharType="end"/>
      </w:r>
      <w:r w:rsidRPr="007D22E6">
        <w:t>. Howeve</w:t>
      </w:r>
      <w:r w:rsidR="00B27FC2">
        <w:t>r, case-control studies cannot provide information on</w:t>
      </w:r>
      <w:r w:rsidRPr="007D22E6">
        <w:t xml:space="preserve"> the cause-effect relationship </w:t>
      </w:r>
      <w:r w:rsidR="00B75005">
        <w:t>between telomere le</w:t>
      </w:r>
      <w:r w:rsidR="002D334A">
        <w:t>ngth and breast cancer risk, due to the reason that</w:t>
      </w:r>
      <w:r w:rsidR="00B27FC2">
        <w:t xml:space="preserve"> </w:t>
      </w:r>
      <w:r w:rsidR="00134778">
        <w:t>DNA</w:t>
      </w:r>
      <w:r w:rsidR="00B27FC2">
        <w:t xml:space="preserve"> samples for the measurement of telomere length were </w:t>
      </w:r>
      <w:r w:rsidR="00134778">
        <w:t>obtained from the cases</w:t>
      </w:r>
      <w:r w:rsidR="00B27FC2">
        <w:t xml:space="preserve"> after cancer diagnosis, and the progression of treatment for may have influenced the te</w:t>
      </w:r>
      <w:r w:rsidR="008A2DEB">
        <w:t xml:space="preserve">lomere length, which introduces </w:t>
      </w:r>
      <w:r w:rsidR="008A2DEB">
        <w:lastRenderedPageBreak/>
        <w:t>potential</w:t>
      </w:r>
      <w:r w:rsidR="004B27E1">
        <w:t>ly</w:t>
      </w:r>
      <w:r w:rsidR="008A2DEB">
        <w:t xml:space="preserve"> temporal or reverse causality</w:t>
      </w:r>
      <w:r w:rsidR="00B27FC2">
        <w:t xml:space="preserve"> bias</w:t>
      </w:r>
      <w:r w:rsidRPr="007D22E6">
        <w:t xml:space="preserve">. </w:t>
      </w:r>
      <w:r w:rsidR="00B27FC2">
        <w:t>Results from</w:t>
      </w:r>
      <w:r w:rsidRPr="007D22E6">
        <w:t xml:space="preserve"> prospective studies</w:t>
      </w:r>
      <w:r w:rsidR="00EF1DEC">
        <w:t xml:space="preserve"> so far</w:t>
      </w:r>
      <w:r w:rsidR="004B27E1">
        <w:t xml:space="preserve"> are also</w:t>
      </w:r>
      <w:r w:rsidR="004F2705">
        <w:t xml:space="preserve"> conflicting. Four</w:t>
      </w:r>
      <w:r w:rsidRPr="007D22E6">
        <w:t xml:space="preserve"> studies </w:t>
      </w:r>
      <w:r w:rsidR="00971FB8">
        <w:t>including 2 nested case</w:t>
      </w:r>
      <w:r w:rsidR="004B27E1">
        <w:t>-control</w:t>
      </w:r>
      <w:r w:rsidR="00971FB8">
        <w:t xml:space="preserve"> stu</w:t>
      </w:r>
      <w:r w:rsidR="00AF2F02">
        <w:t>dies, 1</w:t>
      </w:r>
      <w:r w:rsidR="00971FB8">
        <w:t xml:space="preserve"> case-cohort study and </w:t>
      </w:r>
      <w:r w:rsidR="004B27E1">
        <w:t>1</w:t>
      </w:r>
      <w:r w:rsidR="00971FB8">
        <w:t xml:space="preserve"> prospective cohort study </w:t>
      </w:r>
      <w:r w:rsidR="004B27E1">
        <w:t xml:space="preserve">all </w:t>
      </w:r>
      <w:r w:rsidR="001D300E">
        <w:t xml:space="preserve">demonstrated </w:t>
      </w:r>
      <w:proofErr w:type="spellStart"/>
      <w:r w:rsidR="001D300E">
        <w:t>non</w:t>
      </w:r>
      <w:r w:rsidRPr="007D22E6">
        <w:t>significant</w:t>
      </w:r>
      <w:proofErr w:type="spellEnd"/>
      <w:r w:rsidRPr="007D22E6">
        <w:t xml:space="preserve"> association between telomere length and breast cancer status</w:t>
      </w:r>
      <w:r w:rsidR="004F2705">
        <w:t xml:space="preserve"> </w:t>
      </w:r>
      <w:r>
        <w:fldChar w:fldCharType="begin" w:fldLock="1"/>
      </w:r>
      <w:r w:rsidR="00516FFC">
        <w:instrText>ADDIN CSL_CITATION { "citationItems" : [ { "id" : "ITEM-1", "itemData" : { "DOI" : "10.1007/s10552-011-9778-8", "ISBN" : "1573-7225 (Electronic)\\n0957-5243 (Linking)", "ISSN" : "09575243", "PMID" : "21643930", "abstract" : "OBJECTIVE: Telomeres are required for maintaining genomic integrity and may play a role in carcinogenesis. Some, but not all, epidemiologic studies have found that short telomeres in leukocytes are associated with an increased risk of breast cancer. To further elucidate this potential association, we examined telomere length in relation to breast cancer risk in prospectively collected blood samples from the Sister Study, a cohort of women aged 35-74 years who have a sister with breast cancer.\\n\\nMETHODS: We performed a case-cohort analysis comparing incident breast cancer cases (n = 342) with a subcohort (n = 735), randomly selected from 29,026 participants, enrolled by June 1, 2007. Relative telomere length in peripheral blood cells was estimated using a single-tube monochrome multiplex quantitative PCR assay.\\n\\nRESULTS: No association was observed between telomere length and breast cancer risk. Compared with the longest quartile, hazard ratios (HR) associated with the second, third, and the shortest quartile were 0.91 [95% confidence interval (95% CI): 0.62-1.34], 1.11 (95% CI: 0.77-1.60), and 0.93 (95% CI: 0.64-1.35), respectively. Subgroup analyses by menopausal status, invasiveness, or estrogen receptor status of breast cancer did not reveal evidence of association between telomere length in blood cells and subsequent breast cancer risk.\\n\\nCONCLUSIONS: This prospective investigation does not support telomere length in blood cells as a biomarker for breast cancer risk.", "author" : [ { "dropping-particle" : "", "family" : "Kim", "given" : "Sangmi", "non-dropping-particle" : "", "parse-names" : false, "suffix" : "" }, { "dropping-particle" : "", "family" : "Sandler", "given" : "Dale P.", "non-dropping-particle" : "", "parse-names" : false, "suffix" : "" }, { "dropping-particle" : "", "family" : "Carswell", "given" : "Gleta", "non-dropping-particle" : "", "parse-names" : false, "suffix" : "" }, { "dropping-particle" : "", "family" : "Roo", "given" : "Lisa A.", "non-dropping-particle" : "De", "parse-names" : false, "suffix" : "" }, { "dropping-particle" : "", "family" : "Parks", "given" : "Christine G.", "non-dropping-particle" : "", "parse-names" : false, "suffix" : "" }, { "dropping-particle" : "", "family" : "Cawthon", "given" : "Richard", "non-dropping-particle" : "", "parse-names" : false, "suffix" : "" }, { "dropping-particle" : "", "family" : "Weinberg", "given" : "Clarice R.", "non-dropping-particle" : "", "parse-names" : false, "suffix" : "" }, { "dropping-particle" : "", "family" : "Taylor", "given" : "Jack A.", "non-dropping-particle" : "", "parse-names" : false, "suffix" : "" } ], "container-title" : "Cancer Causes and Control", "id" : "ITEM-1", "issue" : "7", "issued" : { "date-parts" : [ [ "2011" ] ] }, "page" : "1061-1066", "title" : "Telomere length in peripheral blood and breast cancer risk in a prospective case-cohort analysis: Results from the Sister Study", "type" : "article-journal", "volume" : "22" }, "uris" : [ "http://www.mendeley.com/documents/?uuid=89b731f4-8285-42ac-a661-cde777b3e340" ] }, { "id" : "ITEM-2", "itemData" : { "DOI" : "10.1158/0008-5472.CAN-09-4595", "ISSN" : "00085472", "PMID" : "20395204", "abstract" : "Previous studies have reported that shorter mean telomere length in lymphocytes was associated with increased susceptibility to common diseases of aging, and may be predictive of cancer risk. However, most analyses have examined retrospectively collected case-control studies. Mean telomere length was measured using high-throughput quantitative real-time PCR. Blood for DNA extraction was collected after cancer diagnosis in the East Anglian SEARCH Breast (2,243 cases and 2,181 controls) and SEARCH Colorectal (2,249 cases and 2,161 controls) studies. Prospective case-control studies were conducted for breast cancer (199 cases) and colorectal cancer (185 cases), nested within the EPIC-Norfolk cohort. Blood was collected at least 6 months prior to diagnosis, and was matched to DNA from two cancer-free controls per case. In the retrospective SEARCH studies, the age-adjusted odds ratios for shortest (Q4) versus longest (Q1) quartile of mean telomere length was 15.5 [95% confidence intervals (CI), 11.6-20.8; p-het = 5.7 x 10(-75)], with a \"per quartile\" P-trend = 2.1 x 10(-80) for breast cancer; and 2.14 (95% CI, 1.77-2.59; p-het = 7.3 x 10(-15)), with a per quartile P-trend = 1.8 x 10(-13) for colorectal cancer. In the prospective EPIC study, the comparable odds ratios (Q4 versus Q1) were 1.58 (95% CI, 0.75-3.31; p-het = 0.23) for breast cancer and 1.13 (95% CI, 0.54-2.36; p-het = 0.75) for colorectal cancer risk. Mean telomere length was shorter in retrospectively collected cases than in controls but the equivalent association was markedly weaker in the prospective studies. This suggests that telomere shortening largely occurs after diagnosis, and therefore, might not be of value in cancer prediction.", "author" : [ { "dropping-particle" : "", "family" : "Pooley", "given" : "Karen A.", "non-dropping-particle" : "", "parse-names" : false, "suffix" : "" }, { "dropping-particle" : "", "family" : "Sandhu", "given" : "Manjinder S.", "non-dropping-particle" : "", "parse-names" : false, "suffix" : "" }, { "dropping-particle" : "", "family" : "Tyrer", "given" : "Jonathan", "non-dropping-particle" : "", "parse-names" : false, "suffix" : "" }, { "dropping-particle" : "", "family" : "Shah", "given" : "Mitul", "non-dropping-particle" : "", "parse-names" : false, "suffix" : "" }, { "dropping-particle" : "", "family" : "Driver", "given" : "Kristy E.", "non-dropping-particle" : "", "parse-names" : false, "suffix" : "" }, { "dropping-particle" : "", "family" : "Luben", "given" : "Robert N.", "non-dropping-particle" : "", "parse-names" : false, "suffix" : "" }, { "dropping-particle" : "", "family" : "Bingham", "given" : "Sheila A.", "non-dropping-particle" : "", "parse-names" : false, "suffix" : "" }, { "dropping-particle" : "", "family" : "Ponder", "given" : "Bruce A.J.", "non-dropping-particle" : "", "parse-names" : false, "suffix" : "" }, { "dropping-particle" : "", "family" : "Pharoah", "given" : "Paul D.P.", "non-dropping-particle" : "", "parse-names" : false, "suffix" : "" }, { "dropping-particle" : "", "family" : "Khaw", "given" : "Kay Tee", "non-dropping-particle" : "", "parse-names" : false, "suffix" : "" }, { "dropping-particle" : "", "family" : "Easton", "given" : "Douglas F.", "non-dropping-particle" : "", "parse-names" : false, "suffix" : "" }, { "dropping-particle" : "", "family" : "Dunning", "given" : "Alison M.", "non-dropping-particle" : "", "parse-names" : false, "suffix" : "" } ], "container-title" : "Cancer Research", "id" : "ITEM-2", "issue" : "8", "issued" : { "date-parts" : [ [ "2010" ] ] }, "page" : "3170-3176", "title" : "Telomere length in prospective and retrospective cancer case-control studies", "type" : "article-journal", "volume" : "70" }, "uris" : [ "http://www.mendeley.com/documents/?uuid=3a67a588-a6b3-4b16-83e7-fae0d96990d2" ] }, { "id" : "ITEM-3", "itemData" : { "DOI" : "10.1158/1055-9965.EPI-08-0998", "ISBN" : "1055-9965", "ISSN" : "1055-9965", "PMID" : "19293310", "abstract" : "During breast cancer progression, a substantial increase in chromosomal aberrations is observed in the transition from ductal hyperplasia to carcinoma in situ. Telomeres are essential structures to chromosomal integrity. Consequently, telomere dysfunction, which leads to genomic instability, is hypothesized to play a causal role in the progression of breast cancer. However, the few epidemiologic studies that have assessed the relationship between telomere length and breast cancer risk have been inconsistent. We used quantitative real-time PCR to measure relative telomere length in genomic DNA extracted from peripheral blood leukocytes and examined its association with postmenopausal breast cancer risk in 1,122 invasive breast cancer cases and 1,147 matched controls free of diagnosed cancer nested within the prospective Nurses' Health Study. Our data show that relative telomere length was not associated with a significant elevation in postmenopausal breast cancer risk [below versus above median; odds ratio, 1.23; 95% confidence interval, 0.94-1.60; P(trend) = 0.20]. Estrone and estradiol hormone levels were significantly inversely associated with relative telomere length (P = 0.02). Other established breast cancer risk factors such as family history of breast cancer and history of benign breast disease were not associated with relative telomere length in separate linear regression models each adjusted for age and disease status (P &gt; or = 0.07). Our results provide little support for an important role of telomere length, as measured in peripheral blood leukocytes, as a biomarker of breast cancer risk.", "author" : [ { "dropping-particle" : "", "family" : "Vivo", "given" : "Immaculata", "non-dropping-particle" : "De", "parse-names" : false, "suffix" : "" }, { "dropping-particle" : "", "family" : "Prescott", "given" : "Jennifer", "non-dropping-particle" : "", "parse-names" : false, "suffix" : "" }, { "dropping-particle" : "", "family" : "Wong", "given" : "Jason Y Y", "non-dropping-particle" : "", "parse-names" : false, "suffix" : "" }, { "dropping-particle" : "", "family" : "Kraft", "given" : "Peter", "non-dropping-particle" : "", "parse-names" : false, "suffix" : "" }, { "dropping-particle" : "", "family" : "Hankinson", "given" : "Susan E", "non-dropping-particle" : "", "parse-names" : false, "suffix" : "" }, { "dropping-particle" : "", "family" : "Hunter", "given" : "David J", "non-dropping-particle" : "", "parse-names" : false, "suffix" : "" } ], "container-title" : "Cancer epidemiology, biomarkers &amp; prevention : a publication of the American Association for Cancer Research, cosponsored by the American Society of Preventive Oncology", "id" : "ITEM-3", "issue" : "4", "issued" : { "date-parts" : [ [ "2009" ] ] }, "page" : "1152-6", "title" : "A prospective study of relative telomere length and postmenopausal breast cancer risk.", "type" : "article-journal", "volume" : "18" }, "uris" : [ "http://www.mendeley.com/documents/?uuid=8f546762-24e0-421b-8e8f-295ad676a83d" ] }, { "id" : "ITEM-4", "itemData" : { "DOI" : "10.1001/jama.2010.897", "ISBN" : "0098-7484", "ISSN" : "1538-3598", "PMID" : "20606151", "abstract" : "CONTEXT: Telomeres are essential to preserve the integrity of the genome. Critically short telomeres lead to replicative cell senescence and chromosomal instability and may thereby increase cancer risk. OBJECTIVE: To determine the association between baseline telomere length and incident cancer and cancer mortality. DESIGN, SETTING, AND PARTICIPANTS: Leukocyte telomere length was measured by quantitative polymerase chain reaction in 787 participants free of cancer at baseline in 1995 from the prospective, population-based Bruneck Study in Italy. MAIN OUTCOME MEASURES: Incident cancer and cancer mortality over a follow-up period of 10 years (1995-2005 with a follow-up rate of 100%). RESULTS: A total of 92 of 787 participants (11.7%) developed cancer (incidence rate, 13.3 per 1000 person-years). Short telomere length at baseline was associated with incident cancer independently of standard cancer risk factors (multivariable hazard ratio [HR] per 1-SD decrease in log(e)-transformed telomere length, 1.60; 95% confidence interval [CI], 1.30-1.98; P &lt; .001). Compared with participants in the longest telomere length group, the multivariable HR for incident cancer was 2.15 (95% CI, 1.12-4.14) in the middle length group and 3.11 (95% CI, 1.65-5.84) in the shortest length group (P &lt; .001). Incidence rates were 5.1 (95% CI, 2.9-8.7) per 1000 person-years in the longest telomere length group, 14.2 (95% CI, 10.0-20.1) per 1000 person-years in the middle length group, and 22.5 (95% CI, 16.9-29.9) per 1000 person-years in the shortest length group. The association equally applied to men and women and emerged as robust under a variety of circumstances. Furthermore, short telomere length was associated with cancer mortality (multivariable HR per 1-SD decrease in log(e)-transformed telomere length, 2.13; 95% CI, 1.58-2.86; P &lt; .001) and individual cancer subtypes with a high fatality rate. CONCLUSION: In this study population, there was a statistically significant inverse relationship between telomere length and both cancer incidence and mortality.", "author" : [ { "dropping-particle" : "", "family" : "Willeit", "given" : "Peter", "non-dropping-particle" : "", "parse-names" : false, "suffix" : "" }, { "dropping-particle" : "", "family" : "Willeit", "given" : "Johann", "non-dropping-particle" : "", "parse-names" : false, "suffix" : "" }, { "dropping-particle" : "", "family" : "Mayr", "given" : "Agnes", "non-dropping-particle" : "", "parse-names" : false, "suffix" : "" }, { "dropping-particle" : "", "family" : "Weger", "given" : "Siegfried", "non-dropping-particle" : "", "parse-names" : false, "suffix" : "" }, { "dropping-particle" : "", "family" : "Oberhollenzer", "given" : "Friedrich", "non-dropping-particle" : "", "parse-names" : false, "suffix" : "" }, { "dropping-particle" : "", "family" : "Brandst\u00e4tter", "given" : "Anita", "non-dropping-particle" : "", "parse-names" : false, "suffix" : "" }, { "dropping-particle" : "", "family" : "Kronenberg", "given" : "Florian", "non-dropping-particle" : "", "parse-names" : false, "suffix" : "" }, { "dropping-particle" : "", "family" : "Kiechl", "given" : "Stefan", "non-dropping-particle" : "", "parse-names" : false, "suffix" : "" } ], "container-title" : "JAMA: The Journal of the American Medical Association", "id" : "ITEM-4", "issue" : "1", "issued" : { "date-parts" : [ [ "2010" ] ] }, "page" : "69-75", "title" : "Telomere length and risk of incident cancer and cancer mortality.", "type" : "article-journal", "volume" : "304" }, "uris" : [ "http://www.mendeley.com/documents/?uuid=8142fc90-e845-4adc-a963-9a43765ad41b" ] } ], "mendeley" : { "formattedCitation" : "(De Vivo et al., 2009; Kim et al., 2011; Pooley et al., 2010; Willeit et al., 2010)", "plainTextFormattedCitation" : "(De Vivo et al., 2009; Kim et al., 2011; Pooley et al., 2010; Willeit et al., 2010)", "previouslyFormattedCitation" : "(De Vivo et al., 2009; Kim et al., 2011; Pooley et al., 2010; Willeit et al., 2010)" }, "properties" : {  }, "schema" : "https://github.com/citation-style-language/schema/raw/master/csl-citation.json" }</w:instrText>
      </w:r>
      <w:r>
        <w:fldChar w:fldCharType="separate"/>
      </w:r>
      <w:r w:rsidR="00F13013" w:rsidRPr="00F13013">
        <w:rPr>
          <w:noProof/>
        </w:rPr>
        <w:t>(De Vivo et al., 2009; Kim et al., 2011; Pooley et al., 2010; Willeit et al., 2010)</w:t>
      </w:r>
      <w:r>
        <w:fldChar w:fldCharType="end"/>
      </w:r>
      <w:r w:rsidR="004B27E1">
        <w:t>. One</w:t>
      </w:r>
      <w:r w:rsidRPr="007D22E6">
        <w:t xml:space="preserve"> ne</w:t>
      </w:r>
      <w:r w:rsidR="00A94C2F">
        <w:t>sted case-control study showed</w:t>
      </w:r>
      <w:r w:rsidRPr="007D22E6">
        <w:t xml:space="preserve"> </w:t>
      </w:r>
      <w:r>
        <w:t xml:space="preserve">an </w:t>
      </w:r>
      <w:r w:rsidRPr="007D22E6">
        <w:t xml:space="preserve">increased risk of </w:t>
      </w:r>
      <w:r w:rsidR="004F2705">
        <w:t>breast cancer for women in with either shortest or longest quintile of telomere length</w:t>
      </w:r>
      <w:r w:rsidRPr="007D22E6">
        <w:t xml:space="preserve"> </w:t>
      </w:r>
      <w:r w:rsidR="004B27E1">
        <w:t xml:space="preserve">group </w:t>
      </w:r>
      <w:r w:rsidRPr="007D22E6">
        <w:t xml:space="preserve">comparing to the </w:t>
      </w:r>
      <w:r w:rsidR="00C06C8C">
        <w:t>fourth quintile</w:t>
      </w:r>
      <w:r w:rsidRPr="007D22E6">
        <w:t xml:space="preserve"> </w:t>
      </w:r>
      <w:r w:rsidR="00C06C8C">
        <w:t>of telomere length</w:t>
      </w:r>
      <w:r w:rsidR="004F2705">
        <w:t xml:space="preserve"> </w:t>
      </w:r>
      <w:r w:rsidR="004B27E1">
        <w:t xml:space="preserve">group </w:t>
      </w:r>
      <w:r w:rsidRPr="007D22E6">
        <w:fldChar w:fldCharType="begin" w:fldLock="1"/>
      </w:r>
      <w:r w:rsidR="00516FFC">
        <w:instrText>ADDIN CSL_CITATION { "citationItems" : [ { "id" : "ITEM-1", "itemData" : { "DOI" : "10.1093/aje/kws291", "ISBN" : "1476-6256", "ISSN" : "00029262", "PMID" : "23444102", "abstract" : "Telomeres are specialized chromatin structures essential for the maintenance of chromosomal integrity and stability. Telomere shortening has been linked to multiple aging-related diseases, including cancer. Evidence associating telomere length with breast cancer risk-most of which has been from retrospective case-control studies-is conflicting. We conducted a nested case-control study based on the Shanghai Women's Health Study (1997-2009) in which we evaluated the association of telomere length and breast cancer risk using peripheral blood samples collected before cancer diagnosis (601 cases and 695 controls). We used monochrome multiplex quantitative polymerase chain reaction to measure relative telomere length. Multiple logistic regressions were used to derive adjusted odds ratios with 95% confidence intervals as the measure of association. Telomere length was inversely correlated with age (r = -0.22). Women with moderately long telomeres (those in the fourth quintile) had the lowest breast cancer risk. Risk increased in a dose-response manner with decreasing quintile of telomere length; odds ratios were 1.39 (95% confidence interval (CI): 0.95, 2.04), 1.79 (95% CI: 1.17, 2.75), and 2.39 (95% CI: 1.45, 3.92), respectively, for the third, second, and first quintiles compared with the fourth quintile. A slightly elevated risk of breast cancer (odds ratio = 1.35, 95% CI: 0.90, 2.04), although one that was not statistically significant, was found in the top quintile (longest telomeres). Our results support the hypothesis that telomere shortening is associated with increased risk of breast cancer and suggest a possible elevated risk associated with long telomeres.", "author" : [ { "dropping-particle" : "", "family" : "Qu", "given" : "Shimian", "non-dropping-particle" : "", "parse-names" : false, "suffix" : "" }, { "dropping-particle" : "", "family" : "Wen", "given" : "Wanqing", "non-dropping-particle" : "", "parse-names" : false, "suffix" : "" }, { "dropping-particle" : "", "family" : "Shu", "given" : "Xiao Ou", "non-dropping-particle" : "", "parse-names" : false, "suffix" : "" }, { "dropping-particle" : "", "family" : "Chow", "given" : "Wong Ho", "non-dropping-particle" : "", "parse-names" : false, "suffix" : "" }, { "dropping-particle" : "", "family" : "Xiang", "given" : "Yong Bing", "non-dropping-particle" : "", "parse-names" : false, "suffix" : "" }, { "dropping-particle" : "", "family" : "Wu", "given" : "Jie", "non-dropping-particle" : "", "parse-names" : false, "suffix" : "" }, { "dropping-particle" : "", "family" : "Ji", "given" : "Bu Tian", "non-dropping-particle" : "", "parse-names" : false, "suffix" : "" }, { "dropping-particle" : "", "family" : "Rothman", "given" : "Nathaniel", "non-dropping-particle" : "", "parse-names" : false, "suffix" : "" }, { "dropping-particle" : "", "family" : "Yang", "given" : "Gong", "non-dropping-particle" : "", "parse-names" : false, "suffix" : "" }, { "dropping-particle" : "", "family" : "Cai", "given" : "Qiuyin", "non-dropping-particle" : "", "parse-names" : false, "suffix" : "" }, { "dropping-particle" : "", "family" : "Gao", "given" : "Yu Tang", "non-dropping-particle" : "", "parse-names" : false, "suffix" : "" }, { "dropping-particle" : "", "family" : "Zheng", "given" : "Wei", "non-dropping-particle" : "", "parse-names" : false, "suffix" : "" } ], "container-title" : "American Journal of Epidemiology", "id" : "ITEM-1", "issue" : "7", "issued" : { "date-parts" : [ [ "2013" ] ] }, "page" : "617-624", "title" : "Association of leukocyte telomere length with breast cancer RISK: Nested case-control findings from the Shanghai Women's Health Study", "type" : "article-journal", "volume" : "177" }, "uris" : [ "http://www.mendeley.com/documents/?uuid=aacc5a16-5f50-4b5e-a9b6-eb55eae1219f" ] } ], "mendeley" : { "formattedCitation" : "(Qu et al., 2013)", "plainTextFormattedCitation" : "(Qu et al., 2013)", "previouslyFormattedCitation" : "(Qu et al., 2013)" }, "properties" : {  }, "schema" : "https://github.com/citation-style-language/schema/raw/master/csl-citation.json" }</w:instrText>
      </w:r>
      <w:r w:rsidRPr="007D22E6">
        <w:fldChar w:fldCharType="separate"/>
      </w:r>
      <w:r w:rsidR="00F13013" w:rsidRPr="00F13013">
        <w:rPr>
          <w:noProof/>
        </w:rPr>
        <w:t>(Qu et al., 2013)</w:t>
      </w:r>
      <w:r w:rsidRPr="007D22E6">
        <w:fldChar w:fldCharType="end"/>
      </w:r>
      <w:r w:rsidRPr="007D22E6">
        <w:t xml:space="preserve">. </w:t>
      </w:r>
      <w:r w:rsidR="00B41127">
        <w:t>The</w:t>
      </w:r>
      <w:r>
        <w:t xml:space="preserve"> </w:t>
      </w:r>
      <w:r w:rsidR="0082460A">
        <w:t>majority of prospective studies</w:t>
      </w:r>
      <w:r w:rsidRPr="007D22E6">
        <w:t xml:space="preserve"> </w:t>
      </w:r>
      <w:r w:rsidR="004B27E1">
        <w:t>conducted so far are nested case-control studies</w:t>
      </w:r>
      <w:r w:rsidR="008461DD">
        <w:t>.</w:t>
      </w:r>
      <w:r w:rsidRPr="007D22E6">
        <w:t xml:space="preserve"> Many </w:t>
      </w:r>
      <w:r w:rsidR="00DC7659">
        <w:t>established risk factors of</w:t>
      </w:r>
      <w:r w:rsidRPr="007D22E6">
        <w:t xml:space="preserve"> breast cancer</w:t>
      </w:r>
      <w:r w:rsidR="00DE11E0">
        <w:t>,</w:t>
      </w:r>
      <w:r w:rsidRPr="007D22E6">
        <w:t xml:space="preserve"> </w:t>
      </w:r>
      <w:r w:rsidR="00DE11E0" w:rsidRPr="007D22E6">
        <w:t xml:space="preserve">such as reproductive factors and </w:t>
      </w:r>
      <w:r w:rsidR="00DE11E0">
        <w:t xml:space="preserve">use of </w:t>
      </w:r>
      <w:r w:rsidR="00DE11E0" w:rsidRPr="007D22E6">
        <w:t>exogenous hormone</w:t>
      </w:r>
      <w:r w:rsidR="00DE11E0">
        <w:t>s,</w:t>
      </w:r>
      <w:r w:rsidR="00DE11E0" w:rsidRPr="007D22E6">
        <w:t xml:space="preserve"> </w:t>
      </w:r>
      <w:r w:rsidRPr="007D22E6">
        <w:t xml:space="preserve">were not matched </w:t>
      </w:r>
      <w:r>
        <w:t xml:space="preserve">for cases and controls </w:t>
      </w:r>
      <w:r w:rsidRPr="007D22E6">
        <w:t xml:space="preserve">or adjusted </w:t>
      </w:r>
      <w:r w:rsidR="00AF2F02">
        <w:t xml:space="preserve">for </w:t>
      </w:r>
      <w:r w:rsidRPr="007D22E6">
        <w:t xml:space="preserve">in the </w:t>
      </w:r>
      <w:r w:rsidR="00DE11E0">
        <w:t xml:space="preserve">statistical </w:t>
      </w:r>
      <w:r w:rsidRPr="007D22E6">
        <w:t xml:space="preserve">analyses </w:t>
      </w:r>
      <w:r w:rsidRPr="007D22E6">
        <w:fldChar w:fldCharType="begin" w:fldLock="1"/>
      </w:r>
      <w:r w:rsidR="00516FFC">
        <w:instrText>ADDIN CSL_CITATION { "citationItems" : [ { "id" : "ITEM-1", "itemData" : { "DOI" : "10.1007/978-3-319-19437-0", "ISBN" : "978-3-319-19436-3", "author" : [ { "dropping-particle" : "", "family" : "Mina", "given" : "Lida A.", "non-dropping-particle" : "", "parse-names" : false, "suffix" : "" }, { "dropping-particle" : "", "family" : "Storniolo", "given" : "Anna Maria", "non-dropping-particle" : "", "parse-names" : false, "suffix" : "" }, { "dropping-particle" : "", "family" : "Kipfer", "given" : "Hal Douglas", "non-dropping-particle" : "", "parse-names" : false, "suffix" : "" }, { "dropping-particle" : "", "family" : "Hunter", "given" : "Cindy", "non-dropping-particle" : "", "parse-names" : false, "suffix" : "" }, { "dropping-particle" : "", "family" : "Ludwig", "given" : "Kandice K.", "non-dropping-particle" : "", "parse-names" : false, "suffix" : "" } ], "id" : "ITEM-1", "issued" : { "date-parts" : [ [ "2016" ] ] }, "title" : "Breast Cancer Prevention and Treatment", "type" : "book" }, "uris" : [ "http://www.mendeley.com/documents/?uuid=42ac76d2-69cd-456f-8db3-388ec0f7608f" ] } ], "mendeley" : { "formattedCitation" : "(Mina et al., 2016)", "plainTextFormattedCitation" : "(Mina et al., 2016)", "previouslyFormattedCitation" : "(Mina et al., 2016)" }, "properties" : {  }, "schema" : "https://github.com/citation-style-language/schema/raw/master/csl-citation.json" }</w:instrText>
      </w:r>
      <w:r w:rsidRPr="007D22E6">
        <w:fldChar w:fldCharType="separate"/>
      </w:r>
      <w:r w:rsidR="00F13013" w:rsidRPr="00F13013">
        <w:rPr>
          <w:noProof/>
        </w:rPr>
        <w:t>(Mina et al., 2016)</w:t>
      </w:r>
      <w:r w:rsidRPr="007D22E6">
        <w:fldChar w:fldCharType="end"/>
      </w:r>
      <w:r w:rsidR="00DE11E0">
        <w:t>,</w:t>
      </w:r>
      <w:r>
        <w:t xml:space="preserve"> which</w:t>
      </w:r>
      <w:r w:rsidR="00AF2F02">
        <w:t xml:space="preserve"> reduces the power of the study. Only one</w:t>
      </w:r>
      <w:r w:rsidR="00B149D9">
        <w:t xml:space="preserve"> prospective c</w:t>
      </w:r>
      <w:r w:rsidR="00347102">
        <w:t xml:space="preserve">ohort study conducted </w:t>
      </w:r>
      <w:r w:rsidR="00B149D9">
        <w:t xml:space="preserve">in </w:t>
      </w:r>
      <w:r w:rsidR="00110146">
        <w:rPr>
          <w:rFonts w:hint="eastAsia"/>
          <w:lang w:eastAsia="zh-CN"/>
        </w:rPr>
        <w:t>the</w:t>
      </w:r>
      <w:r w:rsidR="00110146">
        <w:rPr>
          <w:lang w:eastAsia="zh-CN"/>
        </w:rPr>
        <w:t xml:space="preserve"> </w:t>
      </w:r>
      <w:r w:rsidRPr="007D22E6">
        <w:t xml:space="preserve">Danish general population found </w:t>
      </w:r>
      <w:r>
        <w:t xml:space="preserve">a </w:t>
      </w:r>
      <w:r w:rsidRPr="007D22E6">
        <w:t xml:space="preserve">significant </w:t>
      </w:r>
      <w:r w:rsidR="002315D1">
        <w:t xml:space="preserve">9% </w:t>
      </w:r>
      <w:r w:rsidR="00A94C2F">
        <w:t>reduction</w:t>
      </w:r>
      <w:r w:rsidR="00347102">
        <w:t xml:space="preserve"> in</w:t>
      </w:r>
      <w:r w:rsidRPr="007D22E6">
        <w:t xml:space="preserve"> breast</w:t>
      </w:r>
      <w:r>
        <w:t xml:space="preserve"> cancer </w:t>
      </w:r>
      <w:r w:rsidR="00347102">
        <w:t>risk for each</w:t>
      </w:r>
      <w:r w:rsidR="004A7EBD">
        <w:t xml:space="preserve"> one</w:t>
      </w:r>
      <w:r>
        <w:t xml:space="preserve"> </w:t>
      </w:r>
      <w:proofErr w:type="spellStart"/>
      <w:r>
        <w:t>kilobase</w:t>
      </w:r>
      <w:proofErr w:type="spellEnd"/>
      <w:r>
        <w:t xml:space="preserve"> decrement</w:t>
      </w:r>
      <w:r w:rsidRPr="007D22E6">
        <w:t xml:space="preserve"> in telomere length</w:t>
      </w:r>
      <w:r w:rsidR="00110146">
        <w:t xml:space="preserve"> </w:t>
      </w:r>
      <w:r w:rsidRPr="007D22E6">
        <w:fldChar w:fldCharType="begin" w:fldLock="1"/>
      </w:r>
      <w:r w:rsidR="00516FFC">
        <w:instrText>ADDIN CSL_CITATION { "citationItems" : [ { "id" : "ITEM-1", "itemData" : { "DOI" : "10.1093/jnci/djt016", "ISBN" : "1460-2105 (Electronic)\\n0027-8874 (Linking)", "ISSN" : "00278874", "PMID" : "23468462", "abstract" : "BACKGROUND: Recent meta-analyses have suggested that short telomere length was associated with increased risk of cancer. We therefore tested the hypotheses that short telomere length was associated with increased risk of cancer and with increased risk of early death after cancer.\\n\\nMETHODS: We measured leukocyte telomere length in a prospective study of 47 102 Danish general population participants from the Copenhagen City Heart Study and the Copenhagen General Population Study. Participants were followed for up to 20 years for cancer diagnosis and death. Follow-up was 100% complete. All statistical tests were two-sided.\\n\\nRESULTS: Telomere length decreased linearly with increasing age (P &lt;.001). During follow-up, we observed 3142 first cancers and, among these individuals, 1730 deaths. Decreasing quartiles of telomere length were associated with decreasing survival after cancer (log-rank P &lt;.001). Multivariable-adjusted hazard ratios of early death were 1.31 (95% confidence interval [CI] = 1.14 to 1.52) in individuals in the quartile and 1.43 (95% CI = 1.13 to 1.80) in individuals in the decile with the shortest telomeres vs the longest. Unadjusted hazard ratios of cancer risk were 1.74 (95% CI = 1.58 to 1.93) and 2.00 (95% CI = 1.70 to 2.35) in individuals in the quartile and decile with the shortest vs longest telomeres; however, multivariable adjustment changed these hazard ratios to 0.98 (95% CI = 0.88 to 1.08) and 0.95 (95% CI = 0.80 to 1.11), mainly because of age adjustment.\\n\\nCONCLUSIONS: Short telomere length is associated with reduced survival after cancer but not with cancer risk. The latter contrasts with findings from recent meta-analyses.", "author" : [ { "dropping-particle" : "", "family" : "Weischer", "given" : "Maren", "non-dropping-particle" : "", "parse-names" : false, "suffix" : "" }, { "dropping-particle" : "", "family" : "Nordestgaard", "given" : "B\u00f8rge G.", "non-dropping-particle" : "", "parse-names" : false, "suffix" : "" }, { "dropping-particle" : "", "family" : "Cawthon", "given" : "Richard M.", "non-dropping-particle" : "", "parse-names" : false, "suffix" : "" }, { "dropping-particle" : "", "family" : "Freiberg", "given" : "Jacob J.", "non-dropping-particle" : "", "parse-names" : false, "suffix" : "" }, { "dropping-particle" : "", "family" : "Tybj\u00e6rg-Hansen", "given" : "Anne", "non-dropping-particle" : "", "parse-names" : false, "suffix" : "" }, { "dropping-particle" : "", "family" : "Bojesen", "given" : "Stig E.", "non-dropping-particle" : "", "parse-names" : false, "suffix" : "" } ], "container-title" : "Journal of the National Cancer Institute", "id" : "ITEM-1", "issue" : "7", "issued" : { "date-parts" : [ [ "2013" ] ] }, "page" : "459-468", "title" : "Short telomere length, cancer survival, and cancer risk in 47102 individuals", "type" : "article-journal", "volume" : "105" }, "uris" : [ "http://www.mendeley.com/documents/?uuid=3aad8787-7768-4d74-a43d-591b40414adc" ] } ], "mendeley" : { "formattedCitation" : "(Weischer et al., 2013)", "plainTextFormattedCitation" : "(Weischer et al., 2013)", "previouslyFormattedCitation" : "(Weischer et al., 2013)" }, "properties" : {  }, "schema" : "https://github.com/citation-style-language/schema/raw/master/csl-citation.json" }</w:instrText>
      </w:r>
      <w:r w:rsidRPr="007D22E6">
        <w:fldChar w:fldCharType="separate"/>
      </w:r>
      <w:r w:rsidR="00F13013" w:rsidRPr="00F13013">
        <w:rPr>
          <w:noProof/>
        </w:rPr>
        <w:t>(Weischer et al., 2013)</w:t>
      </w:r>
      <w:r w:rsidRPr="007D22E6">
        <w:fldChar w:fldCharType="end"/>
      </w:r>
      <w:r w:rsidRPr="007D22E6">
        <w:t xml:space="preserve">. </w:t>
      </w:r>
      <w:r>
        <w:t xml:space="preserve">As the </w:t>
      </w:r>
      <w:r w:rsidR="003B3DA2">
        <w:t>percentage</w:t>
      </w:r>
      <w:r w:rsidR="00DE735F">
        <w:t xml:space="preserve"> of </w:t>
      </w:r>
      <w:r w:rsidR="00347102">
        <w:t xml:space="preserve">women who were </w:t>
      </w:r>
      <w:r w:rsidR="003B3DA2">
        <w:t xml:space="preserve">newly </w:t>
      </w:r>
      <w:r w:rsidR="00347102">
        <w:t xml:space="preserve">diagnosed with </w:t>
      </w:r>
      <w:r w:rsidR="00DE735F">
        <w:t xml:space="preserve">breast cancer </w:t>
      </w:r>
      <w:r w:rsidR="003B3DA2">
        <w:t xml:space="preserve">among </w:t>
      </w:r>
      <w:r w:rsidR="003B3DA2" w:rsidRPr="007D22E6">
        <w:t>Asian</w:t>
      </w:r>
      <w:r w:rsidR="003B3DA2">
        <w:t>/Pacific Islander</w:t>
      </w:r>
      <w:r w:rsidR="00221660">
        <w:t xml:space="preserve"> population</w:t>
      </w:r>
      <w:r w:rsidR="003B3DA2">
        <w:t xml:space="preserve"> </w:t>
      </w:r>
      <w:r w:rsidR="00DE735F">
        <w:t>has been</w:t>
      </w:r>
      <w:r w:rsidR="00347102">
        <w:t xml:space="preserve"> increasing in </w:t>
      </w:r>
      <w:r>
        <w:t xml:space="preserve">the past decades </w:t>
      </w:r>
      <w:r>
        <w:fldChar w:fldCharType="begin" w:fldLock="1"/>
      </w:r>
      <w:r w:rsidR="00516FFC">
        <w:instrText>ADDIN CSL_CITATION { "citationItems" : [ { "id" : "ITEM-1", "itemData" : { "ISBN" : "9712200531", "abstract" : "Howlader N, Noone AM, Krapcho M, Miller D, Bishop K, Kosary CL, Yu M, Ruhl J, Tatalovich Z, Mariotto A, Lewis DR, Chen HS, Feuer EJ, Cronin KA (eds). SEER Cancer Statistics Review, 1975-2014, National Cancer Institute. Bethesda, MD, https://seer.cancer.gov/csr/1975_2014/, based on November 2016 SEER data submission, posted to the SEER web site, April 2017.", "author" : [ { "dropping-particle" : "", "family" : "Howlader", "given" : "N", "non-dropping-particle" : "", "parse-names" : false, "suffix" : "" }, { "dropping-particle" : "", "family" : "Noone", "given" : "AM", "non-dropping-particle" : "", "parse-names" : false, "suffix" : "" }, { "dropping-particle" : "", "family" : "Krapcho", "given" : "M", "non-dropping-particle" : "", "parse-names" : false, "suffix" : "" }, { "dropping-particle" : "", "family" : "Miller", "given" : "D", "non-dropping-particle" : "", "parse-names" : false, "suffix" : "" }, { "dropping-particle" : "", "family" : "Bishop", "given" : "K", "non-dropping-particle" : "", "parse-names" : false, "suffix" : "" }, { "dropping-particle" : "", "family" : "Kosary", "given" : "CL", "non-dropping-particle" : "", "parse-names" : false, "suffix" : "" }, { "dropping-particle" : "", "family" : "Yu", "given" : "M", "non-dropping-particle" : "", "parse-names" : false, "suffix" : "" }, { "dropping-particle" : "", "family" : "Ruhl", "given" : "J", "non-dropping-particle" : "", "parse-names" : false, "suffix" : "" }, { "dropping-particle" : "", "family" : "Tatalovich", "given" : "Z", "non-dropping-particle" : "", "parse-names" : false, "suffix" : "" }, { "dropping-particle" : "", "family" : "Mariotto", "given" : "A", "non-dropping-particle" : "", "parse-names" : false, "suffix" : "" }, { "dropping-particle" : "", "family" : "Lewis", "given" : "DR", "non-dropping-particle" : "", "parse-names" : false, "suffix" : "" }, { "dropping-particle" : "", "family" : "Chen", "given" : "HS", "non-dropping-particle" : "", "parse-names" : false, "suffix" : "" }, { "dropping-particle" : "", "family" : "Feuer", "given" : "EJ", "non-dropping-particle" : "", "parse-names" : false, "suffix" : "" }, { "dropping-particle" : "", "family" : "Cronin", "given" : "KA", "non-dropping-particle" : "", "parse-names" : false, "suffix" : "" } ], "container-title" : "SEER Cancer Statistics Review, 1975-2014", "id" : "ITEM-1", "issued" : { "date-parts" : [ [ "2016" ] ] }, "page" : "http://seer.cancer.gov/csr/1975_2014/", "title" : "Cancer Statistics Review, 1975-2014 - SEER Statistics, National Cancer Institute", "type" : "webpage" }, "uris" : [ "http://www.mendeley.com/documents/?uuid=16aa00a0-6757-4deb-b678-9458624a77f0" ] } ], "mendeley" : { "formattedCitation" : "(Howlader et al., 2016)", "plainTextFormattedCitation" : "(Howlader et al., 2016)", "previouslyFormattedCitation" : "(Howlader et al., 2016)" }, "properties" : {  }, "schema" : "https://github.com/citation-style-language/schema/raw/master/csl-citation.json" }</w:instrText>
      </w:r>
      <w:r>
        <w:fldChar w:fldCharType="separate"/>
      </w:r>
      <w:r w:rsidR="00F13013" w:rsidRPr="00F13013">
        <w:rPr>
          <w:noProof/>
        </w:rPr>
        <w:t>(Howlader et al., 2016)</w:t>
      </w:r>
      <w:r>
        <w:fldChar w:fldCharType="end"/>
      </w:r>
      <w:r>
        <w:t>, more a</w:t>
      </w:r>
      <w:r w:rsidR="004A7EBD">
        <w:t>ttention should be paid to</w:t>
      </w:r>
      <w:r w:rsidR="002F039E">
        <w:t xml:space="preserve"> this </w:t>
      </w:r>
      <w:r>
        <w:t xml:space="preserve">population. </w:t>
      </w:r>
      <w:r w:rsidR="00716DC5">
        <w:t xml:space="preserve">Data </w:t>
      </w:r>
      <w:r w:rsidR="001A26BF">
        <w:t xml:space="preserve">from prospective cohort studies </w:t>
      </w:r>
      <w:r w:rsidR="00716DC5">
        <w:t>on telomere length a</w:t>
      </w:r>
      <w:r w:rsidR="002F2806">
        <w:t>nd risk of breast cancer</w:t>
      </w:r>
      <w:r w:rsidR="00716DC5">
        <w:t xml:space="preserve"> </w:t>
      </w:r>
      <w:r w:rsidR="00E766CE">
        <w:t>have been lacking in Asian populations</w:t>
      </w:r>
      <w:r w:rsidR="00716DC5">
        <w:t xml:space="preserve">. As more and more </w:t>
      </w:r>
      <w:r w:rsidR="00C46C02">
        <w:t xml:space="preserve">studies </w:t>
      </w:r>
      <w:r w:rsidR="00716DC5">
        <w:t xml:space="preserve">are focusing on </w:t>
      </w:r>
      <w:r w:rsidR="003D642D">
        <w:t xml:space="preserve">exploring the relationship between </w:t>
      </w:r>
      <w:r w:rsidR="00E766CE">
        <w:t>telomeres and disease development</w:t>
      </w:r>
      <w:r w:rsidR="00716DC5">
        <w:t xml:space="preserve">, </w:t>
      </w:r>
      <w:r w:rsidR="009665B9">
        <w:t>a better understanding of the</w:t>
      </w:r>
      <w:r w:rsidR="00716DC5">
        <w:t xml:space="preserve"> </w:t>
      </w:r>
      <w:r w:rsidR="00586BC7">
        <w:t>association</w:t>
      </w:r>
      <w:r w:rsidR="00716DC5">
        <w:t xml:space="preserve"> between telomere length and risk of breast cancer</w:t>
      </w:r>
      <w:r w:rsidR="00C46C02">
        <w:t xml:space="preserve"> will have a significant</w:t>
      </w:r>
      <w:r w:rsidR="00EF1DEC">
        <w:t xml:space="preserve"> public health impact</w:t>
      </w:r>
      <w:r w:rsidR="005A184B">
        <w:t xml:space="preserve"> on </w:t>
      </w:r>
      <w:r w:rsidR="00F25E73">
        <w:t xml:space="preserve">the </w:t>
      </w:r>
      <w:r w:rsidR="00586BC7">
        <w:t xml:space="preserve">risk assessment of </w:t>
      </w:r>
      <w:r w:rsidR="003D642D">
        <w:t>breast cancer</w:t>
      </w:r>
      <w:r w:rsidR="00716DC5">
        <w:t xml:space="preserve">. </w:t>
      </w:r>
      <w:r w:rsidR="001A26BF">
        <w:t>For this work</w:t>
      </w:r>
      <w:r>
        <w:t xml:space="preserve"> w</w:t>
      </w:r>
      <w:r w:rsidRPr="007D22E6">
        <w:t xml:space="preserve">e conducted </w:t>
      </w:r>
      <w:r w:rsidR="001A26BF">
        <w:t>a prospective cohort analysis within the</w:t>
      </w:r>
      <w:r w:rsidRPr="007D22E6">
        <w:t xml:space="preserve"> </w:t>
      </w:r>
      <w:r>
        <w:t xml:space="preserve">Singapore Chinese Health Study, and </w:t>
      </w:r>
      <w:r w:rsidRPr="007D22E6">
        <w:t xml:space="preserve">aimed to </w:t>
      </w:r>
      <w:r>
        <w:t xml:space="preserve">test the hypothesis that longer </w:t>
      </w:r>
      <w:r w:rsidR="009C476A" w:rsidRPr="007D22E6">
        <w:t>telomere</w:t>
      </w:r>
      <w:r w:rsidR="009C476A">
        <w:t>s in</w:t>
      </w:r>
      <w:r w:rsidR="009C476A" w:rsidRPr="007D22E6">
        <w:t xml:space="preserve"> </w:t>
      </w:r>
      <w:r w:rsidR="0061737F">
        <w:t xml:space="preserve">pre-diagnostic </w:t>
      </w:r>
      <w:r w:rsidRPr="007D22E6">
        <w:t xml:space="preserve">peripheral blood </w:t>
      </w:r>
      <w:r w:rsidR="009C476A">
        <w:t>leukocytes</w:t>
      </w:r>
      <w:r w:rsidRPr="007D22E6">
        <w:t xml:space="preserve"> </w:t>
      </w:r>
      <w:r>
        <w:t>increase</w:t>
      </w:r>
      <w:r w:rsidR="009C476A">
        <w:t>s</w:t>
      </w:r>
      <w:r>
        <w:t xml:space="preserve"> the risk of </w:t>
      </w:r>
      <w:r w:rsidRPr="007D22E6">
        <w:t xml:space="preserve">breast cancer. </w:t>
      </w:r>
    </w:p>
    <w:p w:rsidR="00B917F0" w:rsidRDefault="00F23071" w:rsidP="00B917F0">
      <w:pPr>
        <w:pStyle w:val="Heading1"/>
      </w:pPr>
      <w:bookmarkStart w:id="27" w:name="_Toc509180565"/>
      <w:r>
        <w:lastRenderedPageBreak/>
        <w:t>materials and methods</w:t>
      </w:r>
      <w:bookmarkEnd w:id="27"/>
    </w:p>
    <w:p w:rsidR="00B917F0" w:rsidRDefault="00F23071" w:rsidP="00B917F0">
      <w:pPr>
        <w:pStyle w:val="Heading2"/>
      </w:pPr>
      <w:bookmarkStart w:id="28" w:name="_Toc509180566"/>
      <w:r>
        <w:t>Study population</w:t>
      </w:r>
      <w:bookmarkEnd w:id="28"/>
    </w:p>
    <w:p w:rsidR="00F23071" w:rsidRPr="00F23071" w:rsidRDefault="00F23071" w:rsidP="00F23071">
      <w:pPr>
        <w:pStyle w:val="Body"/>
        <w:spacing w:line="360" w:lineRule="auto"/>
        <w:jc w:val="both"/>
      </w:pPr>
      <w:r>
        <w:t>Stu</w:t>
      </w:r>
      <w:r w:rsidR="00627DB2">
        <w:t xml:space="preserve">dy subjects were participants in </w:t>
      </w:r>
      <w:r>
        <w:t xml:space="preserve">the Singapore Chinese Health Study, which is a population-based prospective cohort study aiming at investigating risk factors of cancer among Chinese in Singapore. The methodology and details of the study </w:t>
      </w:r>
      <w:r w:rsidR="001448DA">
        <w:t>design and subject recruitment have</w:t>
      </w:r>
      <w:r>
        <w:t xml:space="preserve"> been described elsewhere</w:t>
      </w:r>
      <w:r w:rsidR="00D01F73">
        <w:t xml:space="preserve"> </w:t>
      </w:r>
      <w:r w:rsidR="00516FFC">
        <w:fldChar w:fldCharType="begin" w:fldLock="1"/>
      </w:r>
      <w:r w:rsidR="00516FFC">
        <w:instrText>ADDIN CSL_CITATION { "citationItems" : [ { "id" : "ITEM-1", "itemData" : { "DOI" : "10.1207/S15327914nc392_5", "ISBN" : "0163-5581", "ISSN" : "0163-5581", "PMID" : "11759279", "abstract" : "This report describes the development and validation/calibration of a structured food frequency questionnaire for use in a large-scale cohort study of diet and health in Chinese men and women aged 45-74 years in Singapore, the development of a food composition database for analysis of the dietary data, and the results of the dietary validation/calibration study. The present calibration study comparing estimated intakes from 24-hour recalls with those from the food frequency questionnaires revealed correlations of 0.24-0.79 for energy and nutrients among the Singapore Chinese, which are comparable to the correlation coefficients reported in calibration studies of other populations. We also report on the nutritional profiles of Singapore Chinese on the basis of results of 1,880 24-hour dietary recalls conducted on 1,022 (425 men and 597 women) cohort subjects. Comparisons with age-adjusted corresponding values for US whites and blacks show distinct differences in dietary intakes between the Singapore and US populations. The Singapore cohort will be followed prospectively to identify dietary associations with cancer risk and other health outcomes.", "author" : [ { "dropping-particle" : "", "family" : "Hankin", "given" : "J H", "non-dropping-particle" : "", "parse-names" : false, "suffix" : "" }, { "dropping-particle" : "", "family" : "Stram", "given" : "D O", "non-dropping-particle" : "", "parse-names" : false, "suffix" : "" }, { "dropping-particle" : "", "family" : "Arakawa", "given" : "K", "non-dropping-particle" : "", "parse-names" : false, "suffix" : "" }, { "dropping-particle" : "", "family" : "Park", "given" : "S", "non-dropping-particle" : "", "parse-names" : false, "suffix" : "" }, { "dropping-particle" : "", "family" : "Low", "given" : "S H", "non-dropping-particle" : "", "parse-names" : false, "suffix" : "" }, { "dropping-particle" : "", "family" : "Lee", "given" : "H P", "non-dropping-particle" : "", "parse-names" : false, "suffix" : "" }, { "dropping-particle" : "", "family" : "Yu", "given" : "M C", "non-dropping-particle" : "", "parse-names" : false, "suffix" : "" } ], "container-title" : "Nutrition and cancer", "id" : "ITEM-1", "issue" : "2", "issued" : { "date-parts" : [ [ "2001" ] ] }, "page" : "187-195", "title" : "Singapore Chinese Health Study: development, validation, and calibration of the quantitative food frequency questionnaire.", "type" : "article-journal", "volume" : "39" }, "uris" : [ "http://www.mendeley.com/documents/?uuid=095ef14e-5539-4ecb-9c52-cb5c627425b2" ] } ], "mendeley" : { "formattedCitation" : "(Hankin et al., 2001)", "plainTextFormattedCitation" : "(Hankin et al., 2001)", "previouslyFormattedCitation" : "(Hankin et al., 2001)" }, "properties" : {  }, "schema" : "https://github.com/citation-style-language/schema/raw/master/csl-citation.json" }</w:instrText>
      </w:r>
      <w:r w:rsidR="00516FFC">
        <w:fldChar w:fldCharType="separate"/>
      </w:r>
      <w:r w:rsidR="00516FFC" w:rsidRPr="00516FFC">
        <w:rPr>
          <w:noProof/>
        </w:rPr>
        <w:t>(Hankin et al., 2001)</w:t>
      </w:r>
      <w:r w:rsidR="00516FFC">
        <w:fldChar w:fldCharType="end"/>
      </w:r>
      <w:r>
        <w:rPr>
          <w:rStyle w:val="Hyperlink0"/>
        </w:rPr>
        <w:t>. Bri</w:t>
      </w:r>
      <w:r w:rsidR="009376B8">
        <w:rPr>
          <w:rStyle w:val="Hyperlink0"/>
        </w:rPr>
        <w:t>efly, between 1993 and 1998,</w:t>
      </w:r>
      <w:r w:rsidR="003D77EF">
        <w:rPr>
          <w:rStyle w:val="Hyperlink0"/>
        </w:rPr>
        <w:t xml:space="preserve"> </w:t>
      </w:r>
      <w:r w:rsidR="009376B8">
        <w:rPr>
          <w:rStyle w:val="Hyperlink0"/>
        </w:rPr>
        <w:t>63,257</w:t>
      </w:r>
      <w:r>
        <w:rPr>
          <w:rStyle w:val="Hyperlink0"/>
        </w:rPr>
        <w:t xml:space="preserve"> </w:t>
      </w:r>
      <w:r w:rsidR="009376B8">
        <w:rPr>
          <w:rStyle w:val="Hyperlink0"/>
        </w:rPr>
        <w:t xml:space="preserve">Chinese men and women </w:t>
      </w:r>
      <w:r>
        <w:rPr>
          <w:rStyle w:val="Hyperlink0"/>
        </w:rPr>
        <w:t>aged 45</w:t>
      </w:r>
      <w:r w:rsidR="0040048F">
        <w:rPr>
          <w:rStyle w:val="Hyperlink0"/>
        </w:rPr>
        <w:t xml:space="preserve"> </w:t>
      </w:r>
      <w:r>
        <w:rPr>
          <w:rStyle w:val="Hyperlink0"/>
        </w:rPr>
        <w:t>-</w:t>
      </w:r>
      <w:r w:rsidR="0040048F">
        <w:rPr>
          <w:rStyle w:val="Hyperlink0"/>
        </w:rPr>
        <w:t xml:space="preserve"> </w:t>
      </w:r>
      <w:r>
        <w:rPr>
          <w:rStyle w:val="Hyperlink0"/>
        </w:rPr>
        <w:t>74 years</w:t>
      </w:r>
      <w:r w:rsidR="0045751B">
        <w:rPr>
          <w:rStyle w:val="Hyperlink0"/>
        </w:rPr>
        <w:t xml:space="preserve"> </w:t>
      </w:r>
      <w:r w:rsidR="00CC2293">
        <w:rPr>
          <w:rStyle w:val="Hyperlink0"/>
        </w:rPr>
        <w:t>of</w:t>
      </w:r>
      <w:r w:rsidR="0045751B">
        <w:rPr>
          <w:rStyle w:val="Hyperlink0"/>
        </w:rPr>
        <w:t xml:space="preserve"> Cantonese or </w:t>
      </w:r>
      <w:proofErr w:type="spellStart"/>
      <w:r w:rsidR="0045751B">
        <w:rPr>
          <w:rStyle w:val="Hyperlink0"/>
        </w:rPr>
        <w:t>Hokkien</w:t>
      </w:r>
      <w:proofErr w:type="spellEnd"/>
      <w:r w:rsidR="0045751B">
        <w:rPr>
          <w:rStyle w:val="Hyperlink0"/>
        </w:rPr>
        <w:t xml:space="preserve"> dialect groups</w:t>
      </w:r>
      <w:r>
        <w:rPr>
          <w:rStyle w:val="Hyperlink0"/>
        </w:rPr>
        <w:t xml:space="preserve"> were interviewed in person by a trained interviewer using a structured qu</w:t>
      </w:r>
      <w:r w:rsidR="003A7B7B">
        <w:rPr>
          <w:rStyle w:val="Hyperlink0"/>
        </w:rPr>
        <w:t>estionnaire that</w:t>
      </w:r>
      <w:r>
        <w:rPr>
          <w:rStyle w:val="Hyperlink0"/>
        </w:rPr>
        <w:t xml:space="preserve"> col</w:t>
      </w:r>
      <w:r w:rsidR="00BC61E4">
        <w:rPr>
          <w:rStyle w:val="Hyperlink0"/>
        </w:rPr>
        <w:t>lect</w:t>
      </w:r>
      <w:r w:rsidR="003A7B7B">
        <w:rPr>
          <w:rStyle w:val="Hyperlink0"/>
        </w:rPr>
        <w:t>ed</w:t>
      </w:r>
      <w:r w:rsidR="00BC61E4">
        <w:rPr>
          <w:rStyle w:val="Hyperlink0"/>
        </w:rPr>
        <w:t xml:space="preserve"> information on demographic</w:t>
      </w:r>
      <w:r w:rsidR="003A7B7B">
        <w:rPr>
          <w:rStyle w:val="Hyperlink0"/>
        </w:rPr>
        <w:t>s</w:t>
      </w:r>
      <w:r w:rsidR="00BC61E4">
        <w:rPr>
          <w:rStyle w:val="Hyperlink0"/>
        </w:rPr>
        <w:t xml:space="preserve">, such as age, height, weight and education level, </w:t>
      </w:r>
      <w:r>
        <w:rPr>
          <w:rStyle w:val="Hyperlink0"/>
        </w:rPr>
        <w:t xml:space="preserve">potential risk factors </w:t>
      </w:r>
      <w:r w:rsidR="00BC61E4">
        <w:rPr>
          <w:rStyle w:val="Hyperlink0"/>
        </w:rPr>
        <w:t>including</w:t>
      </w:r>
      <w:r>
        <w:rPr>
          <w:rStyle w:val="Hyperlink0"/>
        </w:rPr>
        <w:t xml:space="preserve"> lifestyle</w:t>
      </w:r>
      <w:r w:rsidR="00924E7A">
        <w:rPr>
          <w:rStyle w:val="Hyperlink0"/>
        </w:rPr>
        <w:t xml:space="preserve"> factors, </w:t>
      </w:r>
      <w:r w:rsidR="00BC61E4">
        <w:rPr>
          <w:rStyle w:val="Hyperlink0"/>
        </w:rPr>
        <w:t>medical history</w:t>
      </w:r>
      <w:r w:rsidR="003A7B7B">
        <w:rPr>
          <w:rStyle w:val="Hyperlink0"/>
        </w:rPr>
        <w:t>, and family history of cancer including breast cancer</w:t>
      </w:r>
      <w:r w:rsidR="00BC61E4">
        <w:rPr>
          <w:rStyle w:val="Hyperlink0"/>
        </w:rPr>
        <w:t>.</w:t>
      </w:r>
      <w:r>
        <w:rPr>
          <w:rStyle w:val="Hyperlink0"/>
        </w:rPr>
        <w:t xml:space="preserve"> </w:t>
      </w:r>
      <w:r w:rsidR="00BC61E4">
        <w:rPr>
          <w:rStyle w:val="Hyperlink0"/>
        </w:rPr>
        <w:t xml:space="preserve">For women only, information related to </w:t>
      </w:r>
      <w:r w:rsidR="003A7B7B">
        <w:rPr>
          <w:rStyle w:val="Hyperlink0"/>
        </w:rPr>
        <w:t xml:space="preserve">menstrual and </w:t>
      </w:r>
      <w:r>
        <w:rPr>
          <w:rStyle w:val="Hyperlink0"/>
        </w:rPr>
        <w:t>reproductive history</w:t>
      </w:r>
      <w:r w:rsidR="00BC61E4">
        <w:rPr>
          <w:rStyle w:val="Hyperlink0"/>
        </w:rPr>
        <w:t xml:space="preserve">, </w:t>
      </w:r>
      <w:r w:rsidR="00626F06">
        <w:rPr>
          <w:rStyle w:val="Hyperlink0"/>
        </w:rPr>
        <w:t xml:space="preserve">and </w:t>
      </w:r>
      <w:r w:rsidR="00BC61E4">
        <w:rPr>
          <w:rStyle w:val="Hyperlink0"/>
        </w:rPr>
        <w:t xml:space="preserve">use of </w:t>
      </w:r>
      <w:r w:rsidR="003A7B7B">
        <w:rPr>
          <w:rStyle w:val="Hyperlink0"/>
        </w:rPr>
        <w:t xml:space="preserve">OC pills and MHT was </w:t>
      </w:r>
      <w:r w:rsidR="00BC61E4">
        <w:rPr>
          <w:rStyle w:val="Hyperlink0"/>
        </w:rPr>
        <w:t>also collected</w:t>
      </w:r>
      <w:r>
        <w:rPr>
          <w:rStyle w:val="Hyperlink0"/>
        </w:rPr>
        <w:t xml:space="preserve">. </w:t>
      </w:r>
      <w:r w:rsidR="0037705A">
        <w:rPr>
          <w:rStyle w:val="Hyperlink0"/>
        </w:rPr>
        <w:t>Beginning in April</w:t>
      </w:r>
      <w:r>
        <w:rPr>
          <w:rStyle w:val="Hyperlink0"/>
        </w:rPr>
        <w:t xml:space="preserve"> 1994, blood and urine sample</w:t>
      </w:r>
      <w:r w:rsidR="00E24805">
        <w:rPr>
          <w:rStyle w:val="Hyperlink0"/>
        </w:rPr>
        <w:t>s</w:t>
      </w:r>
      <w:r w:rsidR="00672E53">
        <w:rPr>
          <w:rStyle w:val="Hyperlink0"/>
        </w:rPr>
        <w:t xml:space="preserve"> were collected from</w:t>
      </w:r>
      <w:r>
        <w:rPr>
          <w:rStyle w:val="Hyperlink0"/>
        </w:rPr>
        <w:t xml:space="preserve"> a random 3</w:t>
      </w:r>
      <w:r w:rsidR="00672E53">
        <w:rPr>
          <w:rStyle w:val="Hyperlink0"/>
        </w:rPr>
        <w:t>% sample of cohort participants.</w:t>
      </w:r>
      <w:r>
        <w:rPr>
          <w:rStyle w:val="Hyperlink0"/>
        </w:rPr>
        <w:t xml:space="preserve"> </w:t>
      </w:r>
      <w:r w:rsidR="00672E53">
        <w:rPr>
          <w:rStyle w:val="Hyperlink0"/>
        </w:rPr>
        <w:t>In January 2000, we extended blood and urine collect</w:t>
      </w:r>
      <w:r w:rsidR="0062470C">
        <w:rPr>
          <w:rStyle w:val="Hyperlink0"/>
        </w:rPr>
        <w:t>ion</w:t>
      </w:r>
      <w:r w:rsidR="00672E53">
        <w:rPr>
          <w:rStyle w:val="Hyperlink0"/>
        </w:rPr>
        <w:t xml:space="preserve"> to all surviving cohort participants who completed baseline interview.</w:t>
      </w:r>
      <w:r>
        <w:rPr>
          <w:rStyle w:val="Hyperlink0"/>
        </w:rPr>
        <w:t xml:space="preserve"> </w:t>
      </w:r>
      <w:r w:rsidR="00742456">
        <w:rPr>
          <w:rStyle w:val="Hyperlink0"/>
        </w:rPr>
        <w:t>Of the 52,326</w:t>
      </w:r>
      <w:r w:rsidR="00672E53">
        <w:rPr>
          <w:rStyle w:val="Hyperlink0"/>
        </w:rPr>
        <w:t xml:space="preserve"> eligible subjects, 28,346 </w:t>
      </w:r>
      <w:r>
        <w:rPr>
          <w:rStyle w:val="Hyperlink0"/>
        </w:rPr>
        <w:t>subjects</w:t>
      </w:r>
      <w:r w:rsidR="00672E53">
        <w:rPr>
          <w:rStyle w:val="Hyperlink0"/>
        </w:rPr>
        <w:t xml:space="preserve"> (54% of eligible)</w:t>
      </w:r>
      <w:r>
        <w:rPr>
          <w:rStyle w:val="Hyperlink0"/>
        </w:rPr>
        <w:t xml:space="preserve"> </w:t>
      </w:r>
      <w:r w:rsidR="00672E53">
        <w:rPr>
          <w:rStyle w:val="Hyperlink0"/>
        </w:rPr>
        <w:t>donated blood samples by the end of 2005. During</w:t>
      </w:r>
      <w:r>
        <w:rPr>
          <w:rStyle w:val="Hyperlink0"/>
        </w:rPr>
        <w:t xml:space="preserve"> 1999</w:t>
      </w:r>
      <w:r w:rsidR="000769B7">
        <w:rPr>
          <w:rStyle w:val="Hyperlink0"/>
        </w:rPr>
        <w:t xml:space="preserve"> -</w:t>
      </w:r>
      <w:r w:rsidR="006257B3">
        <w:rPr>
          <w:rStyle w:val="Hyperlink0"/>
        </w:rPr>
        <w:t xml:space="preserve"> </w:t>
      </w:r>
      <w:r>
        <w:rPr>
          <w:rStyle w:val="Hyperlink0"/>
        </w:rPr>
        <w:t>2</w:t>
      </w:r>
      <w:r w:rsidR="009376B8">
        <w:rPr>
          <w:rStyle w:val="Hyperlink0"/>
        </w:rPr>
        <w:t xml:space="preserve">004, </w:t>
      </w:r>
      <w:r w:rsidR="006257B3">
        <w:rPr>
          <w:rStyle w:val="Hyperlink0"/>
        </w:rPr>
        <w:t xml:space="preserve">we also conducted </w:t>
      </w:r>
      <w:r w:rsidR="000769B7">
        <w:rPr>
          <w:rStyle w:val="Hyperlink0"/>
        </w:rPr>
        <w:t xml:space="preserve">the </w:t>
      </w:r>
      <w:r w:rsidR="006257B3">
        <w:rPr>
          <w:rStyle w:val="Hyperlink0"/>
        </w:rPr>
        <w:t>first</w:t>
      </w:r>
      <w:r w:rsidR="009376B8">
        <w:rPr>
          <w:rStyle w:val="Hyperlink0"/>
        </w:rPr>
        <w:t xml:space="preserve"> follow-up </w:t>
      </w:r>
      <w:r w:rsidR="006257B3">
        <w:rPr>
          <w:rStyle w:val="Hyperlink0"/>
        </w:rPr>
        <w:t xml:space="preserve">interview through telephone and 91% </w:t>
      </w:r>
      <w:r>
        <w:rPr>
          <w:rStyle w:val="Hyperlink0"/>
        </w:rPr>
        <w:t>of female participants updated their smoking status, alcohol drinking status, menop</w:t>
      </w:r>
      <w:r w:rsidR="001F5639">
        <w:rPr>
          <w:rStyle w:val="Hyperlink0"/>
        </w:rPr>
        <w:t>ausal status and MHT</w:t>
      </w:r>
      <w:r w:rsidR="006257B3">
        <w:rPr>
          <w:rStyle w:val="Hyperlink0"/>
        </w:rPr>
        <w:t xml:space="preserve"> use status</w:t>
      </w:r>
      <w:r>
        <w:rPr>
          <w:rStyle w:val="Hyperlink0"/>
        </w:rPr>
        <w:t xml:space="preserve">. The </w:t>
      </w:r>
      <w:r w:rsidR="007150B8">
        <w:rPr>
          <w:rStyle w:val="Hyperlink0"/>
        </w:rPr>
        <w:t xml:space="preserve">original cohort </w:t>
      </w:r>
      <w:r w:rsidR="00BC0F08">
        <w:rPr>
          <w:rStyle w:val="Hyperlink0"/>
        </w:rPr>
        <w:t>study was</w:t>
      </w:r>
      <w:r>
        <w:rPr>
          <w:rStyle w:val="Hyperlink0"/>
        </w:rPr>
        <w:t xml:space="preserve"> approved by the Institution</w:t>
      </w:r>
      <w:r w:rsidR="00C83FE5">
        <w:rPr>
          <w:rStyle w:val="Hyperlink0"/>
        </w:rPr>
        <w:t>al</w:t>
      </w:r>
      <w:r>
        <w:rPr>
          <w:rStyle w:val="Hyperlink0"/>
        </w:rPr>
        <w:t xml:space="preserve"> Review Boards of the National University of Singapore and the University of Pittsburgh. </w:t>
      </w:r>
    </w:p>
    <w:p w:rsidR="00F23071" w:rsidRDefault="00F23071" w:rsidP="00F23071">
      <w:pPr>
        <w:pStyle w:val="Heading2"/>
      </w:pPr>
      <w:bookmarkStart w:id="29" w:name="_Toc509180567"/>
      <w:r>
        <w:t>Assessment of breast cancer cases</w:t>
      </w:r>
      <w:bookmarkEnd w:id="29"/>
    </w:p>
    <w:p w:rsidR="00F23071" w:rsidRDefault="00955E73" w:rsidP="00F23071">
      <w:pPr>
        <w:pStyle w:val="Body"/>
        <w:spacing w:line="360" w:lineRule="auto"/>
        <w:jc w:val="both"/>
        <w:rPr>
          <w:rStyle w:val="Hyperlink0"/>
        </w:rPr>
      </w:pPr>
      <w:r>
        <w:rPr>
          <w:rStyle w:val="Hyperlink0"/>
        </w:rPr>
        <w:t>Incident cases of all cancers, including b</w:t>
      </w:r>
      <w:r w:rsidR="00F23071">
        <w:rPr>
          <w:rStyle w:val="Hyperlink0"/>
        </w:rPr>
        <w:t xml:space="preserve">reast cancer and </w:t>
      </w:r>
      <w:r>
        <w:rPr>
          <w:rStyle w:val="Hyperlink0"/>
        </w:rPr>
        <w:t xml:space="preserve">all cases of </w:t>
      </w:r>
      <w:r w:rsidR="00F23071">
        <w:rPr>
          <w:rStyle w:val="Hyperlink0"/>
        </w:rPr>
        <w:t>death</w:t>
      </w:r>
      <w:r>
        <w:rPr>
          <w:rStyle w:val="Hyperlink0"/>
        </w:rPr>
        <w:t>s</w:t>
      </w:r>
      <w:r w:rsidR="00F23071">
        <w:rPr>
          <w:rStyle w:val="Hyperlink0"/>
        </w:rPr>
        <w:t xml:space="preserve"> </w:t>
      </w:r>
      <w:r>
        <w:rPr>
          <w:rStyle w:val="Hyperlink0"/>
        </w:rPr>
        <w:t xml:space="preserve">among cohort participants </w:t>
      </w:r>
      <w:r w:rsidR="00F23071">
        <w:rPr>
          <w:rStyle w:val="Hyperlink0"/>
        </w:rPr>
        <w:t xml:space="preserve">were identified </w:t>
      </w:r>
      <w:r>
        <w:rPr>
          <w:rStyle w:val="Hyperlink0"/>
        </w:rPr>
        <w:t>through the annual</w:t>
      </w:r>
      <w:r w:rsidR="00F23071">
        <w:rPr>
          <w:rStyle w:val="Hyperlink0"/>
        </w:rPr>
        <w:t xml:space="preserve"> record linkage analysis with the database</w:t>
      </w:r>
      <w:r w:rsidR="00557AB2">
        <w:rPr>
          <w:rStyle w:val="Hyperlink0"/>
        </w:rPr>
        <w:t>s</w:t>
      </w:r>
      <w:r w:rsidR="00F23071">
        <w:rPr>
          <w:rStyle w:val="Hyperlink0"/>
        </w:rPr>
        <w:t xml:space="preserve"> of the Singapore Cancer Registry and Birth and Death Registry</w:t>
      </w:r>
      <w:r w:rsidR="00557AB2">
        <w:rPr>
          <w:rStyle w:val="Hyperlink0"/>
        </w:rPr>
        <w:t xml:space="preserve">, respectively </w:t>
      </w:r>
      <w:r w:rsidR="000617DA">
        <w:rPr>
          <w:rStyle w:val="Hyperlink0"/>
        </w:rPr>
        <w:fldChar w:fldCharType="begin" w:fldLock="1"/>
      </w:r>
      <w:r w:rsidR="000617DA">
        <w:rPr>
          <w:rStyle w:val="Hyperlink0"/>
        </w:rPr>
        <w:instrText>ADDIN CSL_CITATION { "citationItems" : [ { "id" : "ITEM-1", "itemData" : { "ISSN" : "0300-5038", "PMID" : "21675423", "abstract" : "The Singapore cancer registry is a national registry established in 1968. Cancer registration is done by passive methods. The registry contributed survival data on 45 cancer sites or types registered during 1993-1997. Data on 34 cancers registered during 1968-1997 were utilized for survival trend by period and cohort approaches. Follow-up was done by passive methods, with median follow-up ranging between 2-72 months for different cancers. The proportion with histologically verified diagnosis for various cancers ranged between 27-100%; death certificates only (DCOs) comprised 0-7%; 76-100% of total registered cases were included for the survival analysis. The top-ranking cancers on 5-year age-standardized relative survival rates were nonmelanoma skin (96%), thyroid (90%), testis (88%), corpus uteri (77%), breast (74%), Hodgkin lymphoma (73%) and penis (70%). Five-year relative survival by age group showed either a decreasing trend with increasing age groups or was fluctuating. Localized stage of disease ranged between 18-65% for various cancers and survival decreased with increasing extent of disease. Period survival closely predicted survival experience of cancers diagnosed in that period, and an increasing trend in period survival over different periods indicated an improved prognosis for cancers diagnosed in those calendar periods.", "author" : [ { "dropping-particle" : "", "family" : "Chia", "given" : "K S", "non-dropping-particle" : "", "parse-names" : false, "suffix" : "" } ], "container-title" : "IARC scientific publications", "id" : "ITEM-1", "issue" : "162", "issued" : { "date-parts" : [ [ "2011" ] ] }, "page" : "183-98", "title" : "Cancer survival in Singapore, 1993-1997.", "type" : "chapter" }, "uris" : [ "http://www.mendeley.com/documents/?uuid=9d2a88ca-5284-4e95-9ebc-265d5adeaaf7" ] } ], "mendeley" : { "formattedCitation" : "(Chia, 2011)", "plainTextFormattedCitation" : "(Chia, 2011)", "previouslyFormattedCitation" : "(Chia, 2011)" }, "properties" : {  }, "schema" : "https://github.com/citation-style-language/schema/raw/master/csl-citation.json" }</w:instrText>
      </w:r>
      <w:r w:rsidR="000617DA">
        <w:rPr>
          <w:rStyle w:val="Hyperlink0"/>
        </w:rPr>
        <w:fldChar w:fldCharType="separate"/>
      </w:r>
      <w:r w:rsidR="000617DA" w:rsidRPr="000617DA">
        <w:rPr>
          <w:rStyle w:val="Hyperlink0"/>
          <w:noProof/>
        </w:rPr>
        <w:t>(Chia, 2011)</w:t>
      </w:r>
      <w:r w:rsidR="000617DA">
        <w:rPr>
          <w:rStyle w:val="Hyperlink0"/>
        </w:rPr>
        <w:fldChar w:fldCharType="end"/>
      </w:r>
      <w:r w:rsidR="00F23071">
        <w:rPr>
          <w:rStyle w:val="Hyperlink0"/>
        </w:rPr>
        <w:t xml:space="preserve">. </w:t>
      </w:r>
      <w:r w:rsidR="00F23071">
        <w:t xml:space="preserve">According to </w:t>
      </w:r>
      <w:r w:rsidR="00F23071">
        <w:lastRenderedPageBreak/>
        <w:t>the latest record, only 56</w:t>
      </w:r>
      <w:r w:rsidR="00D01F73">
        <w:t xml:space="preserve"> </w:t>
      </w:r>
      <w:r w:rsidR="00F23071">
        <w:t>(&lt; 0.1%) of total 63,257 original cohort subjects were lost to follow-up due to migration out of Singapore.</w:t>
      </w:r>
      <w:r w:rsidR="00F23071">
        <w:rPr>
          <w:rStyle w:val="Hyperlink0"/>
        </w:rPr>
        <w:t xml:space="preserve"> Breast cancer was </w:t>
      </w:r>
      <w:r w:rsidR="00446192">
        <w:rPr>
          <w:rStyle w:val="Hyperlink0"/>
        </w:rPr>
        <w:t>coded</w:t>
      </w:r>
      <w:r w:rsidR="00F23071">
        <w:rPr>
          <w:rStyle w:val="Hyperlink0"/>
        </w:rPr>
        <w:t xml:space="preserve"> </w:t>
      </w:r>
      <w:r w:rsidR="00D01F73">
        <w:rPr>
          <w:rStyle w:val="Hyperlink0"/>
        </w:rPr>
        <w:t>according to</w:t>
      </w:r>
      <w:r w:rsidR="00F23071">
        <w:rPr>
          <w:rStyle w:val="Hyperlink0"/>
        </w:rPr>
        <w:t xml:space="preserve"> the </w:t>
      </w:r>
      <w:r w:rsidR="00D01F73">
        <w:rPr>
          <w:rStyle w:val="Hyperlink0"/>
        </w:rPr>
        <w:t xml:space="preserve">International Classification of Disease, </w:t>
      </w:r>
      <w:r w:rsidR="00F23071">
        <w:rPr>
          <w:rStyle w:val="Hyperlink0"/>
        </w:rPr>
        <w:t>10</w:t>
      </w:r>
      <w:r w:rsidR="00F23071">
        <w:rPr>
          <w:rStyle w:val="None"/>
          <w:vertAlign w:val="superscript"/>
        </w:rPr>
        <w:t>th</w:t>
      </w:r>
      <w:r w:rsidR="00D01F73">
        <w:rPr>
          <w:rStyle w:val="Hyperlink0"/>
        </w:rPr>
        <w:t xml:space="preserve"> edition (ICD-10) including</w:t>
      </w:r>
      <w:r w:rsidR="00F23071">
        <w:rPr>
          <w:rStyle w:val="Hyperlink0"/>
        </w:rPr>
        <w:t xml:space="preserve"> C50.</w:t>
      </w:r>
      <w:r w:rsidR="00B82875">
        <w:rPr>
          <w:rStyle w:val="Hyperlink0"/>
        </w:rPr>
        <w:t>0</w:t>
      </w:r>
      <w:r w:rsidR="00D01F73">
        <w:rPr>
          <w:rStyle w:val="Hyperlink0"/>
        </w:rPr>
        <w:t xml:space="preserve"> </w:t>
      </w:r>
      <w:r w:rsidR="00B82875">
        <w:rPr>
          <w:rStyle w:val="Hyperlink0"/>
        </w:rPr>
        <w:t>-</w:t>
      </w:r>
      <w:r w:rsidR="00D01F73">
        <w:rPr>
          <w:rStyle w:val="Hyperlink0"/>
        </w:rPr>
        <w:t xml:space="preserve"> </w:t>
      </w:r>
      <w:r w:rsidR="00B82875">
        <w:rPr>
          <w:rStyle w:val="Hyperlink0"/>
        </w:rPr>
        <w:t>C50.9</w:t>
      </w:r>
      <w:r w:rsidR="00D01F73">
        <w:rPr>
          <w:rStyle w:val="Hyperlink0"/>
        </w:rPr>
        <w:t xml:space="preserve"> codes</w:t>
      </w:r>
      <w:r w:rsidR="00B82875">
        <w:rPr>
          <w:rStyle w:val="Hyperlink0"/>
        </w:rPr>
        <w:t>. As of December 31, 2008, 210</w:t>
      </w:r>
      <w:r w:rsidR="00F23071">
        <w:rPr>
          <w:rStyle w:val="Hyperlink0"/>
        </w:rPr>
        <w:t xml:space="preserve"> women </w:t>
      </w:r>
      <w:r w:rsidR="005C528F">
        <w:rPr>
          <w:rStyle w:val="Hyperlink0"/>
        </w:rPr>
        <w:t>provided</w:t>
      </w:r>
      <w:r w:rsidR="00D01F73">
        <w:rPr>
          <w:rStyle w:val="Hyperlink0"/>
        </w:rPr>
        <w:t xml:space="preserve"> blood samples at baseline </w:t>
      </w:r>
      <w:r w:rsidR="00EC3871">
        <w:rPr>
          <w:rStyle w:val="Hyperlink0"/>
        </w:rPr>
        <w:t xml:space="preserve">developed breast cancer </w:t>
      </w:r>
      <w:r w:rsidR="005C528F">
        <w:rPr>
          <w:rStyle w:val="Hyperlink0"/>
        </w:rPr>
        <w:t>with</w:t>
      </w:r>
      <w:r w:rsidR="00B82875">
        <w:rPr>
          <w:rStyle w:val="Hyperlink0"/>
        </w:rPr>
        <w:t xml:space="preserve"> a mean follow-up period of </w:t>
      </w:r>
      <w:r w:rsidR="00BB3195">
        <w:rPr>
          <w:rStyle w:val="Hyperlink0"/>
        </w:rPr>
        <w:t xml:space="preserve">3.2 </w:t>
      </w:r>
      <w:r w:rsidR="00F23071">
        <w:rPr>
          <w:rStyle w:val="Hyperlink0"/>
        </w:rPr>
        <w:t xml:space="preserve">years. </w:t>
      </w:r>
    </w:p>
    <w:p w:rsidR="00F23071" w:rsidRDefault="00F23071" w:rsidP="00F23071">
      <w:pPr>
        <w:pStyle w:val="Heading2"/>
      </w:pPr>
      <w:bookmarkStart w:id="30" w:name="_Toc509180568"/>
      <w:r>
        <w:t>Laboratory methods</w:t>
      </w:r>
      <w:bookmarkEnd w:id="30"/>
    </w:p>
    <w:p w:rsidR="0031030C" w:rsidRDefault="0031030C" w:rsidP="0031030C">
      <w:pPr>
        <w:pStyle w:val="Body"/>
        <w:spacing w:line="360" w:lineRule="auto"/>
        <w:jc w:val="both"/>
      </w:pPr>
      <w:r>
        <w:rPr>
          <w:rStyle w:val="Hyperlink0"/>
        </w:rPr>
        <w:t>G</w:t>
      </w:r>
      <w:r w:rsidR="00B70260">
        <w:rPr>
          <w:rStyle w:val="Hyperlink0"/>
        </w:rPr>
        <w:t>enomic DNA was extracted from</w:t>
      </w:r>
      <w:r>
        <w:rPr>
          <w:rStyle w:val="Hyperlink0"/>
        </w:rPr>
        <w:t xml:space="preserve"> peripheral blood </w:t>
      </w:r>
      <w:r w:rsidR="00B41127">
        <w:rPr>
          <w:rStyle w:val="Hyperlink0"/>
        </w:rPr>
        <w:t xml:space="preserve">leukocytes </w:t>
      </w:r>
      <w:r>
        <w:rPr>
          <w:rStyle w:val="Hyperlink0"/>
        </w:rPr>
        <w:t xml:space="preserve">sample using </w:t>
      </w:r>
      <w:proofErr w:type="spellStart"/>
      <w:r>
        <w:rPr>
          <w:rStyle w:val="Hyperlink0"/>
        </w:rPr>
        <w:t>QIAamp</w:t>
      </w:r>
      <w:proofErr w:type="spellEnd"/>
      <w:r>
        <w:rPr>
          <w:rStyle w:val="Hyperlink0"/>
        </w:rPr>
        <w:t xml:space="preserve"> 96 DNA Blood Kits (</w:t>
      </w:r>
      <w:proofErr w:type="spellStart"/>
      <w:r>
        <w:rPr>
          <w:rStyle w:val="Hyperlink0"/>
        </w:rPr>
        <w:t>Qiagen</w:t>
      </w:r>
      <w:proofErr w:type="spellEnd"/>
      <w:r>
        <w:rPr>
          <w:rStyle w:val="Hyperlink0"/>
        </w:rPr>
        <w:t xml:space="preserve">, Valencia, CA) according to the manufacturer’s protocol. Relative telomere length was measured by comparing the ratio of telomere </w:t>
      </w:r>
      <w:r w:rsidR="00B70260">
        <w:rPr>
          <w:rStyle w:val="Hyperlink0"/>
        </w:rPr>
        <w:t xml:space="preserve">DNA content </w:t>
      </w:r>
      <w:r>
        <w:rPr>
          <w:rStyle w:val="Hyperlink0"/>
        </w:rPr>
        <w:t xml:space="preserve">(T) </w:t>
      </w:r>
      <w:r w:rsidR="00B70260">
        <w:rPr>
          <w:rStyle w:val="Hyperlink0"/>
        </w:rPr>
        <w:t xml:space="preserve">relative </w:t>
      </w:r>
      <w:r>
        <w:rPr>
          <w:rStyle w:val="Hyperlink0"/>
        </w:rPr>
        <w:t>to a single copy gene number for albumin (S) in experimental sample</w:t>
      </w:r>
      <w:r w:rsidR="00B70260">
        <w:rPr>
          <w:rStyle w:val="Hyperlink0"/>
        </w:rPr>
        <w:t>s</w:t>
      </w:r>
      <w:r>
        <w:rPr>
          <w:rStyle w:val="Hyperlink0"/>
        </w:rPr>
        <w:t xml:space="preserve"> </w:t>
      </w:r>
      <w:r w:rsidR="00B70260">
        <w:rPr>
          <w:rStyle w:val="Hyperlink0"/>
        </w:rPr>
        <w:t>compared to</w:t>
      </w:r>
      <w:r>
        <w:rPr>
          <w:rStyle w:val="Hyperlink0"/>
        </w:rPr>
        <w:t xml:space="preserve"> standardized reference sample values using multiplexed quantitative polymerase chain reaction (PCR) method developed by Cawthon</w:t>
      </w:r>
      <w:r w:rsidR="00A25F52">
        <w:rPr>
          <w:rStyle w:val="Hyperlink0"/>
        </w:rPr>
        <w:t xml:space="preserve"> </w:t>
      </w:r>
      <w:r w:rsidR="00CB0F43">
        <w:rPr>
          <w:rStyle w:val="Hyperlink0"/>
        </w:rPr>
        <w:fldChar w:fldCharType="begin" w:fldLock="1"/>
      </w:r>
      <w:r w:rsidR="00CB0F43">
        <w:rPr>
          <w:rStyle w:val="Hyperlink0"/>
        </w:rPr>
        <w:instrText>ADDIN CSL_CITATION { "citationItems" : [ { "id" : "ITEM-1", "itemData" : { "DOI" : "10.1093/nar/gkn1027", "ISBN" : "1362-4962 (Electronic)\\r0305-1048 (Linking)", "ISSN" : "03051048", "PMID" : "19129229", "abstract" : "The current quantitative polymerase chain reaction (QPCR) assay of telomere length measures telomere (T) signals in experimental DNA samples in one set of reaction wells, and single copy gene (S) signals in separate wells, in comparison to a reference DNA, to yield relative T/S ratios that are proportional to average telomere length. Multiplexing this assay is desirable, because variation in the amount of DNA pipetted would no longer contribute to variation in T/S, since T and S would be collected within each reaction, from the same input DNA. Multiplexing also increases throughput and lowers costs, since half as many reactions are needed. Here, we present the first multiplexed QPCR method for telomere length measurement. Remarkably, a single fluorescent DNA-intercalating dye is sufficient in this system, because T signals can be collected in early cycles, before S signals rise above baseline, and S signals can be collected at a temperature that fully melts the telomere product, sending its signal to baseline. The correlation of T/S ratios with Terminal Restriction Fragment (TRF) lengths measured by Southern blot was stronger with this monochrome multiplex QPCR method (R(2) = 0.844) than with our original singleplex method (R(2) = 0.677). Multiplex T/S results from independent runs on different days were highly reproducible (R(2) = 0.91).", "author" : [ { "dropping-particle" : "", "family" : "Cawthon", "given" : "Richard M.", "non-dropping-particle" : "", "parse-names" : false, "suffix" : "" } ], "container-title" : "Nucleic Acids Research", "id" : "ITEM-1", "issue" : "3", "issued" : { "date-parts" : [ [ "2009" ] ] }, "title" : "Telomere length measurement by a novel monochrome multiplex quantitative PCR method", "type" : "article-journal", "volume" : "37" }, "uris" : [ "http://www.mendeley.com/documents/?uuid=9550cad6-d920-4eab-bbc4-791111ab0cc5" ] } ], "mendeley" : { "formattedCitation" : "(Cawthon, 2009)", "plainTextFormattedCitation" : "(Cawthon, 2009)", "previouslyFormattedCitation" : "(Cawthon, 2009)" }, "properties" : {  }, "schema" : "https://github.com/citation-style-language/schema/raw/master/csl-citation.json" }</w:instrText>
      </w:r>
      <w:r w:rsidR="00CB0F43">
        <w:rPr>
          <w:rStyle w:val="Hyperlink0"/>
        </w:rPr>
        <w:fldChar w:fldCharType="separate"/>
      </w:r>
      <w:r w:rsidR="00CB0F43" w:rsidRPr="00CB0F43">
        <w:rPr>
          <w:rStyle w:val="Hyperlink0"/>
          <w:noProof/>
        </w:rPr>
        <w:t>(Cawthon, 2009)</w:t>
      </w:r>
      <w:r w:rsidR="00CB0F43">
        <w:rPr>
          <w:rStyle w:val="Hyperlink0"/>
        </w:rPr>
        <w:fldChar w:fldCharType="end"/>
      </w:r>
      <w:r>
        <w:rPr>
          <w:rStyle w:val="Hyperlink0"/>
        </w:rPr>
        <w:t>. This simple and rapid method allowed us to u</w:t>
      </w:r>
      <w:r w:rsidR="00581742">
        <w:rPr>
          <w:rStyle w:val="Hyperlink0"/>
        </w:rPr>
        <w:t>se smaller amounts of DNA to obtain</w:t>
      </w:r>
      <w:r>
        <w:rPr>
          <w:rStyle w:val="Hyperlink0"/>
        </w:rPr>
        <w:t xml:space="preserve"> relative telomere length</w:t>
      </w:r>
      <w:r w:rsidR="00581742">
        <w:rPr>
          <w:rStyle w:val="Hyperlink0"/>
        </w:rPr>
        <w:t xml:space="preserve">s in a very large </w:t>
      </w:r>
      <w:r>
        <w:rPr>
          <w:rStyle w:val="Hyperlink0"/>
        </w:rPr>
        <w:t>population</w:t>
      </w:r>
      <w:r w:rsidR="00581742">
        <w:rPr>
          <w:rStyle w:val="Hyperlink0"/>
        </w:rPr>
        <w:t xml:space="preserve"> </w:t>
      </w:r>
      <w:r w:rsidR="00CB0F43">
        <w:rPr>
          <w:rStyle w:val="Hyperlink0"/>
        </w:rPr>
        <w:fldChar w:fldCharType="begin" w:fldLock="1"/>
      </w:r>
      <w:r w:rsidR="00CB0F43">
        <w:rPr>
          <w:rStyle w:val="Hyperlink0"/>
        </w:rPr>
        <w:instrText>ADDIN CSL_CITATION { "citationItems" : [ { "id" : "ITEM-1", "itemData" : { "DOI" : "10.1097/NNR.0000000000000037", "ISBN" : "0000000000000", "ISSN" : "1538-9847", "PMID" : "24977726", "abstract" : "BACKGROUND: The exciting discovery that telomere shortening is associated with many health conditions and that telomere lengths can be altered in response to social and environmental exposures has underscored the need for methods to accurately and consistently quantify telomere length. OBJECTIVES: The purpose of this article is to provide a comprehensive summary that compares and contrasts the current technologies used to assess telomere length. DISCUSSION: Multiple methods have been developed for the study of telomeres. These techniques include quantification of telomere length by terminal restriction fragmentation-which was one of the earliest tools used for length assessment-making it the gold standard in telomere biology. Quantitative polymerase chain reaction provides the advantage of being able to use smaller amounts of DNA, thereby making it amenable to epidemiology studies involving large numbers of people. An alternative method uses fluorescent probes to quantify not only mean telomere lengths but also chromosome-specific telomere lengths; however, the downside of this approach is that it can only be used on mitotically active cells. Additional methods that permit assessment of the length of a subset of chromosome-specific telomeres or the subset of telomeres that demonstrate shortening are also reviewed. CONCLUSION: Given the increased utility for telomere assessments as a biomarker in physiological, psychological, and biobehavioral research, it is important that investigators become familiar with the methodological nuances of the various procedures used for measuring telomere length. This will ensure that they are empowered to select an optimal assessment approach to meet the needs of their study designs. Gaining a better understanding of the benefits and drawbacks of various measurement techniques is important not only in individual studies, but also to further establish the science of telomere associations with biobehavioral phenomena.", "author" : [ { "dropping-particle" : "", "family" : "Montpetit", "given" : "A et al.", "non-dropping-particle" : "", "parse-names" : false, "suffix" : "" } ], "container-title" : "Nursing research", "id" : "ITEM-1", "issue" : "4", "issued" : { "date-parts" : [ [ "2015" ] ] }, "page" : "289-99", "title" : "Telomere length: a review of methods for measurement.", "type" : "article-journal", "volume" : "63" }, "uris" : [ "http://www.mendeley.com/documents/?uuid=9be995b2-5fe5-43bf-9616-aa31c69203ca" ] } ], "mendeley" : { "formattedCitation" : "(Montpetit, 2015)", "plainTextFormattedCitation" : "(Montpetit, 2015)", "previouslyFormattedCitation" : "(Montpetit, 2015)" }, "properties" : {  }, "schema" : "https://github.com/citation-style-language/schema/raw/master/csl-citation.json" }</w:instrText>
      </w:r>
      <w:r w:rsidR="00CB0F43">
        <w:rPr>
          <w:rStyle w:val="Hyperlink0"/>
        </w:rPr>
        <w:fldChar w:fldCharType="separate"/>
      </w:r>
      <w:r w:rsidR="00CB0F43" w:rsidRPr="00CB0F43">
        <w:rPr>
          <w:rStyle w:val="Hyperlink0"/>
          <w:noProof/>
        </w:rPr>
        <w:t>(Montpetit, 2015)</w:t>
      </w:r>
      <w:r w:rsidR="00CB0F43">
        <w:rPr>
          <w:rStyle w:val="Hyperlink0"/>
        </w:rPr>
        <w:fldChar w:fldCharType="end"/>
      </w:r>
      <w:r w:rsidR="00F773C7">
        <w:rPr>
          <w:rStyle w:val="Hyperlink0"/>
        </w:rPr>
        <w:t xml:space="preserve">. </w:t>
      </w:r>
      <w:r w:rsidR="00CC6348">
        <w:rPr>
          <w:rStyle w:val="Hyperlink0"/>
        </w:rPr>
        <w:t xml:space="preserve">PCR reaction was set up in the 96-well plate in the Bio-Rad </w:t>
      </w:r>
      <w:proofErr w:type="spellStart"/>
      <w:r w:rsidR="00CC6348">
        <w:rPr>
          <w:rStyle w:val="Hyperlink0"/>
        </w:rPr>
        <w:t>MyiQ</w:t>
      </w:r>
      <w:proofErr w:type="spellEnd"/>
      <w:r w:rsidR="00CC6348">
        <w:rPr>
          <w:rStyle w:val="Hyperlink0"/>
        </w:rPr>
        <w:t xml:space="preserve"> Single Color Real-Time PCR Detection System by </w:t>
      </w:r>
      <w:proofErr w:type="spellStart"/>
      <w:r w:rsidR="00CC6348">
        <w:rPr>
          <w:rStyle w:val="Hyperlink0"/>
        </w:rPr>
        <w:t>aliquoting</w:t>
      </w:r>
      <w:proofErr w:type="spellEnd"/>
      <w:r w:rsidR="00CC6348">
        <w:rPr>
          <w:rStyle w:val="Hyperlink0"/>
        </w:rPr>
        <w:t xml:space="preserve"> 15 </w:t>
      </w:r>
      <w:r w:rsidR="00CC6348" w:rsidRPr="0031030C">
        <w:rPr>
          <w:rStyle w:val="Hyperlink0"/>
        </w:rPr>
        <w:fldChar w:fldCharType="begin"/>
      </w:r>
      <w:r w:rsidR="00CC6348" w:rsidRPr="0031030C">
        <w:rPr>
          <w:rStyle w:val="Hyperlink0"/>
        </w:rPr>
        <w:instrText xml:space="preserve"> QUOTE </w:instrText>
      </w:r>
      <w:r w:rsidR="00A243C2">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06150C&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06150C&quot; wsp:rsidP=&quot;0006150C&quot;&gt;&lt;m:oMathPara&gt;&lt;m:oMath&gt;&lt;m:r&gt;&lt;w:rPr&gt;&lt;w:rFonts w:ascii=&quot;Cambria Math&quot; w:h-ansi=&quot;Cambria Math&quot;/&gt;&lt;wx:font wx:val=&quot;Cambria Math&quot;/&gt;&lt;w:i/&gt;&lt;/w:rPr&gt;&lt;m:t&gt;Œº&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CC6348" w:rsidRPr="0031030C">
        <w:rPr>
          <w:rStyle w:val="Hyperlink0"/>
        </w:rPr>
        <w:instrText xml:space="preserve"> </w:instrText>
      </w:r>
      <w:r w:rsidR="00CC6348" w:rsidRPr="0031030C">
        <w:rPr>
          <w:rStyle w:val="Hyperlink0"/>
        </w:rPr>
        <w:fldChar w:fldCharType="separate"/>
      </w:r>
      <m:oMath>
        <m:r>
          <m:rPr>
            <m:sty m:val="p"/>
          </m:rPr>
          <w:rPr>
            <w:rStyle w:val="Hyperlink0"/>
            <w:rFonts w:ascii="Cambria Math" w:hAnsi="Cambria Math"/>
          </w:rPr>
          <m:t>μ</m:t>
        </m:r>
      </m:oMath>
      <w:r w:rsidR="00CC6348" w:rsidRPr="0031030C">
        <w:rPr>
          <w:rStyle w:val="Hyperlink0"/>
        </w:rPr>
        <w:fldChar w:fldCharType="end"/>
      </w:r>
      <w:r w:rsidR="00CC6348">
        <w:rPr>
          <w:rStyle w:val="Hyperlink0"/>
        </w:rPr>
        <w:t xml:space="preserve">L master mix and 10 </w:t>
      </w:r>
      <w:r w:rsidR="00CC6348" w:rsidRPr="0031030C">
        <w:rPr>
          <w:rStyle w:val="Hyperlink0"/>
        </w:rPr>
        <w:fldChar w:fldCharType="begin"/>
      </w:r>
      <w:r w:rsidR="00CC6348" w:rsidRPr="0031030C">
        <w:rPr>
          <w:rStyle w:val="Hyperlink0"/>
        </w:rPr>
        <w:instrText xml:space="preserve"> QUOTE </w:instrText>
      </w:r>
      <w:r w:rsidR="00A243C2">
        <w:rPr>
          <w:noProof/>
          <w:position w:val="-6"/>
        </w:rPr>
        <w:pict>
          <v:shape id="_x0000_i1026" type="#_x0000_t75" alt="" style="width:7.5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06150C&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06150C&quot; wsp:rsidP=&quot;0006150C&quot;&gt;&lt;m:oMathPara&gt;&lt;m:oMath&gt;&lt;m:r&gt;&lt;w:rPr&gt;&lt;w:rFonts w:ascii=&quot;Cambria Math&quot; w:h-ansi=&quot;Cambria Math&quot;/&gt;&lt;wx:font wx:val=&quot;Cambria Math&quot;/&gt;&lt;w:i/&gt;&lt;/w:rPr&gt;&lt;m:t&gt;Œº&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CC6348" w:rsidRPr="0031030C">
        <w:rPr>
          <w:rStyle w:val="Hyperlink0"/>
        </w:rPr>
        <w:instrText xml:space="preserve"> </w:instrText>
      </w:r>
      <w:r w:rsidR="00CC6348" w:rsidRPr="0031030C">
        <w:rPr>
          <w:rStyle w:val="Hyperlink0"/>
        </w:rPr>
        <w:fldChar w:fldCharType="separate"/>
      </w:r>
      <m:oMath>
        <m:r>
          <m:rPr>
            <m:sty m:val="p"/>
          </m:rPr>
          <w:rPr>
            <w:rStyle w:val="Hyperlink0"/>
            <w:rFonts w:ascii="Cambria Math" w:hAnsi="Cambria Math"/>
          </w:rPr>
          <m:t>μ</m:t>
        </m:r>
      </m:oMath>
      <w:r w:rsidR="00CC6348" w:rsidRPr="0031030C">
        <w:rPr>
          <w:rStyle w:val="Hyperlink0"/>
        </w:rPr>
        <w:fldChar w:fldCharType="end"/>
      </w:r>
      <w:r w:rsidR="00CC6348" w:rsidRPr="0031030C">
        <w:rPr>
          <w:rStyle w:val="Hyperlink0"/>
        </w:rPr>
        <w:fldChar w:fldCharType="begin"/>
      </w:r>
      <w:r w:rsidR="00CC6348" w:rsidRPr="0031030C">
        <w:rPr>
          <w:rStyle w:val="Hyperlink0"/>
        </w:rPr>
        <w:instrText xml:space="preserve"> QUOTE </w:instrText>
      </w:r>
      <w:r w:rsidR="00A243C2">
        <w:rPr>
          <w:noProof/>
          <w:position w:val="-6"/>
        </w:rPr>
        <w:pict>
          <v:shape id="_x0000_i1027" type="#_x0000_t75" alt="" style="width:7.5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B7A0B&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7B7A0B&quot; wsp:rsidP=&quot;007B7A0B&quot;&gt;&lt;m:oMathPara&gt;&lt;m:oMath&gt;&lt;m:r&gt;&lt;w:rPr&gt;&lt;w:rFonts w:ascii=&quot;Cambria Math&quot; w:h-ansi=&quot;Cambria Math&quot;/&gt;&lt;wx:font wx:val=&quot;Cambria Math&quot;/&gt;&lt;w:i/&gt;&lt;/w:rPr&gt;&lt;m:t&gt;Œº&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CC6348" w:rsidRPr="0031030C">
        <w:rPr>
          <w:rStyle w:val="Hyperlink0"/>
        </w:rPr>
        <w:instrText xml:space="preserve"> </w:instrText>
      </w:r>
      <w:r w:rsidR="00CC6348" w:rsidRPr="0031030C">
        <w:rPr>
          <w:rStyle w:val="Hyperlink0"/>
        </w:rPr>
        <w:fldChar w:fldCharType="end"/>
      </w:r>
      <w:r w:rsidR="00CC6348">
        <w:rPr>
          <w:rStyle w:val="Hyperlink0"/>
        </w:rPr>
        <w:t>L of experimental DNA sample into ea</w:t>
      </w:r>
      <w:bookmarkStart w:id="31" w:name="OLE_LINK1"/>
      <w:r w:rsidR="00CC6348">
        <w:rPr>
          <w:rStyle w:val="Hyperlink0"/>
        </w:rPr>
        <w:t>c</w:t>
      </w:r>
      <w:bookmarkStart w:id="32" w:name="OLE_LINK2"/>
      <w:bookmarkEnd w:id="31"/>
      <w:r w:rsidR="00CC6348">
        <w:rPr>
          <w:rStyle w:val="Hyperlink0"/>
        </w:rPr>
        <w:t>h reaction wel</w:t>
      </w:r>
      <w:bookmarkEnd w:id="32"/>
      <w:r w:rsidR="00CC6348">
        <w:rPr>
          <w:rStyle w:val="Hyperlink0"/>
        </w:rPr>
        <w:t xml:space="preserve">l. </w:t>
      </w:r>
      <w:r w:rsidR="00F773C7">
        <w:rPr>
          <w:rStyle w:val="Hyperlink0"/>
        </w:rPr>
        <w:t>The reference standard DNA curve was made from a pooled sample of 77 participants from the Singapore Chinese Health Study identified in a previous study. The telomere length values of all the 77 samples were within 10% of the population mean. The reference sam</w:t>
      </w:r>
      <w:r w:rsidR="00AA3F2A">
        <w:rPr>
          <w:rStyle w:val="Hyperlink0"/>
        </w:rPr>
        <w:t>ples were serial diluted in 4</w:t>
      </w:r>
      <w:r w:rsidR="00F773C7">
        <w:rPr>
          <w:rStyle w:val="Hyperlink0"/>
        </w:rPr>
        <w:t xml:space="preserve"> concentrations </w:t>
      </w:r>
      <w:r w:rsidR="00AA3F2A">
        <w:rPr>
          <w:rStyle w:val="Hyperlink0"/>
        </w:rPr>
        <w:t>with 8</w:t>
      </w:r>
      <w:r w:rsidR="000740D8">
        <w:rPr>
          <w:rStyle w:val="Hyperlink0"/>
        </w:rPr>
        <w:t xml:space="preserve"> replicates </w:t>
      </w:r>
      <w:r w:rsidR="00F773C7">
        <w:rPr>
          <w:rStyle w:val="Hyperlink0"/>
        </w:rPr>
        <w:t xml:space="preserve">in every </w:t>
      </w:r>
      <w:r w:rsidR="00213F02">
        <w:rPr>
          <w:rStyle w:val="Hyperlink0"/>
        </w:rPr>
        <w:t>PCR</w:t>
      </w:r>
      <w:r w:rsidR="00F773C7">
        <w:rPr>
          <w:rStyle w:val="Hyperlink0"/>
        </w:rPr>
        <w:t xml:space="preserve"> plate </w:t>
      </w:r>
      <w:r w:rsidR="00213F02">
        <w:rPr>
          <w:rStyle w:val="Hyperlink0"/>
        </w:rPr>
        <w:t xml:space="preserve">together with experimental samples </w:t>
      </w:r>
      <w:r w:rsidR="00F773C7">
        <w:rPr>
          <w:rStyle w:val="Hyperlink0"/>
        </w:rPr>
        <w:t xml:space="preserve">to provide relative quantitation. The </w:t>
      </w:r>
      <w:r>
        <w:rPr>
          <w:rStyle w:val="Hyperlink0"/>
        </w:rPr>
        <w:t>experimental sample</w:t>
      </w:r>
      <w:r w:rsidR="009068E2">
        <w:rPr>
          <w:rStyle w:val="Hyperlink0"/>
        </w:rPr>
        <w:t>s</w:t>
      </w:r>
      <w:r>
        <w:rPr>
          <w:rStyle w:val="Hyperlink0"/>
        </w:rPr>
        <w:t xml:space="preserve"> and reference sample </w:t>
      </w:r>
      <w:r w:rsidR="009068E2">
        <w:rPr>
          <w:rStyle w:val="Hyperlink0"/>
        </w:rPr>
        <w:t>maintain</w:t>
      </w:r>
      <w:r>
        <w:rPr>
          <w:rStyle w:val="Hyperlink0"/>
        </w:rPr>
        <w:t xml:space="preserve"> same relative quantity </w:t>
      </w:r>
      <w:r w:rsidR="009068E2">
        <w:rPr>
          <w:rStyle w:val="Hyperlink0"/>
        </w:rPr>
        <w:t xml:space="preserve">of single copy gene and </w:t>
      </w:r>
      <w:proofErr w:type="spellStart"/>
      <w:r w:rsidR="009068E2">
        <w:rPr>
          <w:rStyle w:val="Hyperlink0"/>
        </w:rPr>
        <w:t>telomeric</w:t>
      </w:r>
      <w:proofErr w:type="spellEnd"/>
      <w:r w:rsidR="009068E2">
        <w:rPr>
          <w:rStyle w:val="Hyperlink0"/>
        </w:rPr>
        <w:t xml:space="preserve"> repeat</w:t>
      </w:r>
      <w:r>
        <w:rPr>
          <w:rStyle w:val="Hyperlink0"/>
        </w:rPr>
        <w:t xml:space="preserve"> </w:t>
      </w:r>
      <w:r w:rsidR="009068E2">
        <w:rPr>
          <w:rStyle w:val="Hyperlink0"/>
        </w:rPr>
        <w:t xml:space="preserve">DNA </w:t>
      </w:r>
      <w:r>
        <w:rPr>
          <w:rStyle w:val="Hyperlink0"/>
        </w:rPr>
        <w:t xml:space="preserve">by controlling the number of PCR cycles needed to generate a given </w:t>
      </w:r>
      <w:r w:rsidR="009068E2">
        <w:rPr>
          <w:rStyle w:val="Hyperlink0"/>
        </w:rPr>
        <w:t>amount</w:t>
      </w:r>
      <w:r>
        <w:rPr>
          <w:rStyle w:val="Hyperlink0"/>
        </w:rPr>
        <w:t xml:space="preserve"> of PCR product. All </w:t>
      </w:r>
      <w:r w:rsidR="0099364B">
        <w:rPr>
          <w:rStyle w:val="Hyperlink0"/>
        </w:rPr>
        <w:t xml:space="preserve">plates with experimental </w:t>
      </w:r>
      <w:r w:rsidR="00220EB3">
        <w:rPr>
          <w:rStyle w:val="Hyperlink0"/>
        </w:rPr>
        <w:t xml:space="preserve">and reference </w:t>
      </w:r>
      <w:r w:rsidR="0099364B">
        <w:rPr>
          <w:rStyle w:val="Hyperlink0"/>
        </w:rPr>
        <w:t>samples</w:t>
      </w:r>
      <w:r>
        <w:rPr>
          <w:rStyle w:val="Hyperlink0"/>
        </w:rPr>
        <w:t xml:space="preserve"> were </w:t>
      </w:r>
      <w:r w:rsidR="0099364B">
        <w:rPr>
          <w:rStyle w:val="Hyperlink0"/>
        </w:rPr>
        <w:t>analyzed</w:t>
      </w:r>
      <w:r>
        <w:rPr>
          <w:rStyle w:val="Hyperlink0"/>
        </w:rPr>
        <w:t xml:space="preserve"> </w:t>
      </w:r>
      <w:r w:rsidR="0099364B">
        <w:rPr>
          <w:rStyle w:val="Hyperlink0"/>
        </w:rPr>
        <w:t>twice</w:t>
      </w:r>
      <w:r w:rsidR="006F043E">
        <w:rPr>
          <w:rStyle w:val="Hyperlink0"/>
        </w:rPr>
        <w:t>,</w:t>
      </w:r>
      <w:r>
        <w:rPr>
          <w:rStyle w:val="Hyperlink0"/>
        </w:rPr>
        <w:t xml:space="preserve"> and the a</w:t>
      </w:r>
      <w:r w:rsidR="009068E2">
        <w:rPr>
          <w:rStyle w:val="Hyperlink0"/>
        </w:rPr>
        <w:t>verage number of T/S value was</w:t>
      </w:r>
      <w:r>
        <w:rPr>
          <w:rStyle w:val="Hyperlink0"/>
        </w:rPr>
        <w:t xml:space="preserve"> reported, which is expected to </w:t>
      </w:r>
      <w:r w:rsidR="009068E2">
        <w:rPr>
          <w:rStyle w:val="Hyperlink0"/>
        </w:rPr>
        <w:t>correlated with</w:t>
      </w:r>
      <w:r>
        <w:rPr>
          <w:rStyle w:val="Hyperlink0"/>
        </w:rPr>
        <w:t xml:space="preserve"> the telomere length. </w:t>
      </w:r>
      <w:r w:rsidR="009068E2" w:rsidRPr="006C7D0B">
        <w:rPr>
          <w:shd w:val="clear" w:color="auto" w:fill="FFFFFF"/>
        </w:rPr>
        <w:t xml:space="preserve">The </w:t>
      </w:r>
      <w:r w:rsidR="009068E2">
        <w:rPr>
          <w:shd w:val="clear" w:color="auto" w:fill="FFFFFF"/>
        </w:rPr>
        <w:t xml:space="preserve">mean coefficient of variation, as a measure of reproducibility, </w:t>
      </w:r>
      <w:r w:rsidR="009068E2" w:rsidRPr="006C7D0B">
        <w:rPr>
          <w:shd w:val="clear" w:color="auto" w:fill="FFFFFF"/>
        </w:rPr>
        <w:t xml:space="preserve">of all technical sample duplicates for </w:t>
      </w:r>
      <w:r w:rsidR="009068E2">
        <w:t xml:space="preserve">telomere length </w:t>
      </w:r>
      <w:r w:rsidR="009068E2" w:rsidRPr="006C7D0B">
        <w:rPr>
          <w:shd w:val="clear" w:color="auto" w:fill="FFFFFF"/>
        </w:rPr>
        <w:t>in the present study was</w:t>
      </w:r>
      <w:r w:rsidR="009068E2">
        <w:rPr>
          <w:shd w:val="clear" w:color="auto" w:fill="FFFFFF"/>
        </w:rPr>
        <w:t xml:space="preserve"> </w:t>
      </w:r>
      <w:r w:rsidR="009068E2" w:rsidRPr="006C7D0B">
        <w:rPr>
          <w:shd w:val="clear" w:color="auto" w:fill="FFFFFF"/>
        </w:rPr>
        <w:t>3.5%</w:t>
      </w:r>
      <w:r w:rsidR="009068E2">
        <w:rPr>
          <w:shd w:val="clear" w:color="auto" w:fill="FFFFFF"/>
        </w:rPr>
        <w:t>.</w:t>
      </w:r>
    </w:p>
    <w:p w:rsidR="0031030C" w:rsidRDefault="0031030C" w:rsidP="0031030C">
      <w:pPr>
        <w:pStyle w:val="Heading2"/>
      </w:pPr>
      <w:bookmarkStart w:id="33" w:name="_Toc509180569"/>
      <w:r>
        <w:lastRenderedPageBreak/>
        <w:t>Statistical analysis</w:t>
      </w:r>
      <w:bookmarkEnd w:id="33"/>
    </w:p>
    <w:p w:rsidR="00337E86" w:rsidRDefault="00C8044E" w:rsidP="0031030C">
      <w:pPr>
        <w:pStyle w:val="Body"/>
        <w:spacing w:line="360" w:lineRule="auto"/>
        <w:jc w:val="both"/>
      </w:pPr>
      <w:r>
        <w:t>Student’s t</w:t>
      </w:r>
      <w:r w:rsidR="0031030C">
        <w:t xml:space="preserve">-test and </w:t>
      </w:r>
      <m:oMath>
        <m:r>
          <w:rPr>
            <w:rFonts w:ascii="Cambria Math" w:hAnsi="Cambria Math"/>
          </w:rPr>
          <m:t>χ</m:t>
        </m:r>
      </m:oMath>
      <w:r w:rsidR="0031030C" w:rsidRPr="0031030C">
        <w:rPr>
          <w:rStyle w:val="None"/>
          <w:vertAlign w:val="superscript"/>
        </w:rPr>
        <w:fldChar w:fldCharType="begin"/>
      </w:r>
      <w:r w:rsidR="0031030C" w:rsidRPr="0031030C">
        <w:rPr>
          <w:rStyle w:val="None"/>
          <w:vertAlign w:val="superscript"/>
        </w:rPr>
        <w:instrText xml:space="preserve"> QUOTE </w:instrText>
      </w:r>
      <w:r w:rsidR="00A243C2">
        <w:rPr>
          <w:noProof/>
          <w:position w:val="-6"/>
        </w:rPr>
        <w:pict>
          <v:shape id="_x0000_i1028" type="#_x0000_t75" alt="" style="width:7.5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1841&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4B1841&quot; wsp:rsidP=&quot;004B1841&quot;&gt;&lt;m:oMathPara&gt;&lt;m:oMath&gt;&lt;m:r&gt;&lt;w:rPr&gt;&lt;w:rFonts w:ascii=&quot;Cambria Math&quot; w:h-ansi=&quot;Cambria Math&quot;/&gt;&lt;wx:font wx:val=&quot;Cambria Math&quot;/&gt;&lt;w:i/&gt;&lt;/w:rPr&gt;&lt;m:t&gt;œ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31030C" w:rsidRPr="0031030C">
        <w:rPr>
          <w:rStyle w:val="None"/>
          <w:vertAlign w:val="superscript"/>
        </w:rPr>
        <w:instrText xml:space="preserve"> </w:instrText>
      </w:r>
      <w:r w:rsidR="0031030C" w:rsidRPr="0031030C">
        <w:rPr>
          <w:rStyle w:val="None"/>
          <w:vertAlign w:val="superscript"/>
        </w:rPr>
        <w:fldChar w:fldCharType="end"/>
      </w:r>
      <w:r w:rsidR="0031030C">
        <w:rPr>
          <w:rStyle w:val="None"/>
          <w:vertAlign w:val="superscript"/>
        </w:rPr>
        <w:t>2</w:t>
      </w:r>
      <w:r w:rsidR="0031030C">
        <w:t>-test were performed to compare</w:t>
      </w:r>
      <w:r>
        <w:t xml:space="preserve"> the distributions of selected characteristics and risk factors for continuous and categorical</w:t>
      </w:r>
      <w:r w:rsidR="0031030C">
        <w:t xml:space="preserve"> </w:t>
      </w:r>
      <w:r>
        <w:t>variables</w:t>
      </w:r>
      <w:r w:rsidR="0031030C">
        <w:t>, respectively, between breast cancer cases and non-cases of the entire cohort. Analysis of covariance (ANCOVA) was used to examine the e</w:t>
      </w:r>
      <w:r w:rsidR="00337E86">
        <w:t>ffect of age, BMI</w:t>
      </w:r>
      <w:r w:rsidR="0031030C">
        <w:t xml:space="preserve"> and other selected variables on telomere length. </w:t>
      </w:r>
    </w:p>
    <w:p w:rsidR="00D01BB0" w:rsidRDefault="009A5924" w:rsidP="00337E86">
      <w:pPr>
        <w:pStyle w:val="Body"/>
        <w:spacing w:line="360" w:lineRule="auto"/>
        <w:ind w:firstLine="720"/>
        <w:jc w:val="both"/>
      </w:pPr>
      <w:r>
        <w:t>The present study included 14,</w:t>
      </w:r>
      <w:r w:rsidR="00E620C9">
        <w:t>306 subjects after excluding 1,585</w:t>
      </w:r>
      <w:r>
        <w:t xml:space="preserve"> subjects with </w:t>
      </w:r>
      <w:r w:rsidR="00E620C9">
        <w:t xml:space="preserve">a history of cancer at the time of blood collection, 221 </w:t>
      </w:r>
      <w:r>
        <w:t>missing telomere lengt</w:t>
      </w:r>
      <w:r w:rsidR="00DF7C91">
        <w:t>h measurements due to assessment</w:t>
      </w:r>
      <w:r>
        <w:t xml:space="preserve"> problems. </w:t>
      </w:r>
      <w:r w:rsidR="0031030C">
        <w:t>Persons-years for each study participant at risk were calculated from the date of blood sample collection to the date of breast cancer diagnosis, death, migration out of S</w:t>
      </w:r>
      <w:r w:rsidR="00F727BC">
        <w:t xml:space="preserve">ingapore, or </w:t>
      </w:r>
      <w:r w:rsidR="006C2C56">
        <w:t xml:space="preserve">December </w:t>
      </w:r>
      <w:r w:rsidR="00F727BC">
        <w:t xml:space="preserve">31, </w:t>
      </w:r>
      <w:r w:rsidR="006C2C56">
        <w:t>2008</w:t>
      </w:r>
      <w:r w:rsidR="00364E72">
        <w:t xml:space="preserve">, which </w:t>
      </w:r>
      <w:r w:rsidR="0031030C">
        <w:t xml:space="preserve">ever occurred first. Cox proportional hazard regression method was used to examine the association between </w:t>
      </w:r>
      <w:r w:rsidR="009E5A3D">
        <w:t>relative telomere length in quin</w:t>
      </w:r>
      <w:r w:rsidR="0031030C">
        <w:t xml:space="preserve">tiles and the risk of developing breast cancer. The magnitude of the association was measured by hazard ratios (HRs) and corresponding 95% </w:t>
      </w:r>
      <w:r w:rsidR="00D01BB0">
        <w:t>confidence intervals (</w:t>
      </w:r>
      <w:r w:rsidR="006C2C56">
        <w:t>CIs).</w:t>
      </w:r>
      <w:r w:rsidR="0031030C">
        <w:t xml:space="preserve"> Tests for linear trend</w:t>
      </w:r>
      <w:r w:rsidR="00C33E74">
        <w:t>s</w:t>
      </w:r>
      <w:r w:rsidR="00F727BC">
        <w:t xml:space="preserve"> were carried out by taking quin</w:t>
      </w:r>
      <w:r w:rsidR="0031030C">
        <w:t>tiles of telomere length as an ordinal variable in the Cox model. The proportion</w:t>
      </w:r>
      <w:r w:rsidR="00623B45">
        <w:t>al</w:t>
      </w:r>
      <w:r w:rsidR="0031030C">
        <w:t xml:space="preserve"> hazard</w:t>
      </w:r>
      <w:r w:rsidR="00623B45">
        <w:t>s</w:t>
      </w:r>
      <w:r w:rsidR="00AF41E7">
        <w:t xml:space="preserve"> assumption was assessed</w:t>
      </w:r>
      <w:r w:rsidR="0031030C">
        <w:t xml:space="preserve"> through the significance of the Pearson’</w:t>
      </w:r>
      <w:r w:rsidR="00623B45">
        <w:t>s</w:t>
      </w:r>
      <w:r w:rsidR="0031030C">
        <w:t xml:space="preserve"> correlation coefficient of the relations</w:t>
      </w:r>
      <w:r w:rsidR="00937751">
        <w:t xml:space="preserve">hip between the scaled </w:t>
      </w:r>
      <w:proofErr w:type="spellStart"/>
      <w:r w:rsidR="00937751">
        <w:t>Schoenfel</w:t>
      </w:r>
      <w:r w:rsidR="0031030C">
        <w:t>d</w:t>
      </w:r>
      <w:proofErr w:type="spellEnd"/>
      <w:r w:rsidR="0031030C">
        <w:t xml:space="preserve"> residuals of relative telomere length and survival time. No violation</w:t>
      </w:r>
      <w:r w:rsidR="00AF41E7">
        <w:t>s</w:t>
      </w:r>
      <w:r w:rsidR="0031030C">
        <w:t xml:space="preserve"> of assumption was found in our analyses.</w:t>
      </w:r>
    </w:p>
    <w:p w:rsidR="00D01BB0" w:rsidRPr="00A8584D" w:rsidRDefault="00D01BB0" w:rsidP="00A8584D">
      <w:pPr>
        <w:spacing w:line="360" w:lineRule="auto"/>
      </w:pPr>
      <w:r w:rsidRPr="00D01BB0">
        <w:t xml:space="preserve">According to the previous studies, the following factors that </w:t>
      </w:r>
      <w:r w:rsidR="00A85B85">
        <w:t>have been</w:t>
      </w:r>
      <w:r w:rsidRPr="00D01BB0">
        <w:t xml:space="preserve"> associated with breast cancer risk were </w:t>
      </w:r>
      <w:r w:rsidR="0099116F">
        <w:t>including in the Cox regression</w:t>
      </w:r>
      <w:r w:rsidRPr="00D01BB0">
        <w:t xml:space="preserve"> model</w:t>
      </w:r>
      <w:r w:rsidR="0099116F">
        <w:t>s as covariates</w:t>
      </w:r>
      <w:r w:rsidRPr="00D01BB0">
        <w:t xml:space="preserve">: age at blood collection, level of education, body mass index (BMI), number of live births (0, 1-2, 3-4, </w:t>
      </w:r>
      <w:r w:rsidR="005D44CC">
        <w:t xml:space="preserve">or </w:t>
      </w:r>
      <w:r w:rsidRPr="00D01BB0">
        <w:t>5+) and age at first live birth (nulliparous, &lt;2</w:t>
      </w:r>
      <w:r w:rsidR="000617DA">
        <w:t xml:space="preserve">0, 21-25, 26-30, </w:t>
      </w:r>
      <w:r w:rsidR="005D44CC">
        <w:t xml:space="preserve">or </w:t>
      </w:r>
      <w:r w:rsidR="000617DA">
        <w:t>31+ years old).</w:t>
      </w:r>
      <w:r w:rsidRPr="00D01BB0">
        <w:t xml:space="preserve"> </w:t>
      </w:r>
      <w:r w:rsidR="0099116F">
        <w:t>Since</w:t>
      </w:r>
      <w:r w:rsidR="000617DA">
        <w:t xml:space="preserve"> </w:t>
      </w:r>
      <w:r w:rsidR="006B7DA6">
        <w:t xml:space="preserve">further </w:t>
      </w:r>
      <w:r w:rsidR="005D44CC">
        <w:t>adjustment</w:t>
      </w:r>
      <w:r w:rsidR="000617DA">
        <w:t xml:space="preserve"> for </w:t>
      </w:r>
      <w:r w:rsidRPr="00D01BB0">
        <w:t>age at menarche</w:t>
      </w:r>
      <w:r w:rsidR="005D44CC">
        <w:t xml:space="preserve"> </w:t>
      </w:r>
      <w:r w:rsidRPr="00D01BB0">
        <w:t>(</w:t>
      </w:r>
      <w:r w:rsidR="008A53E9">
        <w:t xml:space="preserve">&lt;13, 13-14, 15-16, </w:t>
      </w:r>
      <w:r w:rsidR="005D44CC">
        <w:t xml:space="preserve">or </w:t>
      </w:r>
      <w:r w:rsidR="008A53E9">
        <w:t>17+ years</w:t>
      </w:r>
      <w:r w:rsidRPr="00D01BB0">
        <w:t>), menopausal status</w:t>
      </w:r>
      <w:r w:rsidR="005D44CC">
        <w:t xml:space="preserve"> (still menstruating or</w:t>
      </w:r>
      <w:r w:rsidRPr="00D01BB0">
        <w:t xml:space="preserve"> postmenopausal), age at menopause</w:t>
      </w:r>
      <w:r w:rsidR="005D44CC">
        <w:t xml:space="preserve"> </w:t>
      </w:r>
      <w:r w:rsidRPr="00D01BB0">
        <w:t>(&lt;40, 40</w:t>
      </w:r>
      <w:r w:rsidR="008A53E9">
        <w:t xml:space="preserve">-44, 45-49, 50-54, </w:t>
      </w:r>
      <w:r w:rsidR="005D44CC">
        <w:t xml:space="preserve">or </w:t>
      </w:r>
      <w:r w:rsidR="008A53E9">
        <w:t>55+ years</w:t>
      </w:r>
      <w:r w:rsidRPr="00D01BB0">
        <w:t>)</w:t>
      </w:r>
      <w:r w:rsidR="003758DE">
        <w:t xml:space="preserve">, </w:t>
      </w:r>
      <w:r w:rsidRPr="00D01BB0">
        <w:t>family history of breast cancer, use of oral contraceptive</w:t>
      </w:r>
      <w:r w:rsidR="00A8584D">
        <w:t>s</w:t>
      </w:r>
      <w:r w:rsidRPr="00D01BB0">
        <w:t>, alcohol drinking status</w:t>
      </w:r>
      <w:r w:rsidR="005D44CC">
        <w:t xml:space="preserve"> </w:t>
      </w:r>
      <w:r w:rsidRPr="00D01BB0">
        <w:t xml:space="preserve">(nondrinker/monthly drinkers, weekly drinkers, </w:t>
      </w:r>
      <w:r w:rsidR="005D44CC">
        <w:t xml:space="preserve">or </w:t>
      </w:r>
      <w:r w:rsidRPr="00D01BB0">
        <w:t>daily drinkers), smoking status</w:t>
      </w:r>
      <w:r w:rsidR="005D44CC">
        <w:t xml:space="preserve"> </w:t>
      </w:r>
      <w:r w:rsidRPr="00D01BB0">
        <w:t xml:space="preserve">(never smokers, ex-smokers, </w:t>
      </w:r>
      <w:r w:rsidR="005D44CC">
        <w:t xml:space="preserve">or </w:t>
      </w:r>
      <w:r w:rsidRPr="00D01BB0">
        <w:t>current smokers), physical activity</w:t>
      </w:r>
      <w:r w:rsidR="005D44CC">
        <w:t xml:space="preserve"> </w:t>
      </w:r>
      <w:r w:rsidRPr="00D01BB0">
        <w:t>(no,</w:t>
      </w:r>
      <w:r w:rsidR="006B7DA6">
        <w:t xml:space="preserve"> ½-3 hours/week, </w:t>
      </w:r>
      <w:r w:rsidR="005D44CC">
        <w:t xml:space="preserve">or </w:t>
      </w:r>
      <w:r w:rsidR="006B7DA6">
        <w:t xml:space="preserve">4+ hours/week) </w:t>
      </w:r>
      <w:r w:rsidR="000B7B58">
        <w:t>did not change the results</w:t>
      </w:r>
      <w:r w:rsidR="000617DA">
        <w:t xml:space="preserve">, </w:t>
      </w:r>
      <w:r w:rsidR="000B7B58">
        <w:t>we did not additionally adjust for these variables</w:t>
      </w:r>
      <w:r w:rsidRPr="00D01BB0">
        <w:t>. Inte</w:t>
      </w:r>
      <w:r w:rsidR="00A8584D">
        <w:t xml:space="preserve">ractions of telomere length and </w:t>
      </w:r>
      <w:r w:rsidR="000B7B58">
        <w:t>all</w:t>
      </w:r>
      <w:r w:rsidRPr="00D01BB0">
        <w:t xml:space="preserve"> covariates were </w:t>
      </w:r>
      <w:r w:rsidR="000B7B58">
        <w:t>also tested and none of them were</w:t>
      </w:r>
      <w:r w:rsidRPr="00D01BB0">
        <w:t xml:space="preserve"> significant. Thus, the interactions were not included in the final Cox regression model. Stratified analyses </w:t>
      </w:r>
      <w:r w:rsidRPr="00006F40">
        <w:t>were conducted for wom</w:t>
      </w:r>
      <w:r w:rsidR="00006F40">
        <w:t>en of different age at menarche</w:t>
      </w:r>
      <w:r w:rsidRPr="00006F40">
        <w:t xml:space="preserve"> (</w:t>
      </w:r>
      <w:r w:rsidR="00006F40">
        <w:t>&lt;14</w:t>
      </w:r>
      <w:r w:rsidR="00904BBC">
        <w:t xml:space="preserve"> vs </w:t>
      </w:r>
      <w:r w:rsidRPr="00006F40">
        <w:fldChar w:fldCharType="begin"/>
      </w:r>
      <w:r w:rsidRPr="00006F40">
        <w:instrText xml:space="preserve"> QUOTE </w:instrText>
      </w:r>
      <w:r w:rsidR="00A243C2">
        <w:rPr>
          <w:noProof/>
        </w:rPr>
        <w:pict>
          <v:shape id="_x0000_i1029" type="#_x0000_t75" alt="" style="width:9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4093A&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14093A&quot; wsp:rsidP=&quot;0014093A&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006F40">
        <w:instrText xml:space="preserve"> </w:instrText>
      </w:r>
      <w:r w:rsidRPr="00006F40">
        <w:fldChar w:fldCharType="separate"/>
      </w:r>
      <m:oMath>
        <m:r>
          <m:rPr>
            <m:sty m:val="p"/>
          </m:rPr>
          <w:rPr>
            <w:rFonts w:ascii="Cambria Math" w:hAnsi="Cambria Math"/>
          </w:rPr>
          <m:t>≥</m:t>
        </m:r>
      </m:oMath>
      <w:r w:rsidRPr="00006F40">
        <w:fldChar w:fldCharType="end"/>
      </w:r>
      <w:r w:rsidR="00006F40">
        <w:t>14</w:t>
      </w:r>
      <w:r w:rsidR="003E4905">
        <w:t xml:space="preserve"> years old), age at </w:t>
      </w:r>
      <w:r w:rsidRPr="00006F40">
        <w:t>first live birth (</w:t>
      </w:r>
      <m:oMath>
        <m:r>
          <w:rPr>
            <w:rFonts w:ascii="Cambria Math" w:hAnsi="Cambria Math"/>
          </w:rPr>
          <m:t>&lt;</m:t>
        </m:r>
      </m:oMath>
      <w:r w:rsidR="00006F40">
        <w:t>26</w:t>
      </w:r>
      <w:r w:rsidR="00904BBC">
        <w:t xml:space="preserve"> vs</w:t>
      </w:r>
      <w:r w:rsidR="00A8584D" w:rsidRPr="00006F40">
        <w:t xml:space="preserve"> </w:t>
      </w:r>
      <m:oMath>
        <m:r>
          <w:rPr>
            <w:rFonts w:ascii="Cambria Math" w:hAnsi="Cambria Math"/>
          </w:rPr>
          <m:t>≥26</m:t>
        </m:r>
      </m:oMath>
      <w:r w:rsidR="00A8584D" w:rsidRPr="00006F40">
        <w:t xml:space="preserve"> </w:t>
      </w:r>
      <w:r w:rsidR="00692A07">
        <w:t>years</w:t>
      </w:r>
      <w:r w:rsidRPr="00006F40">
        <w:t xml:space="preserve">), </w:t>
      </w:r>
      <w:r w:rsidRPr="00006F40">
        <w:lastRenderedPageBreak/>
        <w:t>number of children (</w:t>
      </w:r>
      <w:r w:rsidR="00006F40" w:rsidRPr="00006F40">
        <w:t>&lt;3</w:t>
      </w:r>
      <w:r w:rsidR="00904BBC">
        <w:t xml:space="preserve"> vs</w:t>
      </w:r>
      <w:r w:rsidRPr="00006F40">
        <w:t xml:space="preserve"> </w:t>
      </w:r>
      <w:r w:rsidRPr="00006F40">
        <w:fldChar w:fldCharType="begin"/>
      </w:r>
      <w:r w:rsidRPr="00006F40">
        <w:instrText xml:space="preserve"> QUOTE </w:instrText>
      </w:r>
      <w:r w:rsidR="00A243C2">
        <w:rPr>
          <w:noProof/>
        </w:rPr>
        <w:pict>
          <v:shape id="_x0000_i1030" type="#_x0000_t75" alt="" style="width:9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D12EA&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BD12EA&quot; wsp:rsidP=&quot;00BD12EA&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006F40">
        <w:instrText xml:space="preserve"> </w:instrText>
      </w:r>
      <w:r w:rsidRPr="00006F40">
        <w:fldChar w:fldCharType="separate"/>
      </w:r>
      <m:oMath>
        <m:r>
          <m:rPr>
            <m:sty m:val="p"/>
          </m:rPr>
          <w:rPr>
            <w:rFonts w:ascii="Cambria Math" w:hAnsi="Cambria Math"/>
          </w:rPr>
          <m:t>≥</m:t>
        </m:r>
      </m:oMath>
      <w:r w:rsidRPr="00006F40">
        <w:fldChar w:fldCharType="end"/>
      </w:r>
      <w:r w:rsidRPr="00006F40">
        <w:t>3)</w:t>
      </w:r>
      <w:r w:rsidR="00904BBC">
        <w:t>,</w:t>
      </w:r>
      <w:r w:rsidRPr="00006F40">
        <w:t xml:space="preserve"> and BMI (</w:t>
      </w:r>
      <m:oMath>
        <m:r>
          <w:rPr>
            <w:rFonts w:ascii="Cambria Math" w:hAnsi="Cambria Math"/>
          </w:rPr>
          <m:t>&lt;</m:t>
        </m:r>
      </m:oMath>
      <w:r w:rsidRPr="00006F40">
        <w:fldChar w:fldCharType="begin"/>
      </w:r>
      <w:r w:rsidRPr="00006F40">
        <w:instrText xml:space="preserve"> QUOTE </w:instrText>
      </w:r>
      <w:r w:rsidR="00A243C2">
        <w:rPr>
          <w:noProof/>
        </w:rPr>
        <w:pict>
          <v:shape id="_x0000_i1031" type="#_x0000_t75" alt="" style="width:9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15AE0&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215AE0&quot; wsp:rsidP=&quot;00215AE0&quot;&gt;&lt;m:oMathPara&gt;&lt;m:oMath&gt;&lt;m:r&gt;&lt;w:rPr&gt;&lt;w:rFonts w:ascii=&quot;Cambria Math&quot; w:h-ansi=&quot;Cambria Math&quot;/&gt;&lt;wx:font wx:val=&quot;Cambria Math&quot;/&gt;&lt;w:i/&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006F40">
        <w:instrText xml:space="preserve"> </w:instrText>
      </w:r>
      <w:r w:rsidRPr="00006F40">
        <w:fldChar w:fldCharType="end"/>
      </w:r>
      <w:r w:rsidR="00904BBC">
        <w:t>23 vs</w:t>
      </w:r>
      <w:r w:rsidRPr="00006F40">
        <w:t xml:space="preserve"> </w:t>
      </w:r>
      <w:r w:rsidR="00A8584D" w:rsidRPr="00006F40">
        <w:fldChar w:fldCharType="begin"/>
      </w:r>
      <w:r w:rsidR="00A8584D" w:rsidRPr="00006F40">
        <w:instrText xml:space="preserve"> QUOTE </w:instrText>
      </w:r>
      <w:r w:rsidR="00A243C2">
        <w:rPr>
          <w:noProof/>
        </w:rPr>
        <w:pict>
          <v:shape id="_x0000_i1032" type="#_x0000_t75" alt="" style="width:9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D12EA&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BD12EA&quot; wsp:rsidP=&quot;00BD12EA&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A8584D" w:rsidRPr="00006F40">
        <w:instrText xml:space="preserve"> </w:instrText>
      </w:r>
      <w:r w:rsidR="00A8584D" w:rsidRPr="00006F40">
        <w:fldChar w:fldCharType="separate"/>
      </w:r>
      <m:oMath>
        <m:r>
          <m:rPr>
            <m:sty m:val="p"/>
          </m:rPr>
          <w:rPr>
            <w:rFonts w:ascii="Cambria Math" w:hAnsi="Cambria Math"/>
          </w:rPr>
          <m:t>≥</m:t>
        </m:r>
      </m:oMath>
      <w:r w:rsidR="00A8584D" w:rsidRPr="00006F40">
        <w:fldChar w:fldCharType="end"/>
      </w:r>
      <w:r w:rsidRPr="00006F40">
        <w:fldChar w:fldCharType="begin"/>
      </w:r>
      <w:r w:rsidRPr="00006F40">
        <w:instrText xml:space="preserve"> QUOTE </w:instrText>
      </w:r>
      <w:r w:rsidR="00A243C2">
        <w:rPr>
          <w:noProof/>
        </w:rPr>
        <w:pict>
          <v:shape id="_x0000_i1033" type="#_x0000_t75" alt="" style="width:9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0A7E3F&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0A7E3F&quot; wsp:rsidP=&quot;000A7E3F&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006F40">
        <w:instrText xml:space="preserve"> </w:instrText>
      </w:r>
      <w:r w:rsidRPr="00006F40">
        <w:fldChar w:fldCharType="end"/>
      </w:r>
      <w:r w:rsidR="00904BBC">
        <w:t>23</w:t>
      </w:r>
      <w:r w:rsidRPr="00006F40">
        <w:t xml:space="preserve"> kg/</w:t>
      </w:r>
      <w:r w:rsidRPr="00006F40">
        <w:fldChar w:fldCharType="begin"/>
      </w:r>
      <w:r w:rsidRPr="00006F40">
        <w:instrText xml:space="preserve"> QUOTE </w:instrText>
      </w:r>
      <w:r w:rsidR="00A243C2">
        <w:rPr>
          <w:noProof/>
        </w:rPr>
        <w:pict>
          <v:shape id="_x0000_i1034" type="#_x0000_t75" alt="" style="width:13.5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0042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B0042B&quot; wsp:rsidP=&quot;00B0042B&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006F40">
        <w:instrText xml:space="preserve"> </w:instrText>
      </w:r>
      <w:r w:rsidRPr="00006F40">
        <w:fldChar w:fldCharType="separate"/>
      </w:r>
      <m:oMath>
        <m:sSup>
          <m:sSupPr>
            <m:ctrlPr>
              <w:rPr>
                <w:rFonts w:ascii="Cambria Math" w:hAnsi="Cambria Math"/>
                <w:i/>
              </w:rPr>
            </m:ctrlPr>
          </m:sSupPr>
          <m:e>
            <m:r>
              <m:rPr>
                <m:sty m:val="p"/>
              </m:rPr>
              <w:rPr>
                <w:rFonts w:ascii="Cambria Math" w:hAnsi="Cambria Math"/>
              </w:rPr>
              <m:t>m</m:t>
            </m:r>
          </m:e>
          <m:sup>
            <m:r>
              <m:rPr>
                <m:sty m:val="p"/>
              </m:rPr>
              <w:rPr>
                <w:rFonts w:ascii="Cambria Math" w:hAnsi="Cambria Math"/>
              </w:rPr>
              <m:t>2</m:t>
            </m:r>
          </m:sup>
        </m:sSup>
      </m:oMath>
      <w:r w:rsidRPr="00006F40">
        <w:fldChar w:fldCharType="end"/>
      </w:r>
      <w:r w:rsidRPr="00006F40">
        <w:t xml:space="preserve">). </w:t>
      </w:r>
      <w:r w:rsidR="001D185B">
        <w:t>The BMI c</w:t>
      </w:r>
      <w:r w:rsidR="00904BBC">
        <w:t>ut-</w:t>
      </w:r>
      <w:r w:rsidR="001D185B">
        <w:t>off point for overweight was considered</w:t>
      </w:r>
      <w:r w:rsidR="00904BBC">
        <w:t xml:space="preserve"> </w:t>
      </w:r>
      <w:r w:rsidRPr="00006F40">
        <w:t>2</w:t>
      </w:r>
      <w:r w:rsidR="00904BBC">
        <w:t>3</w:t>
      </w:r>
      <w:r w:rsidRPr="00D01BB0">
        <w:t xml:space="preserve"> kg/</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D01BB0">
        <w:fldChar w:fldCharType="begin"/>
      </w:r>
      <w:r w:rsidRPr="00D01BB0">
        <w:instrText xml:space="preserve"> QUOTE </w:instrText>
      </w:r>
      <w:r w:rsidR="00A243C2">
        <w:rPr>
          <w:noProof/>
        </w:rPr>
        <w:pict>
          <v:shape id="_x0000_i1035" type="#_x0000_t75" alt="" style="width:13.5pt;height:13.5pt;mso-width-percent:0;mso-height-percent:0;mso-width-percent:0;mso-height-percent:0" equationxml="&lt;?xml version=&quot;1.0&quot; encoding=&quot;UTF-8&quot; standalone=&quot;yes&quot;?&gt;&#10;&#10;&#10;&#10;&#10;&#10;&#10;&#10;&#10;&#10;&#10;&#10;&#10;&#10;&#10;&#10;&#10;&#10;&lt;?mso-application progid=&quot;Word.Document&quot;?&gt;&#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40&quot;/&gt;&lt;w:doNotEmbedSystemFonts/&gt;&lt;w:stylePaneFormatFilter w:val=&quot;30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8A4541&quot;/&gt;&lt;wsp:rsid wsp:val=&quot;0001259A&quot;/&gt;&lt;wsp:rsid wsp:val=&quot;00030D3B&quot;/&gt;&lt;wsp:rsid wsp:val=&quot;00035D1E&quot;/&gt;&lt;wsp:rsid wsp:val=&quot;00037CEE&quot;/&gt;&lt;wsp:rsid wsp:val=&quot;00150EF7&quot;/&gt;&lt;wsp:rsid wsp:val=&quot;001C7CDC&quot;/&gt;&lt;wsp:rsid wsp:val=&quot;00200B2E&quot;/&gt;&lt;wsp:rsid wsp:val=&quot;002102E6&quot;/&gt;&lt;wsp:rsid wsp:val=&quot;002706BA&quot;/&gt;&lt;wsp:rsid wsp:val=&quot;00276E7E&quot;/&gt;&lt;wsp:rsid wsp:val=&quot;0028782F&quot;/&gt;&lt;wsp:rsid wsp:val=&quot;0028784B&quot;/&gt;&lt;wsp:rsid wsp:val=&quot;002D01B1&quot;/&gt;&lt;wsp:rsid wsp:val=&quot;002D11E0&quot;/&gt;&lt;wsp:rsid wsp:val=&quot;0031030C&quot;/&gt;&lt;wsp:rsid wsp:val=&quot;0031374C&quot;/&gt;&lt;wsp:rsid wsp:val=&quot;00337CC7&quot;/&gt;&lt;wsp:rsid wsp:val=&quot;00367476&quot;/&gt;&lt;wsp:rsid wsp:val=&quot;004B7B28&quot;/&gt;&lt;wsp:rsid wsp:val=&quot;004D7AA4&quot;/&gt;&lt;wsp:rsid wsp:val=&quot;004E3B59&quot;/&gt;&lt;wsp:rsid wsp:val=&quot;00536110&quot;/&gt;&lt;wsp:rsid wsp:val=&quot;005928B0&quot;/&gt;&lt;wsp:rsid wsp:val=&quot;00596371&quot;/&gt;&lt;wsp:rsid wsp:val=&quot;005A5D20&quot;/&gt;&lt;wsp:rsid wsp:val=&quot;005F1BB6&quot;/&gt;&lt;wsp:rsid wsp:val=&quot;00636C11&quot;/&gt;&lt;wsp:rsid wsp:val=&quot;006425BF&quot;/&gt;&lt;wsp:rsid wsp:val=&quot;00656EE6&quot;/&gt;&lt;wsp:rsid wsp:val=&quot;006A5780&quot;/&gt;&lt;wsp:rsid wsp:val=&quot;006B1124&quot;/&gt;&lt;wsp:rsid wsp:val=&quot;006B550D&quot;/&gt;&lt;wsp:rsid wsp:val=&quot;006F6B3A&quot;/&gt;&lt;wsp:rsid wsp:val=&quot;00775294&quot;/&gt;&lt;wsp:rsid wsp:val=&quot;007B3848&quot;/&gt;&lt;wsp:rsid wsp:val=&quot;007F67C5&quot;/&gt;&lt;wsp:rsid wsp:val=&quot;007F763B&quot;/&gt;&lt;wsp:rsid wsp:val=&quot;00834193&quot;/&gt;&lt;wsp:rsid wsp:val=&quot;00863D37&quot;/&gt;&lt;wsp:rsid wsp:val=&quot;008650E7&quot;/&gt;&lt;wsp:rsid wsp:val=&quot;00884E1F&quot;/&gt;&lt;wsp:rsid wsp:val=&quot;008A110F&quot;/&gt;&lt;wsp:rsid wsp:val=&quot;008A4541&quot;/&gt;&lt;wsp:rsid wsp:val=&quot;00901CC9&quot;/&gt;&lt;wsp:rsid wsp:val=&quot;00912CB4&quot;/&gt;&lt;wsp:rsid wsp:val=&quot;00923007&quot;/&gt;&lt;wsp:rsid wsp:val=&quot;00936D40&quot;/&gt;&lt;wsp:rsid wsp:val=&quot;0099539E&quot;/&gt;&lt;wsp:rsid wsp:val=&quot;00A208D2&quot;/&gt;&lt;wsp:rsid wsp:val=&quot;00A3281F&quot;/&gt;&lt;wsp:rsid wsp:val=&quot;00A35269&quot;/&gt;&lt;wsp:rsid wsp:val=&quot;00A4495A&quot;/&gt;&lt;wsp:rsid wsp:val=&quot;00A45F73&quot;/&gt;&lt;wsp:rsid wsp:val=&quot;00AA2C6A&quot;/&gt;&lt;wsp:rsid wsp:val=&quot;00AA3E52&quot;/&gt;&lt;wsp:rsid wsp:val=&quot;00AB08F3&quot;/&gt;&lt;wsp:rsid wsp:val=&quot;00AC4CF3&quot;/&gt;&lt;wsp:rsid wsp:val=&quot;00AF340B&quot;/&gt;&lt;wsp:rsid wsp:val=&quot;00B33801&quot;/&gt;&lt;wsp:rsid wsp:val=&quot;00B424B6&quot;/&gt;&lt;wsp:rsid wsp:val=&quot;00B42812&quot;/&gt;&lt;wsp:rsid wsp:val=&quot;00B56F3C&quot;/&gt;&lt;wsp:rsid wsp:val=&quot;00B57E9B&quot;/&gt;&lt;wsp:rsid wsp:val=&quot;00B614F2&quot;/&gt;&lt;wsp:rsid wsp:val=&quot;00B917F0&quot;/&gt;&lt;wsp:rsid wsp:val=&quot;00B972E3&quot;/&gt;&lt;wsp:rsid wsp:val=&quot;00BF2B29&quot;/&gt;&lt;wsp:rsid wsp:val=&quot;00C17C66&quot;/&gt;&lt;wsp:rsid wsp:val=&quot;00C40D61&quot;/&gt;&lt;wsp:rsid wsp:val=&quot;00C43878&quot;/&gt;&lt;wsp:rsid wsp:val=&quot;00C9228E&quot;/&gt;&lt;wsp:rsid wsp:val=&quot;00CB03F9&quot;/&gt;&lt;wsp:rsid wsp:val=&quot;00CE2FA5&quot;/&gt;&lt;wsp:rsid wsp:val=&quot;00D1693B&quot;/&gt;&lt;wsp:rsid wsp:val=&quot;00D44A01&quot;/&gt;&lt;wsp:rsid wsp:val=&quot;00D530BC&quot;/&gt;&lt;wsp:rsid wsp:val=&quot;00D63AE9&quot;/&gt;&lt;wsp:rsid wsp:val=&quot;00DA5BA8&quot;/&gt;&lt;wsp:rsid wsp:val=&quot;00E35361&quot;/&gt;&lt;wsp:rsid wsp:val=&quot;00E36565&quot;/&gt;&lt;wsp:rsid wsp:val=&quot;00E456F4&quot;/&gt;&lt;wsp:rsid wsp:val=&quot;00F0330D&quot;/&gt;&lt;wsp:rsid wsp:val=&quot;00F23071&quot;/&gt;&lt;wsp:rsid wsp:val=&quot;00F34251&quot;/&gt;&lt;wsp:rsid wsp:val=&quot;00F46A24&quot;/&gt;&lt;wsp:rsid wsp:val=&quot;00F56B64&quot;/&gt;&lt;wsp:rsid wsp:val=&quot;00F60005&quot;/&gt;&lt;wsp:rsid wsp:val=&quot;00F75397&quot;/&gt;&lt;wsp:rsid wsp:val=&quot;00F91BDB&quot;/&gt;&lt;/wsp:rsids&gt;&lt;/w:docPr&gt;&lt;w:body&gt;&lt;wx:sect&gt;&lt;w:p wsp:rsidR=&quot;00000000&quot; wsp:rsidRDefault=&quot;0031374C&quot; wsp:rsidP=&quot;0031374C&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m&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D01BB0">
        <w:instrText xml:space="preserve"> </w:instrText>
      </w:r>
      <w:r w:rsidRPr="00D01BB0">
        <w:fldChar w:fldCharType="end"/>
      </w:r>
      <w:r w:rsidR="001D185B">
        <w:t xml:space="preserve"> as suggested </w:t>
      </w:r>
      <w:r w:rsidRPr="00D01BB0">
        <w:t xml:space="preserve">in </w:t>
      </w:r>
      <w:r w:rsidR="005374FB">
        <w:t xml:space="preserve">most </w:t>
      </w:r>
      <w:r w:rsidR="00904BBC">
        <w:t>Asian</w:t>
      </w:r>
      <w:r w:rsidRPr="00D01BB0">
        <w:t xml:space="preserve"> population</w:t>
      </w:r>
      <w:r w:rsidR="005374FB">
        <w:t>s</w:t>
      </w:r>
      <w:r w:rsidR="001D185B">
        <w:t xml:space="preserve"> </w:t>
      </w:r>
      <w:r w:rsidR="001D185B">
        <w:fldChar w:fldCharType="begin" w:fldLock="1"/>
      </w:r>
      <w:r w:rsidR="001D185B">
        <w:instrText>ADDIN CSL_CITATION { "citationItems" : [ { "id" : "ITEM-1", "itemData" : { "DOI" : "10.1016/S0140-6736(03)15268-3", "ISBN" : "1474-547X (Electronic)", "ISSN" : "01406736", "PMID" : "14726171", "abstract" : "A WHO expert consultation addressed the debate about interpretation of recommended body-mass index (BMI) cut-off points for determining overweight and obesity in Asian populations, and considered whether population-specific cut-off points for BMI are necessary. They reviewed scientific evidence that suggests that Asian populations have different associations between BMI, percentage of body fat, and health risks than do European populations. The consultation concluded that the proportion of Asian people with a high risk of type 2 diabetes and cardiovascular disease is substantial at BMIs lower than the existing WHO cut-off point for overweight (???25 kg/m2). However, available data do not necessarily indicate a clear BMI cut-off point for all Asians for overweight or obesity. The cut-off point for observed risk varies from 22 kg/m2 to 25 kg/m2 in different Asian populations; for high risk it varies from 26 kg/m2 to 31 kg/m 2. No attempt was made, therefore, to redefine cut-off points for each population separately. The consultation also agreed that the WHO BMI cut-off points should be retained as international classifications. The consultation identified further potential public health action points (23.0, 27.5, 32.5, and 37.5 kg/m2) along the continuum of BMI, and proposed methods by which countries could make decisions about the definitions of increased risk for their population.", "author" : [ { "dropping-particle" : "", "family" : "Barba", "given" : "Corazon", "non-dropping-particle" : "", "parse-names" : false, "suffix" : "" }, { "dropping-particle" : "", "family" : "Cavalli-Sforza", "given" : "Tommaso", "non-dropping-particle" : "", "parse-names" : false, "suffix" : "" }, { "dropping-particle" : "", "family" : "Cutter", "given" : "Jeffery", "non-dropping-particle" : "", "parse-names" : false, "suffix" : "" }, { "dropping-particle" : "", "family" : "Darnton-Hill", "given" : "Ian", "non-dropping-particle" : "", "parse-names" : false, "suffix" : "" }, { "dropping-particle" : "", "family" : "Deurenberg", "given" : "Paul", "non-dropping-particle" : "", "parse-names" : false, "suffix" : "" }, { "dropping-particle" : "", "family" : "Deurenberg-Yap", "given" : "Mabel", "non-dropping-particle" : "", "parse-names" : false, "suffix" : "" }, { "dropping-particle" : "", "family" : "Gill", "given" : "Tim", "non-dropping-particle" : "", "parse-names" : false, "suffix" : "" }, { "dropping-particle" : "", "family" : "James", "given" : "Philip", "non-dropping-particle" : "", "parse-names" : false, "suffix" : "" }, { "dropping-particle" : "", "family" : "Ko", "given" : "Gary", "non-dropping-particle" : "", "parse-names" : false, "suffix" : "" }, { "dropping-particle" : "", "family" : "Nishida", "given" : "Chizuru", "non-dropping-particle" : "", "parse-names" : false, "suffix" : "" } ], "container-title" : "Lancet", "id" : "ITEM-1", "issue" : "9403", "issued" : { "date-parts" : [ [ "2004" ] ] }, "page" : "157-163", "title" : "Appropriate body-mass index for Asian populations and its implications for policy and intervention strategies", "type" : "article-journal", "volume" : "363" }, "uris" : [ "http://www.mendeley.com/documents/?uuid=9400b924-6c0c-4ada-af30-da7db44b65cf" ] } ], "mendeley" : { "formattedCitation" : "(Barba et al., 2004)", "plainTextFormattedCitation" : "(Barba et al., 2004)", "previouslyFormattedCitation" : "(Barba et al., 2004)" }, "properties" : {  }, "schema" : "https://github.com/citation-style-language/schema/raw/master/csl-citation.json" }</w:instrText>
      </w:r>
      <w:r w:rsidR="001D185B">
        <w:fldChar w:fldCharType="separate"/>
      </w:r>
      <w:r w:rsidR="001D185B" w:rsidRPr="001D185B">
        <w:rPr>
          <w:noProof/>
        </w:rPr>
        <w:t>(Barba et al., 2004)</w:t>
      </w:r>
      <w:r w:rsidR="001D185B">
        <w:fldChar w:fldCharType="end"/>
      </w:r>
      <w:r w:rsidRPr="00D01BB0">
        <w:t xml:space="preserve">. </w:t>
      </w:r>
    </w:p>
    <w:p w:rsidR="0031030C" w:rsidRDefault="00D01BB0" w:rsidP="00D01BB0">
      <w:pPr>
        <w:spacing w:line="360" w:lineRule="auto"/>
      </w:pPr>
      <w:r w:rsidRPr="00D01BB0">
        <w:t xml:space="preserve">All statistical analyses were conducted using SAS 9.4 software package (SAS Institute, Cary, NC). All </w:t>
      </w:r>
      <w:r w:rsidRPr="00D01BB0">
        <w:rPr>
          <w:i/>
          <w:iCs/>
        </w:rPr>
        <w:t>P</w:t>
      </w:r>
      <w:r w:rsidRPr="00D01BB0">
        <w:t xml:space="preserve"> values reported are two sided and </w:t>
      </w:r>
      <w:r w:rsidRPr="00D01BB0">
        <w:rPr>
          <w:i/>
          <w:iCs/>
        </w:rPr>
        <w:t>P</w:t>
      </w:r>
      <w:r w:rsidRPr="00D01BB0">
        <w:t>&lt;0.05 was considered statistically significant</w:t>
      </w:r>
      <w:r>
        <w:t>.</w:t>
      </w:r>
    </w:p>
    <w:p w:rsidR="0007302A" w:rsidRDefault="0007302A" w:rsidP="00D01BB0">
      <w:pPr>
        <w:spacing w:line="360" w:lineRule="auto"/>
      </w:pPr>
    </w:p>
    <w:p w:rsidR="0031030C" w:rsidRDefault="0031030C" w:rsidP="0031030C">
      <w:pPr>
        <w:pStyle w:val="Heading1"/>
      </w:pPr>
      <w:bookmarkStart w:id="34" w:name="_Toc509180570"/>
      <w:r>
        <w:lastRenderedPageBreak/>
        <w:t>Results</w:t>
      </w:r>
      <w:bookmarkEnd w:id="34"/>
    </w:p>
    <w:p w:rsidR="00EB5B98" w:rsidRDefault="00EB5B98" w:rsidP="00EB5B98">
      <w:pPr>
        <w:pStyle w:val="Heading2"/>
      </w:pPr>
      <w:bookmarkStart w:id="35" w:name="_Toc509180571"/>
      <w:r>
        <w:t>Basic characteristics of study population</w:t>
      </w:r>
      <w:bookmarkEnd w:id="35"/>
    </w:p>
    <w:p w:rsidR="001856AC" w:rsidRDefault="00D72141" w:rsidP="001856AC">
      <w:pPr>
        <w:spacing w:line="360" w:lineRule="auto"/>
        <w:ind w:firstLine="0"/>
      </w:pPr>
      <w:r>
        <w:t>A</w:t>
      </w:r>
      <w:r w:rsidR="001856AC">
        <w:t xml:space="preserve"> total </w:t>
      </w:r>
      <w:r>
        <w:t xml:space="preserve">of </w:t>
      </w:r>
      <w:r w:rsidR="001856AC">
        <w:t>210</w:t>
      </w:r>
      <w:r w:rsidR="00AB2EAA">
        <w:t xml:space="preserve"> (1.5%)</w:t>
      </w:r>
      <w:r w:rsidR="001856AC">
        <w:t xml:space="preserve"> patients developed breast cancer in our cohort. The mean </w:t>
      </w:r>
      <m:oMath>
        <m:r>
          <w:rPr>
            <w:rFonts w:ascii="Cambria Math" w:hAnsi="Cambria Math"/>
          </w:rPr>
          <m:t xml:space="preserve">± </m:t>
        </m:r>
      </m:oMath>
      <w:r w:rsidR="008242E6">
        <w:t xml:space="preserve">standard deviation (SD) </w:t>
      </w:r>
      <w:r w:rsidR="001856AC">
        <w:t xml:space="preserve">age at blood draw </w:t>
      </w:r>
      <w:r w:rsidR="001C5A3F">
        <w:t>for</w:t>
      </w:r>
      <w:r w:rsidR="001856AC">
        <w:t xml:space="preserve"> </w:t>
      </w:r>
      <w:r w:rsidR="001C5A3F">
        <w:t>breast cancer cases and non-cases were</w:t>
      </w:r>
      <w:r w:rsidR="00D85969">
        <w:t xml:space="preserve"> </w:t>
      </w:r>
      <w:r w:rsidR="001C5A3F">
        <w:t>61.4</w:t>
      </w:r>
      <w:r w:rsidR="00AB2EAA">
        <w:t xml:space="preserve"> </w:t>
      </w:r>
      <m:oMath>
        <m:r>
          <w:rPr>
            <w:rFonts w:ascii="Cambria Math" w:hAnsi="Cambria Math"/>
          </w:rPr>
          <m:t>±</m:t>
        </m:r>
      </m:oMath>
      <w:r w:rsidR="00AB2EAA">
        <w:t xml:space="preserve"> </w:t>
      </w:r>
      <w:r w:rsidR="001C5A3F">
        <w:t xml:space="preserve">7.9 </w:t>
      </w:r>
      <w:r w:rsidR="008242E6">
        <w:t xml:space="preserve">years and 62.3 </w:t>
      </w:r>
      <m:oMath>
        <m:r>
          <w:rPr>
            <w:rFonts w:ascii="Cambria Math" w:hAnsi="Cambria Math"/>
          </w:rPr>
          <m:t xml:space="preserve">± </m:t>
        </m:r>
      </m:oMath>
      <w:r w:rsidR="008242E6">
        <w:t>7.7 years</w:t>
      </w:r>
      <w:r w:rsidR="001C5A3F">
        <w:t>, respectively</w:t>
      </w:r>
      <w:r w:rsidR="00AB2EAA">
        <w:t xml:space="preserve">. </w:t>
      </w:r>
      <w:r w:rsidR="00E35CDD">
        <w:t>There is no significant difference between mean age at blood draw or</w:t>
      </w:r>
      <w:r w:rsidR="008242E6">
        <w:t xml:space="preserve"> </w:t>
      </w:r>
      <w:r w:rsidR="00E35CDD">
        <w:t xml:space="preserve">distribution of </w:t>
      </w:r>
      <w:r w:rsidR="008242E6">
        <w:t>dialect group</w:t>
      </w:r>
      <w:r w:rsidR="00E35CDD">
        <w:t>s</w:t>
      </w:r>
      <w:r w:rsidR="008242E6">
        <w:t xml:space="preserve"> among cases and non-cases. </w:t>
      </w:r>
      <w:r w:rsidR="00D94015">
        <w:t>The m</w:t>
      </w:r>
      <w:r w:rsidR="001C5A3F">
        <w:t xml:space="preserve">ean </w:t>
      </w:r>
      <w:r w:rsidR="004B37BB">
        <w:t>time interval between blood sample collection</w:t>
      </w:r>
      <w:r w:rsidR="001C5A3F">
        <w:t xml:space="preserve"> and </w:t>
      </w:r>
      <w:r w:rsidR="00D85969">
        <w:t xml:space="preserve">breast </w:t>
      </w:r>
      <w:r w:rsidR="001C5A3F">
        <w:t xml:space="preserve">cancer diagnosis was 3.2 years (range 2 days - 12.2 years). </w:t>
      </w:r>
      <w:r w:rsidR="00D85969">
        <w:t xml:space="preserve">Comparing to non-cases with a mean BMI of 23.3 (SD = 3.6), breast cancer cases had a significantly higher BMI with a mean of 23.9 (SD = 3.6). </w:t>
      </w:r>
      <w:r w:rsidR="00F7016B">
        <w:t>Table 1 shows t</w:t>
      </w:r>
      <w:r w:rsidR="001C5A3F">
        <w:t>he compar</w:t>
      </w:r>
      <w:r w:rsidR="00573DC3">
        <w:t xml:space="preserve">ison of selected </w:t>
      </w:r>
      <w:r w:rsidR="00F7016B">
        <w:t>characteristic</w:t>
      </w:r>
      <w:r w:rsidR="00573DC3">
        <w:t>s between</w:t>
      </w:r>
      <w:r w:rsidR="001C5A3F">
        <w:t xml:space="preserve"> breast cancer </w:t>
      </w:r>
      <w:r w:rsidR="00F7016B">
        <w:t>cases and non-cases</w:t>
      </w:r>
      <w:r w:rsidR="001C5A3F">
        <w:t xml:space="preserve">. </w:t>
      </w:r>
      <w:r w:rsidR="00573DC3">
        <w:t>There were significant differences in the distribution</w:t>
      </w:r>
      <w:r w:rsidR="00A74F75">
        <w:t>s</w:t>
      </w:r>
      <w:r w:rsidR="00573DC3">
        <w:t xml:space="preserve"> of </w:t>
      </w:r>
      <w:r w:rsidR="006C59AE">
        <w:t xml:space="preserve">the </w:t>
      </w:r>
      <w:r w:rsidR="00573DC3">
        <w:t>level of education, BMI</w:t>
      </w:r>
      <w:r w:rsidR="00D85969">
        <w:t xml:space="preserve"> categories</w:t>
      </w:r>
      <w:r w:rsidR="00573DC3">
        <w:t>, number of live birth</w:t>
      </w:r>
      <w:r w:rsidR="006C59AE">
        <w:t>s</w:t>
      </w:r>
      <w:r w:rsidR="00573DC3">
        <w:t>,</w:t>
      </w:r>
      <w:r w:rsidR="003E4905">
        <w:t xml:space="preserve"> age at</w:t>
      </w:r>
      <w:r w:rsidR="006C59AE">
        <w:t xml:space="preserve"> first live birth and MHT</w:t>
      </w:r>
      <w:r w:rsidR="00573DC3">
        <w:t xml:space="preserve"> use among cases</w:t>
      </w:r>
      <w:r w:rsidR="006C59AE">
        <w:t xml:space="preserve"> comparing with those among non-cases</w:t>
      </w:r>
      <w:r w:rsidR="00573DC3">
        <w:t xml:space="preserve">. </w:t>
      </w:r>
      <w:r w:rsidR="001F411C">
        <w:t>Breast cancer c</w:t>
      </w:r>
      <w:r w:rsidR="00026820">
        <w:t xml:space="preserve">ases </w:t>
      </w:r>
      <w:r w:rsidR="00026820">
        <w:rPr>
          <w:lang w:eastAsia="zh-CN"/>
        </w:rPr>
        <w:t>were more likely</w:t>
      </w:r>
      <w:r w:rsidR="00026820">
        <w:t xml:space="preserve"> to have higher level of education, </w:t>
      </w:r>
      <w:r w:rsidR="00652454">
        <w:t xml:space="preserve">higher BMI, </w:t>
      </w:r>
      <w:r w:rsidR="00026820">
        <w:t>older age at</w:t>
      </w:r>
      <w:r w:rsidR="00652454">
        <w:t xml:space="preserve"> first live birth, </w:t>
      </w:r>
      <w:r w:rsidR="00026820">
        <w:t xml:space="preserve">fewer </w:t>
      </w:r>
      <w:r w:rsidR="00652454">
        <w:t xml:space="preserve">live births, </w:t>
      </w:r>
      <w:r w:rsidR="006C59AE">
        <w:t xml:space="preserve">and </w:t>
      </w:r>
      <w:r w:rsidR="00A74F75">
        <w:t>use</w:t>
      </w:r>
      <w:r w:rsidR="006C59AE">
        <w:t xml:space="preserve"> MHT</w:t>
      </w:r>
      <w:r w:rsidR="00652454">
        <w:t xml:space="preserve"> (Table 1).</w:t>
      </w:r>
      <w:r w:rsidR="002705F2">
        <w:t xml:space="preserve"> </w:t>
      </w:r>
      <w:r w:rsidR="004601F3">
        <w:t xml:space="preserve">Breast cancer cases and </w:t>
      </w:r>
      <w:r w:rsidR="009962F6">
        <w:t>non-cases</w:t>
      </w:r>
      <w:r w:rsidR="004601F3">
        <w:t xml:space="preserve"> had similar smoking status, drinking status, age at menarche, age at menopause, </w:t>
      </w:r>
      <w:r w:rsidR="00A74F75">
        <w:t>percentage of menopausal status</w:t>
      </w:r>
      <w:r w:rsidR="004601F3">
        <w:t>, family history of breast cancer</w:t>
      </w:r>
      <w:r w:rsidR="00E443AF">
        <w:t>,</w:t>
      </w:r>
      <w:r w:rsidR="004601F3">
        <w:t xml:space="preserve"> and use of OC (Table 1).  </w:t>
      </w:r>
    </w:p>
    <w:p w:rsidR="00256CE7" w:rsidRDefault="00256CE7" w:rsidP="001856AC">
      <w:pPr>
        <w:spacing w:line="360" w:lineRule="auto"/>
        <w:ind w:firstLine="0"/>
      </w:pPr>
    </w:p>
    <w:p w:rsidR="00256CE7" w:rsidRDefault="00256CE7" w:rsidP="001856AC">
      <w:pPr>
        <w:spacing w:line="360" w:lineRule="auto"/>
        <w:ind w:firstLine="0"/>
      </w:pPr>
    </w:p>
    <w:p w:rsidR="00256CE7" w:rsidRDefault="00256CE7" w:rsidP="001856AC">
      <w:pPr>
        <w:spacing w:line="360" w:lineRule="auto"/>
        <w:ind w:firstLine="0"/>
      </w:pPr>
    </w:p>
    <w:p w:rsidR="00FA6BEE" w:rsidRDefault="00FA6BEE" w:rsidP="001856AC">
      <w:pPr>
        <w:spacing w:line="360" w:lineRule="auto"/>
        <w:ind w:firstLine="0"/>
      </w:pPr>
    </w:p>
    <w:p w:rsidR="00FA6BEE" w:rsidRDefault="00FA6BEE" w:rsidP="001856AC">
      <w:pPr>
        <w:spacing w:line="360" w:lineRule="auto"/>
        <w:ind w:firstLine="0"/>
      </w:pPr>
    </w:p>
    <w:p w:rsidR="00FA6BEE" w:rsidRDefault="00FA6BEE" w:rsidP="001856AC">
      <w:pPr>
        <w:spacing w:line="360" w:lineRule="auto"/>
        <w:ind w:firstLine="0"/>
      </w:pPr>
    </w:p>
    <w:p w:rsidR="00FA6BEE" w:rsidRDefault="00FA6BEE" w:rsidP="001856AC">
      <w:pPr>
        <w:spacing w:line="360" w:lineRule="auto"/>
        <w:ind w:firstLine="0"/>
      </w:pPr>
    </w:p>
    <w:p w:rsidR="00FA6BEE" w:rsidRDefault="00FA6BEE" w:rsidP="001856AC">
      <w:pPr>
        <w:spacing w:line="360" w:lineRule="auto"/>
        <w:ind w:firstLine="0"/>
      </w:pPr>
    </w:p>
    <w:p w:rsidR="00FA6BEE" w:rsidRDefault="00FA6BEE" w:rsidP="001856AC">
      <w:pPr>
        <w:spacing w:line="360" w:lineRule="auto"/>
        <w:ind w:firstLine="0"/>
      </w:pPr>
    </w:p>
    <w:p w:rsidR="00FA6BEE" w:rsidRPr="000778B1" w:rsidRDefault="00FA6BEE" w:rsidP="001856AC">
      <w:pPr>
        <w:spacing w:line="360" w:lineRule="auto"/>
        <w:ind w:firstLine="0"/>
      </w:pPr>
    </w:p>
    <w:p w:rsidR="000778B1" w:rsidRPr="003B56FA" w:rsidRDefault="000778B1" w:rsidP="003B56FA">
      <w:pPr>
        <w:pStyle w:val="Caption"/>
        <w:spacing w:line="360" w:lineRule="auto"/>
        <w:ind w:firstLine="0"/>
        <w:rPr>
          <w:b w:val="0"/>
        </w:rPr>
      </w:pPr>
      <w:bookmarkStart w:id="36" w:name="_Toc512007050"/>
      <w:r w:rsidRPr="002A553B">
        <w:rPr>
          <w:sz w:val="24"/>
          <w:szCs w:val="24"/>
        </w:rPr>
        <w:lastRenderedPageBreak/>
        <w:t xml:space="preserve">Table </w:t>
      </w:r>
      <w:r w:rsidR="00B92ACF" w:rsidRPr="002A553B">
        <w:rPr>
          <w:sz w:val="24"/>
          <w:szCs w:val="24"/>
        </w:rPr>
        <w:fldChar w:fldCharType="begin"/>
      </w:r>
      <w:r w:rsidR="00B92ACF" w:rsidRPr="002A553B">
        <w:rPr>
          <w:sz w:val="24"/>
          <w:szCs w:val="24"/>
        </w:rPr>
        <w:instrText xml:space="preserve"> SEQ Table \* ARABIC </w:instrText>
      </w:r>
      <w:r w:rsidR="00B92ACF" w:rsidRPr="002A553B">
        <w:rPr>
          <w:sz w:val="24"/>
          <w:szCs w:val="24"/>
        </w:rPr>
        <w:fldChar w:fldCharType="separate"/>
      </w:r>
      <w:r w:rsidR="00026512" w:rsidRPr="002A553B">
        <w:rPr>
          <w:noProof/>
          <w:sz w:val="24"/>
          <w:szCs w:val="24"/>
        </w:rPr>
        <w:t>1</w:t>
      </w:r>
      <w:r w:rsidR="00B92ACF" w:rsidRPr="002A553B">
        <w:rPr>
          <w:noProof/>
          <w:sz w:val="24"/>
          <w:szCs w:val="24"/>
        </w:rPr>
        <w:fldChar w:fldCharType="end"/>
      </w:r>
      <w:r w:rsidRPr="002A553B">
        <w:rPr>
          <w:sz w:val="24"/>
          <w:szCs w:val="24"/>
        </w:rPr>
        <w:t>.</w:t>
      </w:r>
      <w:r>
        <w:t xml:space="preserve"> </w:t>
      </w:r>
      <w:r w:rsidRPr="00FA6BEE">
        <w:rPr>
          <w:b w:val="0"/>
          <w:sz w:val="24"/>
          <w:szCs w:val="24"/>
        </w:rPr>
        <w:t>Distribution of selected demographic characteristics and risk factors of breast cancer cases and non-cases</w:t>
      </w:r>
      <w:r w:rsidR="003B56FA" w:rsidRPr="00FA6BEE">
        <w:rPr>
          <w:b w:val="0"/>
          <w:sz w:val="24"/>
          <w:szCs w:val="24"/>
        </w:rPr>
        <w:t>: The Singapore Chinese Health Study.</w:t>
      </w:r>
      <w:bookmarkEnd w:id="36"/>
    </w:p>
    <w:tbl>
      <w:tblPr>
        <w:tblW w:w="5000" w:type="pct"/>
        <w:jc w:val="center"/>
        <w:tblBorders>
          <w:top w:val="single" w:sz="4" w:space="0" w:color="auto"/>
          <w:bottom w:val="single" w:sz="4" w:space="0" w:color="auto"/>
        </w:tblBorders>
        <w:tblLook w:val="01E0" w:firstRow="1" w:lastRow="1" w:firstColumn="1" w:lastColumn="1" w:noHBand="0" w:noVBand="0"/>
      </w:tblPr>
      <w:tblGrid>
        <w:gridCol w:w="3602"/>
        <w:gridCol w:w="1851"/>
        <w:gridCol w:w="2329"/>
        <w:gridCol w:w="1578"/>
      </w:tblGrid>
      <w:tr w:rsidR="001856AC" w:rsidTr="00A729DA">
        <w:trPr>
          <w:jc w:val="center"/>
        </w:trPr>
        <w:tc>
          <w:tcPr>
            <w:tcW w:w="1924" w:type="pct"/>
            <w:tcBorders>
              <w:bottom w:val="single" w:sz="4" w:space="0" w:color="000000"/>
            </w:tcBorders>
            <w:shd w:val="clear" w:color="auto" w:fill="auto"/>
          </w:tcPr>
          <w:p w:rsidR="000778B1" w:rsidRDefault="000778B1" w:rsidP="00B91B21">
            <w:pPr>
              <w:spacing w:line="360" w:lineRule="auto"/>
              <w:ind w:firstLine="0"/>
              <w:jc w:val="left"/>
            </w:pPr>
            <w:r>
              <w:t>Characteristics</w:t>
            </w:r>
          </w:p>
        </w:tc>
        <w:tc>
          <w:tcPr>
            <w:tcW w:w="989" w:type="pct"/>
            <w:tcBorders>
              <w:bottom w:val="single" w:sz="4" w:space="0" w:color="000000"/>
            </w:tcBorders>
            <w:shd w:val="clear" w:color="auto" w:fill="auto"/>
          </w:tcPr>
          <w:p w:rsidR="000778B1" w:rsidRDefault="000778B1" w:rsidP="00B91B21">
            <w:pPr>
              <w:spacing w:line="360" w:lineRule="auto"/>
              <w:ind w:firstLine="0"/>
              <w:jc w:val="left"/>
            </w:pPr>
            <w:r>
              <w:t>Cases</w:t>
            </w:r>
            <w:r w:rsidR="003E4905">
              <w:t xml:space="preserve"> </w:t>
            </w:r>
            <w:r w:rsidR="009429F9">
              <w:t>(%)</w:t>
            </w:r>
          </w:p>
          <w:p w:rsidR="00A729DA" w:rsidRDefault="00A729DA" w:rsidP="00B91B21">
            <w:pPr>
              <w:spacing w:line="360" w:lineRule="auto"/>
              <w:ind w:firstLine="0"/>
              <w:jc w:val="left"/>
            </w:pPr>
            <w:r>
              <w:t>N=210</w:t>
            </w:r>
          </w:p>
        </w:tc>
        <w:tc>
          <w:tcPr>
            <w:tcW w:w="1244" w:type="pct"/>
            <w:tcBorders>
              <w:bottom w:val="single" w:sz="4" w:space="0" w:color="000000"/>
            </w:tcBorders>
            <w:shd w:val="clear" w:color="auto" w:fill="auto"/>
          </w:tcPr>
          <w:p w:rsidR="000778B1" w:rsidRDefault="000778B1" w:rsidP="00B91B21">
            <w:pPr>
              <w:spacing w:line="360" w:lineRule="auto"/>
              <w:ind w:firstLine="0"/>
              <w:jc w:val="left"/>
            </w:pPr>
            <w:r>
              <w:t>Non-cases</w:t>
            </w:r>
            <w:r w:rsidR="003E4905">
              <w:t xml:space="preserve"> </w:t>
            </w:r>
            <w:r w:rsidR="009429F9">
              <w:t>(%)</w:t>
            </w:r>
          </w:p>
          <w:p w:rsidR="00A729DA" w:rsidRDefault="00A729DA" w:rsidP="00B91B21">
            <w:pPr>
              <w:spacing w:line="360" w:lineRule="auto"/>
              <w:ind w:firstLine="0"/>
              <w:jc w:val="left"/>
            </w:pPr>
            <w:r>
              <w:t>N=14,096</w:t>
            </w:r>
          </w:p>
        </w:tc>
        <w:tc>
          <w:tcPr>
            <w:tcW w:w="843" w:type="pct"/>
            <w:tcBorders>
              <w:bottom w:val="single" w:sz="4" w:space="0" w:color="000000"/>
            </w:tcBorders>
          </w:tcPr>
          <w:p w:rsidR="000778B1" w:rsidRPr="00B91B21" w:rsidRDefault="000778B1" w:rsidP="00B91B21">
            <w:pPr>
              <w:spacing w:line="360" w:lineRule="auto"/>
              <w:ind w:firstLine="0"/>
              <w:jc w:val="left"/>
            </w:pPr>
            <w:r w:rsidRPr="00B91B21">
              <w:rPr>
                <w:i/>
              </w:rPr>
              <w:t>P</w:t>
            </w:r>
            <w:r w:rsidR="00B91B21">
              <w:rPr>
                <w:i/>
                <w:vertAlign w:val="superscript"/>
              </w:rPr>
              <w:t>a</w:t>
            </w:r>
          </w:p>
        </w:tc>
      </w:tr>
      <w:tr w:rsidR="001856AC" w:rsidTr="00A729DA">
        <w:trPr>
          <w:jc w:val="center"/>
        </w:trPr>
        <w:tc>
          <w:tcPr>
            <w:tcW w:w="1924" w:type="pct"/>
            <w:tcBorders>
              <w:top w:val="single" w:sz="4" w:space="0" w:color="000000"/>
            </w:tcBorders>
            <w:shd w:val="clear" w:color="auto" w:fill="auto"/>
          </w:tcPr>
          <w:p w:rsidR="001856AC" w:rsidRDefault="001856AC" w:rsidP="00B91B21">
            <w:pPr>
              <w:spacing w:line="360" w:lineRule="auto"/>
              <w:ind w:firstLine="0"/>
              <w:jc w:val="left"/>
            </w:pPr>
            <w:r>
              <w:t>Dialect group</w:t>
            </w:r>
          </w:p>
        </w:tc>
        <w:tc>
          <w:tcPr>
            <w:tcW w:w="989" w:type="pct"/>
            <w:tcBorders>
              <w:top w:val="single" w:sz="4" w:space="0" w:color="000000"/>
            </w:tcBorders>
            <w:shd w:val="clear" w:color="auto" w:fill="auto"/>
          </w:tcPr>
          <w:p w:rsidR="001856AC" w:rsidRDefault="001856AC" w:rsidP="00B91B21">
            <w:pPr>
              <w:spacing w:line="360" w:lineRule="auto"/>
              <w:ind w:firstLine="0"/>
              <w:jc w:val="left"/>
            </w:pPr>
          </w:p>
        </w:tc>
        <w:tc>
          <w:tcPr>
            <w:tcW w:w="1244" w:type="pct"/>
            <w:tcBorders>
              <w:top w:val="single" w:sz="4" w:space="0" w:color="000000"/>
            </w:tcBorders>
            <w:shd w:val="clear" w:color="auto" w:fill="auto"/>
          </w:tcPr>
          <w:p w:rsidR="001856AC" w:rsidRDefault="001856AC" w:rsidP="00B91B21">
            <w:pPr>
              <w:spacing w:line="360" w:lineRule="auto"/>
              <w:ind w:firstLine="0"/>
              <w:jc w:val="left"/>
            </w:pPr>
          </w:p>
        </w:tc>
        <w:tc>
          <w:tcPr>
            <w:tcW w:w="843" w:type="pct"/>
            <w:tcBorders>
              <w:top w:val="single" w:sz="4" w:space="0" w:color="000000"/>
            </w:tcBorders>
          </w:tcPr>
          <w:p w:rsidR="001856AC" w:rsidRPr="00B91B21" w:rsidRDefault="001856AC" w:rsidP="00B91B21">
            <w:pPr>
              <w:spacing w:line="360" w:lineRule="auto"/>
              <w:ind w:firstLine="0"/>
              <w:jc w:val="left"/>
              <w:rPr>
                <w:i/>
              </w:rPr>
            </w:pPr>
          </w:p>
        </w:tc>
      </w:tr>
      <w:tr w:rsidR="00A77BD6" w:rsidTr="001856AC">
        <w:trPr>
          <w:jc w:val="center"/>
        </w:trPr>
        <w:tc>
          <w:tcPr>
            <w:tcW w:w="1924" w:type="pct"/>
            <w:shd w:val="clear" w:color="auto" w:fill="auto"/>
          </w:tcPr>
          <w:p w:rsidR="00A77BD6" w:rsidRDefault="00A77BD6" w:rsidP="00A729DA">
            <w:pPr>
              <w:spacing w:line="276" w:lineRule="auto"/>
              <w:ind w:firstLine="0"/>
              <w:jc w:val="left"/>
            </w:pPr>
            <w:r>
              <w:t xml:space="preserve">   Cantonese</w:t>
            </w:r>
          </w:p>
        </w:tc>
        <w:tc>
          <w:tcPr>
            <w:tcW w:w="989" w:type="pct"/>
            <w:shd w:val="clear" w:color="auto" w:fill="auto"/>
          </w:tcPr>
          <w:p w:rsidR="00A77BD6" w:rsidRDefault="00A77BD6" w:rsidP="00A729DA">
            <w:pPr>
              <w:spacing w:line="276" w:lineRule="auto"/>
              <w:ind w:firstLine="0"/>
              <w:jc w:val="left"/>
            </w:pPr>
            <w:r>
              <w:t>55.7</w:t>
            </w:r>
          </w:p>
        </w:tc>
        <w:tc>
          <w:tcPr>
            <w:tcW w:w="1244" w:type="pct"/>
            <w:shd w:val="clear" w:color="auto" w:fill="auto"/>
          </w:tcPr>
          <w:p w:rsidR="00A77BD6" w:rsidRDefault="00A77BD6" w:rsidP="00A729DA">
            <w:pPr>
              <w:spacing w:line="276" w:lineRule="auto"/>
              <w:ind w:firstLine="0"/>
              <w:jc w:val="left"/>
            </w:pPr>
            <w:r>
              <w:t>52.5</w:t>
            </w:r>
          </w:p>
        </w:tc>
        <w:tc>
          <w:tcPr>
            <w:tcW w:w="843" w:type="pct"/>
            <w:vMerge w:val="restart"/>
          </w:tcPr>
          <w:p w:rsidR="00A77BD6" w:rsidRPr="00A729DA" w:rsidRDefault="00A77BD6" w:rsidP="00A729DA">
            <w:pPr>
              <w:spacing w:line="276" w:lineRule="auto"/>
              <w:ind w:firstLine="0"/>
              <w:jc w:val="left"/>
            </w:pPr>
            <w:r>
              <w:t>0.36</w:t>
            </w:r>
          </w:p>
        </w:tc>
      </w:tr>
      <w:tr w:rsidR="00A77BD6" w:rsidTr="001856AC">
        <w:trPr>
          <w:jc w:val="center"/>
        </w:trPr>
        <w:tc>
          <w:tcPr>
            <w:tcW w:w="1924" w:type="pct"/>
            <w:shd w:val="clear" w:color="auto" w:fill="auto"/>
          </w:tcPr>
          <w:p w:rsidR="00A77BD6" w:rsidRDefault="00A77BD6" w:rsidP="00A729DA">
            <w:pPr>
              <w:spacing w:line="276" w:lineRule="auto"/>
              <w:ind w:firstLine="0"/>
              <w:jc w:val="left"/>
            </w:pPr>
            <w:r>
              <w:t xml:space="preserve">   </w:t>
            </w:r>
            <w:proofErr w:type="spellStart"/>
            <w:r>
              <w:t>Hokkien</w:t>
            </w:r>
            <w:proofErr w:type="spellEnd"/>
          </w:p>
        </w:tc>
        <w:tc>
          <w:tcPr>
            <w:tcW w:w="989" w:type="pct"/>
            <w:shd w:val="clear" w:color="auto" w:fill="auto"/>
          </w:tcPr>
          <w:p w:rsidR="00A77BD6" w:rsidRDefault="00A77BD6" w:rsidP="00A729DA">
            <w:pPr>
              <w:spacing w:line="276" w:lineRule="auto"/>
              <w:ind w:firstLine="0"/>
              <w:jc w:val="left"/>
            </w:pPr>
            <w:r>
              <w:t>44.3</w:t>
            </w:r>
          </w:p>
        </w:tc>
        <w:tc>
          <w:tcPr>
            <w:tcW w:w="1244" w:type="pct"/>
            <w:shd w:val="clear" w:color="auto" w:fill="auto"/>
          </w:tcPr>
          <w:p w:rsidR="00A77BD6" w:rsidRDefault="00A77BD6" w:rsidP="00A729DA">
            <w:pPr>
              <w:spacing w:line="276" w:lineRule="auto"/>
              <w:ind w:firstLine="0"/>
              <w:jc w:val="left"/>
            </w:pPr>
            <w:r>
              <w:t>47.5</w:t>
            </w:r>
          </w:p>
        </w:tc>
        <w:tc>
          <w:tcPr>
            <w:tcW w:w="843" w:type="pct"/>
            <w:vMerge/>
          </w:tcPr>
          <w:p w:rsidR="00A77BD6" w:rsidRPr="00B91B21" w:rsidRDefault="00A77BD6" w:rsidP="00A729DA">
            <w:pPr>
              <w:spacing w:line="276" w:lineRule="auto"/>
              <w:ind w:firstLine="0"/>
              <w:jc w:val="left"/>
              <w:rPr>
                <w:i/>
              </w:rPr>
            </w:pPr>
          </w:p>
        </w:tc>
      </w:tr>
      <w:tr w:rsidR="001856AC" w:rsidTr="001856AC">
        <w:trPr>
          <w:jc w:val="center"/>
        </w:trPr>
        <w:tc>
          <w:tcPr>
            <w:tcW w:w="1924" w:type="pct"/>
            <w:shd w:val="clear" w:color="auto" w:fill="auto"/>
          </w:tcPr>
          <w:p w:rsidR="000778B1" w:rsidRDefault="009E5A3D" w:rsidP="00B91B21">
            <w:pPr>
              <w:spacing w:line="360" w:lineRule="auto"/>
              <w:ind w:firstLine="0"/>
              <w:jc w:val="left"/>
            </w:pPr>
            <w:r>
              <w:t>Level of education</w:t>
            </w:r>
          </w:p>
        </w:tc>
        <w:tc>
          <w:tcPr>
            <w:tcW w:w="989" w:type="pct"/>
            <w:shd w:val="clear" w:color="auto" w:fill="auto"/>
          </w:tcPr>
          <w:p w:rsidR="000778B1" w:rsidRDefault="000778B1" w:rsidP="00B91B21">
            <w:pPr>
              <w:spacing w:line="360" w:lineRule="auto"/>
              <w:ind w:firstLine="0"/>
              <w:jc w:val="left"/>
            </w:pPr>
          </w:p>
        </w:tc>
        <w:tc>
          <w:tcPr>
            <w:tcW w:w="1244" w:type="pct"/>
            <w:shd w:val="clear" w:color="auto" w:fill="auto"/>
          </w:tcPr>
          <w:p w:rsidR="000778B1" w:rsidRDefault="000778B1" w:rsidP="00B91B21">
            <w:pPr>
              <w:spacing w:line="360" w:lineRule="auto"/>
              <w:ind w:firstLine="0"/>
              <w:jc w:val="left"/>
            </w:pPr>
          </w:p>
        </w:tc>
        <w:tc>
          <w:tcPr>
            <w:tcW w:w="843" w:type="pct"/>
          </w:tcPr>
          <w:p w:rsidR="000778B1" w:rsidRDefault="000778B1" w:rsidP="00B91B21">
            <w:pPr>
              <w:spacing w:line="360" w:lineRule="auto"/>
              <w:ind w:firstLine="0"/>
              <w:jc w:val="left"/>
            </w:pPr>
          </w:p>
        </w:tc>
      </w:tr>
      <w:tr w:rsidR="00A77BD6" w:rsidTr="001856AC">
        <w:trPr>
          <w:trHeight w:val="144"/>
          <w:jc w:val="center"/>
        </w:trPr>
        <w:tc>
          <w:tcPr>
            <w:tcW w:w="1924" w:type="pct"/>
            <w:shd w:val="clear" w:color="auto" w:fill="auto"/>
          </w:tcPr>
          <w:p w:rsidR="00A77BD6" w:rsidRDefault="00A77BD6" w:rsidP="00B91B21">
            <w:pPr>
              <w:spacing w:line="276" w:lineRule="auto"/>
              <w:ind w:firstLine="0"/>
              <w:jc w:val="left"/>
            </w:pPr>
            <w:r>
              <w:t xml:space="preserve">   No formal education</w:t>
            </w:r>
          </w:p>
        </w:tc>
        <w:tc>
          <w:tcPr>
            <w:tcW w:w="989" w:type="pct"/>
            <w:shd w:val="clear" w:color="auto" w:fill="auto"/>
          </w:tcPr>
          <w:p w:rsidR="00A77BD6" w:rsidRDefault="00A77BD6" w:rsidP="00B91B21">
            <w:pPr>
              <w:spacing w:line="276" w:lineRule="auto"/>
              <w:ind w:firstLine="0"/>
              <w:jc w:val="left"/>
            </w:pPr>
            <w:r>
              <w:t>23.8</w:t>
            </w:r>
          </w:p>
        </w:tc>
        <w:tc>
          <w:tcPr>
            <w:tcW w:w="1244" w:type="pct"/>
            <w:shd w:val="clear" w:color="auto" w:fill="auto"/>
          </w:tcPr>
          <w:p w:rsidR="00A77BD6" w:rsidRDefault="00A77BD6" w:rsidP="00B91B21">
            <w:pPr>
              <w:spacing w:line="276" w:lineRule="auto"/>
              <w:ind w:firstLine="0"/>
              <w:jc w:val="left"/>
            </w:pPr>
            <w:r>
              <w:t>32.1</w:t>
            </w:r>
          </w:p>
        </w:tc>
        <w:tc>
          <w:tcPr>
            <w:tcW w:w="843" w:type="pct"/>
            <w:vMerge w:val="restart"/>
          </w:tcPr>
          <w:p w:rsidR="00A77BD6" w:rsidRDefault="00A77BD6" w:rsidP="00B91B21">
            <w:pPr>
              <w:spacing w:line="276" w:lineRule="auto"/>
              <w:ind w:firstLine="0"/>
              <w:jc w:val="left"/>
            </w:pPr>
            <w:r>
              <w:t>0.04</w:t>
            </w:r>
          </w:p>
        </w:tc>
      </w:tr>
      <w:tr w:rsidR="00A77BD6" w:rsidTr="001856AC">
        <w:trPr>
          <w:trHeight w:val="144"/>
          <w:jc w:val="center"/>
        </w:trPr>
        <w:tc>
          <w:tcPr>
            <w:tcW w:w="1924" w:type="pct"/>
            <w:shd w:val="clear" w:color="auto" w:fill="auto"/>
          </w:tcPr>
          <w:p w:rsidR="00A77BD6" w:rsidRDefault="00A77BD6" w:rsidP="00B91B21">
            <w:pPr>
              <w:spacing w:line="276" w:lineRule="auto"/>
              <w:ind w:firstLine="0"/>
              <w:jc w:val="left"/>
            </w:pPr>
            <w:r>
              <w:t xml:space="preserve">   Primary</w:t>
            </w:r>
            <w:r w:rsidR="003E4905">
              <w:t xml:space="preserve"> </w:t>
            </w:r>
            <w:r>
              <w:t>(1-6 years)</w:t>
            </w:r>
          </w:p>
        </w:tc>
        <w:tc>
          <w:tcPr>
            <w:tcW w:w="989" w:type="pct"/>
            <w:shd w:val="clear" w:color="auto" w:fill="auto"/>
          </w:tcPr>
          <w:p w:rsidR="00A77BD6" w:rsidRDefault="00A77BD6" w:rsidP="00B91B21">
            <w:pPr>
              <w:spacing w:line="276" w:lineRule="auto"/>
              <w:ind w:firstLine="0"/>
              <w:jc w:val="left"/>
            </w:pPr>
            <w:r>
              <w:t>47.6</w:t>
            </w:r>
          </w:p>
        </w:tc>
        <w:tc>
          <w:tcPr>
            <w:tcW w:w="1244" w:type="pct"/>
            <w:shd w:val="clear" w:color="auto" w:fill="auto"/>
          </w:tcPr>
          <w:p w:rsidR="00A77BD6" w:rsidRDefault="00A77BD6" w:rsidP="00B91B21">
            <w:pPr>
              <w:spacing w:line="276" w:lineRule="auto"/>
              <w:ind w:firstLine="0"/>
              <w:jc w:val="left"/>
            </w:pPr>
            <w:r>
              <w:t>42.1</w:t>
            </w:r>
          </w:p>
        </w:tc>
        <w:tc>
          <w:tcPr>
            <w:tcW w:w="843" w:type="pct"/>
            <w:vMerge/>
          </w:tcPr>
          <w:p w:rsidR="00A77BD6" w:rsidRDefault="00A77BD6" w:rsidP="00B91B21">
            <w:pPr>
              <w:spacing w:line="276" w:lineRule="auto"/>
              <w:ind w:firstLine="0"/>
              <w:jc w:val="left"/>
            </w:pPr>
          </w:p>
        </w:tc>
      </w:tr>
      <w:tr w:rsidR="00A77BD6" w:rsidTr="001856AC">
        <w:trPr>
          <w:trHeight w:val="144"/>
          <w:jc w:val="center"/>
        </w:trPr>
        <w:tc>
          <w:tcPr>
            <w:tcW w:w="1924" w:type="pct"/>
            <w:shd w:val="clear" w:color="auto" w:fill="auto"/>
          </w:tcPr>
          <w:p w:rsidR="00A77BD6" w:rsidRDefault="00A77BD6" w:rsidP="00B91B21">
            <w:pPr>
              <w:spacing w:line="360" w:lineRule="auto"/>
              <w:ind w:firstLine="0"/>
              <w:jc w:val="left"/>
            </w:pPr>
            <w:r>
              <w:t xml:space="preserve">   Secondary school or higher</w:t>
            </w:r>
          </w:p>
        </w:tc>
        <w:tc>
          <w:tcPr>
            <w:tcW w:w="989" w:type="pct"/>
            <w:shd w:val="clear" w:color="auto" w:fill="auto"/>
          </w:tcPr>
          <w:p w:rsidR="00A77BD6" w:rsidRDefault="00A77BD6" w:rsidP="00B91B21">
            <w:pPr>
              <w:spacing w:line="276" w:lineRule="auto"/>
              <w:ind w:firstLine="0"/>
              <w:jc w:val="left"/>
            </w:pPr>
            <w:r>
              <w:t>28.6</w:t>
            </w:r>
          </w:p>
        </w:tc>
        <w:tc>
          <w:tcPr>
            <w:tcW w:w="1244" w:type="pct"/>
            <w:shd w:val="clear" w:color="auto" w:fill="auto"/>
          </w:tcPr>
          <w:p w:rsidR="00A77BD6" w:rsidRDefault="00A77BD6" w:rsidP="00B91B21">
            <w:pPr>
              <w:spacing w:line="276" w:lineRule="auto"/>
              <w:ind w:firstLine="0"/>
              <w:jc w:val="left"/>
            </w:pPr>
            <w:r>
              <w:t>25.8</w:t>
            </w:r>
          </w:p>
        </w:tc>
        <w:tc>
          <w:tcPr>
            <w:tcW w:w="843" w:type="pct"/>
            <w:vMerge/>
          </w:tcPr>
          <w:p w:rsidR="00A77BD6" w:rsidRDefault="00A77BD6" w:rsidP="00B91B21">
            <w:pPr>
              <w:spacing w:line="276" w:lineRule="auto"/>
              <w:ind w:firstLine="0"/>
              <w:jc w:val="left"/>
            </w:pPr>
          </w:p>
        </w:tc>
      </w:tr>
      <w:tr w:rsidR="003D1123" w:rsidTr="001856AC">
        <w:trPr>
          <w:jc w:val="center"/>
        </w:trPr>
        <w:tc>
          <w:tcPr>
            <w:tcW w:w="1924" w:type="pct"/>
            <w:shd w:val="clear" w:color="auto" w:fill="auto"/>
          </w:tcPr>
          <w:p w:rsidR="003D1123" w:rsidRDefault="003D1123" w:rsidP="00B91B21">
            <w:pPr>
              <w:spacing w:line="360" w:lineRule="auto"/>
              <w:ind w:firstLine="0"/>
              <w:jc w:val="left"/>
            </w:pPr>
            <w:r>
              <w:t>BMI(kg/m</w:t>
            </w:r>
            <w:r>
              <w:rPr>
                <w:vertAlign w:val="superscript"/>
              </w:rPr>
              <w:t>2</w:t>
            </w:r>
            <w:r>
              <w:t>)</w:t>
            </w:r>
          </w:p>
        </w:tc>
        <w:tc>
          <w:tcPr>
            <w:tcW w:w="989" w:type="pct"/>
            <w:shd w:val="clear" w:color="auto" w:fill="auto"/>
          </w:tcPr>
          <w:p w:rsidR="003D1123" w:rsidRDefault="003D1123" w:rsidP="00B91B21">
            <w:pPr>
              <w:spacing w:line="360" w:lineRule="auto"/>
              <w:ind w:firstLine="0"/>
              <w:jc w:val="left"/>
            </w:pPr>
          </w:p>
        </w:tc>
        <w:tc>
          <w:tcPr>
            <w:tcW w:w="1244" w:type="pct"/>
            <w:shd w:val="clear" w:color="auto" w:fill="auto"/>
          </w:tcPr>
          <w:p w:rsidR="003D1123" w:rsidRDefault="003D1123" w:rsidP="00B91B21">
            <w:pPr>
              <w:spacing w:line="360" w:lineRule="auto"/>
              <w:ind w:firstLine="0"/>
              <w:jc w:val="left"/>
            </w:pPr>
          </w:p>
        </w:tc>
        <w:tc>
          <w:tcPr>
            <w:tcW w:w="843" w:type="pct"/>
          </w:tcPr>
          <w:p w:rsidR="003D1123" w:rsidRDefault="003D1123"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&lt;20</w:t>
            </w:r>
          </w:p>
        </w:tc>
        <w:tc>
          <w:tcPr>
            <w:tcW w:w="989" w:type="pct"/>
            <w:shd w:val="clear" w:color="auto" w:fill="auto"/>
          </w:tcPr>
          <w:p w:rsidR="00A77BD6" w:rsidRDefault="00A77BD6" w:rsidP="00B91B21">
            <w:pPr>
              <w:spacing w:line="276" w:lineRule="auto"/>
              <w:ind w:firstLine="0"/>
              <w:jc w:val="left"/>
            </w:pPr>
            <w:r>
              <w:t>11.4</w:t>
            </w:r>
          </w:p>
        </w:tc>
        <w:tc>
          <w:tcPr>
            <w:tcW w:w="1244" w:type="pct"/>
            <w:shd w:val="clear" w:color="auto" w:fill="auto"/>
          </w:tcPr>
          <w:p w:rsidR="00A77BD6" w:rsidRDefault="00A77BD6" w:rsidP="00B91B21">
            <w:pPr>
              <w:spacing w:line="276" w:lineRule="auto"/>
              <w:ind w:firstLine="0"/>
              <w:jc w:val="left"/>
            </w:pPr>
            <w:r>
              <w:t>17.1</w:t>
            </w:r>
          </w:p>
        </w:tc>
        <w:tc>
          <w:tcPr>
            <w:tcW w:w="843" w:type="pct"/>
            <w:vMerge w:val="restart"/>
          </w:tcPr>
          <w:p w:rsidR="00A77BD6" w:rsidRDefault="00A77BD6" w:rsidP="00B91B21">
            <w:pPr>
              <w:spacing w:line="276" w:lineRule="auto"/>
              <w:ind w:firstLine="0"/>
              <w:jc w:val="left"/>
            </w:pPr>
            <w:r>
              <w:t>0.03</w:t>
            </w: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20 to &lt;24</w:t>
            </w:r>
          </w:p>
        </w:tc>
        <w:tc>
          <w:tcPr>
            <w:tcW w:w="989" w:type="pct"/>
            <w:shd w:val="clear" w:color="auto" w:fill="auto"/>
          </w:tcPr>
          <w:p w:rsidR="00A77BD6" w:rsidRDefault="00A77BD6" w:rsidP="00B91B21">
            <w:pPr>
              <w:spacing w:line="276" w:lineRule="auto"/>
              <w:ind w:firstLine="0"/>
              <w:jc w:val="left"/>
            </w:pPr>
            <w:r>
              <w:t>42.4</w:t>
            </w:r>
          </w:p>
        </w:tc>
        <w:tc>
          <w:tcPr>
            <w:tcW w:w="1244" w:type="pct"/>
            <w:shd w:val="clear" w:color="auto" w:fill="auto"/>
          </w:tcPr>
          <w:p w:rsidR="00A77BD6" w:rsidRDefault="00A77BD6" w:rsidP="00B91B21">
            <w:pPr>
              <w:spacing w:line="276" w:lineRule="auto"/>
              <w:ind w:firstLine="0"/>
              <w:jc w:val="left"/>
            </w:pPr>
            <w:r>
              <w:t>45.7</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24 to &lt;28</w:t>
            </w:r>
          </w:p>
        </w:tc>
        <w:tc>
          <w:tcPr>
            <w:tcW w:w="989" w:type="pct"/>
            <w:shd w:val="clear" w:color="auto" w:fill="auto"/>
          </w:tcPr>
          <w:p w:rsidR="00A77BD6" w:rsidRDefault="00A77BD6" w:rsidP="00B91B21">
            <w:pPr>
              <w:spacing w:line="276" w:lineRule="auto"/>
              <w:ind w:firstLine="0"/>
              <w:jc w:val="left"/>
            </w:pPr>
            <w:r>
              <w:t>32.9</w:t>
            </w:r>
          </w:p>
        </w:tc>
        <w:tc>
          <w:tcPr>
            <w:tcW w:w="1244" w:type="pct"/>
            <w:shd w:val="clear" w:color="auto" w:fill="auto"/>
          </w:tcPr>
          <w:p w:rsidR="00A77BD6" w:rsidRDefault="00A77BD6" w:rsidP="00B91B21">
            <w:pPr>
              <w:spacing w:line="276" w:lineRule="auto"/>
              <w:ind w:firstLine="0"/>
              <w:jc w:val="left"/>
            </w:pPr>
            <w:r>
              <w:t>27.1</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360" w:lineRule="auto"/>
              <w:ind w:firstLine="0"/>
              <w:jc w:val="left"/>
            </w:pPr>
            <w:r>
              <w:t xml:space="preserve">   28+</w:t>
            </w:r>
          </w:p>
        </w:tc>
        <w:tc>
          <w:tcPr>
            <w:tcW w:w="989" w:type="pct"/>
            <w:shd w:val="clear" w:color="auto" w:fill="auto"/>
          </w:tcPr>
          <w:p w:rsidR="00A77BD6" w:rsidRDefault="00A77BD6" w:rsidP="00B91B21">
            <w:pPr>
              <w:spacing w:line="276" w:lineRule="auto"/>
              <w:ind w:firstLine="0"/>
              <w:jc w:val="left"/>
            </w:pPr>
            <w:r>
              <w:t>13.3</w:t>
            </w:r>
          </w:p>
        </w:tc>
        <w:tc>
          <w:tcPr>
            <w:tcW w:w="1244" w:type="pct"/>
            <w:shd w:val="clear" w:color="auto" w:fill="auto"/>
          </w:tcPr>
          <w:p w:rsidR="00A77BD6" w:rsidRDefault="00A77BD6" w:rsidP="00B91B21">
            <w:pPr>
              <w:spacing w:line="276" w:lineRule="auto"/>
              <w:ind w:firstLine="0"/>
              <w:jc w:val="left"/>
            </w:pPr>
            <w:r>
              <w:t>10.1</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pPr>
            <w:r>
              <w:t>Smoking status</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Never smokers</w:t>
            </w:r>
          </w:p>
        </w:tc>
        <w:tc>
          <w:tcPr>
            <w:tcW w:w="989" w:type="pct"/>
            <w:shd w:val="clear" w:color="auto" w:fill="auto"/>
          </w:tcPr>
          <w:p w:rsidR="00A77BD6" w:rsidRDefault="00A77BD6" w:rsidP="00B91B21">
            <w:pPr>
              <w:spacing w:line="276" w:lineRule="auto"/>
              <w:ind w:firstLine="0"/>
              <w:jc w:val="left"/>
            </w:pPr>
            <w:r>
              <w:t>91.0</w:t>
            </w:r>
          </w:p>
        </w:tc>
        <w:tc>
          <w:tcPr>
            <w:tcW w:w="1244" w:type="pct"/>
            <w:shd w:val="clear" w:color="auto" w:fill="auto"/>
          </w:tcPr>
          <w:p w:rsidR="00A77BD6" w:rsidRDefault="00A77BD6" w:rsidP="00B91B21">
            <w:pPr>
              <w:spacing w:line="276" w:lineRule="auto"/>
              <w:ind w:firstLine="0"/>
              <w:jc w:val="left"/>
            </w:pPr>
            <w:r>
              <w:t>91.3</w:t>
            </w:r>
          </w:p>
        </w:tc>
        <w:tc>
          <w:tcPr>
            <w:tcW w:w="843" w:type="pct"/>
            <w:vMerge w:val="restart"/>
          </w:tcPr>
          <w:p w:rsidR="00A77BD6" w:rsidRDefault="00A77BD6" w:rsidP="00B91B21">
            <w:pPr>
              <w:spacing w:line="276" w:lineRule="auto"/>
              <w:ind w:firstLine="0"/>
              <w:jc w:val="left"/>
            </w:pPr>
            <w:r>
              <w:t>0.12</w:t>
            </w: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Former/Current smokers</w:t>
            </w:r>
          </w:p>
        </w:tc>
        <w:tc>
          <w:tcPr>
            <w:tcW w:w="989" w:type="pct"/>
            <w:shd w:val="clear" w:color="auto" w:fill="auto"/>
          </w:tcPr>
          <w:p w:rsidR="00A77BD6" w:rsidRDefault="00A77BD6" w:rsidP="00B91B21">
            <w:pPr>
              <w:spacing w:line="276" w:lineRule="auto"/>
              <w:ind w:firstLine="0"/>
              <w:jc w:val="left"/>
            </w:pPr>
            <w:r>
              <w:t>9.0</w:t>
            </w:r>
          </w:p>
        </w:tc>
        <w:tc>
          <w:tcPr>
            <w:tcW w:w="1244" w:type="pct"/>
            <w:shd w:val="clear" w:color="auto" w:fill="auto"/>
          </w:tcPr>
          <w:p w:rsidR="00A77BD6" w:rsidRDefault="00A77BD6" w:rsidP="00B91B21">
            <w:pPr>
              <w:spacing w:line="276" w:lineRule="auto"/>
              <w:ind w:firstLine="0"/>
              <w:jc w:val="left"/>
            </w:pPr>
            <w:r>
              <w:t>8.8</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pPr>
            <w:r>
              <w:t>Drinking status</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Non-drinker</w:t>
            </w:r>
          </w:p>
        </w:tc>
        <w:tc>
          <w:tcPr>
            <w:tcW w:w="989" w:type="pct"/>
            <w:shd w:val="clear" w:color="auto" w:fill="auto"/>
          </w:tcPr>
          <w:p w:rsidR="00A77BD6" w:rsidRDefault="00A77BD6" w:rsidP="00B91B21">
            <w:pPr>
              <w:spacing w:line="276" w:lineRule="auto"/>
              <w:ind w:firstLine="0"/>
              <w:jc w:val="left"/>
            </w:pPr>
            <w:r>
              <w:t>89.1</w:t>
            </w:r>
          </w:p>
        </w:tc>
        <w:tc>
          <w:tcPr>
            <w:tcW w:w="1244" w:type="pct"/>
            <w:shd w:val="clear" w:color="auto" w:fill="auto"/>
          </w:tcPr>
          <w:p w:rsidR="00A77BD6" w:rsidRDefault="00A77BD6" w:rsidP="00B91B21">
            <w:pPr>
              <w:spacing w:line="276" w:lineRule="auto"/>
              <w:ind w:firstLine="0"/>
              <w:jc w:val="left"/>
            </w:pPr>
            <w:r>
              <w:t>88.4</w:t>
            </w:r>
          </w:p>
        </w:tc>
        <w:tc>
          <w:tcPr>
            <w:tcW w:w="843" w:type="pct"/>
            <w:vMerge w:val="restart"/>
          </w:tcPr>
          <w:p w:rsidR="00A77BD6" w:rsidRDefault="00A77BD6" w:rsidP="00B91B21">
            <w:pPr>
              <w:spacing w:line="276" w:lineRule="auto"/>
              <w:ind w:firstLine="0"/>
              <w:jc w:val="left"/>
            </w:pPr>
            <w:r>
              <w:t>0.78</w:t>
            </w:r>
          </w:p>
        </w:tc>
      </w:tr>
      <w:tr w:rsidR="00A77BD6" w:rsidTr="001856AC">
        <w:trPr>
          <w:jc w:val="center"/>
        </w:trPr>
        <w:tc>
          <w:tcPr>
            <w:tcW w:w="1924" w:type="pct"/>
            <w:shd w:val="clear" w:color="auto" w:fill="auto"/>
          </w:tcPr>
          <w:p w:rsidR="00A77BD6" w:rsidRDefault="00A77BD6" w:rsidP="00B91B21">
            <w:pPr>
              <w:spacing w:line="360" w:lineRule="auto"/>
              <w:ind w:firstLine="0"/>
              <w:jc w:val="left"/>
            </w:pPr>
            <w:r>
              <w:t xml:space="preserve">   Ever drinker</w:t>
            </w:r>
          </w:p>
        </w:tc>
        <w:tc>
          <w:tcPr>
            <w:tcW w:w="989" w:type="pct"/>
            <w:shd w:val="clear" w:color="auto" w:fill="auto"/>
          </w:tcPr>
          <w:p w:rsidR="00A77BD6" w:rsidRDefault="00A77BD6" w:rsidP="00B91B21">
            <w:pPr>
              <w:spacing w:line="276" w:lineRule="auto"/>
              <w:ind w:firstLine="0"/>
              <w:jc w:val="left"/>
            </w:pPr>
            <w:r>
              <w:t>11.0</w:t>
            </w:r>
          </w:p>
        </w:tc>
        <w:tc>
          <w:tcPr>
            <w:tcW w:w="1244" w:type="pct"/>
            <w:shd w:val="clear" w:color="auto" w:fill="auto"/>
          </w:tcPr>
          <w:p w:rsidR="00A77BD6" w:rsidRDefault="00A77BD6" w:rsidP="00B91B21">
            <w:pPr>
              <w:spacing w:line="276" w:lineRule="auto"/>
              <w:ind w:firstLine="0"/>
              <w:jc w:val="left"/>
            </w:pPr>
            <w:r>
              <w:t>11.6</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pPr>
            <w:r>
              <w:t>Number of live birth</w:t>
            </w:r>
            <w:r w:rsidR="00652454">
              <w:t>s</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None</w:t>
            </w:r>
          </w:p>
        </w:tc>
        <w:tc>
          <w:tcPr>
            <w:tcW w:w="989" w:type="pct"/>
            <w:shd w:val="clear" w:color="auto" w:fill="auto"/>
          </w:tcPr>
          <w:p w:rsidR="00A77BD6" w:rsidRDefault="00A77BD6" w:rsidP="00B91B21">
            <w:pPr>
              <w:spacing w:line="276" w:lineRule="auto"/>
              <w:ind w:firstLine="0"/>
              <w:jc w:val="left"/>
            </w:pPr>
            <w:r>
              <w:t>12.4</w:t>
            </w:r>
          </w:p>
        </w:tc>
        <w:tc>
          <w:tcPr>
            <w:tcW w:w="1244" w:type="pct"/>
            <w:shd w:val="clear" w:color="auto" w:fill="auto"/>
          </w:tcPr>
          <w:p w:rsidR="00A77BD6" w:rsidRDefault="00A77BD6" w:rsidP="00B91B21">
            <w:pPr>
              <w:spacing w:line="276" w:lineRule="auto"/>
              <w:ind w:firstLine="0"/>
              <w:jc w:val="left"/>
            </w:pPr>
            <w:r>
              <w:t>7.1</w:t>
            </w:r>
          </w:p>
        </w:tc>
        <w:tc>
          <w:tcPr>
            <w:tcW w:w="843" w:type="pct"/>
            <w:vMerge w:val="restart"/>
          </w:tcPr>
          <w:p w:rsidR="00A77BD6" w:rsidRDefault="00A77BD6" w:rsidP="00B91B21">
            <w:pPr>
              <w:spacing w:line="276" w:lineRule="auto"/>
              <w:ind w:firstLine="0"/>
              <w:jc w:val="left"/>
            </w:pPr>
            <w:r>
              <w:t>0.01</w:t>
            </w: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1-2</w:t>
            </w:r>
          </w:p>
        </w:tc>
        <w:tc>
          <w:tcPr>
            <w:tcW w:w="989" w:type="pct"/>
            <w:shd w:val="clear" w:color="auto" w:fill="auto"/>
          </w:tcPr>
          <w:p w:rsidR="00A77BD6" w:rsidRDefault="00A77BD6" w:rsidP="00B91B21">
            <w:pPr>
              <w:spacing w:line="276" w:lineRule="auto"/>
              <w:ind w:firstLine="0"/>
              <w:jc w:val="left"/>
            </w:pPr>
            <w:r>
              <w:t>34.8</w:t>
            </w:r>
          </w:p>
        </w:tc>
        <w:tc>
          <w:tcPr>
            <w:tcW w:w="1244" w:type="pct"/>
            <w:shd w:val="clear" w:color="auto" w:fill="auto"/>
          </w:tcPr>
          <w:p w:rsidR="00A77BD6" w:rsidRDefault="00A77BD6" w:rsidP="00B91B21">
            <w:pPr>
              <w:spacing w:line="276" w:lineRule="auto"/>
              <w:ind w:firstLine="0"/>
              <w:jc w:val="left"/>
            </w:pPr>
            <w:r>
              <w:t>30.5</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3-4</w:t>
            </w:r>
          </w:p>
        </w:tc>
        <w:tc>
          <w:tcPr>
            <w:tcW w:w="989" w:type="pct"/>
            <w:shd w:val="clear" w:color="auto" w:fill="auto"/>
          </w:tcPr>
          <w:p w:rsidR="00A77BD6" w:rsidRDefault="00A77BD6" w:rsidP="00B91B21">
            <w:pPr>
              <w:spacing w:line="276" w:lineRule="auto"/>
              <w:ind w:firstLine="0"/>
              <w:jc w:val="left"/>
            </w:pPr>
            <w:r>
              <w:t>32.4</w:t>
            </w:r>
          </w:p>
        </w:tc>
        <w:tc>
          <w:tcPr>
            <w:tcW w:w="1244" w:type="pct"/>
            <w:shd w:val="clear" w:color="auto" w:fill="auto"/>
          </w:tcPr>
          <w:p w:rsidR="00A77BD6" w:rsidRDefault="00A77BD6" w:rsidP="00B91B21">
            <w:pPr>
              <w:spacing w:line="276" w:lineRule="auto"/>
              <w:ind w:firstLine="0"/>
              <w:jc w:val="left"/>
            </w:pPr>
            <w:r>
              <w:t>40.3</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5+</w:t>
            </w:r>
          </w:p>
        </w:tc>
        <w:tc>
          <w:tcPr>
            <w:tcW w:w="989" w:type="pct"/>
            <w:shd w:val="clear" w:color="auto" w:fill="auto"/>
          </w:tcPr>
          <w:p w:rsidR="00A77BD6" w:rsidRDefault="00A77BD6" w:rsidP="00B91B21">
            <w:pPr>
              <w:spacing w:line="276" w:lineRule="auto"/>
              <w:ind w:firstLine="0"/>
              <w:jc w:val="left"/>
            </w:pPr>
            <w:r>
              <w:t>20.5</w:t>
            </w:r>
          </w:p>
        </w:tc>
        <w:tc>
          <w:tcPr>
            <w:tcW w:w="1244" w:type="pct"/>
            <w:shd w:val="clear" w:color="auto" w:fill="auto"/>
          </w:tcPr>
          <w:p w:rsidR="00A77BD6" w:rsidRDefault="00A77BD6" w:rsidP="00B91B21">
            <w:pPr>
              <w:spacing w:line="276" w:lineRule="auto"/>
              <w:ind w:firstLine="0"/>
              <w:jc w:val="left"/>
            </w:pPr>
            <w:r>
              <w:t>22.1</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3E4905" w:rsidP="00B91B21">
            <w:pPr>
              <w:spacing w:line="360" w:lineRule="auto"/>
              <w:ind w:firstLine="0"/>
              <w:jc w:val="left"/>
            </w:pPr>
            <w:r>
              <w:t xml:space="preserve">Age at </w:t>
            </w:r>
            <w:r w:rsidR="001758B2">
              <w:t>first live birth</w:t>
            </w:r>
            <w:r>
              <w:t xml:space="preserve"> </w:t>
            </w:r>
            <w:r w:rsidR="001758B2">
              <w:t>(years)</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&lt;21</w:t>
            </w:r>
          </w:p>
        </w:tc>
        <w:tc>
          <w:tcPr>
            <w:tcW w:w="989" w:type="pct"/>
            <w:shd w:val="clear" w:color="auto" w:fill="auto"/>
          </w:tcPr>
          <w:p w:rsidR="00A77BD6" w:rsidRDefault="00A77BD6" w:rsidP="00B91B21">
            <w:pPr>
              <w:spacing w:line="276" w:lineRule="auto"/>
              <w:ind w:firstLine="0"/>
              <w:jc w:val="left"/>
            </w:pPr>
            <w:r>
              <w:t>14.3</w:t>
            </w:r>
          </w:p>
        </w:tc>
        <w:tc>
          <w:tcPr>
            <w:tcW w:w="1244" w:type="pct"/>
            <w:shd w:val="clear" w:color="auto" w:fill="auto"/>
          </w:tcPr>
          <w:p w:rsidR="00A77BD6" w:rsidRDefault="00A77BD6" w:rsidP="00B91B21">
            <w:pPr>
              <w:spacing w:line="276" w:lineRule="auto"/>
              <w:ind w:firstLine="0"/>
              <w:jc w:val="left"/>
            </w:pPr>
            <w:r>
              <w:t>17.0</w:t>
            </w:r>
          </w:p>
        </w:tc>
        <w:tc>
          <w:tcPr>
            <w:tcW w:w="843" w:type="pct"/>
            <w:vMerge w:val="restart"/>
          </w:tcPr>
          <w:p w:rsidR="00A77BD6" w:rsidRDefault="00A77BD6" w:rsidP="00B91B21">
            <w:pPr>
              <w:spacing w:line="276" w:lineRule="auto"/>
              <w:ind w:firstLine="0"/>
              <w:jc w:val="left"/>
            </w:pPr>
            <w:r>
              <w:t>0.03</w:t>
            </w:r>
          </w:p>
        </w:tc>
      </w:tr>
      <w:tr w:rsidR="00A77BD6" w:rsidTr="001856AC">
        <w:trPr>
          <w:jc w:val="center"/>
        </w:trPr>
        <w:tc>
          <w:tcPr>
            <w:tcW w:w="1924" w:type="pct"/>
            <w:shd w:val="clear" w:color="auto" w:fill="auto"/>
          </w:tcPr>
          <w:p w:rsidR="00A77BD6" w:rsidRDefault="00A77BD6" w:rsidP="00B91B21">
            <w:pPr>
              <w:spacing w:line="276" w:lineRule="auto"/>
              <w:ind w:firstLine="0"/>
              <w:jc w:val="left"/>
            </w:pPr>
            <w:r>
              <w:t xml:space="preserve">   21-25</w:t>
            </w:r>
          </w:p>
        </w:tc>
        <w:tc>
          <w:tcPr>
            <w:tcW w:w="989" w:type="pct"/>
            <w:shd w:val="clear" w:color="auto" w:fill="auto"/>
          </w:tcPr>
          <w:p w:rsidR="00A77BD6" w:rsidRDefault="00A77BD6" w:rsidP="00B91B21">
            <w:pPr>
              <w:spacing w:line="276" w:lineRule="auto"/>
              <w:ind w:firstLine="0"/>
              <w:jc w:val="left"/>
            </w:pPr>
            <w:r>
              <w:t>33.8</w:t>
            </w:r>
          </w:p>
        </w:tc>
        <w:tc>
          <w:tcPr>
            <w:tcW w:w="1244" w:type="pct"/>
            <w:shd w:val="clear" w:color="auto" w:fill="auto"/>
          </w:tcPr>
          <w:p w:rsidR="00A77BD6" w:rsidRDefault="00A77BD6" w:rsidP="00B91B21">
            <w:pPr>
              <w:spacing w:line="276" w:lineRule="auto"/>
              <w:ind w:firstLine="0"/>
              <w:jc w:val="left"/>
            </w:pPr>
            <w:r>
              <w:t>37.5</w:t>
            </w:r>
          </w:p>
        </w:tc>
        <w:tc>
          <w:tcPr>
            <w:tcW w:w="843" w:type="pct"/>
            <w:vMerge/>
          </w:tcPr>
          <w:p w:rsidR="00A77BD6" w:rsidRDefault="00A77BD6" w:rsidP="00B91B21">
            <w:pPr>
              <w:spacing w:line="276" w:lineRule="auto"/>
              <w:ind w:firstLine="0"/>
              <w:jc w:val="left"/>
            </w:pPr>
          </w:p>
        </w:tc>
      </w:tr>
      <w:tr w:rsidR="00A77BD6" w:rsidTr="001856AC">
        <w:trPr>
          <w:trHeight w:val="81"/>
          <w:jc w:val="center"/>
        </w:trPr>
        <w:tc>
          <w:tcPr>
            <w:tcW w:w="1924" w:type="pct"/>
            <w:shd w:val="clear" w:color="auto" w:fill="auto"/>
          </w:tcPr>
          <w:p w:rsidR="00A77BD6" w:rsidRDefault="00A77BD6" w:rsidP="00B91B21">
            <w:pPr>
              <w:spacing w:line="276" w:lineRule="auto"/>
              <w:ind w:firstLine="0"/>
              <w:jc w:val="left"/>
            </w:pPr>
            <w:r>
              <w:t xml:space="preserve">   26-30</w:t>
            </w:r>
          </w:p>
        </w:tc>
        <w:tc>
          <w:tcPr>
            <w:tcW w:w="989" w:type="pct"/>
            <w:shd w:val="clear" w:color="auto" w:fill="auto"/>
          </w:tcPr>
          <w:p w:rsidR="00A77BD6" w:rsidRDefault="00A77BD6" w:rsidP="00B91B21">
            <w:pPr>
              <w:spacing w:line="276" w:lineRule="auto"/>
              <w:ind w:firstLine="0"/>
              <w:jc w:val="left"/>
            </w:pPr>
            <w:r>
              <w:t>26.7</w:t>
            </w:r>
          </w:p>
        </w:tc>
        <w:tc>
          <w:tcPr>
            <w:tcW w:w="1244" w:type="pct"/>
            <w:shd w:val="clear" w:color="auto" w:fill="auto"/>
          </w:tcPr>
          <w:p w:rsidR="00A77BD6" w:rsidRDefault="00A77BD6" w:rsidP="00B91B21">
            <w:pPr>
              <w:spacing w:line="276" w:lineRule="auto"/>
              <w:ind w:firstLine="0"/>
              <w:jc w:val="left"/>
            </w:pPr>
            <w:r>
              <w:t>27.7</w:t>
            </w:r>
          </w:p>
        </w:tc>
        <w:tc>
          <w:tcPr>
            <w:tcW w:w="843" w:type="pct"/>
            <w:vMerge/>
          </w:tcPr>
          <w:p w:rsidR="00A77BD6" w:rsidRDefault="00A77BD6" w:rsidP="00B91B21">
            <w:pPr>
              <w:spacing w:line="276" w:lineRule="auto"/>
              <w:ind w:firstLine="0"/>
              <w:jc w:val="left"/>
            </w:pPr>
          </w:p>
        </w:tc>
      </w:tr>
      <w:tr w:rsidR="00A77BD6" w:rsidTr="001856AC">
        <w:trPr>
          <w:trHeight w:val="245"/>
          <w:jc w:val="center"/>
        </w:trPr>
        <w:tc>
          <w:tcPr>
            <w:tcW w:w="1924" w:type="pct"/>
            <w:shd w:val="clear" w:color="auto" w:fill="auto"/>
          </w:tcPr>
          <w:p w:rsidR="00A77BD6" w:rsidRDefault="00A77BD6" w:rsidP="00B91B21">
            <w:pPr>
              <w:spacing w:line="276" w:lineRule="auto"/>
              <w:ind w:firstLine="0"/>
              <w:jc w:val="left"/>
            </w:pPr>
            <w:r>
              <w:t xml:space="preserve">   31+</w:t>
            </w:r>
          </w:p>
        </w:tc>
        <w:tc>
          <w:tcPr>
            <w:tcW w:w="989" w:type="pct"/>
            <w:shd w:val="clear" w:color="auto" w:fill="auto"/>
          </w:tcPr>
          <w:p w:rsidR="00A77BD6" w:rsidRDefault="00A77BD6" w:rsidP="00B91B21">
            <w:pPr>
              <w:spacing w:line="276" w:lineRule="auto"/>
              <w:ind w:firstLine="0"/>
              <w:jc w:val="left"/>
            </w:pPr>
            <w:r>
              <w:t>12.9</w:t>
            </w:r>
          </w:p>
        </w:tc>
        <w:tc>
          <w:tcPr>
            <w:tcW w:w="1244" w:type="pct"/>
            <w:shd w:val="clear" w:color="auto" w:fill="auto"/>
          </w:tcPr>
          <w:p w:rsidR="00A77BD6" w:rsidRDefault="00A77BD6" w:rsidP="00B91B21">
            <w:pPr>
              <w:spacing w:line="276" w:lineRule="auto"/>
              <w:ind w:firstLine="0"/>
              <w:jc w:val="left"/>
              <w:rPr>
                <w:lang w:eastAsia="zh-CN"/>
              </w:rPr>
            </w:pPr>
            <w:r>
              <w:rPr>
                <w:lang w:eastAsia="zh-CN"/>
              </w:rPr>
              <w:t>10.6</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pPr>
            <w:r>
              <w:rPr>
                <w:lang w:eastAsia="zh-CN"/>
              </w:rPr>
              <w:t xml:space="preserve">   </w:t>
            </w:r>
            <w:r>
              <w:rPr>
                <w:rFonts w:hint="eastAsia"/>
                <w:lang w:eastAsia="zh-CN"/>
              </w:rPr>
              <w:t>Null</w:t>
            </w:r>
            <w:r>
              <w:rPr>
                <w:lang w:eastAsia="zh-CN"/>
              </w:rPr>
              <w:t>iparous women</w:t>
            </w:r>
          </w:p>
        </w:tc>
        <w:tc>
          <w:tcPr>
            <w:tcW w:w="989" w:type="pct"/>
            <w:shd w:val="clear" w:color="auto" w:fill="auto"/>
          </w:tcPr>
          <w:p w:rsidR="00A77BD6" w:rsidRDefault="00A77BD6" w:rsidP="00B91B21">
            <w:pPr>
              <w:spacing w:line="276" w:lineRule="auto"/>
              <w:ind w:firstLine="0"/>
              <w:jc w:val="left"/>
            </w:pPr>
            <w:r>
              <w:t>12.4</w:t>
            </w:r>
          </w:p>
        </w:tc>
        <w:tc>
          <w:tcPr>
            <w:tcW w:w="1244" w:type="pct"/>
            <w:shd w:val="clear" w:color="auto" w:fill="auto"/>
          </w:tcPr>
          <w:p w:rsidR="00A77BD6" w:rsidRDefault="00A77BD6" w:rsidP="00B91B21">
            <w:pPr>
              <w:spacing w:line="276" w:lineRule="auto"/>
              <w:ind w:firstLine="0"/>
              <w:jc w:val="left"/>
              <w:rPr>
                <w:lang w:eastAsia="zh-CN"/>
              </w:rPr>
            </w:pPr>
            <w:r>
              <w:rPr>
                <w:lang w:eastAsia="zh-CN"/>
              </w:rPr>
              <w:t>7.1</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rPr>
                <w:lang w:eastAsia="zh-CN"/>
              </w:rPr>
            </w:pPr>
            <w:r>
              <w:rPr>
                <w:lang w:eastAsia="zh-CN"/>
              </w:rPr>
              <w:t>Age at menarche</w:t>
            </w:r>
            <w:r w:rsidR="003E4905">
              <w:rPr>
                <w:lang w:eastAsia="zh-CN"/>
              </w:rPr>
              <w:t xml:space="preserve"> </w:t>
            </w:r>
            <w:r>
              <w:rPr>
                <w:lang w:eastAsia="zh-CN"/>
              </w:rPr>
              <w:t>(years)</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rPr>
                <w:lang w:eastAsia="zh-CN"/>
              </w:rPr>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&lt;13</w:t>
            </w:r>
          </w:p>
        </w:tc>
        <w:tc>
          <w:tcPr>
            <w:tcW w:w="989" w:type="pct"/>
            <w:shd w:val="clear" w:color="auto" w:fill="auto"/>
          </w:tcPr>
          <w:p w:rsidR="00A77BD6" w:rsidRDefault="00A77BD6" w:rsidP="00B91B21">
            <w:pPr>
              <w:spacing w:line="276" w:lineRule="auto"/>
              <w:ind w:firstLine="0"/>
              <w:jc w:val="left"/>
            </w:pPr>
            <w:r>
              <w:t>13.8</w:t>
            </w:r>
          </w:p>
        </w:tc>
        <w:tc>
          <w:tcPr>
            <w:tcW w:w="1244" w:type="pct"/>
            <w:shd w:val="clear" w:color="auto" w:fill="auto"/>
          </w:tcPr>
          <w:p w:rsidR="00A77BD6" w:rsidRDefault="00A77BD6" w:rsidP="00B91B21">
            <w:pPr>
              <w:spacing w:line="276" w:lineRule="auto"/>
              <w:ind w:firstLine="0"/>
              <w:jc w:val="left"/>
              <w:rPr>
                <w:lang w:eastAsia="zh-CN"/>
              </w:rPr>
            </w:pPr>
            <w:r>
              <w:rPr>
                <w:lang w:eastAsia="zh-CN"/>
              </w:rPr>
              <w:t>16.4</w:t>
            </w:r>
          </w:p>
        </w:tc>
        <w:tc>
          <w:tcPr>
            <w:tcW w:w="843" w:type="pct"/>
            <w:vMerge w:val="restart"/>
          </w:tcPr>
          <w:p w:rsidR="00A77BD6" w:rsidRDefault="00A77BD6" w:rsidP="00B91B21">
            <w:pPr>
              <w:spacing w:line="276" w:lineRule="auto"/>
              <w:ind w:firstLine="0"/>
              <w:jc w:val="left"/>
            </w:pPr>
            <w:r>
              <w:t>0.18</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13-14</w:t>
            </w:r>
          </w:p>
        </w:tc>
        <w:tc>
          <w:tcPr>
            <w:tcW w:w="989" w:type="pct"/>
            <w:shd w:val="clear" w:color="auto" w:fill="auto"/>
          </w:tcPr>
          <w:p w:rsidR="00A77BD6" w:rsidRDefault="00A77BD6" w:rsidP="00B91B21">
            <w:pPr>
              <w:spacing w:line="276" w:lineRule="auto"/>
              <w:ind w:firstLine="0"/>
              <w:jc w:val="left"/>
            </w:pPr>
            <w:r>
              <w:t>46.7</w:t>
            </w:r>
          </w:p>
        </w:tc>
        <w:tc>
          <w:tcPr>
            <w:tcW w:w="1244" w:type="pct"/>
            <w:shd w:val="clear" w:color="auto" w:fill="auto"/>
          </w:tcPr>
          <w:p w:rsidR="00A77BD6" w:rsidRDefault="00A77BD6" w:rsidP="00B91B21">
            <w:pPr>
              <w:spacing w:line="276" w:lineRule="auto"/>
              <w:ind w:firstLine="0"/>
              <w:jc w:val="left"/>
              <w:rPr>
                <w:lang w:eastAsia="zh-CN"/>
              </w:rPr>
            </w:pPr>
            <w:r>
              <w:rPr>
                <w:lang w:eastAsia="zh-CN"/>
              </w:rPr>
              <w:t>39.4</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lastRenderedPageBreak/>
              <w:t xml:space="preserve">   15-16</w:t>
            </w:r>
          </w:p>
        </w:tc>
        <w:tc>
          <w:tcPr>
            <w:tcW w:w="989" w:type="pct"/>
            <w:shd w:val="clear" w:color="auto" w:fill="auto"/>
          </w:tcPr>
          <w:p w:rsidR="00A77BD6" w:rsidRDefault="00A77BD6" w:rsidP="00B91B21">
            <w:pPr>
              <w:spacing w:line="276" w:lineRule="auto"/>
              <w:ind w:firstLine="0"/>
              <w:jc w:val="left"/>
            </w:pPr>
            <w:r>
              <w:t>30.5</w:t>
            </w:r>
          </w:p>
        </w:tc>
        <w:tc>
          <w:tcPr>
            <w:tcW w:w="1244" w:type="pct"/>
            <w:shd w:val="clear" w:color="auto" w:fill="auto"/>
          </w:tcPr>
          <w:p w:rsidR="00A77BD6" w:rsidRDefault="00A77BD6" w:rsidP="00B91B21">
            <w:pPr>
              <w:spacing w:line="276" w:lineRule="auto"/>
              <w:ind w:firstLine="0"/>
              <w:jc w:val="left"/>
              <w:rPr>
                <w:lang w:eastAsia="zh-CN"/>
              </w:rPr>
            </w:pPr>
            <w:r>
              <w:rPr>
                <w:lang w:eastAsia="zh-CN"/>
              </w:rPr>
              <w:t>32.8</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17+</w:t>
            </w:r>
          </w:p>
        </w:tc>
        <w:tc>
          <w:tcPr>
            <w:tcW w:w="989" w:type="pct"/>
            <w:shd w:val="clear" w:color="auto" w:fill="auto"/>
          </w:tcPr>
          <w:p w:rsidR="00A77BD6" w:rsidRDefault="00A77BD6" w:rsidP="00B91B21">
            <w:pPr>
              <w:spacing w:line="276" w:lineRule="auto"/>
              <w:ind w:firstLine="0"/>
              <w:jc w:val="left"/>
            </w:pPr>
            <w:r>
              <w:t>9.1</w:t>
            </w:r>
          </w:p>
        </w:tc>
        <w:tc>
          <w:tcPr>
            <w:tcW w:w="1244" w:type="pct"/>
            <w:shd w:val="clear" w:color="auto" w:fill="auto"/>
          </w:tcPr>
          <w:p w:rsidR="00A77BD6" w:rsidRDefault="00A77BD6" w:rsidP="00B91B21">
            <w:pPr>
              <w:spacing w:line="276" w:lineRule="auto"/>
              <w:ind w:firstLine="0"/>
              <w:jc w:val="left"/>
              <w:rPr>
                <w:lang w:eastAsia="zh-CN"/>
              </w:rPr>
            </w:pPr>
            <w:r>
              <w:rPr>
                <w:lang w:eastAsia="zh-CN"/>
              </w:rPr>
              <w:t>11.4</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rPr>
                <w:lang w:eastAsia="zh-CN"/>
              </w:rPr>
            </w:pPr>
            <w:r>
              <w:rPr>
                <w:lang w:eastAsia="zh-CN"/>
              </w:rPr>
              <w:t>Age at menopause</w:t>
            </w:r>
            <w:r w:rsidR="003E4905">
              <w:rPr>
                <w:lang w:eastAsia="zh-CN"/>
              </w:rPr>
              <w:t xml:space="preserve"> </w:t>
            </w:r>
            <w:r>
              <w:rPr>
                <w:lang w:eastAsia="zh-CN"/>
              </w:rPr>
              <w:t>(years)</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rPr>
                <w:lang w:eastAsia="zh-CN"/>
              </w:rPr>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Still have period</w:t>
            </w:r>
          </w:p>
        </w:tc>
        <w:tc>
          <w:tcPr>
            <w:tcW w:w="989" w:type="pct"/>
            <w:shd w:val="clear" w:color="auto" w:fill="auto"/>
          </w:tcPr>
          <w:p w:rsidR="00A77BD6" w:rsidRDefault="00A77BD6" w:rsidP="00B91B21">
            <w:pPr>
              <w:spacing w:line="276" w:lineRule="auto"/>
              <w:ind w:firstLine="0"/>
              <w:jc w:val="left"/>
              <w:rPr>
                <w:lang w:eastAsia="zh-CN"/>
              </w:rPr>
            </w:pPr>
            <w:r>
              <w:rPr>
                <w:lang w:eastAsia="zh-CN"/>
              </w:rPr>
              <w:t>10.5</w:t>
            </w:r>
          </w:p>
        </w:tc>
        <w:tc>
          <w:tcPr>
            <w:tcW w:w="1244" w:type="pct"/>
            <w:shd w:val="clear" w:color="auto" w:fill="auto"/>
          </w:tcPr>
          <w:p w:rsidR="00A77BD6" w:rsidRDefault="00A77BD6" w:rsidP="00B91B21">
            <w:pPr>
              <w:spacing w:line="276" w:lineRule="auto"/>
              <w:ind w:firstLine="0"/>
              <w:jc w:val="left"/>
            </w:pPr>
            <w:r>
              <w:t>10.7</w:t>
            </w:r>
          </w:p>
        </w:tc>
        <w:tc>
          <w:tcPr>
            <w:tcW w:w="843" w:type="pct"/>
            <w:vMerge w:val="restart"/>
          </w:tcPr>
          <w:p w:rsidR="00A77BD6" w:rsidRDefault="00A77BD6" w:rsidP="00B91B21">
            <w:pPr>
              <w:spacing w:line="276" w:lineRule="auto"/>
              <w:ind w:firstLine="0"/>
              <w:jc w:val="left"/>
            </w:pPr>
            <w:r>
              <w:t>0.67</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&lt;40</w:t>
            </w:r>
          </w:p>
        </w:tc>
        <w:tc>
          <w:tcPr>
            <w:tcW w:w="989" w:type="pct"/>
            <w:shd w:val="clear" w:color="auto" w:fill="auto"/>
          </w:tcPr>
          <w:p w:rsidR="00A77BD6" w:rsidRDefault="00A77BD6" w:rsidP="00B91B21">
            <w:pPr>
              <w:spacing w:line="276" w:lineRule="auto"/>
              <w:ind w:firstLine="0"/>
              <w:jc w:val="left"/>
              <w:rPr>
                <w:lang w:eastAsia="zh-CN"/>
              </w:rPr>
            </w:pPr>
            <w:r>
              <w:rPr>
                <w:lang w:eastAsia="zh-CN"/>
              </w:rPr>
              <w:t>2.9</w:t>
            </w:r>
          </w:p>
        </w:tc>
        <w:tc>
          <w:tcPr>
            <w:tcW w:w="1244" w:type="pct"/>
            <w:shd w:val="clear" w:color="auto" w:fill="auto"/>
          </w:tcPr>
          <w:p w:rsidR="00A77BD6" w:rsidRDefault="00A77BD6" w:rsidP="00B91B21">
            <w:pPr>
              <w:spacing w:line="276" w:lineRule="auto"/>
              <w:ind w:firstLine="0"/>
              <w:jc w:val="left"/>
            </w:pPr>
            <w:r>
              <w:t>3.4</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40-44</w:t>
            </w:r>
          </w:p>
        </w:tc>
        <w:tc>
          <w:tcPr>
            <w:tcW w:w="989" w:type="pct"/>
            <w:shd w:val="clear" w:color="auto" w:fill="auto"/>
          </w:tcPr>
          <w:p w:rsidR="00A77BD6" w:rsidRDefault="00A77BD6" w:rsidP="00B91B21">
            <w:pPr>
              <w:spacing w:line="276" w:lineRule="auto"/>
              <w:ind w:firstLine="0"/>
              <w:jc w:val="left"/>
              <w:rPr>
                <w:lang w:eastAsia="zh-CN"/>
              </w:rPr>
            </w:pPr>
            <w:r>
              <w:rPr>
                <w:lang w:eastAsia="zh-CN"/>
              </w:rPr>
              <w:t>6.7</w:t>
            </w:r>
          </w:p>
        </w:tc>
        <w:tc>
          <w:tcPr>
            <w:tcW w:w="1244" w:type="pct"/>
            <w:shd w:val="clear" w:color="auto" w:fill="auto"/>
          </w:tcPr>
          <w:p w:rsidR="00A77BD6" w:rsidRDefault="00A77BD6" w:rsidP="00B91B21">
            <w:pPr>
              <w:spacing w:line="276" w:lineRule="auto"/>
              <w:ind w:firstLine="0"/>
              <w:jc w:val="left"/>
            </w:pPr>
            <w:r>
              <w:t>7.5</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45-49</w:t>
            </w:r>
          </w:p>
        </w:tc>
        <w:tc>
          <w:tcPr>
            <w:tcW w:w="989" w:type="pct"/>
            <w:shd w:val="clear" w:color="auto" w:fill="auto"/>
          </w:tcPr>
          <w:p w:rsidR="00A77BD6" w:rsidRDefault="00A77BD6" w:rsidP="00B91B21">
            <w:pPr>
              <w:spacing w:line="276" w:lineRule="auto"/>
              <w:ind w:firstLine="0"/>
              <w:jc w:val="left"/>
              <w:rPr>
                <w:lang w:eastAsia="zh-CN"/>
              </w:rPr>
            </w:pPr>
            <w:r>
              <w:rPr>
                <w:lang w:eastAsia="zh-CN"/>
              </w:rPr>
              <w:t>26.2</w:t>
            </w:r>
          </w:p>
        </w:tc>
        <w:tc>
          <w:tcPr>
            <w:tcW w:w="1244" w:type="pct"/>
            <w:shd w:val="clear" w:color="auto" w:fill="auto"/>
          </w:tcPr>
          <w:p w:rsidR="00A77BD6" w:rsidRDefault="00A77BD6" w:rsidP="00B91B21">
            <w:pPr>
              <w:spacing w:line="276" w:lineRule="auto"/>
              <w:ind w:firstLine="0"/>
              <w:jc w:val="left"/>
            </w:pPr>
            <w:r>
              <w:t>29.3</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50-54</w:t>
            </w:r>
          </w:p>
        </w:tc>
        <w:tc>
          <w:tcPr>
            <w:tcW w:w="989" w:type="pct"/>
            <w:shd w:val="clear" w:color="auto" w:fill="auto"/>
          </w:tcPr>
          <w:p w:rsidR="00A77BD6" w:rsidRDefault="00A77BD6" w:rsidP="00B91B21">
            <w:pPr>
              <w:spacing w:line="276" w:lineRule="auto"/>
              <w:ind w:firstLine="0"/>
              <w:jc w:val="left"/>
              <w:rPr>
                <w:lang w:eastAsia="zh-CN"/>
              </w:rPr>
            </w:pPr>
            <w:r>
              <w:rPr>
                <w:lang w:eastAsia="zh-CN"/>
              </w:rPr>
              <w:t>42.9</w:t>
            </w:r>
          </w:p>
        </w:tc>
        <w:tc>
          <w:tcPr>
            <w:tcW w:w="1244" w:type="pct"/>
            <w:shd w:val="clear" w:color="auto" w:fill="auto"/>
          </w:tcPr>
          <w:p w:rsidR="00A77BD6" w:rsidRDefault="00A77BD6" w:rsidP="00B91B21">
            <w:pPr>
              <w:spacing w:line="276" w:lineRule="auto"/>
              <w:ind w:firstLine="0"/>
              <w:jc w:val="left"/>
            </w:pPr>
            <w:r>
              <w:t>40.9</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55+</w:t>
            </w:r>
          </w:p>
        </w:tc>
        <w:tc>
          <w:tcPr>
            <w:tcW w:w="989" w:type="pct"/>
            <w:shd w:val="clear" w:color="auto" w:fill="auto"/>
          </w:tcPr>
          <w:p w:rsidR="00A77BD6" w:rsidRDefault="00A77BD6" w:rsidP="00B91B21">
            <w:pPr>
              <w:spacing w:line="276" w:lineRule="auto"/>
              <w:ind w:firstLine="0"/>
              <w:jc w:val="left"/>
              <w:rPr>
                <w:lang w:eastAsia="zh-CN"/>
              </w:rPr>
            </w:pPr>
            <w:r>
              <w:rPr>
                <w:lang w:eastAsia="zh-CN"/>
              </w:rPr>
              <w:t>11.0</w:t>
            </w:r>
          </w:p>
        </w:tc>
        <w:tc>
          <w:tcPr>
            <w:tcW w:w="1244" w:type="pct"/>
            <w:shd w:val="clear" w:color="auto" w:fill="auto"/>
          </w:tcPr>
          <w:p w:rsidR="00A77BD6" w:rsidRDefault="00A77BD6" w:rsidP="00B91B21">
            <w:pPr>
              <w:spacing w:line="276" w:lineRule="auto"/>
              <w:ind w:firstLine="0"/>
              <w:jc w:val="left"/>
            </w:pPr>
            <w:r>
              <w:t>8.2</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rPr>
                <w:lang w:eastAsia="zh-CN"/>
              </w:rPr>
            </w:pPr>
            <w:r>
              <w:rPr>
                <w:lang w:eastAsia="zh-CN"/>
              </w:rPr>
              <w:t>Menopausal status</w:t>
            </w:r>
          </w:p>
        </w:tc>
        <w:tc>
          <w:tcPr>
            <w:tcW w:w="989" w:type="pct"/>
            <w:shd w:val="clear" w:color="auto" w:fill="auto"/>
          </w:tcPr>
          <w:p w:rsidR="001758B2" w:rsidRDefault="001758B2" w:rsidP="00B91B21">
            <w:pPr>
              <w:spacing w:line="360" w:lineRule="auto"/>
              <w:ind w:firstLine="0"/>
              <w:jc w:val="left"/>
              <w:rPr>
                <w:lang w:eastAsia="zh-CN"/>
              </w:rPr>
            </w:pPr>
          </w:p>
        </w:tc>
        <w:tc>
          <w:tcPr>
            <w:tcW w:w="1244" w:type="pct"/>
            <w:shd w:val="clear" w:color="auto" w:fill="auto"/>
          </w:tcPr>
          <w:p w:rsidR="001758B2" w:rsidRDefault="001758B2" w:rsidP="00B91B21">
            <w:pPr>
              <w:spacing w:line="360" w:lineRule="auto"/>
              <w:ind w:firstLine="0"/>
              <w:jc w:val="left"/>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Still menstruating</w:t>
            </w:r>
          </w:p>
        </w:tc>
        <w:tc>
          <w:tcPr>
            <w:tcW w:w="989" w:type="pct"/>
            <w:shd w:val="clear" w:color="auto" w:fill="auto"/>
          </w:tcPr>
          <w:p w:rsidR="00A77BD6" w:rsidRDefault="00A77BD6" w:rsidP="00B91B21">
            <w:pPr>
              <w:spacing w:line="276" w:lineRule="auto"/>
              <w:ind w:firstLine="0"/>
              <w:jc w:val="left"/>
              <w:rPr>
                <w:lang w:eastAsia="zh-CN"/>
              </w:rPr>
            </w:pPr>
            <w:r>
              <w:rPr>
                <w:lang w:eastAsia="zh-CN"/>
              </w:rPr>
              <w:t>10.4</w:t>
            </w:r>
          </w:p>
        </w:tc>
        <w:tc>
          <w:tcPr>
            <w:tcW w:w="1244" w:type="pct"/>
            <w:shd w:val="clear" w:color="auto" w:fill="auto"/>
          </w:tcPr>
          <w:p w:rsidR="00A77BD6" w:rsidRDefault="00A77BD6" w:rsidP="00B91B21">
            <w:pPr>
              <w:spacing w:line="276" w:lineRule="auto"/>
              <w:ind w:firstLine="0"/>
              <w:jc w:val="left"/>
            </w:pPr>
            <w:r>
              <w:t>10.5</w:t>
            </w:r>
          </w:p>
        </w:tc>
        <w:tc>
          <w:tcPr>
            <w:tcW w:w="843" w:type="pct"/>
            <w:vMerge w:val="restart"/>
          </w:tcPr>
          <w:p w:rsidR="00A77BD6" w:rsidRDefault="00A77BD6" w:rsidP="00B91B21">
            <w:pPr>
              <w:spacing w:line="276" w:lineRule="auto"/>
              <w:ind w:firstLine="0"/>
              <w:jc w:val="left"/>
            </w:pPr>
            <w:r>
              <w:t>0.98</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Postmenopausal</w:t>
            </w:r>
          </w:p>
        </w:tc>
        <w:tc>
          <w:tcPr>
            <w:tcW w:w="989" w:type="pct"/>
            <w:shd w:val="clear" w:color="auto" w:fill="auto"/>
          </w:tcPr>
          <w:p w:rsidR="00A77BD6" w:rsidRDefault="00A77BD6" w:rsidP="00B91B21">
            <w:pPr>
              <w:spacing w:line="276" w:lineRule="auto"/>
              <w:ind w:firstLine="0"/>
              <w:jc w:val="left"/>
              <w:rPr>
                <w:lang w:eastAsia="zh-CN"/>
              </w:rPr>
            </w:pPr>
            <w:r>
              <w:rPr>
                <w:lang w:eastAsia="zh-CN"/>
              </w:rPr>
              <w:t>89.6</w:t>
            </w:r>
          </w:p>
        </w:tc>
        <w:tc>
          <w:tcPr>
            <w:tcW w:w="1244" w:type="pct"/>
            <w:shd w:val="clear" w:color="auto" w:fill="auto"/>
          </w:tcPr>
          <w:p w:rsidR="00A77BD6" w:rsidRDefault="00A77BD6" w:rsidP="00B91B21">
            <w:pPr>
              <w:spacing w:line="276" w:lineRule="auto"/>
              <w:ind w:firstLine="0"/>
              <w:jc w:val="left"/>
            </w:pPr>
            <w:r>
              <w:t>89.5</w:t>
            </w:r>
          </w:p>
        </w:tc>
        <w:tc>
          <w:tcPr>
            <w:tcW w:w="843" w:type="pct"/>
            <w:vMerge/>
          </w:tcPr>
          <w:p w:rsidR="00A77BD6" w:rsidRDefault="00A77BD6" w:rsidP="00B91B21">
            <w:pPr>
              <w:spacing w:line="276" w:lineRule="auto"/>
              <w:ind w:firstLine="0"/>
              <w:jc w:val="left"/>
            </w:pPr>
          </w:p>
        </w:tc>
      </w:tr>
      <w:tr w:rsidR="001758B2" w:rsidTr="001856AC">
        <w:trPr>
          <w:jc w:val="center"/>
        </w:trPr>
        <w:tc>
          <w:tcPr>
            <w:tcW w:w="1924" w:type="pct"/>
            <w:shd w:val="clear" w:color="auto" w:fill="auto"/>
          </w:tcPr>
          <w:p w:rsidR="001758B2" w:rsidRDefault="001758B2" w:rsidP="00B91B21">
            <w:pPr>
              <w:spacing w:line="360" w:lineRule="auto"/>
              <w:ind w:firstLine="0"/>
              <w:jc w:val="left"/>
              <w:rPr>
                <w:lang w:eastAsia="zh-CN"/>
              </w:rPr>
            </w:pPr>
            <w:r>
              <w:rPr>
                <w:lang w:eastAsia="zh-CN"/>
              </w:rPr>
              <w:t>Use of OC</w:t>
            </w:r>
          </w:p>
        </w:tc>
        <w:tc>
          <w:tcPr>
            <w:tcW w:w="989" w:type="pct"/>
            <w:shd w:val="clear" w:color="auto" w:fill="auto"/>
          </w:tcPr>
          <w:p w:rsidR="001758B2" w:rsidRDefault="001758B2" w:rsidP="00B91B21">
            <w:pPr>
              <w:spacing w:line="360" w:lineRule="auto"/>
              <w:ind w:firstLine="0"/>
              <w:jc w:val="left"/>
            </w:pPr>
          </w:p>
        </w:tc>
        <w:tc>
          <w:tcPr>
            <w:tcW w:w="1244" w:type="pct"/>
            <w:shd w:val="clear" w:color="auto" w:fill="auto"/>
          </w:tcPr>
          <w:p w:rsidR="001758B2" w:rsidRDefault="001758B2" w:rsidP="00B91B21">
            <w:pPr>
              <w:spacing w:line="360" w:lineRule="auto"/>
              <w:ind w:firstLine="0"/>
              <w:jc w:val="left"/>
              <w:rPr>
                <w:lang w:eastAsia="zh-CN"/>
              </w:rPr>
            </w:pPr>
          </w:p>
        </w:tc>
        <w:tc>
          <w:tcPr>
            <w:tcW w:w="843" w:type="pct"/>
          </w:tcPr>
          <w:p w:rsidR="001758B2" w:rsidRDefault="001758B2"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Never users</w:t>
            </w:r>
          </w:p>
        </w:tc>
        <w:tc>
          <w:tcPr>
            <w:tcW w:w="989" w:type="pct"/>
            <w:shd w:val="clear" w:color="auto" w:fill="auto"/>
          </w:tcPr>
          <w:p w:rsidR="00A77BD6" w:rsidRDefault="00A77BD6" w:rsidP="00B91B21">
            <w:pPr>
              <w:spacing w:line="276" w:lineRule="auto"/>
              <w:ind w:firstLine="0"/>
              <w:jc w:val="left"/>
            </w:pPr>
            <w:r>
              <w:t>71.4</w:t>
            </w:r>
          </w:p>
        </w:tc>
        <w:tc>
          <w:tcPr>
            <w:tcW w:w="1244" w:type="pct"/>
            <w:shd w:val="clear" w:color="auto" w:fill="auto"/>
          </w:tcPr>
          <w:p w:rsidR="00A77BD6" w:rsidRDefault="00A77BD6" w:rsidP="00B91B21">
            <w:pPr>
              <w:spacing w:line="276" w:lineRule="auto"/>
              <w:ind w:firstLine="0"/>
              <w:jc w:val="left"/>
            </w:pPr>
            <w:r>
              <w:t>69.1</w:t>
            </w:r>
          </w:p>
        </w:tc>
        <w:tc>
          <w:tcPr>
            <w:tcW w:w="843" w:type="pct"/>
            <w:vMerge w:val="restart"/>
          </w:tcPr>
          <w:p w:rsidR="00A77BD6" w:rsidRDefault="00A77BD6" w:rsidP="00B91B21">
            <w:pPr>
              <w:spacing w:line="276" w:lineRule="auto"/>
              <w:ind w:firstLine="0"/>
              <w:jc w:val="left"/>
            </w:pPr>
            <w:r>
              <w:t>0.46</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Ever used</w:t>
            </w:r>
          </w:p>
        </w:tc>
        <w:tc>
          <w:tcPr>
            <w:tcW w:w="989" w:type="pct"/>
            <w:shd w:val="clear" w:color="auto" w:fill="auto"/>
          </w:tcPr>
          <w:p w:rsidR="00A77BD6" w:rsidRDefault="00A77BD6" w:rsidP="00B91B21">
            <w:pPr>
              <w:spacing w:line="276" w:lineRule="auto"/>
              <w:ind w:firstLine="0"/>
              <w:jc w:val="left"/>
            </w:pPr>
            <w:r>
              <w:t>28.6</w:t>
            </w:r>
          </w:p>
        </w:tc>
        <w:tc>
          <w:tcPr>
            <w:tcW w:w="1244" w:type="pct"/>
            <w:shd w:val="clear" w:color="auto" w:fill="auto"/>
          </w:tcPr>
          <w:p w:rsidR="00A77BD6" w:rsidRDefault="00A77BD6" w:rsidP="00B91B21">
            <w:pPr>
              <w:spacing w:line="276" w:lineRule="auto"/>
              <w:ind w:firstLine="0"/>
              <w:jc w:val="left"/>
            </w:pPr>
            <w:r>
              <w:t>30.9</w:t>
            </w:r>
          </w:p>
        </w:tc>
        <w:tc>
          <w:tcPr>
            <w:tcW w:w="843" w:type="pct"/>
            <w:vMerge/>
          </w:tcPr>
          <w:p w:rsidR="00A77BD6" w:rsidRDefault="00A77BD6" w:rsidP="00B91B21">
            <w:pPr>
              <w:spacing w:line="276" w:lineRule="auto"/>
              <w:ind w:firstLine="0"/>
              <w:jc w:val="left"/>
            </w:pPr>
          </w:p>
        </w:tc>
      </w:tr>
      <w:tr w:rsidR="008A6D8C" w:rsidTr="001856AC">
        <w:trPr>
          <w:jc w:val="center"/>
        </w:trPr>
        <w:tc>
          <w:tcPr>
            <w:tcW w:w="1924" w:type="pct"/>
            <w:shd w:val="clear" w:color="auto" w:fill="auto"/>
          </w:tcPr>
          <w:p w:rsidR="008A6D8C" w:rsidRDefault="002A553B" w:rsidP="00B91B21">
            <w:pPr>
              <w:spacing w:line="360" w:lineRule="auto"/>
              <w:ind w:firstLine="0"/>
              <w:jc w:val="left"/>
              <w:rPr>
                <w:lang w:eastAsia="zh-CN"/>
              </w:rPr>
            </w:pPr>
            <w:r>
              <w:rPr>
                <w:lang w:eastAsia="zh-CN"/>
              </w:rPr>
              <w:t>MHT</w:t>
            </w:r>
            <w:r w:rsidR="008A6D8C">
              <w:rPr>
                <w:lang w:eastAsia="zh-CN"/>
              </w:rPr>
              <w:t xml:space="preserve"> use</w:t>
            </w:r>
          </w:p>
        </w:tc>
        <w:tc>
          <w:tcPr>
            <w:tcW w:w="989" w:type="pct"/>
            <w:shd w:val="clear" w:color="auto" w:fill="auto"/>
          </w:tcPr>
          <w:p w:rsidR="008A6D8C" w:rsidRDefault="008A6D8C" w:rsidP="00B91B21">
            <w:pPr>
              <w:spacing w:line="360" w:lineRule="auto"/>
              <w:ind w:firstLine="0"/>
              <w:jc w:val="left"/>
            </w:pPr>
          </w:p>
        </w:tc>
        <w:tc>
          <w:tcPr>
            <w:tcW w:w="1244" w:type="pct"/>
            <w:shd w:val="clear" w:color="auto" w:fill="auto"/>
          </w:tcPr>
          <w:p w:rsidR="008A6D8C" w:rsidRDefault="008A6D8C" w:rsidP="00B91B21">
            <w:pPr>
              <w:spacing w:line="360" w:lineRule="auto"/>
              <w:ind w:firstLine="0"/>
              <w:jc w:val="left"/>
            </w:pPr>
          </w:p>
        </w:tc>
        <w:tc>
          <w:tcPr>
            <w:tcW w:w="843" w:type="pct"/>
          </w:tcPr>
          <w:p w:rsidR="008A6D8C" w:rsidRDefault="008A6D8C" w:rsidP="00B91B21">
            <w:pPr>
              <w:spacing w:line="360" w:lineRule="auto"/>
              <w:ind w:firstLine="0"/>
              <w:jc w:val="left"/>
            </w:pPr>
          </w:p>
        </w:tc>
      </w:tr>
      <w:tr w:rsidR="00A77BD6" w:rsidTr="00A77BD6">
        <w:trPr>
          <w:trHeight w:val="252"/>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Never users</w:t>
            </w:r>
          </w:p>
        </w:tc>
        <w:tc>
          <w:tcPr>
            <w:tcW w:w="989" w:type="pct"/>
            <w:shd w:val="clear" w:color="auto" w:fill="auto"/>
          </w:tcPr>
          <w:p w:rsidR="00A77BD6" w:rsidRDefault="00A77BD6" w:rsidP="00B91B21">
            <w:pPr>
              <w:spacing w:line="276" w:lineRule="auto"/>
              <w:ind w:firstLine="0"/>
              <w:jc w:val="left"/>
            </w:pPr>
            <w:r>
              <w:t>80.5</w:t>
            </w:r>
          </w:p>
        </w:tc>
        <w:tc>
          <w:tcPr>
            <w:tcW w:w="1244" w:type="pct"/>
            <w:shd w:val="clear" w:color="auto" w:fill="auto"/>
          </w:tcPr>
          <w:p w:rsidR="00A77BD6" w:rsidRDefault="00A77BD6" w:rsidP="00B91B21">
            <w:pPr>
              <w:spacing w:line="276" w:lineRule="auto"/>
              <w:ind w:firstLine="0"/>
              <w:jc w:val="left"/>
            </w:pPr>
            <w:r>
              <w:t>86.8</w:t>
            </w:r>
          </w:p>
        </w:tc>
        <w:tc>
          <w:tcPr>
            <w:tcW w:w="843" w:type="pct"/>
            <w:vMerge w:val="restart"/>
          </w:tcPr>
          <w:p w:rsidR="00A77BD6" w:rsidRDefault="00A77BD6" w:rsidP="00B91B21">
            <w:pPr>
              <w:spacing w:line="276" w:lineRule="auto"/>
              <w:ind w:firstLine="0"/>
              <w:jc w:val="left"/>
            </w:pPr>
            <w:r>
              <w:t>0.01</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Ever used</w:t>
            </w:r>
          </w:p>
        </w:tc>
        <w:tc>
          <w:tcPr>
            <w:tcW w:w="989" w:type="pct"/>
            <w:shd w:val="clear" w:color="auto" w:fill="auto"/>
          </w:tcPr>
          <w:p w:rsidR="00A77BD6" w:rsidRDefault="00A77BD6" w:rsidP="00B91B21">
            <w:pPr>
              <w:spacing w:line="276" w:lineRule="auto"/>
              <w:ind w:firstLine="0"/>
              <w:jc w:val="left"/>
            </w:pPr>
            <w:r>
              <w:t>19.5</w:t>
            </w:r>
          </w:p>
        </w:tc>
        <w:tc>
          <w:tcPr>
            <w:tcW w:w="1244" w:type="pct"/>
            <w:shd w:val="clear" w:color="auto" w:fill="auto"/>
          </w:tcPr>
          <w:p w:rsidR="00A77BD6" w:rsidRDefault="00A77BD6" w:rsidP="00B91B21">
            <w:pPr>
              <w:spacing w:line="276" w:lineRule="auto"/>
              <w:ind w:firstLine="0"/>
              <w:jc w:val="left"/>
            </w:pPr>
            <w:r>
              <w:t>13.2</w:t>
            </w:r>
          </w:p>
        </w:tc>
        <w:tc>
          <w:tcPr>
            <w:tcW w:w="843" w:type="pct"/>
            <w:vMerge/>
          </w:tcPr>
          <w:p w:rsidR="00A77BD6" w:rsidRDefault="00A77BD6" w:rsidP="00B91B21">
            <w:pPr>
              <w:spacing w:line="276" w:lineRule="auto"/>
              <w:ind w:firstLine="0"/>
              <w:jc w:val="left"/>
            </w:pPr>
          </w:p>
        </w:tc>
      </w:tr>
      <w:tr w:rsidR="00B91B21" w:rsidTr="001856AC">
        <w:trPr>
          <w:jc w:val="center"/>
        </w:trPr>
        <w:tc>
          <w:tcPr>
            <w:tcW w:w="1924" w:type="pct"/>
            <w:shd w:val="clear" w:color="auto" w:fill="auto"/>
          </w:tcPr>
          <w:p w:rsidR="00B91B21" w:rsidRDefault="00B91B21" w:rsidP="00B91B21">
            <w:pPr>
              <w:spacing w:line="360" w:lineRule="auto"/>
              <w:ind w:firstLine="0"/>
              <w:jc w:val="left"/>
              <w:rPr>
                <w:lang w:eastAsia="zh-CN"/>
              </w:rPr>
            </w:pPr>
            <w:r>
              <w:rPr>
                <w:lang w:eastAsia="zh-CN"/>
              </w:rPr>
              <w:t>Family history of breast cancer</w:t>
            </w:r>
          </w:p>
        </w:tc>
        <w:tc>
          <w:tcPr>
            <w:tcW w:w="989" w:type="pct"/>
            <w:shd w:val="clear" w:color="auto" w:fill="auto"/>
          </w:tcPr>
          <w:p w:rsidR="00B91B21" w:rsidRDefault="00B91B21" w:rsidP="00B91B21">
            <w:pPr>
              <w:spacing w:line="360" w:lineRule="auto"/>
              <w:ind w:firstLine="0"/>
              <w:jc w:val="left"/>
            </w:pPr>
          </w:p>
        </w:tc>
        <w:tc>
          <w:tcPr>
            <w:tcW w:w="1244" w:type="pct"/>
            <w:shd w:val="clear" w:color="auto" w:fill="auto"/>
          </w:tcPr>
          <w:p w:rsidR="00B91B21" w:rsidRDefault="00B91B21" w:rsidP="00B91B21">
            <w:pPr>
              <w:spacing w:line="360" w:lineRule="auto"/>
              <w:ind w:firstLine="0"/>
              <w:jc w:val="left"/>
            </w:pPr>
          </w:p>
        </w:tc>
        <w:tc>
          <w:tcPr>
            <w:tcW w:w="843" w:type="pct"/>
          </w:tcPr>
          <w:p w:rsidR="00B91B21" w:rsidRDefault="00B91B21" w:rsidP="00B91B21">
            <w:pPr>
              <w:spacing w:line="360"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No</w:t>
            </w:r>
          </w:p>
        </w:tc>
        <w:tc>
          <w:tcPr>
            <w:tcW w:w="989" w:type="pct"/>
            <w:shd w:val="clear" w:color="auto" w:fill="auto"/>
          </w:tcPr>
          <w:p w:rsidR="00A77BD6" w:rsidRDefault="00A77BD6" w:rsidP="00B91B21">
            <w:pPr>
              <w:spacing w:line="276" w:lineRule="auto"/>
              <w:ind w:firstLine="0"/>
              <w:jc w:val="left"/>
            </w:pPr>
            <w:r>
              <w:t>98.1</w:t>
            </w:r>
          </w:p>
        </w:tc>
        <w:tc>
          <w:tcPr>
            <w:tcW w:w="1244" w:type="pct"/>
            <w:shd w:val="clear" w:color="auto" w:fill="auto"/>
          </w:tcPr>
          <w:p w:rsidR="00A77BD6" w:rsidRDefault="00A77BD6" w:rsidP="00B91B21">
            <w:pPr>
              <w:spacing w:line="276" w:lineRule="auto"/>
              <w:ind w:firstLine="0"/>
              <w:jc w:val="left"/>
            </w:pPr>
            <w:r>
              <w:t>98.3</w:t>
            </w:r>
          </w:p>
        </w:tc>
        <w:tc>
          <w:tcPr>
            <w:tcW w:w="843" w:type="pct"/>
            <w:vMerge w:val="restart"/>
          </w:tcPr>
          <w:p w:rsidR="00A77BD6" w:rsidRDefault="00A77BD6" w:rsidP="00B91B21">
            <w:pPr>
              <w:spacing w:line="276" w:lineRule="auto"/>
              <w:ind w:firstLine="0"/>
              <w:jc w:val="left"/>
            </w:pPr>
            <w:r>
              <w:t>0.80</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Yes</w:t>
            </w:r>
          </w:p>
        </w:tc>
        <w:tc>
          <w:tcPr>
            <w:tcW w:w="989" w:type="pct"/>
            <w:shd w:val="clear" w:color="auto" w:fill="auto"/>
          </w:tcPr>
          <w:p w:rsidR="00A77BD6" w:rsidRDefault="00A77BD6" w:rsidP="00B91B21">
            <w:pPr>
              <w:spacing w:line="276" w:lineRule="auto"/>
              <w:ind w:firstLine="0"/>
              <w:jc w:val="left"/>
            </w:pPr>
            <w:r>
              <w:t>1.9</w:t>
            </w:r>
          </w:p>
        </w:tc>
        <w:tc>
          <w:tcPr>
            <w:tcW w:w="1244" w:type="pct"/>
            <w:shd w:val="clear" w:color="auto" w:fill="auto"/>
          </w:tcPr>
          <w:p w:rsidR="00A77BD6" w:rsidRDefault="00A77BD6" w:rsidP="00B91B21">
            <w:pPr>
              <w:spacing w:line="276" w:lineRule="auto"/>
              <w:ind w:firstLine="0"/>
              <w:jc w:val="left"/>
            </w:pPr>
            <w:r>
              <w:t>1.7</w:t>
            </w:r>
          </w:p>
        </w:tc>
        <w:tc>
          <w:tcPr>
            <w:tcW w:w="843" w:type="pct"/>
            <w:vMerge/>
          </w:tcPr>
          <w:p w:rsidR="00A77BD6" w:rsidRDefault="00A77BD6" w:rsidP="00B91B21">
            <w:pPr>
              <w:spacing w:line="276" w:lineRule="auto"/>
              <w:ind w:firstLine="0"/>
              <w:jc w:val="left"/>
            </w:pPr>
          </w:p>
        </w:tc>
      </w:tr>
      <w:tr w:rsidR="00F062F2" w:rsidTr="001856AC">
        <w:trPr>
          <w:jc w:val="center"/>
        </w:trPr>
        <w:tc>
          <w:tcPr>
            <w:tcW w:w="1924" w:type="pct"/>
            <w:shd w:val="clear" w:color="auto" w:fill="auto"/>
          </w:tcPr>
          <w:p w:rsidR="00F062F2" w:rsidRDefault="00F062F2" w:rsidP="00B91B21">
            <w:pPr>
              <w:spacing w:line="276" w:lineRule="auto"/>
              <w:ind w:firstLine="0"/>
              <w:jc w:val="left"/>
              <w:rPr>
                <w:lang w:eastAsia="zh-CN"/>
              </w:rPr>
            </w:pPr>
            <w:r>
              <w:rPr>
                <w:lang w:eastAsia="zh-CN"/>
              </w:rPr>
              <w:t>Physical activity (weekly moderate activity)</w:t>
            </w:r>
          </w:p>
        </w:tc>
        <w:tc>
          <w:tcPr>
            <w:tcW w:w="989" w:type="pct"/>
            <w:shd w:val="clear" w:color="auto" w:fill="auto"/>
          </w:tcPr>
          <w:p w:rsidR="00F062F2" w:rsidRDefault="00F062F2" w:rsidP="00B91B21">
            <w:pPr>
              <w:spacing w:line="276" w:lineRule="auto"/>
              <w:ind w:firstLine="0"/>
              <w:jc w:val="left"/>
            </w:pPr>
          </w:p>
        </w:tc>
        <w:tc>
          <w:tcPr>
            <w:tcW w:w="1244" w:type="pct"/>
            <w:shd w:val="clear" w:color="auto" w:fill="auto"/>
          </w:tcPr>
          <w:p w:rsidR="00F062F2" w:rsidRDefault="00F062F2" w:rsidP="00B91B21">
            <w:pPr>
              <w:spacing w:line="276" w:lineRule="auto"/>
              <w:ind w:firstLine="0"/>
              <w:jc w:val="left"/>
            </w:pPr>
          </w:p>
        </w:tc>
        <w:tc>
          <w:tcPr>
            <w:tcW w:w="843" w:type="pct"/>
          </w:tcPr>
          <w:p w:rsidR="00F062F2" w:rsidRDefault="00F062F2"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No </w:t>
            </w:r>
          </w:p>
        </w:tc>
        <w:tc>
          <w:tcPr>
            <w:tcW w:w="989" w:type="pct"/>
            <w:shd w:val="clear" w:color="auto" w:fill="auto"/>
          </w:tcPr>
          <w:p w:rsidR="00A77BD6" w:rsidRDefault="00A77BD6" w:rsidP="00B91B21">
            <w:pPr>
              <w:spacing w:line="276" w:lineRule="auto"/>
              <w:ind w:firstLine="0"/>
              <w:jc w:val="left"/>
            </w:pPr>
            <w:r>
              <w:t>80.5</w:t>
            </w:r>
          </w:p>
        </w:tc>
        <w:tc>
          <w:tcPr>
            <w:tcW w:w="1244" w:type="pct"/>
            <w:shd w:val="clear" w:color="auto" w:fill="auto"/>
          </w:tcPr>
          <w:p w:rsidR="00A77BD6" w:rsidRDefault="00A77BD6" w:rsidP="00B91B21">
            <w:pPr>
              <w:spacing w:line="276" w:lineRule="auto"/>
              <w:ind w:firstLine="0"/>
              <w:jc w:val="left"/>
            </w:pPr>
            <w:r>
              <w:t>78.3</w:t>
            </w:r>
          </w:p>
        </w:tc>
        <w:tc>
          <w:tcPr>
            <w:tcW w:w="843" w:type="pct"/>
            <w:vMerge w:val="restart"/>
          </w:tcPr>
          <w:p w:rsidR="00A77BD6" w:rsidRDefault="00A77BD6" w:rsidP="00B91B21">
            <w:pPr>
              <w:spacing w:line="276" w:lineRule="auto"/>
              <w:ind w:firstLine="0"/>
              <w:jc w:val="left"/>
            </w:pPr>
            <w:r>
              <w:t>0.73</w:t>
            </w: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½ - 3 hours/week</w:t>
            </w:r>
          </w:p>
        </w:tc>
        <w:tc>
          <w:tcPr>
            <w:tcW w:w="989" w:type="pct"/>
            <w:shd w:val="clear" w:color="auto" w:fill="auto"/>
          </w:tcPr>
          <w:p w:rsidR="00A77BD6" w:rsidRDefault="00A77BD6" w:rsidP="00B91B21">
            <w:pPr>
              <w:spacing w:line="276" w:lineRule="auto"/>
              <w:ind w:firstLine="0"/>
              <w:jc w:val="left"/>
            </w:pPr>
            <w:r>
              <w:t>11.9</w:t>
            </w:r>
          </w:p>
        </w:tc>
        <w:tc>
          <w:tcPr>
            <w:tcW w:w="1244" w:type="pct"/>
            <w:shd w:val="clear" w:color="auto" w:fill="auto"/>
          </w:tcPr>
          <w:p w:rsidR="00A77BD6" w:rsidRDefault="00A77BD6" w:rsidP="00B91B21">
            <w:pPr>
              <w:spacing w:line="276" w:lineRule="auto"/>
              <w:ind w:firstLine="0"/>
              <w:jc w:val="left"/>
            </w:pPr>
            <w:r>
              <w:t>13.7</w:t>
            </w:r>
          </w:p>
        </w:tc>
        <w:tc>
          <w:tcPr>
            <w:tcW w:w="843" w:type="pct"/>
            <w:vMerge/>
          </w:tcPr>
          <w:p w:rsidR="00A77BD6" w:rsidRDefault="00A77BD6" w:rsidP="00B91B21">
            <w:pPr>
              <w:spacing w:line="276" w:lineRule="auto"/>
              <w:ind w:firstLine="0"/>
              <w:jc w:val="left"/>
            </w:pPr>
          </w:p>
        </w:tc>
      </w:tr>
      <w:tr w:rsidR="00A77BD6" w:rsidTr="001856AC">
        <w:trPr>
          <w:jc w:val="center"/>
        </w:trPr>
        <w:tc>
          <w:tcPr>
            <w:tcW w:w="1924" w:type="pct"/>
            <w:shd w:val="clear" w:color="auto" w:fill="auto"/>
          </w:tcPr>
          <w:p w:rsidR="00A77BD6" w:rsidRDefault="00A77BD6" w:rsidP="00B91B21">
            <w:pPr>
              <w:spacing w:line="276" w:lineRule="auto"/>
              <w:ind w:firstLine="0"/>
              <w:jc w:val="left"/>
              <w:rPr>
                <w:lang w:eastAsia="zh-CN"/>
              </w:rPr>
            </w:pPr>
            <w:r>
              <w:rPr>
                <w:lang w:eastAsia="zh-CN"/>
              </w:rPr>
              <w:t xml:space="preserve">   4+ hours/week</w:t>
            </w:r>
          </w:p>
        </w:tc>
        <w:tc>
          <w:tcPr>
            <w:tcW w:w="989" w:type="pct"/>
            <w:shd w:val="clear" w:color="auto" w:fill="auto"/>
          </w:tcPr>
          <w:p w:rsidR="00A77BD6" w:rsidRDefault="00A77BD6" w:rsidP="00B91B21">
            <w:pPr>
              <w:spacing w:line="276" w:lineRule="auto"/>
              <w:ind w:firstLine="0"/>
              <w:jc w:val="left"/>
            </w:pPr>
            <w:r>
              <w:t>7.6</w:t>
            </w:r>
          </w:p>
        </w:tc>
        <w:tc>
          <w:tcPr>
            <w:tcW w:w="1244" w:type="pct"/>
            <w:shd w:val="clear" w:color="auto" w:fill="auto"/>
          </w:tcPr>
          <w:p w:rsidR="00A77BD6" w:rsidRDefault="00A77BD6" w:rsidP="00B91B21">
            <w:pPr>
              <w:spacing w:line="276" w:lineRule="auto"/>
              <w:ind w:firstLine="0"/>
              <w:jc w:val="left"/>
            </w:pPr>
            <w:r>
              <w:t>8.0</w:t>
            </w:r>
          </w:p>
        </w:tc>
        <w:tc>
          <w:tcPr>
            <w:tcW w:w="843" w:type="pct"/>
            <w:vMerge/>
          </w:tcPr>
          <w:p w:rsidR="00A77BD6" w:rsidRDefault="00A77BD6" w:rsidP="00B91B21">
            <w:pPr>
              <w:spacing w:line="276" w:lineRule="auto"/>
              <w:ind w:firstLine="0"/>
              <w:jc w:val="left"/>
            </w:pPr>
          </w:p>
        </w:tc>
      </w:tr>
    </w:tbl>
    <w:p w:rsidR="000778B1" w:rsidRDefault="00441932" w:rsidP="000778B1">
      <w:pPr>
        <w:ind w:firstLine="0"/>
      </w:pPr>
      <w:r>
        <w:rPr>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-5854700</wp:posOffset>
                </wp:positionV>
                <wp:extent cx="22288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8850" cy="266700"/>
                        </a:xfrm>
                        <a:prstGeom prst="rect">
                          <a:avLst/>
                        </a:prstGeom>
                        <a:noFill/>
                        <a:ln w="6350">
                          <a:noFill/>
                        </a:ln>
                      </wps:spPr>
                      <wps:txbx>
                        <w:txbxContent>
                          <w:p w:rsidR="0015147D" w:rsidRDefault="0015147D" w:rsidP="00441932">
                            <w:pPr>
                              <w:ind w:firstLine="0"/>
                            </w:pPr>
                            <w:r w:rsidRPr="00441932">
                              <w:rPr>
                                <w:b/>
                              </w:rPr>
                              <w:t>Table 1</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75pt;margin-top:-461pt;width:17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" filled="f" stroked="f" strokeweight=".5pt">
                <v:textbox>
                  <w:txbxContent>
                    <w:p w:rsidR="0015147D" w:rsidRDefault="0015147D" w:rsidP="00441932">
                      <w:pPr>
                        <w:ind w:firstLine="0"/>
                      </w:pPr>
                      <w:r w:rsidRPr="00441932">
                        <w:rPr>
                          <w:b/>
                        </w:rPr>
                        <w:t>Table 1</w:t>
                      </w:r>
                      <w:r>
                        <w:t xml:space="preserve"> Continued</w:t>
                      </w:r>
                    </w:p>
                  </w:txbxContent>
                </v:textbox>
              </v:shape>
            </w:pict>
          </mc:Fallback>
        </mc:AlternateContent>
      </w:r>
      <w:proofErr w:type="gramStart"/>
      <w:r w:rsidR="00B91B21">
        <w:rPr>
          <w:vertAlign w:val="superscript"/>
        </w:rPr>
        <w:t>a</w:t>
      </w:r>
      <w:r w:rsidR="00B91B21">
        <w:t>2-sided</w:t>
      </w:r>
      <w:proofErr w:type="gramEnd"/>
      <w:r w:rsidR="00B91B21">
        <w:t xml:space="preserve"> </w:t>
      </w:r>
      <w:r w:rsidR="00B91B21">
        <w:rPr>
          <w:i/>
        </w:rPr>
        <w:t>P</w:t>
      </w:r>
      <w:r w:rsidR="00B91B21">
        <w:t xml:space="preserve">s were based on </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 xml:space="preserve"> </m:t>
        </m:r>
      </m:oMath>
      <w:r w:rsidR="00C906A4">
        <w:t xml:space="preserve">test for categorical variables. </w:t>
      </w:r>
    </w:p>
    <w:p w:rsidR="001B6F3C" w:rsidRDefault="001B6F3C" w:rsidP="000778B1">
      <w:pPr>
        <w:ind w:firstLine="0"/>
      </w:pPr>
    </w:p>
    <w:p w:rsidR="001B6F3C" w:rsidRPr="00B91B21" w:rsidRDefault="001B6F3C" w:rsidP="000778B1">
      <w:pPr>
        <w:ind w:firstLine="0"/>
      </w:pPr>
    </w:p>
    <w:p w:rsidR="00A8584D" w:rsidRDefault="00652454" w:rsidP="00652454">
      <w:pPr>
        <w:pStyle w:val="Heading2"/>
      </w:pPr>
      <w:bookmarkStart w:id="37" w:name="_Toc509180572"/>
      <w:r>
        <w:lastRenderedPageBreak/>
        <w:t>factors related to telomere length</w:t>
      </w:r>
      <w:bookmarkEnd w:id="37"/>
    </w:p>
    <w:p w:rsidR="00652454" w:rsidRDefault="009649DB" w:rsidP="00D13A45">
      <w:pPr>
        <w:pStyle w:val="Noindent"/>
        <w:spacing w:line="360" w:lineRule="auto"/>
      </w:pPr>
      <w:r>
        <w:t xml:space="preserve">The </w:t>
      </w:r>
      <w:r w:rsidR="009962F6">
        <w:t>relationship</w:t>
      </w:r>
      <w:r>
        <w:t xml:space="preserve"> between telomere length and selected factors are shown in Table 2. Overall, relative telomere length ranged from 0.30 to 2.86. </w:t>
      </w:r>
      <w:r w:rsidR="006006EE">
        <w:t xml:space="preserve">Women in the </w:t>
      </w:r>
      <w:r w:rsidR="00323E5F">
        <w:t>longest</w:t>
      </w:r>
      <w:r w:rsidR="006006EE">
        <w:t xml:space="preserve"> telomere length </w:t>
      </w:r>
      <w:r w:rsidR="00323E5F">
        <w:t xml:space="preserve">group </w:t>
      </w:r>
      <w:r w:rsidR="006006EE">
        <w:t>had a mean age of 59.8 (SD = 6.9), which was 5.4 years younger compared</w:t>
      </w:r>
      <w:r w:rsidR="003B728F">
        <w:t xml:space="preserve"> to women in the shortest group</w:t>
      </w:r>
      <w:r w:rsidR="00A63E53">
        <w:t xml:space="preserve"> (SD = 7.9)</w:t>
      </w:r>
      <w:r w:rsidR="00256CE7">
        <w:t xml:space="preserve">. </w:t>
      </w:r>
      <w:r w:rsidR="00301A95">
        <w:t>There wa</w:t>
      </w:r>
      <w:r w:rsidR="00C25423">
        <w:t xml:space="preserve">s a significant effect of </w:t>
      </w:r>
      <w:r w:rsidR="00301A95">
        <w:t xml:space="preserve">the </w:t>
      </w:r>
      <w:r w:rsidR="00C25423">
        <w:t>level of education, smoking status, number of live birth</w:t>
      </w:r>
      <w:r w:rsidR="009941BC">
        <w:t>s</w:t>
      </w:r>
      <w:r w:rsidR="003E4905">
        <w:t>, age at</w:t>
      </w:r>
      <w:r w:rsidR="00C25423">
        <w:t xml:space="preserve"> first live birth, </w:t>
      </w:r>
      <w:proofErr w:type="gramStart"/>
      <w:r w:rsidR="00C25423">
        <w:t>age</w:t>
      </w:r>
      <w:proofErr w:type="gramEnd"/>
      <w:r w:rsidR="00C25423">
        <w:t xml:space="preserve"> at menopause, menopausal status and use of OC on telomere length after controlling for age. </w:t>
      </w:r>
      <w:r w:rsidR="00A63E53">
        <w:t>Compared to women in the lowest quintile</w:t>
      </w:r>
      <w:r w:rsidR="009941BC">
        <w:t xml:space="preserve"> group</w:t>
      </w:r>
      <w:r w:rsidR="00967BB3">
        <w:t xml:space="preserve"> of telomere length</w:t>
      </w:r>
      <w:r w:rsidR="009941BC">
        <w:t>, women who had</w:t>
      </w:r>
      <w:r w:rsidR="00A63E53">
        <w:t xml:space="preserve"> longer telomere</w:t>
      </w:r>
      <w:r w:rsidR="009941BC">
        <w:t>s</w:t>
      </w:r>
      <w:r w:rsidR="00A63E53">
        <w:t xml:space="preserve"> </w:t>
      </w:r>
      <w:r w:rsidR="00952497">
        <w:t>had</w:t>
      </w:r>
      <w:r w:rsidR="00A63E53">
        <w:t xml:space="preserve"> a higher education level, </w:t>
      </w:r>
      <w:r w:rsidR="00680197">
        <w:t>were never smokers</w:t>
      </w:r>
      <w:r w:rsidR="00CB2A38">
        <w:t xml:space="preserve">, </w:t>
      </w:r>
      <w:r w:rsidR="00680197">
        <w:t xml:space="preserve">had fewer number of children, were </w:t>
      </w:r>
      <w:r w:rsidR="009D5834">
        <w:t xml:space="preserve">older </w:t>
      </w:r>
      <w:r w:rsidR="00680197">
        <w:t xml:space="preserve">at </w:t>
      </w:r>
      <w:r w:rsidR="009D5834">
        <w:t>the</w:t>
      </w:r>
      <w:r w:rsidR="00680197">
        <w:t xml:space="preserve"> first live birth and younger </w:t>
      </w:r>
      <w:r w:rsidR="00CB2A38">
        <w:t>at menopause</w:t>
      </w:r>
      <w:r w:rsidR="00FB7FB2">
        <w:t xml:space="preserve">, </w:t>
      </w:r>
      <w:r w:rsidR="00680197">
        <w:t>still had</w:t>
      </w:r>
      <w:r w:rsidR="00985B34">
        <w:t xml:space="preserve"> menstrual period and </w:t>
      </w:r>
      <w:r w:rsidR="00680197">
        <w:t xml:space="preserve">were </w:t>
      </w:r>
      <w:r w:rsidR="00985B34">
        <w:t xml:space="preserve">using OC. </w:t>
      </w:r>
      <w:r w:rsidR="00A85028">
        <w:t xml:space="preserve">BMI </w:t>
      </w:r>
      <w:r w:rsidR="009D34E6">
        <w:t xml:space="preserve">was </w:t>
      </w:r>
      <w:r w:rsidR="009941BC">
        <w:t xml:space="preserve">not significantly different across </w:t>
      </w:r>
      <w:r w:rsidR="009D34E6">
        <w:t xml:space="preserve">quintile levels of telomere length. </w:t>
      </w:r>
    </w:p>
    <w:p w:rsidR="00411012" w:rsidRDefault="00411012" w:rsidP="00411012">
      <w:pPr>
        <w:ind w:firstLine="0"/>
        <w:sectPr w:rsidR="00411012" w:rsidSect="002E1B20">
          <w:pgSz w:w="12240" w:h="15840"/>
          <w:pgMar w:top="1440" w:right="1440" w:bottom="1440" w:left="1440" w:header="720" w:footer="720" w:gutter="0"/>
          <w:pgNumType w:start="1"/>
          <w:cols w:space="720"/>
          <w:docGrid w:linePitch="360"/>
        </w:sectPr>
      </w:pPr>
    </w:p>
    <w:p w:rsidR="00411012" w:rsidRPr="00563ECB" w:rsidRDefault="00411012" w:rsidP="00411012">
      <w:pPr>
        <w:pStyle w:val="Caption"/>
        <w:keepNext/>
        <w:ind w:firstLine="0"/>
        <w:jc w:val="center"/>
        <w:rPr>
          <w:sz w:val="24"/>
          <w:szCs w:val="24"/>
        </w:rPr>
      </w:pPr>
      <w:bookmarkStart w:id="38" w:name="_Toc512007051"/>
      <w:r w:rsidRPr="00563ECB">
        <w:rPr>
          <w:sz w:val="24"/>
          <w:szCs w:val="24"/>
        </w:rPr>
        <w:lastRenderedPageBreak/>
        <w:t xml:space="preserve">Table 2. </w:t>
      </w:r>
      <w:r w:rsidRPr="00563ECB">
        <w:rPr>
          <w:b w:val="0"/>
          <w:sz w:val="24"/>
          <w:szCs w:val="24"/>
        </w:rPr>
        <w:t>Baseline characteristics of all participants by quintile levels of relative telomere length</w:t>
      </w:r>
      <w:r w:rsidR="003B56FA" w:rsidRPr="00563ECB">
        <w:rPr>
          <w:b w:val="0"/>
          <w:sz w:val="24"/>
          <w:szCs w:val="24"/>
        </w:rPr>
        <w:t xml:space="preserve">: The </w:t>
      </w:r>
      <w:r w:rsidR="009D34E6" w:rsidRPr="00563ECB">
        <w:rPr>
          <w:b w:val="0"/>
          <w:sz w:val="24"/>
          <w:szCs w:val="24"/>
        </w:rPr>
        <w:t>Singapore Chinese Health Study</w:t>
      </w:r>
      <w:bookmarkEnd w:id="38"/>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350"/>
        <w:gridCol w:w="1441"/>
        <w:gridCol w:w="1439"/>
        <w:gridCol w:w="1439"/>
        <w:gridCol w:w="1441"/>
        <w:gridCol w:w="1532"/>
        <w:gridCol w:w="1078"/>
      </w:tblGrid>
      <w:tr w:rsidR="00411012" w:rsidRPr="00411012" w:rsidTr="00411012">
        <w:tc>
          <w:tcPr>
            <w:tcW w:w="1250" w:type="pct"/>
            <w:vMerge w:val="restart"/>
            <w:tcBorders>
              <w:top w:val="single" w:sz="4" w:space="0" w:color="auto"/>
              <w:bottom w:val="single" w:sz="4" w:space="0" w:color="auto"/>
            </w:tcBorders>
            <w:shd w:val="clear" w:color="auto" w:fill="auto"/>
            <w:vAlign w:val="center"/>
          </w:tcPr>
          <w:p w:rsidR="00411012" w:rsidRPr="00411012" w:rsidRDefault="00411012" w:rsidP="00411012">
            <w:pPr>
              <w:spacing w:line="276" w:lineRule="auto"/>
              <w:ind w:firstLine="0"/>
              <w:jc w:val="left"/>
            </w:pPr>
            <w:r w:rsidRPr="00411012">
              <w:t>Characteristics</w:t>
            </w:r>
          </w:p>
        </w:tc>
        <w:tc>
          <w:tcPr>
            <w:tcW w:w="521" w:type="pct"/>
            <w:vMerge w:val="restart"/>
            <w:tcBorders>
              <w:top w:val="single" w:sz="4" w:space="0" w:color="auto"/>
            </w:tcBorders>
            <w:vAlign w:val="center"/>
          </w:tcPr>
          <w:p w:rsidR="00411012" w:rsidRPr="00411012" w:rsidRDefault="00563ECB" w:rsidP="00411012">
            <w:pPr>
              <w:spacing w:line="276" w:lineRule="auto"/>
              <w:ind w:firstLine="0"/>
              <w:jc w:val="center"/>
            </w:pPr>
            <w:r>
              <w:t>Total n</w:t>
            </w:r>
            <w:r w:rsidR="00411012" w:rsidRPr="00411012">
              <w:t xml:space="preserve">o. of </w:t>
            </w:r>
          </w:p>
          <w:p w:rsidR="00411012" w:rsidRPr="00411012" w:rsidRDefault="00563ECB" w:rsidP="00411012">
            <w:pPr>
              <w:spacing w:line="276" w:lineRule="auto"/>
              <w:ind w:firstLine="0"/>
              <w:jc w:val="center"/>
            </w:pPr>
            <w:r>
              <w:t>s</w:t>
            </w:r>
            <w:r w:rsidR="00411012" w:rsidRPr="00411012">
              <w:t>ubjects</w:t>
            </w:r>
          </w:p>
        </w:tc>
        <w:tc>
          <w:tcPr>
            <w:tcW w:w="2813" w:type="pct"/>
            <w:gridSpan w:val="5"/>
            <w:tcBorders>
              <w:top w:val="single" w:sz="4" w:space="0" w:color="auto"/>
              <w:bottom w:val="single" w:sz="4" w:space="0" w:color="auto"/>
            </w:tcBorders>
            <w:shd w:val="clear" w:color="auto" w:fill="auto"/>
            <w:vAlign w:val="center"/>
          </w:tcPr>
          <w:p w:rsidR="00411012" w:rsidRPr="00411012" w:rsidRDefault="00411012" w:rsidP="00411012">
            <w:pPr>
              <w:spacing w:before="120" w:line="276" w:lineRule="auto"/>
              <w:ind w:firstLine="0"/>
              <w:jc w:val="center"/>
            </w:pPr>
            <w:r w:rsidRPr="00411012">
              <w:t xml:space="preserve">Relative </w:t>
            </w:r>
            <w:r w:rsidR="00563ECB">
              <w:t>telomere length</w:t>
            </w:r>
            <w:r w:rsidRPr="00411012">
              <w:t xml:space="preserve"> in quintile [median] and (range)</w:t>
            </w:r>
          </w:p>
        </w:tc>
        <w:tc>
          <w:tcPr>
            <w:tcW w:w="416" w:type="pct"/>
            <w:vMerge w:val="restart"/>
            <w:tcBorders>
              <w:top w:val="single" w:sz="4" w:space="0" w:color="auto"/>
            </w:tcBorders>
            <w:vAlign w:val="center"/>
          </w:tcPr>
          <w:p w:rsidR="00411012" w:rsidRPr="00411012" w:rsidRDefault="00411012" w:rsidP="00411012">
            <w:pPr>
              <w:spacing w:line="276" w:lineRule="auto"/>
              <w:ind w:firstLine="0"/>
              <w:jc w:val="center"/>
              <w:rPr>
                <w:i/>
              </w:rPr>
            </w:pPr>
            <w:r w:rsidRPr="00411012">
              <w:rPr>
                <w:i/>
              </w:rPr>
              <w:t>P</w:t>
            </w:r>
          </w:p>
          <w:p w:rsidR="00411012" w:rsidRPr="00411012" w:rsidRDefault="00411012" w:rsidP="00411012">
            <w:pPr>
              <w:spacing w:line="276" w:lineRule="auto"/>
              <w:ind w:firstLine="0"/>
              <w:jc w:val="center"/>
              <w:rPr>
                <w:i/>
              </w:rPr>
            </w:pPr>
            <w:r w:rsidRPr="00411012">
              <w:t>values</w:t>
            </w:r>
          </w:p>
        </w:tc>
      </w:tr>
      <w:tr w:rsidR="00411012" w:rsidRPr="00411012" w:rsidTr="00411012">
        <w:tc>
          <w:tcPr>
            <w:tcW w:w="1250" w:type="pct"/>
            <w:vMerge/>
            <w:tcBorders>
              <w:top w:val="single" w:sz="4" w:space="0" w:color="auto"/>
              <w:bottom w:val="single" w:sz="4" w:space="0" w:color="auto"/>
            </w:tcBorders>
            <w:shd w:val="clear" w:color="auto" w:fill="auto"/>
            <w:vAlign w:val="center"/>
          </w:tcPr>
          <w:p w:rsidR="00411012" w:rsidRPr="00411012" w:rsidRDefault="00411012" w:rsidP="00411012">
            <w:pPr>
              <w:spacing w:line="276" w:lineRule="auto"/>
              <w:ind w:firstLine="0"/>
              <w:jc w:val="left"/>
            </w:pPr>
          </w:p>
        </w:tc>
        <w:tc>
          <w:tcPr>
            <w:tcW w:w="521" w:type="pct"/>
            <w:vMerge/>
            <w:tcBorders>
              <w:bottom w:val="single" w:sz="4" w:space="0" w:color="auto"/>
            </w:tcBorders>
            <w:vAlign w:val="center"/>
          </w:tcPr>
          <w:p w:rsidR="00411012" w:rsidRPr="00411012" w:rsidRDefault="00411012" w:rsidP="00411012">
            <w:pPr>
              <w:spacing w:line="276" w:lineRule="auto"/>
              <w:ind w:firstLine="0"/>
              <w:jc w:val="center"/>
            </w:pPr>
          </w:p>
        </w:tc>
        <w:tc>
          <w:tcPr>
            <w:tcW w:w="556" w:type="pct"/>
            <w:tcBorders>
              <w:top w:val="single" w:sz="4" w:space="0" w:color="auto"/>
              <w:bottom w:val="single" w:sz="4" w:space="0" w:color="auto"/>
            </w:tcBorders>
            <w:shd w:val="clear" w:color="auto" w:fill="auto"/>
            <w:vAlign w:val="center"/>
          </w:tcPr>
          <w:p w:rsidR="00411012" w:rsidRPr="00411012" w:rsidRDefault="00411012" w:rsidP="00411012">
            <w:pPr>
              <w:spacing w:before="120" w:line="276" w:lineRule="auto"/>
              <w:ind w:firstLine="0"/>
              <w:jc w:val="center"/>
            </w:pPr>
            <w:r w:rsidRPr="00411012">
              <w:t>1</w:t>
            </w:r>
            <w:r w:rsidRPr="00411012">
              <w:rPr>
                <w:vertAlign w:val="superscript"/>
              </w:rPr>
              <w:t>st</w:t>
            </w:r>
            <w:r w:rsidRPr="00411012">
              <w:t xml:space="preserve"> [0.78]  (0.30-0.86)</w:t>
            </w:r>
          </w:p>
        </w:tc>
        <w:tc>
          <w:tcPr>
            <w:tcW w:w="555" w:type="pct"/>
            <w:tcBorders>
              <w:top w:val="single" w:sz="4" w:space="0" w:color="auto"/>
              <w:bottom w:val="single" w:sz="4" w:space="0" w:color="auto"/>
            </w:tcBorders>
            <w:shd w:val="clear" w:color="auto" w:fill="auto"/>
            <w:vAlign w:val="center"/>
          </w:tcPr>
          <w:p w:rsidR="00411012" w:rsidRPr="00411012" w:rsidRDefault="00411012" w:rsidP="00411012">
            <w:pPr>
              <w:spacing w:before="120" w:line="276" w:lineRule="auto"/>
              <w:ind w:firstLine="0"/>
              <w:jc w:val="center"/>
            </w:pPr>
            <w:r w:rsidRPr="00411012">
              <w:t>2</w:t>
            </w:r>
            <w:r w:rsidRPr="00411012">
              <w:rPr>
                <w:vertAlign w:val="superscript"/>
              </w:rPr>
              <w:t>nd</w:t>
            </w:r>
            <w:r w:rsidRPr="00411012">
              <w:t xml:space="preserve"> [0.92] (0.86-0.97)</w:t>
            </w:r>
          </w:p>
        </w:tc>
        <w:tc>
          <w:tcPr>
            <w:tcW w:w="555" w:type="pct"/>
            <w:tcBorders>
              <w:top w:val="single" w:sz="4" w:space="0" w:color="auto"/>
              <w:bottom w:val="single" w:sz="4" w:space="0" w:color="auto"/>
            </w:tcBorders>
            <w:shd w:val="clear" w:color="auto" w:fill="auto"/>
            <w:vAlign w:val="center"/>
          </w:tcPr>
          <w:p w:rsidR="00411012" w:rsidRPr="00411012" w:rsidRDefault="00411012" w:rsidP="00411012">
            <w:pPr>
              <w:spacing w:before="120" w:line="276" w:lineRule="auto"/>
              <w:ind w:firstLine="0"/>
              <w:jc w:val="center"/>
            </w:pPr>
            <w:r w:rsidRPr="00411012">
              <w:t>3</w:t>
            </w:r>
            <w:r w:rsidRPr="00411012">
              <w:rPr>
                <w:vertAlign w:val="superscript"/>
              </w:rPr>
              <w:t>rd</w:t>
            </w:r>
            <w:r w:rsidRPr="00411012">
              <w:t xml:space="preserve"> [1.02] (0.97-1.08)</w:t>
            </w:r>
          </w:p>
        </w:tc>
        <w:tc>
          <w:tcPr>
            <w:tcW w:w="556" w:type="pct"/>
            <w:tcBorders>
              <w:top w:val="single" w:sz="4" w:space="0" w:color="auto"/>
              <w:bottom w:val="single" w:sz="4" w:space="0" w:color="auto"/>
            </w:tcBorders>
            <w:shd w:val="clear" w:color="auto" w:fill="auto"/>
            <w:vAlign w:val="center"/>
          </w:tcPr>
          <w:p w:rsidR="00411012" w:rsidRPr="00411012" w:rsidRDefault="00411012" w:rsidP="00411012">
            <w:pPr>
              <w:spacing w:before="120" w:line="276" w:lineRule="auto"/>
              <w:ind w:firstLine="0"/>
              <w:jc w:val="center"/>
            </w:pPr>
            <w:r w:rsidRPr="00411012">
              <w:t>4</w:t>
            </w:r>
            <w:r w:rsidRPr="00411012">
              <w:rPr>
                <w:vertAlign w:val="superscript"/>
              </w:rPr>
              <w:t>th</w:t>
            </w:r>
            <w:r w:rsidRPr="00411012">
              <w:t xml:space="preserve"> [1.14] (1.08-1.22)</w:t>
            </w:r>
          </w:p>
        </w:tc>
        <w:tc>
          <w:tcPr>
            <w:tcW w:w="591" w:type="pct"/>
            <w:tcBorders>
              <w:top w:val="single" w:sz="4" w:space="0" w:color="auto"/>
              <w:bottom w:val="single" w:sz="4" w:space="0" w:color="auto"/>
            </w:tcBorders>
            <w:shd w:val="clear" w:color="auto" w:fill="auto"/>
            <w:vAlign w:val="center"/>
          </w:tcPr>
          <w:p w:rsidR="00411012" w:rsidRPr="00411012" w:rsidRDefault="00411012" w:rsidP="00411012">
            <w:pPr>
              <w:spacing w:before="120" w:line="276" w:lineRule="auto"/>
              <w:ind w:firstLine="0"/>
              <w:jc w:val="center"/>
            </w:pPr>
            <w:r w:rsidRPr="00411012">
              <w:t>5</w:t>
            </w:r>
            <w:r w:rsidRPr="00411012">
              <w:rPr>
                <w:vertAlign w:val="superscript"/>
              </w:rPr>
              <w:t>th</w:t>
            </w:r>
            <w:r w:rsidRPr="00411012">
              <w:t xml:space="preserve"> [1.33] (1.22-2.86)</w:t>
            </w:r>
          </w:p>
        </w:tc>
        <w:tc>
          <w:tcPr>
            <w:tcW w:w="416" w:type="pct"/>
            <w:vMerge/>
            <w:tcBorders>
              <w:bottom w:val="single" w:sz="4" w:space="0" w:color="auto"/>
            </w:tcBorders>
            <w:vAlign w:val="center"/>
          </w:tcPr>
          <w:p w:rsidR="00411012" w:rsidRPr="00411012" w:rsidRDefault="00411012" w:rsidP="00411012">
            <w:pPr>
              <w:spacing w:line="276" w:lineRule="auto"/>
              <w:ind w:firstLine="0"/>
              <w:jc w:val="center"/>
            </w:pPr>
          </w:p>
        </w:tc>
      </w:tr>
      <w:tr w:rsidR="00411012" w:rsidRPr="00411012" w:rsidTr="00411012">
        <w:tc>
          <w:tcPr>
            <w:tcW w:w="1250" w:type="pct"/>
            <w:tcBorders>
              <w:top w:val="single" w:sz="4" w:space="0" w:color="auto"/>
            </w:tcBorders>
            <w:shd w:val="clear" w:color="auto" w:fill="auto"/>
            <w:vAlign w:val="center"/>
          </w:tcPr>
          <w:p w:rsidR="00411012" w:rsidRPr="00411012" w:rsidRDefault="00411012" w:rsidP="00411012">
            <w:pPr>
              <w:spacing w:line="276" w:lineRule="auto"/>
              <w:ind w:firstLine="0"/>
              <w:jc w:val="left"/>
            </w:pPr>
            <w:r w:rsidRPr="00411012">
              <w:t>Number of subjects</w:t>
            </w:r>
          </w:p>
        </w:tc>
        <w:tc>
          <w:tcPr>
            <w:tcW w:w="521" w:type="pct"/>
            <w:tcBorders>
              <w:top w:val="single" w:sz="4" w:space="0" w:color="auto"/>
            </w:tcBorders>
            <w:vAlign w:val="center"/>
          </w:tcPr>
          <w:p w:rsidR="00411012" w:rsidRPr="00411012" w:rsidRDefault="00411012" w:rsidP="00411012">
            <w:pPr>
              <w:spacing w:line="276" w:lineRule="auto"/>
              <w:ind w:firstLine="0"/>
              <w:jc w:val="center"/>
            </w:pPr>
            <w:r w:rsidRPr="00411012">
              <w:t>14,306</w:t>
            </w:r>
          </w:p>
        </w:tc>
        <w:tc>
          <w:tcPr>
            <w:tcW w:w="556" w:type="pct"/>
            <w:tcBorders>
              <w:top w:val="single" w:sz="4" w:space="0" w:color="auto"/>
            </w:tcBorders>
            <w:shd w:val="clear" w:color="auto" w:fill="auto"/>
            <w:vAlign w:val="center"/>
          </w:tcPr>
          <w:p w:rsidR="00411012" w:rsidRPr="00411012" w:rsidRDefault="00411012" w:rsidP="00411012">
            <w:pPr>
              <w:spacing w:line="276" w:lineRule="auto"/>
              <w:ind w:firstLine="0"/>
              <w:jc w:val="center"/>
            </w:pPr>
            <w:r w:rsidRPr="00411012">
              <w:t>2,861</w:t>
            </w:r>
          </w:p>
        </w:tc>
        <w:tc>
          <w:tcPr>
            <w:tcW w:w="555" w:type="pct"/>
            <w:tcBorders>
              <w:top w:val="single" w:sz="4" w:space="0" w:color="auto"/>
            </w:tcBorders>
            <w:shd w:val="clear" w:color="auto" w:fill="auto"/>
            <w:vAlign w:val="center"/>
          </w:tcPr>
          <w:p w:rsidR="00411012" w:rsidRPr="00411012" w:rsidRDefault="00411012" w:rsidP="00411012">
            <w:pPr>
              <w:spacing w:line="276" w:lineRule="auto"/>
              <w:ind w:firstLine="0"/>
              <w:jc w:val="center"/>
            </w:pPr>
            <w:r w:rsidRPr="00411012">
              <w:t>2,861</w:t>
            </w:r>
          </w:p>
        </w:tc>
        <w:tc>
          <w:tcPr>
            <w:tcW w:w="555" w:type="pct"/>
            <w:tcBorders>
              <w:top w:val="single" w:sz="4" w:space="0" w:color="auto"/>
            </w:tcBorders>
            <w:shd w:val="clear" w:color="auto" w:fill="auto"/>
            <w:vAlign w:val="center"/>
          </w:tcPr>
          <w:p w:rsidR="00411012" w:rsidRPr="00411012" w:rsidRDefault="00411012" w:rsidP="00411012">
            <w:pPr>
              <w:spacing w:line="276" w:lineRule="auto"/>
              <w:ind w:firstLine="0"/>
              <w:jc w:val="center"/>
            </w:pPr>
            <w:r w:rsidRPr="00411012">
              <w:t>2,861</w:t>
            </w:r>
          </w:p>
        </w:tc>
        <w:tc>
          <w:tcPr>
            <w:tcW w:w="556" w:type="pct"/>
            <w:tcBorders>
              <w:top w:val="single" w:sz="4" w:space="0" w:color="auto"/>
            </w:tcBorders>
            <w:shd w:val="clear" w:color="auto" w:fill="auto"/>
            <w:vAlign w:val="center"/>
          </w:tcPr>
          <w:p w:rsidR="00411012" w:rsidRPr="00411012" w:rsidRDefault="00411012" w:rsidP="00411012">
            <w:pPr>
              <w:spacing w:line="276" w:lineRule="auto"/>
              <w:ind w:firstLine="0"/>
              <w:jc w:val="center"/>
            </w:pPr>
            <w:r w:rsidRPr="00411012">
              <w:t>2,861</w:t>
            </w:r>
          </w:p>
        </w:tc>
        <w:tc>
          <w:tcPr>
            <w:tcW w:w="591" w:type="pct"/>
            <w:tcBorders>
              <w:top w:val="single" w:sz="4" w:space="0" w:color="auto"/>
            </w:tcBorders>
            <w:shd w:val="clear" w:color="auto" w:fill="auto"/>
            <w:vAlign w:val="center"/>
          </w:tcPr>
          <w:p w:rsidR="00411012" w:rsidRPr="00411012" w:rsidRDefault="00411012" w:rsidP="00411012">
            <w:pPr>
              <w:spacing w:line="276" w:lineRule="auto"/>
              <w:ind w:firstLine="0"/>
              <w:jc w:val="center"/>
            </w:pPr>
            <w:r w:rsidRPr="00411012">
              <w:t>2,862</w:t>
            </w:r>
          </w:p>
        </w:tc>
        <w:tc>
          <w:tcPr>
            <w:tcW w:w="416" w:type="pct"/>
            <w:tcBorders>
              <w:top w:val="single" w:sz="4" w:space="0" w:color="auto"/>
            </w:tcBorders>
            <w:vAlign w:val="center"/>
          </w:tcPr>
          <w:p w:rsidR="00411012" w:rsidRPr="00411012" w:rsidRDefault="00411012" w:rsidP="00411012">
            <w:pPr>
              <w:spacing w:line="276" w:lineRule="auto"/>
              <w:ind w:firstLine="0"/>
              <w:jc w:val="center"/>
            </w:pPr>
          </w:p>
        </w:tc>
      </w:tr>
      <w:tr w:rsidR="00411012" w:rsidRPr="00411012" w:rsidTr="00411012">
        <w:trPr>
          <w:trHeight w:val="261"/>
        </w:trPr>
        <w:tc>
          <w:tcPr>
            <w:tcW w:w="1250" w:type="pct"/>
            <w:shd w:val="clear" w:color="auto" w:fill="auto"/>
            <w:vAlign w:val="center"/>
          </w:tcPr>
          <w:p w:rsidR="00411012" w:rsidRPr="00A77BD6" w:rsidRDefault="00411012" w:rsidP="00411012">
            <w:pPr>
              <w:spacing w:line="276" w:lineRule="auto"/>
              <w:ind w:firstLine="0"/>
              <w:jc w:val="left"/>
            </w:pPr>
            <w:r w:rsidRPr="00411012">
              <w:t>Age in years, mean (SD)</w:t>
            </w:r>
          </w:p>
        </w:tc>
        <w:tc>
          <w:tcPr>
            <w:tcW w:w="521" w:type="pct"/>
            <w:vAlign w:val="center"/>
          </w:tcPr>
          <w:p w:rsidR="00411012" w:rsidRPr="00411012" w:rsidRDefault="00411012" w:rsidP="00411012">
            <w:pPr>
              <w:spacing w:line="276" w:lineRule="auto"/>
              <w:ind w:firstLine="0"/>
              <w:jc w:val="center"/>
            </w:pPr>
            <w:r w:rsidRPr="00411012">
              <w:t>14,306</w:t>
            </w:r>
          </w:p>
        </w:tc>
        <w:tc>
          <w:tcPr>
            <w:tcW w:w="556" w:type="pct"/>
            <w:shd w:val="clear" w:color="auto" w:fill="auto"/>
            <w:vAlign w:val="center"/>
          </w:tcPr>
          <w:p w:rsidR="00411012" w:rsidRPr="00411012" w:rsidRDefault="00411012" w:rsidP="00411012">
            <w:pPr>
              <w:spacing w:line="276" w:lineRule="auto"/>
              <w:ind w:firstLine="0"/>
              <w:jc w:val="center"/>
            </w:pPr>
            <w:r w:rsidRPr="00411012">
              <w:t>65.2 (7.9)</w:t>
            </w:r>
          </w:p>
        </w:tc>
        <w:tc>
          <w:tcPr>
            <w:tcW w:w="555" w:type="pct"/>
            <w:shd w:val="clear" w:color="auto" w:fill="auto"/>
            <w:vAlign w:val="center"/>
          </w:tcPr>
          <w:p w:rsidR="00411012" w:rsidRPr="00411012" w:rsidRDefault="00411012" w:rsidP="00411012">
            <w:pPr>
              <w:spacing w:line="276" w:lineRule="auto"/>
              <w:ind w:firstLine="0"/>
              <w:jc w:val="center"/>
            </w:pPr>
            <w:r w:rsidRPr="00411012">
              <w:t>63.3 (7.7)</w:t>
            </w:r>
          </w:p>
        </w:tc>
        <w:tc>
          <w:tcPr>
            <w:tcW w:w="555" w:type="pct"/>
            <w:shd w:val="clear" w:color="auto" w:fill="auto"/>
            <w:vAlign w:val="center"/>
          </w:tcPr>
          <w:p w:rsidR="00411012" w:rsidRPr="00411012" w:rsidRDefault="00411012" w:rsidP="00411012">
            <w:pPr>
              <w:spacing w:line="276" w:lineRule="auto"/>
              <w:ind w:firstLine="0"/>
              <w:jc w:val="center"/>
            </w:pPr>
            <w:r w:rsidRPr="00411012">
              <w:t>62.0 (7.5)</w:t>
            </w:r>
          </w:p>
        </w:tc>
        <w:tc>
          <w:tcPr>
            <w:tcW w:w="556" w:type="pct"/>
            <w:shd w:val="clear" w:color="auto" w:fill="auto"/>
            <w:vAlign w:val="center"/>
          </w:tcPr>
          <w:p w:rsidR="00411012" w:rsidRPr="00411012" w:rsidRDefault="00411012" w:rsidP="00411012">
            <w:pPr>
              <w:spacing w:line="276" w:lineRule="auto"/>
              <w:ind w:firstLine="0"/>
              <w:jc w:val="center"/>
            </w:pPr>
            <w:r w:rsidRPr="00411012">
              <w:t>61.2 (7.2)</w:t>
            </w:r>
          </w:p>
        </w:tc>
        <w:tc>
          <w:tcPr>
            <w:tcW w:w="591" w:type="pct"/>
            <w:shd w:val="clear" w:color="auto" w:fill="auto"/>
            <w:vAlign w:val="center"/>
          </w:tcPr>
          <w:p w:rsidR="00411012" w:rsidRPr="00411012" w:rsidRDefault="00411012" w:rsidP="00411012">
            <w:pPr>
              <w:spacing w:line="276" w:lineRule="auto"/>
              <w:ind w:firstLine="0"/>
              <w:jc w:val="center"/>
            </w:pPr>
            <w:r w:rsidRPr="00411012">
              <w:t>59.8 (6.9)</w:t>
            </w:r>
          </w:p>
        </w:tc>
        <w:tc>
          <w:tcPr>
            <w:tcW w:w="416" w:type="pct"/>
            <w:vAlign w:val="center"/>
          </w:tcPr>
          <w:p w:rsidR="00411012" w:rsidRPr="00411012" w:rsidRDefault="001511EA" w:rsidP="00411012">
            <w:pPr>
              <w:spacing w:line="276" w:lineRule="auto"/>
              <w:ind w:firstLine="0"/>
              <w:jc w:val="center"/>
            </w:pPr>
            <w:r>
              <w:t>&lt;0.01</w:t>
            </w:r>
          </w:p>
        </w:tc>
      </w:tr>
      <w:tr w:rsidR="00411012" w:rsidRPr="00411012" w:rsidTr="00411012">
        <w:trPr>
          <w:trHeight w:val="279"/>
        </w:trPr>
        <w:tc>
          <w:tcPr>
            <w:tcW w:w="1250" w:type="pct"/>
            <w:shd w:val="clear" w:color="auto" w:fill="auto"/>
            <w:vAlign w:val="center"/>
          </w:tcPr>
          <w:p w:rsidR="00411012" w:rsidRPr="00411012" w:rsidRDefault="00411012" w:rsidP="00411012">
            <w:pPr>
              <w:spacing w:line="276" w:lineRule="auto"/>
              <w:ind w:firstLine="0"/>
              <w:jc w:val="left"/>
            </w:pPr>
            <w:r w:rsidRPr="00411012">
              <w:t>Dialect groups, n (%)</w:t>
            </w:r>
          </w:p>
        </w:tc>
        <w:tc>
          <w:tcPr>
            <w:tcW w:w="521" w:type="pct"/>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91" w:type="pct"/>
            <w:shd w:val="clear" w:color="auto" w:fill="auto"/>
            <w:vAlign w:val="center"/>
          </w:tcPr>
          <w:p w:rsidR="00411012" w:rsidRPr="00411012" w:rsidRDefault="00411012" w:rsidP="00411012">
            <w:pPr>
              <w:spacing w:line="276" w:lineRule="auto"/>
              <w:ind w:firstLine="0"/>
              <w:jc w:val="center"/>
            </w:pPr>
          </w:p>
        </w:tc>
        <w:tc>
          <w:tcPr>
            <w:tcW w:w="416" w:type="pct"/>
            <w:vAlign w:val="center"/>
          </w:tcPr>
          <w:p w:rsidR="00411012" w:rsidRPr="00411012" w:rsidRDefault="00411012" w:rsidP="00411012">
            <w:pPr>
              <w:spacing w:line="276" w:lineRule="auto"/>
              <w:ind w:firstLine="0"/>
              <w:jc w:val="center"/>
            </w:pPr>
          </w:p>
        </w:tc>
      </w:tr>
      <w:tr w:rsidR="00411012" w:rsidRPr="00411012" w:rsidTr="00411012">
        <w:trPr>
          <w:trHeight w:val="315"/>
        </w:trPr>
        <w:tc>
          <w:tcPr>
            <w:tcW w:w="1250" w:type="pct"/>
            <w:shd w:val="clear" w:color="auto" w:fill="auto"/>
            <w:vAlign w:val="center"/>
          </w:tcPr>
          <w:p w:rsidR="00411012" w:rsidRPr="00411012" w:rsidRDefault="00411012" w:rsidP="00411012">
            <w:pPr>
              <w:spacing w:line="276" w:lineRule="auto"/>
              <w:ind w:firstLine="0"/>
              <w:jc w:val="left"/>
            </w:pPr>
            <w:r w:rsidRPr="00411012">
              <w:t xml:space="preserve">    Cantonese </w:t>
            </w:r>
          </w:p>
        </w:tc>
        <w:tc>
          <w:tcPr>
            <w:tcW w:w="521" w:type="pct"/>
            <w:vAlign w:val="center"/>
          </w:tcPr>
          <w:p w:rsidR="00411012" w:rsidRPr="00411012" w:rsidRDefault="00411012" w:rsidP="00411012">
            <w:pPr>
              <w:spacing w:line="276" w:lineRule="auto"/>
              <w:ind w:firstLine="0"/>
              <w:jc w:val="center"/>
            </w:pPr>
            <w:r w:rsidRPr="00411012">
              <w:t>7,520</w:t>
            </w:r>
          </w:p>
        </w:tc>
        <w:tc>
          <w:tcPr>
            <w:tcW w:w="556" w:type="pct"/>
            <w:shd w:val="clear" w:color="auto" w:fill="auto"/>
            <w:vAlign w:val="center"/>
          </w:tcPr>
          <w:p w:rsidR="00411012" w:rsidRPr="00411012" w:rsidRDefault="00411012" w:rsidP="00411012">
            <w:pPr>
              <w:spacing w:line="276" w:lineRule="auto"/>
              <w:ind w:firstLine="0"/>
              <w:jc w:val="center"/>
            </w:pPr>
            <w:r w:rsidRPr="00411012">
              <w:t>1,516(20.2)</w:t>
            </w:r>
          </w:p>
        </w:tc>
        <w:tc>
          <w:tcPr>
            <w:tcW w:w="555" w:type="pct"/>
            <w:shd w:val="clear" w:color="auto" w:fill="auto"/>
            <w:vAlign w:val="center"/>
          </w:tcPr>
          <w:p w:rsidR="00411012" w:rsidRPr="00411012" w:rsidRDefault="00411012" w:rsidP="00411012">
            <w:pPr>
              <w:spacing w:line="276" w:lineRule="auto"/>
              <w:ind w:firstLine="0"/>
              <w:jc w:val="center"/>
            </w:pPr>
            <w:r w:rsidRPr="00411012">
              <w:t>1,489(19.8)</w:t>
            </w:r>
          </w:p>
        </w:tc>
        <w:tc>
          <w:tcPr>
            <w:tcW w:w="555" w:type="pct"/>
            <w:shd w:val="clear" w:color="auto" w:fill="auto"/>
            <w:vAlign w:val="center"/>
          </w:tcPr>
          <w:p w:rsidR="00411012" w:rsidRPr="00411012" w:rsidRDefault="00411012" w:rsidP="00411012">
            <w:pPr>
              <w:spacing w:line="276" w:lineRule="auto"/>
              <w:ind w:firstLine="0"/>
              <w:jc w:val="center"/>
            </w:pPr>
            <w:r w:rsidRPr="00411012">
              <w:t>1,451(19.3)</w:t>
            </w:r>
          </w:p>
        </w:tc>
        <w:tc>
          <w:tcPr>
            <w:tcW w:w="556" w:type="pct"/>
            <w:shd w:val="clear" w:color="auto" w:fill="auto"/>
            <w:vAlign w:val="center"/>
          </w:tcPr>
          <w:p w:rsidR="00411012" w:rsidRPr="00411012" w:rsidRDefault="00411012" w:rsidP="00411012">
            <w:pPr>
              <w:spacing w:line="276" w:lineRule="auto"/>
              <w:ind w:firstLine="0"/>
              <w:jc w:val="center"/>
            </w:pPr>
            <w:r w:rsidRPr="00411012">
              <w:t>1,528(20.3)</w:t>
            </w:r>
          </w:p>
        </w:tc>
        <w:tc>
          <w:tcPr>
            <w:tcW w:w="591" w:type="pct"/>
            <w:shd w:val="clear" w:color="auto" w:fill="auto"/>
            <w:vAlign w:val="center"/>
          </w:tcPr>
          <w:p w:rsidR="00411012" w:rsidRPr="00411012" w:rsidRDefault="00411012" w:rsidP="00411012">
            <w:pPr>
              <w:spacing w:line="276" w:lineRule="auto"/>
              <w:ind w:firstLine="0"/>
              <w:jc w:val="center"/>
            </w:pPr>
            <w:r w:rsidRPr="00411012">
              <w:t>1,536(20.4)</w:t>
            </w:r>
          </w:p>
        </w:tc>
        <w:tc>
          <w:tcPr>
            <w:tcW w:w="416" w:type="pct"/>
            <w:vMerge w:val="restart"/>
            <w:vAlign w:val="center"/>
          </w:tcPr>
          <w:p w:rsidR="00411012" w:rsidRPr="00411012" w:rsidRDefault="00563ECB" w:rsidP="00411012">
            <w:pPr>
              <w:spacing w:line="276" w:lineRule="auto"/>
              <w:ind w:firstLine="0"/>
              <w:jc w:val="center"/>
            </w:pPr>
            <w:r>
              <w:t>0.08</w:t>
            </w:r>
          </w:p>
        </w:tc>
      </w:tr>
      <w:tr w:rsidR="00411012" w:rsidRPr="00411012" w:rsidTr="00411012">
        <w:tc>
          <w:tcPr>
            <w:tcW w:w="1250" w:type="pct"/>
            <w:shd w:val="clear" w:color="auto" w:fill="auto"/>
            <w:vAlign w:val="center"/>
          </w:tcPr>
          <w:p w:rsidR="00411012" w:rsidRPr="00411012" w:rsidRDefault="00411012" w:rsidP="00411012">
            <w:pPr>
              <w:spacing w:line="276" w:lineRule="auto"/>
              <w:ind w:firstLine="0"/>
              <w:jc w:val="left"/>
            </w:pPr>
            <w:r w:rsidRPr="00411012">
              <w:t xml:space="preserve">    </w:t>
            </w:r>
            <w:proofErr w:type="spellStart"/>
            <w:r w:rsidRPr="00411012">
              <w:t>Hokkien</w:t>
            </w:r>
            <w:proofErr w:type="spellEnd"/>
          </w:p>
        </w:tc>
        <w:tc>
          <w:tcPr>
            <w:tcW w:w="521" w:type="pct"/>
            <w:vAlign w:val="center"/>
          </w:tcPr>
          <w:p w:rsidR="00411012" w:rsidRPr="00411012" w:rsidRDefault="00411012" w:rsidP="00411012">
            <w:pPr>
              <w:spacing w:line="276" w:lineRule="auto"/>
              <w:ind w:firstLine="0"/>
              <w:jc w:val="center"/>
            </w:pPr>
            <w:r w:rsidRPr="00411012">
              <w:t>6,786</w:t>
            </w:r>
          </w:p>
        </w:tc>
        <w:tc>
          <w:tcPr>
            <w:tcW w:w="556" w:type="pct"/>
            <w:shd w:val="clear" w:color="auto" w:fill="auto"/>
            <w:vAlign w:val="center"/>
          </w:tcPr>
          <w:p w:rsidR="00411012" w:rsidRPr="00411012" w:rsidRDefault="00411012" w:rsidP="00411012">
            <w:pPr>
              <w:spacing w:line="276" w:lineRule="auto"/>
              <w:ind w:firstLine="0"/>
              <w:jc w:val="center"/>
            </w:pPr>
            <w:r w:rsidRPr="00411012">
              <w:t>1,345(19.8)</w:t>
            </w:r>
          </w:p>
        </w:tc>
        <w:tc>
          <w:tcPr>
            <w:tcW w:w="555" w:type="pct"/>
            <w:shd w:val="clear" w:color="auto" w:fill="auto"/>
            <w:vAlign w:val="center"/>
          </w:tcPr>
          <w:p w:rsidR="00411012" w:rsidRPr="00411012" w:rsidRDefault="00411012" w:rsidP="00411012">
            <w:pPr>
              <w:spacing w:line="276" w:lineRule="auto"/>
              <w:ind w:firstLine="0"/>
              <w:jc w:val="center"/>
            </w:pPr>
            <w:r w:rsidRPr="00411012">
              <w:t>1,372(20.2)</w:t>
            </w:r>
          </w:p>
        </w:tc>
        <w:tc>
          <w:tcPr>
            <w:tcW w:w="555" w:type="pct"/>
            <w:shd w:val="clear" w:color="auto" w:fill="auto"/>
            <w:vAlign w:val="center"/>
          </w:tcPr>
          <w:p w:rsidR="00411012" w:rsidRPr="00411012" w:rsidRDefault="00411012" w:rsidP="00411012">
            <w:pPr>
              <w:spacing w:line="276" w:lineRule="auto"/>
              <w:ind w:firstLine="0"/>
              <w:jc w:val="center"/>
            </w:pPr>
            <w:r w:rsidRPr="00411012">
              <w:t>1,410(20.8)</w:t>
            </w:r>
          </w:p>
        </w:tc>
        <w:tc>
          <w:tcPr>
            <w:tcW w:w="556" w:type="pct"/>
            <w:shd w:val="clear" w:color="auto" w:fill="auto"/>
            <w:vAlign w:val="center"/>
          </w:tcPr>
          <w:p w:rsidR="00411012" w:rsidRPr="00411012" w:rsidRDefault="00411012" w:rsidP="00411012">
            <w:pPr>
              <w:spacing w:line="276" w:lineRule="auto"/>
              <w:ind w:firstLine="0"/>
              <w:jc w:val="center"/>
            </w:pPr>
            <w:r w:rsidRPr="00411012">
              <w:t>1,333(19.6)</w:t>
            </w:r>
          </w:p>
        </w:tc>
        <w:tc>
          <w:tcPr>
            <w:tcW w:w="591" w:type="pct"/>
            <w:shd w:val="clear" w:color="auto" w:fill="auto"/>
            <w:vAlign w:val="center"/>
          </w:tcPr>
          <w:p w:rsidR="00411012" w:rsidRPr="00411012" w:rsidRDefault="00411012" w:rsidP="00411012">
            <w:pPr>
              <w:spacing w:line="276" w:lineRule="auto"/>
              <w:ind w:firstLine="0"/>
              <w:jc w:val="center"/>
            </w:pPr>
            <w:r w:rsidRPr="00411012">
              <w:t>1,326(19.5)</w:t>
            </w:r>
          </w:p>
        </w:tc>
        <w:tc>
          <w:tcPr>
            <w:tcW w:w="416" w:type="pct"/>
            <w:vMerge/>
            <w:vAlign w:val="center"/>
          </w:tcPr>
          <w:p w:rsidR="00411012" w:rsidRPr="00411012" w:rsidRDefault="00411012" w:rsidP="00411012">
            <w:pPr>
              <w:spacing w:line="276" w:lineRule="auto"/>
              <w:ind w:firstLine="0"/>
              <w:jc w:val="center"/>
            </w:pPr>
          </w:p>
        </w:tc>
      </w:tr>
      <w:tr w:rsidR="00411012" w:rsidRPr="00411012" w:rsidTr="00411012">
        <w:trPr>
          <w:trHeight w:val="270"/>
        </w:trPr>
        <w:tc>
          <w:tcPr>
            <w:tcW w:w="1250" w:type="pct"/>
            <w:shd w:val="clear" w:color="auto" w:fill="auto"/>
            <w:vAlign w:val="center"/>
          </w:tcPr>
          <w:p w:rsidR="00411012" w:rsidRPr="00411012" w:rsidRDefault="00411012" w:rsidP="00411012">
            <w:pPr>
              <w:spacing w:line="276" w:lineRule="auto"/>
              <w:ind w:firstLine="0"/>
              <w:jc w:val="left"/>
            </w:pPr>
            <w:r w:rsidRPr="00411012">
              <w:t>Level of education</w:t>
            </w:r>
            <w:r w:rsidR="00A77BD6">
              <w:t xml:space="preserve">, </w:t>
            </w:r>
            <w:r w:rsidR="00A77BD6" w:rsidRPr="00411012">
              <w:t>n (%)</w:t>
            </w:r>
          </w:p>
        </w:tc>
        <w:tc>
          <w:tcPr>
            <w:tcW w:w="521" w:type="pct"/>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91" w:type="pct"/>
            <w:shd w:val="clear" w:color="auto" w:fill="auto"/>
            <w:vAlign w:val="center"/>
          </w:tcPr>
          <w:p w:rsidR="00411012" w:rsidRPr="00411012" w:rsidRDefault="00411012" w:rsidP="00411012">
            <w:pPr>
              <w:spacing w:line="276" w:lineRule="auto"/>
              <w:ind w:firstLine="0"/>
              <w:jc w:val="center"/>
            </w:pPr>
          </w:p>
        </w:tc>
        <w:tc>
          <w:tcPr>
            <w:tcW w:w="416" w:type="pct"/>
            <w:vAlign w:val="center"/>
          </w:tcPr>
          <w:p w:rsidR="00411012" w:rsidRPr="00411012" w:rsidRDefault="00411012" w:rsidP="00411012">
            <w:pPr>
              <w:spacing w:line="276" w:lineRule="auto"/>
              <w:ind w:firstLine="0"/>
              <w:jc w:val="center"/>
            </w:pPr>
          </w:p>
        </w:tc>
      </w:tr>
      <w:tr w:rsidR="00411012" w:rsidRPr="00411012" w:rsidTr="00411012">
        <w:tc>
          <w:tcPr>
            <w:tcW w:w="1250" w:type="pct"/>
            <w:shd w:val="clear" w:color="auto" w:fill="auto"/>
            <w:vAlign w:val="center"/>
          </w:tcPr>
          <w:p w:rsidR="00411012" w:rsidRPr="00411012" w:rsidDel="002C0541" w:rsidRDefault="00411012" w:rsidP="00411012">
            <w:pPr>
              <w:spacing w:line="276" w:lineRule="auto"/>
              <w:ind w:left="180" w:firstLine="0"/>
              <w:jc w:val="left"/>
            </w:pPr>
            <w:r w:rsidRPr="00411012">
              <w:t>No formal education</w:t>
            </w:r>
          </w:p>
        </w:tc>
        <w:tc>
          <w:tcPr>
            <w:tcW w:w="521" w:type="pct"/>
          </w:tcPr>
          <w:p w:rsidR="00411012" w:rsidRPr="00411012" w:rsidRDefault="00411012" w:rsidP="00411012">
            <w:pPr>
              <w:spacing w:line="276" w:lineRule="auto"/>
              <w:ind w:firstLine="0"/>
              <w:jc w:val="center"/>
            </w:pPr>
            <w:r w:rsidRPr="00411012">
              <w:t>4,580</w:t>
            </w:r>
          </w:p>
        </w:tc>
        <w:tc>
          <w:tcPr>
            <w:tcW w:w="556" w:type="pct"/>
            <w:shd w:val="clear" w:color="auto" w:fill="auto"/>
            <w:vAlign w:val="center"/>
          </w:tcPr>
          <w:p w:rsidR="00411012" w:rsidRPr="00411012" w:rsidRDefault="00411012" w:rsidP="00411012">
            <w:pPr>
              <w:spacing w:line="276" w:lineRule="auto"/>
              <w:ind w:firstLine="0"/>
              <w:jc w:val="center"/>
            </w:pPr>
            <w:r w:rsidRPr="00411012">
              <w:t>1,082 (23.6)</w:t>
            </w:r>
          </w:p>
        </w:tc>
        <w:tc>
          <w:tcPr>
            <w:tcW w:w="555" w:type="pct"/>
            <w:shd w:val="clear" w:color="auto" w:fill="auto"/>
            <w:vAlign w:val="center"/>
          </w:tcPr>
          <w:p w:rsidR="00411012" w:rsidRPr="00411012" w:rsidRDefault="00411012" w:rsidP="00411012">
            <w:pPr>
              <w:spacing w:line="276" w:lineRule="auto"/>
              <w:ind w:firstLine="0"/>
              <w:jc w:val="center"/>
            </w:pPr>
            <w:r w:rsidRPr="00411012">
              <w:t>982 (21.4)</w:t>
            </w:r>
          </w:p>
        </w:tc>
        <w:tc>
          <w:tcPr>
            <w:tcW w:w="555" w:type="pct"/>
            <w:shd w:val="clear" w:color="auto" w:fill="auto"/>
            <w:vAlign w:val="center"/>
          </w:tcPr>
          <w:p w:rsidR="00411012" w:rsidRPr="00411012" w:rsidRDefault="00411012" w:rsidP="00411012">
            <w:pPr>
              <w:spacing w:line="276" w:lineRule="auto"/>
              <w:ind w:firstLine="0"/>
              <w:jc w:val="center"/>
            </w:pPr>
            <w:r w:rsidRPr="00411012">
              <w:t>903 (19.7)</w:t>
            </w:r>
          </w:p>
        </w:tc>
        <w:tc>
          <w:tcPr>
            <w:tcW w:w="556" w:type="pct"/>
            <w:shd w:val="clear" w:color="auto" w:fill="auto"/>
            <w:vAlign w:val="center"/>
          </w:tcPr>
          <w:p w:rsidR="00411012" w:rsidRPr="00411012" w:rsidRDefault="00411012" w:rsidP="00411012">
            <w:pPr>
              <w:spacing w:line="276" w:lineRule="auto"/>
              <w:ind w:firstLine="0"/>
              <w:jc w:val="center"/>
            </w:pPr>
            <w:r w:rsidRPr="00411012">
              <w:t>829 (18.1)</w:t>
            </w:r>
          </w:p>
        </w:tc>
        <w:tc>
          <w:tcPr>
            <w:tcW w:w="591" w:type="pct"/>
            <w:shd w:val="clear" w:color="auto" w:fill="auto"/>
            <w:vAlign w:val="center"/>
          </w:tcPr>
          <w:p w:rsidR="00411012" w:rsidRPr="00411012" w:rsidRDefault="00411012" w:rsidP="00411012">
            <w:pPr>
              <w:spacing w:line="276" w:lineRule="auto"/>
              <w:ind w:firstLine="0"/>
              <w:jc w:val="center"/>
            </w:pPr>
            <w:r w:rsidRPr="00411012">
              <w:t>784 (17.1)</w:t>
            </w:r>
          </w:p>
        </w:tc>
        <w:tc>
          <w:tcPr>
            <w:tcW w:w="416" w:type="pct"/>
            <w:vAlign w:val="center"/>
          </w:tcPr>
          <w:p w:rsidR="00411012" w:rsidRPr="00411012" w:rsidRDefault="00411012" w:rsidP="00411012">
            <w:pPr>
              <w:spacing w:line="276" w:lineRule="auto"/>
              <w:ind w:firstLine="0"/>
              <w:jc w:val="center"/>
            </w:pPr>
          </w:p>
        </w:tc>
      </w:tr>
      <w:tr w:rsidR="00411012" w:rsidRPr="00411012" w:rsidTr="00411012">
        <w:trPr>
          <w:trHeight w:val="162"/>
        </w:trPr>
        <w:tc>
          <w:tcPr>
            <w:tcW w:w="1250" w:type="pct"/>
            <w:shd w:val="clear" w:color="auto" w:fill="auto"/>
            <w:vAlign w:val="center"/>
          </w:tcPr>
          <w:p w:rsidR="00411012" w:rsidRPr="00411012" w:rsidDel="002C0541" w:rsidRDefault="00411012" w:rsidP="00411012">
            <w:pPr>
              <w:spacing w:line="276" w:lineRule="auto"/>
              <w:ind w:left="180" w:firstLine="0"/>
              <w:jc w:val="left"/>
            </w:pPr>
            <w:r w:rsidRPr="00411012">
              <w:t xml:space="preserve">Primary school </w:t>
            </w:r>
          </w:p>
        </w:tc>
        <w:tc>
          <w:tcPr>
            <w:tcW w:w="521" w:type="pct"/>
            <w:vAlign w:val="center"/>
          </w:tcPr>
          <w:p w:rsidR="00411012" w:rsidRPr="00411012" w:rsidRDefault="00411012" w:rsidP="00411012">
            <w:pPr>
              <w:spacing w:line="276" w:lineRule="auto"/>
              <w:ind w:firstLine="0"/>
              <w:jc w:val="center"/>
            </w:pPr>
            <w:r w:rsidRPr="00411012">
              <w:t>6,035</w:t>
            </w:r>
          </w:p>
        </w:tc>
        <w:tc>
          <w:tcPr>
            <w:tcW w:w="556" w:type="pct"/>
            <w:shd w:val="clear" w:color="auto" w:fill="auto"/>
            <w:vAlign w:val="center"/>
          </w:tcPr>
          <w:p w:rsidR="00411012" w:rsidRPr="00411012" w:rsidRDefault="00411012" w:rsidP="00411012">
            <w:pPr>
              <w:spacing w:line="276" w:lineRule="auto"/>
              <w:ind w:firstLine="0"/>
              <w:jc w:val="center"/>
            </w:pPr>
            <w:r w:rsidRPr="00411012">
              <w:t>1,200 (19.9)</w:t>
            </w:r>
          </w:p>
        </w:tc>
        <w:tc>
          <w:tcPr>
            <w:tcW w:w="555" w:type="pct"/>
            <w:shd w:val="clear" w:color="auto" w:fill="auto"/>
            <w:vAlign w:val="center"/>
          </w:tcPr>
          <w:p w:rsidR="00411012" w:rsidRPr="00411012" w:rsidRDefault="00411012" w:rsidP="00411012">
            <w:pPr>
              <w:spacing w:line="276" w:lineRule="auto"/>
              <w:ind w:firstLine="0"/>
              <w:jc w:val="center"/>
            </w:pPr>
            <w:r w:rsidRPr="00411012">
              <w:t>1,165(19.3)</w:t>
            </w:r>
          </w:p>
        </w:tc>
        <w:tc>
          <w:tcPr>
            <w:tcW w:w="555" w:type="pct"/>
            <w:shd w:val="clear" w:color="auto" w:fill="auto"/>
            <w:vAlign w:val="center"/>
          </w:tcPr>
          <w:p w:rsidR="00411012" w:rsidRPr="00411012" w:rsidRDefault="00411012" w:rsidP="00411012">
            <w:pPr>
              <w:spacing w:line="276" w:lineRule="auto"/>
              <w:ind w:firstLine="0"/>
              <w:jc w:val="center"/>
            </w:pPr>
            <w:r w:rsidRPr="00411012">
              <w:t>1,194 (19.8)</w:t>
            </w:r>
          </w:p>
        </w:tc>
        <w:tc>
          <w:tcPr>
            <w:tcW w:w="556" w:type="pct"/>
            <w:shd w:val="clear" w:color="auto" w:fill="auto"/>
            <w:vAlign w:val="center"/>
          </w:tcPr>
          <w:p w:rsidR="00411012" w:rsidRPr="00411012" w:rsidRDefault="00411012" w:rsidP="00411012">
            <w:pPr>
              <w:spacing w:line="276" w:lineRule="auto"/>
              <w:ind w:firstLine="0"/>
              <w:jc w:val="center"/>
            </w:pPr>
            <w:r w:rsidRPr="00411012">
              <w:t>1,259 (20.9)</w:t>
            </w:r>
          </w:p>
        </w:tc>
        <w:tc>
          <w:tcPr>
            <w:tcW w:w="591" w:type="pct"/>
            <w:shd w:val="clear" w:color="auto" w:fill="auto"/>
            <w:vAlign w:val="center"/>
          </w:tcPr>
          <w:p w:rsidR="00411012" w:rsidRPr="00411012" w:rsidRDefault="00411012" w:rsidP="00411012">
            <w:pPr>
              <w:spacing w:line="276" w:lineRule="auto"/>
              <w:ind w:firstLine="0"/>
              <w:jc w:val="center"/>
            </w:pPr>
            <w:r w:rsidRPr="00411012">
              <w:t>1,217 (20.2)</w:t>
            </w:r>
          </w:p>
        </w:tc>
        <w:tc>
          <w:tcPr>
            <w:tcW w:w="416" w:type="pct"/>
            <w:vAlign w:val="center"/>
          </w:tcPr>
          <w:p w:rsidR="00411012" w:rsidRPr="00411012" w:rsidRDefault="001511EA" w:rsidP="00411012">
            <w:pPr>
              <w:spacing w:line="276" w:lineRule="auto"/>
              <w:ind w:firstLine="0"/>
              <w:jc w:val="center"/>
            </w:pPr>
            <w:r>
              <w:t>&lt;0.01</w:t>
            </w:r>
          </w:p>
        </w:tc>
      </w:tr>
      <w:tr w:rsidR="00411012" w:rsidRPr="00411012" w:rsidTr="00A77BD6">
        <w:trPr>
          <w:trHeight w:val="180"/>
        </w:trPr>
        <w:tc>
          <w:tcPr>
            <w:tcW w:w="1250" w:type="pct"/>
            <w:shd w:val="clear" w:color="auto" w:fill="auto"/>
            <w:vAlign w:val="center"/>
          </w:tcPr>
          <w:p w:rsidR="00411012" w:rsidRPr="00411012" w:rsidDel="002C0541" w:rsidRDefault="00411012" w:rsidP="00411012">
            <w:pPr>
              <w:adjustRightInd w:val="0"/>
              <w:snapToGrid w:val="0"/>
              <w:spacing w:after="120" w:line="276" w:lineRule="auto"/>
              <w:ind w:left="180" w:firstLine="0"/>
              <w:jc w:val="left"/>
            </w:pPr>
            <w:r w:rsidRPr="00411012">
              <w:t>Secondary school or higher</w:t>
            </w:r>
            <w:r w:rsidR="00A77BD6">
              <w:t xml:space="preserve"> </w:t>
            </w:r>
          </w:p>
        </w:tc>
        <w:tc>
          <w:tcPr>
            <w:tcW w:w="521" w:type="pct"/>
          </w:tcPr>
          <w:p w:rsidR="00411012" w:rsidRPr="00411012" w:rsidRDefault="00411012" w:rsidP="00411012">
            <w:pPr>
              <w:adjustRightInd w:val="0"/>
              <w:snapToGrid w:val="0"/>
              <w:spacing w:after="120" w:line="276" w:lineRule="auto"/>
              <w:ind w:firstLine="0"/>
              <w:jc w:val="center"/>
            </w:pPr>
            <w:r w:rsidRPr="00411012">
              <w:t>3,691</w:t>
            </w:r>
          </w:p>
        </w:tc>
        <w:tc>
          <w:tcPr>
            <w:tcW w:w="556" w:type="pct"/>
            <w:shd w:val="clear" w:color="auto" w:fill="auto"/>
            <w:vAlign w:val="center"/>
          </w:tcPr>
          <w:p w:rsidR="00411012" w:rsidRPr="00411012" w:rsidRDefault="00411012" w:rsidP="00411012">
            <w:pPr>
              <w:adjustRightInd w:val="0"/>
              <w:snapToGrid w:val="0"/>
              <w:spacing w:after="120" w:line="276" w:lineRule="auto"/>
              <w:ind w:firstLine="0"/>
              <w:jc w:val="center"/>
            </w:pPr>
            <w:r w:rsidRPr="00411012">
              <w:t>579 (15.7)</w:t>
            </w:r>
          </w:p>
        </w:tc>
        <w:tc>
          <w:tcPr>
            <w:tcW w:w="555" w:type="pct"/>
            <w:shd w:val="clear" w:color="auto" w:fill="auto"/>
            <w:vAlign w:val="center"/>
          </w:tcPr>
          <w:p w:rsidR="00411012" w:rsidRPr="00411012" w:rsidRDefault="00411012" w:rsidP="00411012">
            <w:pPr>
              <w:adjustRightInd w:val="0"/>
              <w:snapToGrid w:val="0"/>
              <w:spacing w:after="120" w:line="276" w:lineRule="auto"/>
              <w:ind w:firstLine="0"/>
              <w:jc w:val="center"/>
            </w:pPr>
            <w:r w:rsidRPr="00411012">
              <w:t>714 (19.3)</w:t>
            </w:r>
          </w:p>
        </w:tc>
        <w:tc>
          <w:tcPr>
            <w:tcW w:w="555" w:type="pct"/>
            <w:shd w:val="clear" w:color="auto" w:fill="auto"/>
            <w:vAlign w:val="center"/>
          </w:tcPr>
          <w:p w:rsidR="00411012" w:rsidRPr="00411012" w:rsidRDefault="00411012" w:rsidP="00411012">
            <w:pPr>
              <w:adjustRightInd w:val="0"/>
              <w:snapToGrid w:val="0"/>
              <w:spacing w:after="120" w:line="276" w:lineRule="auto"/>
              <w:ind w:firstLine="0"/>
              <w:jc w:val="center"/>
            </w:pPr>
            <w:r w:rsidRPr="00411012">
              <w:t>764(20.7)</w:t>
            </w:r>
          </w:p>
        </w:tc>
        <w:tc>
          <w:tcPr>
            <w:tcW w:w="556" w:type="pct"/>
            <w:shd w:val="clear" w:color="auto" w:fill="auto"/>
            <w:vAlign w:val="center"/>
          </w:tcPr>
          <w:p w:rsidR="00411012" w:rsidRPr="00411012" w:rsidRDefault="00411012" w:rsidP="00411012">
            <w:pPr>
              <w:adjustRightInd w:val="0"/>
              <w:snapToGrid w:val="0"/>
              <w:spacing w:after="120" w:line="276" w:lineRule="auto"/>
              <w:ind w:firstLine="0"/>
              <w:jc w:val="center"/>
            </w:pPr>
            <w:r w:rsidRPr="00411012">
              <w:t>773 (20.9)</w:t>
            </w:r>
          </w:p>
        </w:tc>
        <w:tc>
          <w:tcPr>
            <w:tcW w:w="591" w:type="pct"/>
            <w:shd w:val="clear" w:color="auto" w:fill="auto"/>
            <w:vAlign w:val="center"/>
          </w:tcPr>
          <w:p w:rsidR="00411012" w:rsidRPr="00411012" w:rsidRDefault="00411012" w:rsidP="00411012">
            <w:pPr>
              <w:adjustRightInd w:val="0"/>
              <w:snapToGrid w:val="0"/>
              <w:spacing w:after="120" w:line="276" w:lineRule="auto"/>
              <w:ind w:firstLine="0"/>
              <w:jc w:val="center"/>
            </w:pPr>
            <w:r w:rsidRPr="00411012">
              <w:t>861 (23.3)</w:t>
            </w:r>
          </w:p>
        </w:tc>
        <w:tc>
          <w:tcPr>
            <w:tcW w:w="416" w:type="pct"/>
            <w:vAlign w:val="center"/>
          </w:tcPr>
          <w:p w:rsidR="00411012" w:rsidRPr="00411012" w:rsidRDefault="00411012" w:rsidP="00411012">
            <w:pPr>
              <w:adjustRightInd w:val="0"/>
              <w:snapToGrid w:val="0"/>
              <w:spacing w:after="120" w:line="276" w:lineRule="auto"/>
              <w:ind w:firstLine="0"/>
              <w:jc w:val="center"/>
            </w:pPr>
            <w:r w:rsidRPr="00411012">
              <w:t xml:space="preserve"> </w:t>
            </w:r>
          </w:p>
        </w:tc>
      </w:tr>
      <w:tr w:rsidR="00411012" w:rsidRPr="00411012" w:rsidTr="00411012">
        <w:tc>
          <w:tcPr>
            <w:tcW w:w="1250" w:type="pct"/>
            <w:shd w:val="clear" w:color="auto" w:fill="auto"/>
            <w:vAlign w:val="center"/>
          </w:tcPr>
          <w:p w:rsidR="00411012" w:rsidRPr="00411012" w:rsidRDefault="00411012" w:rsidP="00411012">
            <w:pPr>
              <w:tabs>
                <w:tab w:val="left" w:pos="2758"/>
              </w:tabs>
              <w:spacing w:line="276" w:lineRule="auto"/>
              <w:ind w:firstLine="0"/>
              <w:jc w:val="left"/>
              <w:rPr>
                <w:vertAlign w:val="superscript"/>
              </w:rPr>
            </w:pPr>
            <w:r w:rsidRPr="00411012">
              <w:t>BMI (kg/m</w:t>
            </w:r>
            <w:r w:rsidRPr="00411012">
              <w:rPr>
                <w:vertAlign w:val="superscript"/>
              </w:rPr>
              <w:t>2</w:t>
            </w:r>
            <w:r w:rsidRPr="00411012">
              <w:t>), mean</w:t>
            </w:r>
            <w:r w:rsidRPr="00411012">
              <w:rPr>
                <w:vertAlign w:val="superscript"/>
              </w:rPr>
              <w:t xml:space="preserve"> </w:t>
            </w:r>
            <w:r w:rsidRPr="00411012">
              <w:t>(SD)</w:t>
            </w:r>
            <w:r w:rsidR="001511EA">
              <w:rPr>
                <w:vertAlign w:val="superscript"/>
              </w:rPr>
              <w:t>*</w:t>
            </w:r>
            <w:r w:rsidRPr="00411012">
              <w:tab/>
            </w:r>
          </w:p>
        </w:tc>
        <w:tc>
          <w:tcPr>
            <w:tcW w:w="521" w:type="pct"/>
            <w:vAlign w:val="center"/>
          </w:tcPr>
          <w:p w:rsidR="00411012" w:rsidRPr="00411012" w:rsidRDefault="00411012" w:rsidP="00411012">
            <w:pPr>
              <w:spacing w:line="276" w:lineRule="auto"/>
              <w:ind w:firstLine="0"/>
              <w:jc w:val="center"/>
            </w:pPr>
            <w:r w:rsidRPr="00411012">
              <w:t>14,306</w:t>
            </w:r>
          </w:p>
        </w:tc>
        <w:tc>
          <w:tcPr>
            <w:tcW w:w="556" w:type="pct"/>
            <w:shd w:val="clear" w:color="auto" w:fill="auto"/>
            <w:vAlign w:val="center"/>
          </w:tcPr>
          <w:p w:rsidR="00411012" w:rsidRPr="00411012" w:rsidRDefault="00411012" w:rsidP="00411012">
            <w:pPr>
              <w:spacing w:line="276" w:lineRule="auto"/>
              <w:ind w:firstLine="0"/>
              <w:jc w:val="center"/>
            </w:pPr>
            <w:r w:rsidRPr="00411012">
              <w:t>23.3 (3.6)</w:t>
            </w:r>
          </w:p>
        </w:tc>
        <w:tc>
          <w:tcPr>
            <w:tcW w:w="555" w:type="pct"/>
            <w:shd w:val="clear" w:color="auto" w:fill="auto"/>
            <w:vAlign w:val="center"/>
          </w:tcPr>
          <w:p w:rsidR="00411012" w:rsidRPr="00411012" w:rsidRDefault="00411012" w:rsidP="00411012">
            <w:pPr>
              <w:spacing w:line="276" w:lineRule="auto"/>
              <w:ind w:firstLine="0"/>
              <w:jc w:val="center"/>
            </w:pPr>
            <w:r w:rsidRPr="00411012">
              <w:t>23.3 (3.6)</w:t>
            </w:r>
          </w:p>
        </w:tc>
        <w:tc>
          <w:tcPr>
            <w:tcW w:w="555" w:type="pct"/>
            <w:shd w:val="clear" w:color="auto" w:fill="auto"/>
            <w:vAlign w:val="center"/>
          </w:tcPr>
          <w:p w:rsidR="00411012" w:rsidRPr="00411012" w:rsidRDefault="00411012" w:rsidP="00411012">
            <w:pPr>
              <w:spacing w:line="276" w:lineRule="auto"/>
              <w:ind w:firstLine="0"/>
              <w:jc w:val="center"/>
            </w:pPr>
            <w:r w:rsidRPr="00411012">
              <w:t>23.4 (3.7)</w:t>
            </w:r>
          </w:p>
        </w:tc>
        <w:tc>
          <w:tcPr>
            <w:tcW w:w="556" w:type="pct"/>
            <w:shd w:val="clear" w:color="auto" w:fill="auto"/>
            <w:vAlign w:val="center"/>
          </w:tcPr>
          <w:p w:rsidR="00411012" w:rsidRPr="00411012" w:rsidRDefault="00411012" w:rsidP="00411012">
            <w:pPr>
              <w:spacing w:line="276" w:lineRule="auto"/>
              <w:ind w:firstLine="0"/>
              <w:jc w:val="center"/>
            </w:pPr>
            <w:r w:rsidRPr="00411012">
              <w:t>23.3(3.6)</w:t>
            </w:r>
          </w:p>
        </w:tc>
        <w:tc>
          <w:tcPr>
            <w:tcW w:w="591" w:type="pct"/>
            <w:shd w:val="clear" w:color="auto" w:fill="auto"/>
            <w:vAlign w:val="center"/>
          </w:tcPr>
          <w:p w:rsidR="00411012" w:rsidRPr="00411012" w:rsidRDefault="00411012" w:rsidP="00411012">
            <w:pPr>
              <w:spacing w:line="276" w:lineRule="auto"/>
              <w:ind w:firstLine="0"/>
              <w:jc w:val="center"/>
            </w:pPr>
            <w:r w:rsidRPr="00411012">
              <w:t>23.3 (3.5)</w:t>
            </w:r>
          </w:p>
        </w:tc>
        <w:tc>
          <w:tcPr>
            <w:tcW w:w="416" w:type="pct"/>
            <w:vAlign w:val="center"/>
          </w:tcPr>
          <w:p w:rsidR="00411012" w:rsidRPr="00411012" w:rsidRDefault="00563ECB" w:rsidP="00411012">
            <w:pPr>
              <w:spacing w:line="276" w:lineRule="auto"/>
              <w:ind w:firstLine="0"/>
              <w:jc w:val="center"/>
            </w:pPr>
            <w:r>
              <w:t>0.60</w:t>
            </w:r>
          </w:p>
        </w:tc>
      </w:tr>
      <w:tr w:rsidR="00411012" w:rsidRPr="00411012" w:rsidTr="00411012">
        <w:trPr>
          <w:trHeight w:val="288"/>
        </w:trPr>
        <w:tc>
          <w:tcPr>
            <w:tcW w:w="1250" w:type="pct"/>
            <w:shd w:val="clear" w:color="auto" w:fill="auto"/>
            <w:vAlign w:val="center"/>
          </w:tcPr>
          <w:p w:rsidR="00411012" w:rsidRPr="001511EA" w:rsidRDefault="00411012" w:rsidP="00411012">
            <w:pPr>
              <w:spacing w:line="276" w:lineRule="auto"/>
              <w:ind w:firstLine="0"/>
              <w:jc w:val="left"/>
              <w:rPr>
                <w:vertAlign w:val="superscript"/>
              </w:rPr>
            </w:pPr>
            <w:r w:rsidRPr="00411012">
              <w:t>Smoking status</w:t>
            </w:r>
            <w:r w:rsidR="00A77BD6">
              <w:t xml:space="preserve">, </w:t>
            </w:r>
            <w:r w:rsidR="00A77BD6" w:rsidRPr="00411012">
              <w:t>n (%</w:t>
            </w:r>
            <w:proofErr w:type="gramStart"/>
            <w:r w:rsidR="00A77BD6" w:rsidRPr="00411012">
              <w:t>)</w:t>
            </w:r>
            <w:r w:rsidR="001511EA" w:rsidRPr="001511EA">
              <w:rPr>
                <w:bCs/>
                <w:vertAlign w:val="superscript"/>
              </w:rPr>
              <w:t>†</w:t>
            </w:r>
            <w:proofErr w:type="gramEnd"/>
          </w:p>
        </w:tc>
        <w:tc>
          <w:tcPr>
            <w:tcW w:w="521" w:type="pct"/>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91" w:type="pct"/>
            <w:shd w:val="clear" w:color="auto" w:fill="auto"/>
            <w:vAlign w:val="center"/>
          </w:tcPr>
          <w:p w:rsidR="00411012" w:rsidRPr="00411012" w:rsidRDefault="00411012" w:rsidP="00411012">
            <w:pPr>
              <w:spacing w:line="276" w:lineRule="auto"/>
              <w:ind w:firstLine="0"/>
              <w:jc w:val="center"/>
            </w:pPr>
          </w:p>
        </w:tc>
        <w:tc>
          <w:tcPr>
            <w:tcW w:w="416" w:type="pct"/>
            <w:vAlign w:val="center"/>
          </w:tcPr>
          <w:p w:rsidR="00411012" w:rsidRPr="00411012" w:rsidRDefault="00411012" w:rsidP="00411012">
            <w:pPr>
              <w:spacing w:line="276" w:lineRule="auto"/>
              <w:ind w:firstLine="0"/>
              <w:jc w:val="center"/>
            </w:pPr>
          </w:p>
        </w:tc>
      </w:tr>
      <w:tr w:rsidR="00411012" w:rsidRPr="00411012" w:rsidTr="00411012">
        <w:trPr>
          <w:trHeight w:val="83"/>
        </w:trPr>
        <w:tc>
          <w:tcPr>
            <w:tcW w:w="1250" w:type="pct"/>
            <w:shd w:val="clear" w:color="auto" w:fill="auto"/>
            <w:vAlign w:val="center"/>
          </w:tcPr>
          <w:p w:rsidR="00411012" w:rsidRPr="00411012" w:rsidRDefault="00411012" w:rsidP="00411012">
            <w:pPr>
              <w:tabs>
                <w:tab w:val="left" w:pos="1786"/>
              </w:tabs>
              <w:spacing w:line="276" w:lineRule="auto"/>
              <w:ind w:left="180" w:firstLine="0"/>
              <w:jc w:val="left"/>
            </w:pPr>
            <w:r w:rsidRPr="00411012">
              <w:t>Never smoker</w:t>
            </w:r>
            <w:r w:rsidRPr="00411012">
              <w:tab/>
            </w:r>
          </w:p>
        </w:tc>
        <w:tc>
          <w:tcPr>
            <w:tcW w:w="521" w:type="pct"/>
          </w:tcPr>
          <w:p w:rsidR="00411012" w:rsidRPr="00411012" w:rsidRDefault="00411012" w:rsidP="00411012">
            <w:pPr>
              <w:spacing w:line="276" w:lineRule="auto"/>
              <w:ind w:firstLine="0"/>
              <w:jc w:val="center"/>
            </w:pPr>
            <w:r w:rsidRPr="00411012">
              <w:t>13,054</w:t>
            </w:r>
          </w:p>
        </w:tc>
        <w:tc>
          <w:tcPr>
            <w:tcW w:w="556" w:type="pct"/>
            <w:shd w:val="clear" w:color="auto" w:fill="auto"/>
            <w:vAlign w:val="center"/>
          </w:tcPr>
          <w:p w:rsidR="00411012" w:rsidRPr="00411012" w:rsidRDefault="00411012" w:rsidP="00411012">
            <w:pPr>
              <w:spacing w:line="276" w:lineRule="auto"/>
              <w:ind w:firstLine="0"/>
              <w:jc w:val="center"/>
            </w:pPr>
            <w:r w:rsidRPr="00411012">
              <w:t>2,538(19.4)</w:t>
            </w:r>
          </w:p>
        </w:tc>
        <w:tc>
          <w:tcPr>
            <w:tcW w:w="555" w:type="pct"/>
            <w:shd w:val="clear" w:color="auto" w:fill="auto"/>
            <w:vAlign w:val="center"/>
          </w:tcPr>
          <w:p w:rsidR="00411012" w:rsidRPr="00411012" w:rsidRDefault="00411012" w:rsidP="00411012">
            <w:pPr>
              <w:spacing w:line="276" w:lineRule="auto"/>
              <w:ind w:firstLine="0"/>
              <w:jc w:val="center"/>
            </w:pPr>
            <w:r w:rsidRPr="00411012">
              <w:t>2,584(19.7)</w:t>
            </w:r>
          </w:p>
        </w:tc>
        <w:tc>
          <w:tcPr>
            <w:tcW w:w="555" w:type="pct"/>
            <w:shd w:val="clear" w:color="auto" w:fill="auto"/>
            <w:vAlign w:val="center"/>
          </w:tcPr>
          <w:p w:rsidR="00411012" w:rsidRPr="00411012" w:rsidRDefault="00411012" w:rsidP="00411012">
            <w:pPr>
              <w:spacing w:line="276" w:lineRule="auto"/>
              <w:ind w:firstLine="0"/>
              <w:jc w:val="center"/>
            </w:pPr>
            <w:r w:rsidRPr="00411012">
              <w:t>2,621(20.1)</w:t>
            </w:r>
          </w:p>
        </w:tc>
        <w:tc>
          <w:tcPr>
            <w:tcW w:w="556" w:type="pct"/>
            <w:shd w:val="clear" w:color="auto" w:fill="auto"/>
            <w:vAlign w:val="center"/>
          </w:tcPr>
          <w:p w:rsidR="00411012" w:rsidRPr="00411012" w:rsidRDefault="00411012" w:rsidP="00411012">
            <w:pPr>
              <w:spacing w:line="276" w:lineRule="auto"/>
              <w:ind w:firstLine="0"/>
              <w:jc w:val="center"/>
            </w:pPr>
            <w:r w:rsidRPr="00411012">
              <w:t>2,645(20.3)</w:t>
            </w:r>
          </w:p>
        </w:tc>
        <w:tc>
          <w:tcPr>
            <w:tcW w:w="591" w:type="pct"/>
            <w:shd w:val="clear" w:color="auto" w:fill="auto"/>
            <w:vAlign w:val="center"/>
          </w:tcPr>
          <w:p w:rsidR="00411012" w:rsidRPr="00411012" w:rsidRDefault="00411012" w:rsidP="00411012">
            <w:pPr>
              <w:spacing w:line="276" w:lineRule="auto"/>
              <w:ind w:firstLine="0"/>
              <w:jc w:val="center"/>
            </w:pPr>
            <w:r w:rsidRPr="00411012">
              <w:t>2,666(20.4)</w:t>
            </w:r>
          </w:p>
        </w:tc>
        <w:tc>
          <w:tcPr>
            <w:tcW w:w="416" w:type="pct"/>
            <w:vAlign w:val="center"/>
          </w:tcPr>
          <w:p w:rsidR="00411012" w:rsidRPr="00411012" w:rsidRDefault="00411012" w:rsidP="00411012">
            <w:pPr>
              <w:spacing w:line="276" w:lineRule="auto"/>
              <w:ind w:firstLine="0"/>
              <w:jc w:val="center"/>
            </w:pPr>
          </w:p>
        </w:tc>
      </w:tr>
      <w:tr w:rsidR="00411012" w:rsidRPr="00411012" w:rsidTr="00411012">
        <w:tc>
          <w:tcPr>
            <w:tcW w:w="1250" w:type="pct"/>
            <w:shd w:val="clear" w:color="auto" w:fill="auto"/>
            <w:vAlign w:val="center"/>
          </w:tcPr>
          <w:p w:rsidR="00411012" w:rsidRPr="00411012" w:rsidRDefault="00411012" w:rsidP="00411012">
            <w:pPr>
              <w:spacing w:line="276" w:lineRule="auto"/>
              <w:ind w:left="180" w:firstLine="0"/>
              <w:jc w:val="left"/>
            </w:pPr>
            <w:r w:rsidRPr="00411012">
              <w:t>Former smoker</w:t>
            </w:r>
          </w:p>
        </w:tc>
        <w:tc>
          <w:tcPr>
            <w:tcW w:w="521" w:type="pct"/>
          </w:tcPr>
          <w:p w:rsidR="00411012" w:rsidRPr="00411012" w:rsidRDefault="00411012" w:rsidP="00411012">
            <w:pPr>
              <w:spacing w:line="276" w:lineRule="auto"/>
              <w:ind w:firstLine="0"/>
              <w:jc w:val="center"/>
            </w:pPr>
            <w:r w:rsidRPr="00411012">
              <w:t>570</w:t>
            </w:r>
          </w:p>
        </w:tc>
        <w:tc>
          <w:tcPr>
            <w:tcW w:w="556" w:type="pct"/>
            <w:shd w:val="clear" w:color="auto" w:fill="auto"/>
            <w:vAlign w:val="center"/>
          </w:tcPr>
          <w:p w:rsidR="00411012" w:rsidRPr="00411012" w:rsidRDefault="00411012" w:rsidP="00411012">
            <w:pPr>
              <w:spacing w:line="276" w:lineRule="auto"/>
              <w:ind w:firstLine="0"/>
              <w:jc w:val="center"/>
            </w:pPr>
            <w:r w:rsidRPr="00411012">
              <w:t>162(28.4)</w:t>
            </w:r>
          </w:p>
        </w:tc>
        <w:tc>
          <w:tcPr>
            <w:tcW w:w="555" w:type="pct"/>
            <w:shd w:val="clear" w:color="auto" w:fill="auto"/>
            <w:vAlign w:val="center"/>
          </w:tcPr>
          <w:p w:rsidR="00411012" w:rsidRPr="00411012" w:rsidRDefault="00411012" w:rsidP="00411012">
            <w:pPr>
              <w:spacing w:line="276" w:lineRule="auto"/>
              <w:ind w:firstLine="0"/>
              <w:jc w:val="center"/>
            </w:pPr>
            <w:r w:rsidRPr="00411012">
              <w:t>119(20.9)</w:t>
            </w:r>
          </w:p>
        </w:tc>
        <w:tc>
          <w:tcPr>
            <w:tcW w:w="555" w:type="pct"/>
            <w:shd w:val="clear" w:color="auto" w:fill="auto"/>
            <w:vAlign w:val="center"/>
          </w:tcPr>
          <w:p w:rsidR="00411012" w:rsidRPr="00411012" w:rsidRDefault="00411012" w:rsidP="00411012">
            <w:pPr>
              <w:spacing w:line="276" w:lineRule="auto"/>
              <w:ind w:firstLine="0"/>
              <w:jc w:val="center"/>
            </w:pPr>
            <w:r w:rsidRPr="00411012">
              <w:t>103(18.1)</w:t>
            </w:r>
          </w:p>
        </w:tc>
        <w:tc>
          <w:tcPr>
            <w:tcW w:w="556" w:type="pct"/>
            <w:shd w:val="clear" w:color="auto" w:fill="auto"/>
            <w:vAlign w:val="center"/>
          </w:tcPr>
          <w:p w:rsidR="00411012" w:rsidRPr="00411012" w:rsidRDefault="00411012" w:rsidP="00411012">
            <w:pPr>
              <w:spacing w:line="276" w:lineRule="auto"/>
              <w:ind w:firstLine="0"/>
              <w:jc w:val="center"/>
            </w:pPr>
            <w:r w:rsidRPr="00411012">
              <w:t>102(17.9)</w:t>
            </w:r>
          </w:p>
        </w:tc>
        <w:tc>
          <w:tcPr>
            <w:tcW w:w="591" w:type="pct"/>
            <w:shd w:val="clear" w:color="auto" w:fill="auto"/>
            <w:vAlign w:val="center"/>
          </w:tcPr>
          <w:p w:rsidR="00411012" w:rsidRPr="00411012" w:rsidRDefault="00411012" w:rsidP="00411012">
            <w:pPr>
              <w:spacing w:line="276" w:lineRule="auto"/>
              <w:ind w:firstLine="0"/>
              <w:jc w:val="center"/>
            </w:pPr>
            <w:r w:rsidRPr="00411012">
              <w:t>84(14.7)</w:t>
            </w:r>
          </w:p>
        </w:tc>
        <w:tc>
          <w:tcPr>
            <w:tcW w:w="416" w:type="pct"/>
            <w:vAlign w:val="center"/>
          </w:tcPr>
          <w:p w:rsidR="00411012" w:rsidRPr="00411012" w:rsidRDefault="001511EA" w:rsidP="00411012">
            <w:pPr>
              <w:spacing w:line="276" w:lineRule="auto"/>
              <w:ind w:firstLine="0"/>
              <w:jc w:val="center"/>
            </w:pPr>
            <w:r>
              <w:t>&lt;0.01</w:t>
            </w:r>
          </w:p>
        </w:tc>
      </w:tr>
      <w:tr w:rsidR="00411012" w:rsidRPr="00411012" w:rsidTr="00411012">
        <w:trPr>
          <w:trHeight w:val="333"/>
        </w:trPr>
        <w:tc>
          <w:tcPr>
            <w:tcW w:w="1250" w:type="pct"/>
            <w:shd w:val="clear" w:color="auto" w:fill="auto"/>
            <w:vAlign w:val="center"/>
          </w:tcPr>
          <w:p w:rsidR="00411012" w:rsidRPr="00411012" w:rsidRDefault="00411012" w:rsidP="00411012">
            <w:pPr>
              <w:spacing w:line="276" w:lineRule="auto"/>
              <w:ind w:left="180" w:firstLine="0"/>
              <w:jc w:val="left"/>
            </w:pPr>
            <w:r w:rsidRPr="00411012">
              <w:t>Current smoker</w:t>
            </w:r>
          </w:p>
        </w:tc>
        <w:tc>
          <w:tcPr>
            <w:tcW w:w="521" w:type="pct"/>
          </w:tcPr>
          <w:p w:rsidR="00411012" w:rsidRPr="00411012" w:rsidRDefault="00411012" w:rsidP="00411012">
            <w:pPr>
              <w:spacing w:line="276" w:lineRule="auto"/>
              <w:ind w:firstLine="0"/>
              <w:jc w:val="center"/>
            </w:pPr>
            <w:r w:rsidRPr="00411012">
              <w:t>682</w:t>
            </w:r>
          </w:p>
        </w:tc>
        <w:tc>
          <w:tcPr>
            <w:tcW w:w="556" w:type="pct"/>
            <w:shd w:val="clear" w:color="auto" w:fill="auto"/>
            <w:vAlign w:val="center"/>
          </w:tcPr>
          <w:p w:rsidR="00411012" w:rsidRPr="00411012" w:rsidRDefault="00411012" w:rsidP="00411012">
            <w:pPr>
              <w:spacing w:line="276" w:lineRule="auto"/>
              <w:ind w:firstLine="0"/>
              <w:jc w:val="center"/>
            </w:pPr>
            <w:r w:rsidRPr="00411012">
              <w:t>161(23.6)</w:t>
            </w:r>
          </w:p>
        </w:tc>
        <w:tc>
          <w:tcPr>
            <w:tcW w:w="555" w:type="pct"/>
            <w:shd w:val="clear" w:color="auto" w:fill="auto"/>
            <w:vAlign w:val="center"/>
          </w:tcPr>
          <w:p w:rsidR="00411012" w:rsidRPr="00411012" w:rsidRDefault="00411012" w:rsidP="00411012">
            <w:pPr>
              <w:spacing w:line="276" w:lineRule="auto"/>
              <w:ind w:firstLine="0"/>
              <w:jc w:val="center"/>
            </w:pPr>
            <w:r w:rsidRPr="00411012">
              <w:t>158(23.2)</w:t>
            </w:r>
          </w:p>
        </w:tc>
        <w:tc>
          <w:tcPr>
            <w:tcW w:w="555" w:type="pct"/>
            <w:shd w:val="clear" w:color="auto" w:fill="auto"/>
            <w:vAlign w:val="center"/>
          </w:tcPr>
          <w:p w:rsidR="00411012" w:rsidRPr="00411012" w:rsidRDefault="00411012" w:rsidP="00411012">
            <w:pPr>
              <w:spacing w:line="276" w:lineRule="auto"/>
              <w:ind w:firstLine="0"/>
              <w:jc w:val="center"/>
            </w:pPr>
            <w:r w:rsidRPr="00411012">
              <w:t>137(20.1)</w:t>
            </w:r>
          </w:p>
        </w:tc>
        <w:tc>
          <w:tcPr>
            <w:tcW w:w="556" w:type="pct"/>
            <w:shd w:val="clear" w:color="auto" w:fill="auto"/>
            <w:vAlign w:val="center"/>
          </w:tcPr>
          <w:p w:rsidR="00411012" w:rsidRPr="00411012" w:rsidRDefault="00411012" w:rsidP="00411012">
            <w:pPr>
              <w:spacing w:line="276" w:lineRule="auto"/>
              <w:ind w:firstLine="0"/>
              <w:jc w:val="center"/>
            </w:pPr>
            <w:r w:rsidRPr="00411012">
              <w:t>114(16.7)</w:t>
            </w:r>
          </w:p>
        </w:tc>
        <w:tc>
          <w:tcPr>
            <w:tcW w:w="591" w:type="pct"/>
            <w:shd w:val="clear" w:color="auto" w:fill="auto"/>
            <w:vAlign w:val="center"/>
          </w:tcPr>
          <w:p w:rsidR="00411012" w:rsidRPr="00411012" w:rsidRDefault="00411012" w:rsidP="00411012">
            <w:pPr>
              <w:spacing w:line="276" w:lineRule="auto"/>
              <w:ind w:firstLine="0"/>
              <w:jc w:val="center"/>
            </w:pPr>
            <w:r w:rsidRPr="00411012">
              <w:t>112(16.4)</w:t>
            </w:r>
          </w:p>
        </w:tc>
        <w:tc>
          <w:tcPr>
            <w:tcW w:w="416" w:type="pct"/>
            <w:vAlign w:val="center"/>
          </w:tcPr>
          <w:p w:rsidR="00411012" w:rsidRPr="00411012" w:rsidRDefault="00411012" w:rsidP="00411012">
            <w:pPr>
              <w:spacing w:line="276" w:lineRule="auto"/>
              <w:ind w:firstLine="0"/>
              <w:jc w:val="center"/>
            </w:pPr>
          </w:p>
        </w:tc>
      </w:tr>
      <w:tr w:rsidR="00411012" w:rsidRPr="00411012" w:rsidTr="00411012">
        <w:tc>
          <w:tcPr>
            <w:tcW w:w="1250" w:type="pct"/>
            <w:shd w:val="clear" w:color="auto" w:fill="auto"/>
            <w:vAlign w:val="center"/>
          </w:tcPr>
          <w:p w:rsidR="00411012" w:rsidRPr="00411012" w:rsidRDefault="00411012" w:rsidP="00411012">
            <w:pPr>
              <w:adjustRightInd w:val="0"/>
              <w:snapToGrid w:val="0"/>
              <w:spacing w:line="276" w:lineRule="auto"/>
              <w:ind w:firstLine="0"/>
              <w:jc w:val="left"/>
            </w:pPr>
            <w:r w:rsidRPr="00411012">
              <w:t>Drinking status</w:t>
            </w:r>
            <w:r w:rsidR="00A77BD6">
              <w:t>,</w:t>
            </w:r>
            <w:r w:rsidR="00A77BD6" w:rsidRPr="00411012">
              <w:t xml:space="preserve"> n (%)</w:t>
            </w:r>
          </w:p>
        </w:tc>
        <w:tc>
          <w:tcPr>
            <w:tcW w:w="521" w:type="pct"/>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91" w:type="pct"/>
            <w:shd w:val="clear" w:color="auto" w:fill="auto"/>
            <w:vAlign w:val="center"/>
          </w:tcPr>
          <w:p w:rsidR="00411012" w:rsidRPr="00411012" w:rsidRDefault="00411012" w:rsidP="00411012">
            <w:pPr>
              <w:spacing w:line="276" w:lineRule="auto"/>
              <w:ind w:firstLine="0"/>
              <w:jc w:val="center"/>
            </w:pPr>
          </w:p>
        </w:tc>
        <w:tc>
          <w:tcPr>
            <w:tcW w:w="416" w:type="pct"/>
            <w:vAlign w:val="center"/>
          </w:tcPr>
          <w:p w:rsidR="00411012" w:rsidRPr="00411012" w:rsidRDefault="00411012" w:rsidP="00411012">
            <w:pPr>
              <w:spacing w:line="276" w:lineRule="auto"/>
              <w:ind w:firstLine="0"/>
              <w:jc w:val="center"/>
            </w:pP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Non-drinker</w:t>
            </w:r>
          </w:p>
        </w:tc>
        <w:tc>
          <w:tcPr>
            <w:tcW w:w="521" w:type="pct"/>
            <w:vAlign w:val="center"/>
          </w:tcPr>
          <w:p w:rsidR="00411012" w:rsidRPr="00411012" w:rsidRDefault="00411012" w:rsidP="00411012">
            <w:pPr>
              <w:spacing w:line="276" w:lineRule="auto"/>
              <w:ind w:firstLine="0"/>
              <w:jc w:val="center"/>
            </w:pPr>
            <w:r w:rsidRPr="00411012">
              <w:t>12,646</w:t>
            </w:r>
          </w:p>
        </w:tc>
        <w:tc>
          <w:tcPr>
            <w:tcW w:w="556" w:type="pct"/>
            <w:shd w:val="clear" w:color="auto" w:fill="auto"/>
            <w:vAlign w:val="center"/>
          </w:tcPr>
          <w:p w:rsidR="00411012" w:rsidRPr="00411012" w:rsidRDefault="00411012" w:rsidP="00411012">
            <w:pPr>
              <w:spacing w:line="276" w:lineRule="auto"/>
              <w:ind w:firstLine="0"/>
              <w:jc w:val="center"/>
            </w:pPr>
            <w:r w:rsidRPr="00411012">
              <w:t>2,131(16.6)</w:t>
            </w:r>
          </w:p>
        </w:tc>
        <w:tc>
          <w:tcPr>
            <w:tcW w:w="555" w:type="pct"/>
            <w:shd w:val="clear" w:color="auto" w:fill="auto"/>
            <w:vAlign w:val="center"/>
          </w:tcPr>
          <w:p w:rsidR="00411012" w:rsidRPr="00411012" w:rsidRDefault="00411012" w:rsidP="00411012">
            <w:pPr>
              <w:spacing w:line="276" w:lineRule="auto"/>
              <w:ind w:firstLine="0"/>
              <w:jc w:val="center"/>
            </w:pPr>
            <w:r w:rsidRPr="00411012">
              <w:t>2,375(18.8)</w:t>
            </w:r>
          </w:p>
        </w:tc>
        <w:tc>
          <w:tcPr>
            <w:tcW w:w="555" w:type="pct"/>
            <w:shd w:val="clear" w:color="auto" w:fill="auto"/>
            <w:vAlign w:val="center"/>
          </w:tcPr>
          <w:p w:rsidR="00411012" w:rsidRPr="00411012" w:rsidRDefault="00411012" w:rsidP="00411012">
            <w:pPr>
              <w:spacing w:line="276" w:lineRule="auto"/>
              <w:ind w:firstLine="0"/>
              <w:jc w:val="center"/>
            </w:pPr>
            <w:r w:rsidRPr="00411012">
              <w:t>2,496(19.7)</w:t>
            </w:r>
          </w:p>
        </w:tc>
        <w:tc>
          <w:tcPr>
            <w:tcW w:w="556" w:type="pct"/>
            <w:shd w:val="clear" w:color="auto" w:fill="auto"/>
            <w:vAlign w:val="center"/>
          </w:tcPr>
          <w:p w:rsidR="00411012" w:rsidRPr="00411012" w:rsidRDefault="00411012" w:rsidP="00411012">
            <w:pPr>
              <w:spacing w:line="276" w:lineRule="auto"/>
              <w:ind w:firstLine="0"/>
              <w:jc w:val="center"/>
            </w:pPr>
            <w:r w:rsidRPr="00411012">
              <w:t>2,757(21.8)</w:t>
            </w:r>
          </w:p>
        </w:tc>
        <w:tc>
          <w:tcPr>
            <w:tcW w:w="591" w:type="pct"/>
            <w:shd w:val="clear" w:color="auto" w:fill="auto"/>
            <w:vAlign w:val="center"/>
          </w:tcPr>
          <w:p w:rsidR="00411012" w:rsidRPr="00411012" w:rsidRDefault="00411012" w:rsidP="00411012">
            <w:pPr>
              <w:spacing w:line="276" w:lineRule="auto"/>
              <w:ind w:firstLine="0"/>
              <w:jc w:val="center"/>
            </w:pPr>
            <w:r w:rsidRPr="00411012">
              <w:t>2,887(22.8)</w:t>
            </w:r>
          </w:p>
        </w:tc>
        <w:tc>
          <w:tcPr>
            <w:tcW w:w="416" w:type="pct"/>
            <w:vMerge w:val="restart"/>
            <w:vAlign w:val="center"/>
          </w:tcPr>
          <w:p w:rsidR="00411012" w:rsidRPr="00411012" w:rsidRDefault="00563ECB" w:rsidP="00411012">
            <w:pPr>
              <w:spacing w:line="276" w:lineRule="auto"/>
              <w:ind w:firstLine="0"/>
              <w:jc w:val="center"/>
            </w:pPr>
            <w:r>
              <w:t>0.15</w:t>
            </w: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Ever drinker</w:t>
            </w:r>
          </w:p>
        </w:tc>
        <w:tc>
          <w:tcPr>
            <w:tcW w:w="521" w:type="pct"/>
            <w:vAlign w:val="center"/>
          </w:tcPr>
          <w:p w:rsidR="00411012" w:rsidRPr="00411012" w:rsidRDefault="00411012" w:rsidP="00411012">
            <w:pPr>
              <w:spacing w:line="276" w:lineRule="auto"/>
              <w:ind w:firstLine="0"/>
              <w:jc w:val="center"/>
            </w:pPr>
            <w:r w:rsidRPr="00411012">
              <w:t>1,499</w:t>
            </w:r>
          </w:p>
        </w:tc>
        <w:tc>
          <w:tcPr>
            <w:tcW w:w="556" w:type="pct"/>
            <w:shd w:val="clear" w:color="auto" w:fill="auto"/>
            <w:vAlign w:val="center"/>
          </w:tcPr>
          <w:p w:rsidR="00411012" w:rsidRPr="00411012" w:rsidRDefault="00411012" w:rsidP="00411012">
            <w:pPr>
              <w:spacing w:line="276" w:lineRule="auto"/>
              <w:ind w:firstLine="0"/>
              <w:jc w:val="center"/>
            </w:pPr>
            <w:r w:rsidRPr="00411012">
              <w:t>214(14.28)</w:t>
            </w:r>
          </w:p>
        </w:tc>
        <w:tc>
          <w:tcPr>
            <w:tcW w:w="555" w:type="pct"/>
            <w:shd w:val="clear" w:color="auto" w:fill="auto"/>
            <w:vAlign w:val="center"/>
          </w:tcPr>
          <w:p w:rsidR="00411012" w:rsidRPr="00411012" w:rsidRDefault="00411012" w:rsidP="00411012">
            <w:pPr>
              <w:spacing w:line="276" w:lineRule="auto"/>
              <w:ind w:firstLine="0"/>
              <w:jc w:val="center"/>
            </w:pPr>
            <w:r w:rsidRPr="00411012">
              <w:t>262(17.5)</w:t>
            </w:r>
          </w:p>
        </w:tc>
        <w:tc>
          <w:tcPr>
            <w:tcW w:w="555" w:type="pct"/>
            <w:shd w:val="clear" w:color="auto" w:fill="auto"/>
            <w:vAlign w:val="center"/>
          </w:tcPr>
          <w:p w:rsidR="00411012" w:rsidRPr="00411012" w:rsidRDefault="00411012" w:rsidP="00411012">
            <w:pPr>
              <w:spacing w:line="276" w:lineRule="auto"/>
              <w:ind w:firstLine="0"/>
              <w:jc w:val="center"/>
            </w:pPr>
            <w:r w:rsidRPr="00411012">
              <w:t>299(20.0)</w:t>
            </w:r>
          </w:p>
        </w:tc>
        <w:tc>
          <w:tcPr>
            <w:tcW w:w="556" w:type="pct"/>
            <w:shd w:val="clear" w:color="auto" w:fill="auto"/>
            <w:vAlign w:val="center"/>
          </w:tcPr>
          <w:p w:rsidR="00411012" w:rsidRPr="00411012" w:rsidRDefault="00411012" w:rsidP="00411012">
            <w:pPr>
              <w:spacing w:line="276" w:lineRule="auto"/>
              <w:ind w:firstLine="0"/>
              <w:jc w:val="center"/>
            </w:pPr>
            <w:r w:rsidRPr="00411012">
              <w:t>346(23.1)</w:t>
            </w:r>
          </w:p>
        </w:tc>
        <w:tc>
          <w:tcPr>
            <w:tcW w:w="591" w:type="pct"/>
            <w:shd w:val="clear" w:color="auto" w:fill="auto"/>
            <w:vAlign w:val="center"/>
          </w:tcPr>
          <w:p w:rsidR="00411012" w:rsidRPr="00411012" w:rsidRDefault="00411012" w:rsidP="00411012">
            <w:pPr>
              <w:spacing w:line="276" w:lineRule="auto"/>
              <w:ind w:firstLine="0"/>
              <w:jc w:val="center"/>
            </w:pPr>
            <w:r w:rsidRPr="00411012">
              <w:t>278(25.22)</w:t>
            </w:r>
          </w:p>
        </w:tc>
        <w:tc>
          <w:tcPr>
            <w:tcW w:w="416" w:type="pct"/>
            <w:vMerge/>
            <w:vAlign w:val="center"/>
          </w:tcPr>
          <w:p w:rsidR="00411012" w:rsidRPr="00411012" w:rsidRDefault="00411012" w:rsidP="00411012">
            <w:pPr>
              <w:spacing w:line="276" w:lineRule="auto"/>
              <w:ind w:firstLine="0"/>
              <w:jc w:val="center"/>
            </w:pPr>
          </w:p>
        </w:tc>
      </w:tr>
      <w:tr w:rsidR="00411012" w:rsidRPr="00411012" w:rsidTr="00411012">
        <w:trPr>
          <w:trHeight w:val="207"/>
        </w:trPr>
        <w:tc>
          <w:tcPr>
            <w:tcW w:w="1250" w:type="pct"/>
            <w:shd w:val="clear" w:color="auto" w:fill="auto"/>
          </w:tcPr>
          <w:p w:rsidR="00411012" w:rsidRPr="00411012" w:rsidRDefault="00411012" w:rsidP="00411012">
            <w:pPr>
              <w:spacing w:line="276" w:lineRule="auto"/>
              <w:ind w:firstLine="0"/>
              <w:jc w:val="left"/>
            </w:pPr>
            <w:r w:rsidRPr="00411012">
              <w:t xml:space="preserve">Number of live birth, </w:t>
            </w:r>
            <w:proofErr w:type="gramStart"/>
            <w:r w:rsidRPr="00411012">
              <w:t>n(</w:t>
            </w:r>
            <w:proofErr w:type="gramEnd"/>
            <w:r w:rsidRPr="00411012">
              <w:t>%)</w:t>
            </w:r>
          </w:p>
        </w:tc>
        <w:tc>
          <w:tcPr>
            <w:tcW w:w="521" w:type="pct"/>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5" w:type="pct"/>
            <w:shd w:val="clear" w:color="auto" w:fill="auto"/>
            <w:vAlign w:val="center"/>
          </w:tcPr>
          <w:p w:rsidR="00411012" w:rsidRPr="00411012" w:rsidRDefault="00411012" w:rsidP="00411012">
            <w:pPr>
              <w:spacing w:line="276" w:lineRule="auto"/>
              <w:ind w:firstLine="0"/>
              <w:jc w:val="center"/>
            </w:pPr>
          </w:p>
        </w:tc>
        <w:tc>
          <w:tcPr>
            <w:tcW w:w="556" w:type="pct"/>
            <w:shd w:val="clear" w:color="auto" w:fill="auto"/>
            <w:vAlign w:val="center"/>
          </w:tcPr>
          <w:p w:rsidR="00411012" w:rsidRPr="00411012" w:rsidRDefault="00411012" w:rsidP="00411012">
            <w:pPr>
              <w:spacing w:line="276" w:lineRule="auto"/>
              <w:ind w:firstLine="0"/>
              <w:jc w:val="center"/>
            </w:pPr>
          </w:p>
        </w:tc>
        <w:tc>
          <w:tcPr>
            <w:tcW w:w="591" w:type="pct"/>
            <w:shd w:val="clear" w:color="auto" w:fill="auto"/>
            <w:vAlign w:val="center"/>
          </w:tcPr>
          <w:p w:rsidR="00411012" w:rsidRPr="00411012" w:rsidRDefault="00411012" w:rsidP="00411012">
            <w:pPr>
              <w:spacing w:line="276" w:lineRule="auto"/>
              <w:ind w:firstLine="0"/>
              <w:jc w:val="center"/>
            </w:pPr>
          </w:p>
        </w:tc>
        <w:tc>
          <w:tcPr>
            <w:tcW w:w="416" w:type="pct"/>
            <w:vAlign w:val="center"/>
          </w:tcPr>
          <w:p w:rsidR="00411012" w:rsidRPr="00411012" w:rsidRDefault="00411012" w:rsidP="00411012">
            <w:pPr>
              <w:spacing w:line="276" w:lineRule="auto"/>
              <w:ind w:firstLine="0"/>
              <w:jc w:val="center"/>
            </w:pPr>
          </w:p>
        </w:tc>
      </w:tr>
      <w:tr w:rsidR="00411012" w:rsidRPr="00411012" w:rsidTr="00411012">
        <w:trPr>
          <w:trHeight w:val="279"/>
        </w:trPr>
        <w:tc>
          <w:tcPr>
            <w:tcW w:w="1250" w:type="pct"/>
            <w:shd w:val="clear" w:color="auto" w:fill="auto"/>
          </w:tcPr>
          <w:p w:rsidR="00411012" w:rsidRPr="00411012" w:rsidRDefault="00411012" w:rsidP="00411012">
            <w:pPr>
              <w:spacing w:line="276" w:lineRule="auto"/>
              <w:ind w:firstLine="0"/>
              <w:jc w:val="left"/>
            </w:pPr>
            <w:r w:rsidRPr="00411012">
              <w:t xml:space="preserve">  </w:t>
            </w:r>
            <w:r w:rsidR="00C957A0">
              <w:t xml:space="preserve"> </w:t>
            </w:r>
            <w:r w:rsidRPr="00411012">
              <w:t>None</w:t>
            </w:r>
          </w:p>
        </w:tc>
        <w:tc>
          <w:tcPr>
            <w:tcW w:w="521" w:type="pct"/>
          </w:tcPr>
          <w:p w:rsidR="00411012" w:rsidRPr="00411012" w:rsidRDefault="00411012" w:rsidP="00411012">
            <w:pPr>
              <w:spacing w:line="276" w:lineRule="auto"/>
              <w:ind w:firstLine="0"/>
              <w:jc w:val="center"/>
            </w:pPr>
            <w:r w:rsidRPr="00411012">
              <w:t>1,028</w:t>
            </w:r>
          </w:p>
        </w:tc>
        <w:tc>
          <w:tcPr>
            <w:tcW w:w="556" w:type="pct"/>
            <w:shd w:val="clear" w:color="auto" w:fill="auto"/>
            <w:vAlign w:val="center"/>
          </w:tcPr>
          <w:p w:rsidR="00411012" w:rsidRPr="00411012" w:rsidRDefault="00411012" w:rsidP="00411012">
            <w:pPr>
              <w:spacing w:line="276" w:lineRule="auto"/>
              <w:ind w:firstLine="0"/>
              <w:jc w:val="center"/>
            </w:pPr>
            <w:r w:rsidRPr="00411012">
              <w:t>203(19.7)</w:t>
            </w:r>
          </w:p>
        </w:tc>
        <w:tc>
          <w:tcPr>
            <w:tcW w:w="555" w:type="pct"/>
            <w:shd w:val="clear" w:color="auto" w:fill="auto"/>
            <w:vAlign w:val="center"/>
          </w:tcPr>
          <w:p w:rsidR="00411012" w:rsidRPr="00411012" w:rsidRDefault="00411012" w:rsidP="00411012">
            <w:pPr>
              <w:spacing w:line="276" w:lineRule="auto"/>
              <w:ind w:firstLine="0"/>
              <w:jc w:val="center"/>
            </w:pPr>
            <w:r w:rsidRPr="00411012">
              <w:t>199(19.4)</w:t>
            </w:r>
          </w:p>
        </w:tc>
        <w:tc>
          <w:tcPr>
            <w:tcW w:w="555" w:type="pct"/>
            <w:shd w:val="clear" w:color="auto" w:fill="auto"/>
            <w:vAlign w:val="center"/>
          </w:tcPr>
          <w:p w:rsidR="00411012" w:rsidRPr="00411012" w:rsidRDefault="00411012" w:rsidP="00411012">
            <w:pPr>
              <w:spacing w:line="276" w:lineRule="auto"/>
              <w:ind w:firstLine="0"/>
              <w:jc w:val="center"/>
            </w:pPr>
            <w:r w:rsidRPr="00411012">
              <w:t>203(19.7)</w:t>
            </w:r>
          </w:p>
        </w:tc>
        <w:tc>
          <w:tcPr>
            <w:tcW w:w="556" w:type="pct"/>
            <w:shd w:val="clear" w:color="auto" w:fill="auto"/>
            <w:vAlign w:val="center"/>
          </w:tcPr>
          <w:p w:rsidR="00411012" w:rsidRPr="00411012" w:rsidRDefault="00411012" w:rsidP="00411012">
            <w:pPr>
              <w:spacing w:line="276" w:lineRule="auto"/>
              <w:ind w:firstLine="0"/>
              <w:jc w:val="center"/>
            </w:pPr>
            <w:r w:rsidRPr="00411012">
              <w:t>206(20.0)</w:t>
            </w:r>
          </w:p>
        </w:tc>
        <w:tc>
          <w:tcPr>
            <w:tcW w:w="591" w:type="pct"/>
            <w:shd w:val="clear" w:color="auto" w:fill="auto"/>
            <w:vAlign w:val="center"/>
          </w:tcPr>
          <w:p w:rsidR="00411012" w:rsidRPr="00411012" w:rsidRDefault="00411012" w:rsidP="00411012">
            <w:pPr>
              <w:spacing w:line="276" w:lineRule="auto"/>
              <w:ind w:firstLine="0"/>
              <w:jc w:val="center"/>
            </w:pPr>
            <w:r w:rsidRPr="00411012">
              <w:t>217(21.1)</w:t>
            </w:r>
          </w:p>
        </w:tc>
        <w:tc>
          <w:tcPr>
            <w:tcW w:w="416" w:type="pct"/>
            <w:vMerge w:val="restart"/>
            <w:vAlign w:val="center"/>
          </w:tcPr>
          <w:p w:rsidR="00411012" w:rsidRPr="00411012" w:rsidRDefault="001511EA" w:rsidP="00411012">
            <w:pPr>
              <w:spacing w:line="276" w:lineRule="auto"/>
              <w:ind w:firstLine="0"/>
              <w:jc w:val="center"/>
            </w:pPr>
            <w:r>
              <w:t>&lt;0.01</w:t>
            </w:r>
          </w:p>
        </w:tc>
      </w:tr>
      <w:tr w:rsidR="00411012" w:rsidRPr="00411012" w:rsidTr="00411012">
        <w:tc>
          <w:tcPr>
            <w:tcW w:w="1250" w:type="pct"/>
            <w:shd w:val="clear" w:color="auto" w:fill="auto"/>
          </w:tcPr>
          <w:p w:rsidR="00411012" w:rsidRPr="00411012" w:rsidRDefault="00411012" w:rsidP="00411012">
            <w:pPr>
              <w:spacing w:line="276" w:lineRule="auto"/>
              <w:ind w:firstLine="0"/>
              <w:jc w:val="left"/>
            </w:pPr>
            <w:r w:rsidRPr="00411012">
              <w:t xml:space="preserve">  </w:t>
            </w:r>
            <w:r w:rsidR="00C957A0">
              <w:t xml:space="preserve"> </w:t>
            </w:r>
            <w:r w:rsidRPr="00411012">
              <w:t>1-2</w:t>
            </w:r>
          </w:p>
        </w:tc>
        <w:tc>
          <w:tcPr>
            <w:tcW w:w="521" w:type="pct"/>
          </w:tcPr>
          <w:p w:rsidR="00411012" w:rsidRPr="00411012" w:rsidRDefault="00411012" w:rsidP="00411012">
            <w:pPr>
              <w:spacing w:line="276" w:lineRule="auto"/>
              <w:ind w:firstLine="0"/>
              <w:jc w:val="center"/>
            </w:pPr>
            <w:r w:rsidRPr="00411012">
              <w:t>4,372</w:t>
            </w:r>
          </w:p>
        </w:tc>
        <w:tc>
          <w:tcPr>
            <w:tcW w:w="556" w:type="pct"/>
            <w:shd w:val="clear" w:color="auto" w:fill="auto"/>
            <w:vAlign w:val="center"/>
          </w:tcPr>
          <w:p w:rsidR="00411012" w:rsidRPr="00411012" w:rsidRDefault="00411012" w:rsidP="00411012">
            <w:pPr>
              <w:spacing w:line="276" w:lineRule="auto"/>
              <w:ind w:firstLine="0"/>
              <w:jc w:val="center"/>
            </w:pPr>
            <w:r w:rsidRPr="00411012">
              <w:t>772(17.7)</w:t>
            </w:r>
          </w:p>
        </w:tc>
        <w:tc>
          <w:tcPr>
            <w:tcW w:w="555" w:type="pct"/>
            <w:shd w:val="clear" w:color="auto" w:fill="auto"/>
            <w:vAlign w:val="center"/>
          </w:tcPr>
          <w:p w:rsidR="00411012" w:rsidRPr="00411012" w:rsidRDefault="00411012" w:rsidP="00411012">
            <w:pPr>
              <w:spacing w:line="276" w:lineRule="auto"/>
              <w:ind w:firstLine="0"/>
              <w:jc w:val="center"/>
            </w:pPr>
            <w:r w:rsidRPr="00411012">
              <w:t>810(18.5)</w:t>
            </w:r>
          </w:p>
        </w:tc>
        <w:tc>
          <w:tcPr>
            <w:tcW w:w="555" w:type="pct"/>
            <w:shd w:val="clear" w:color="auto" w:fill="auto"/>
            <w:vAlign w:val="center"/>
          </w:tcPr>
          <w:p w:rsidR="00411012" w:rsidRPr="00411012" w:rsidRDefault="00411012" w:rsidP="00411012">
            <w:pPr>
              <w:spacing w:line="276" w:lineRule="auto"/>
              <w:ind w:firstLine="0"/>
              <w:jc w:val="center"/>
            </w:pPr>
            <w:r w:rsidRPr="00411012">
              <w:t>894(20.4)</w:t>
            </w:r>
          </w:p>
        </w:tc>
        <w:tc>
          <w:tcPr>
            <w:tcW w:w="556" w:type="pct"/>
            <w:shd w:val="clear" w:color="auto" w:fill="auto"/>
            <w:vAlign w:val="center"/>
          </w:tcPr>
          <w:p w:rsidR="00411012" w:rsidRPr="00411012" w:rsidRDefault="00411012" w:rsidP="00411012">
            <w:pPr>
              <w:spacing w:line="276" w:lineRule="auto"/>
              <w:ind w:firstLine="0"/>
              <w:jc w:val="center"/>
            </w:pPr>
            <w:r w:rsidRPr="00411012">
              <w:t>906(20.7)</w:t>
            </w:r>
          </w:p>
        </w:tc>
        <w:tc>
          <w:tcPr>
            <w:tcW w:w="591" w:type="pct"/>
            <w:shd w:val="clear" w:color="auto" w:fill="auto"/>
            <w:vAlign w:val="center"/>
          </w:tcPr>
          <w:p w:rsidR="00411012" w:rsidRPr="00411012" w:rsidRDefault="00411012" w:rsidP="00411012">
            <w:pPr>
              <w:spacing w:line="276" w:lineRule="auto"/>
              <w:ind w:firstLine="0"/>
              <w:jc w:val="center"/>
            </w:pPr>
            <w:r w:rsidRPr="00411012">
              <w:t>990(22.6)</w:t>
            </w:r>
          </w:p>
        </w:tc>
        <w:tc>
          <w:tcPr>
            <w:tcW w:w="416" w:type="pct"/>
            <w:vMerge/>
            <w:vAlign w:val="center"/>
          </w:tcPr>
          <w:p w:rsidR="00411012" w:rsidRPr="00411012" w:rsidRDefault="00411012" w:rsidP="00411012">
            <w:pPr>
              <w:spacing w:line="276" w:lineRule="auto"/>
              <w:ind w:firstLine="0"/>
              <w:jc w:val="center"/>
            </w:pPr>
          </w:p>
        </w:tc>
      </w:tr>
      <w:tr w:rsidR="00411012" w:rsidRPr="00411012" w:rsidTr="00411012">
        <w:trPr>
          <w:trHeight w:val="83"/>
        </w:trPr>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w:t>
            </w:r>
            <w:r w:rsidR="00C957A0">
              <w:t xml:space="preserve"> </w:t>
            </w:r>
            <w:r w:rsidRPr="00411012">
              <w:t>3-4</w:t>
            </w:r>
          </w:p>
        </w:tc>
        <w:tc>
          <w:tcPr>
            <w:tcW w:w="521" w:type="pct"/>
          </w:tcPr>
          <w:p w:rsidR="00411012" w:rsidRPr="00411012" w:rsidRDefault="00411012" w:rsidP="00411012">
            <w:pPr>
              <w:adjustRightInd w:val="0"/>
              <w:snapToGrid w:val="0"/>
              <w:spacing w:line="276" w:lineRule="auto"/>
              <w:ind w:firstLine="0"/>
              <w:jc w:val="center"/>
            </w:pPr>
            <w:r w:rsidRPr="00411012">
              <w:t>5,748</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1,084(18.9)</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1,156(20.1)</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1,155(20.0)</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1,184(20.6)</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1,169(20.3)</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rPr>
          <w:trHeight w:val="243"/>
        </w:trPr>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w:t>
            </w:r>
            <w:r w:rsidR="00C957A0">
              <w:t xml:space="preserve"> </w:t>
            </w:r>
            <w:r w:rsidRPr="00411012">
              <w:t>5+</w:t>
            </w:r>
          </w:p>
        </w:tc>
        <w:tc>
          <w:tcPr>
            <w:tcW w:w="521" w:type="pct"/>
            <w:vAlign w:val="center"/>
          </w:tcPr>
          <w:p w:rsidR="00411012" w:rsidRPr="00411012" w:rsidRDefault="00411012" w:rsidP="00411012">
            <w:pPr>
              <w:adjustRightInd w:val="0"/>
              <w:snapToGrid w:val="0"/>
              <w:spacing w:line="276" w:lineRule="auto"/>
              <w:ind w:firstLine="0"/>
              <w:jc w:val="center"/>
            </w:pPr>
            <w:r w:rsidRPr="00411012">
              <w:t>3,185</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802(25.2)</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696(21.9)</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609(19.1)</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565(17.7)</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486(15.3)</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3E4905" w:rsidP="00411012">
            <w:pPr>
              <w:adjustRightInd w:val="0"/>
              <w:snapToGrid w:val="0"/>
              <w:spacing w:line="276" w:lineRule="auto"/>
              <w:ind w:firstLine="0"/>
              <w:jc w:val="left"/>
            </w:pPr>
            <w:r>
              <w:t>Age at</w:t>
            </w:r>
            <w:r w:rsidR="00411012" w:rsidRPr="00411012">
              <w:t xml:space="preserve"> first live birth</w:t>
            </w:r>
            <w:r w:rsidR="00A77BD6">
              <w:t xml:space="preserve">, </w:t>
            </w:r>
            <w:r w:rsidR="00A77BD6" w:rsidRPr="00411012">
              <w:t>n (%)</w:t>
            </w:r>
          </w:p>
        </w:tc>
        <w:tc>
          <w:tcPr>
            <w:tcW w:w="521" w:type="pct"/>
          </w:tcPr>
          <w:p w:rsidR="00411012" w:rsidRPr="00411012" w:rsidRDefault="00411012" w:rsidP="00411012">
            <w:pPr>
              <w:adjustRightInd w:val="0"/>
              <w:snapToGrid w:val="0"/>
              <w:spacing w:line="276" w:lineRule="auto"/>
              <w:ind w:firstLine="0"/>
              <w:jc w:val="center"/>
            </w:pP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416" w:type="pct"/>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5B64F7" w:rsidP="00411012">
            <w:pPr>
              <w:adjustRightInd w:val="0"/>
              <w:snapToGrid w:val="0"/>
              <w:spacing w:line="276" w:lineRule="auto"/>
              <w:ind w:firstLine="0"/>
              <w:jc w:val="left"/>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-409575</wp:posOffset>
                      </wp:positionV>
                      <wp:extent cx="21145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4550" cy="304800"/>
                              </a:xfrm>
                              <a:prstGeom prst="rect">
                                <a:avLst/>
                              </a:prstGeom>
                              <a:noFill/>
                              <a:ln w="6350">
                                <a:noFill/>
                              </a:ln>
                            </wps:spPr>
                            <wps:txbx>
                              <w:txbxContent>
                                <w:p w:rsidR="0015147D" w:rsidRDefault="0015147D" w:rsidP="005B64F7">
                                  <w:pPr>
                                    <w:ind w:firstLine="0"/>
                                  </w:pPr>
                                  <w:r w:rsidRPr="005B64F7">
                                    <w:rPr>
                                      <w:b/>
                                    </w:rPr>
                                    <w:t>Table 2</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5pt;margin-top:-32.25pt;width:16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" filled="f" stroked="f" strokeweight=".5pt">
                      <v:textbox>
                        <w:txbxContent>
                          <w:p w:rsidR="0015147D" w:rsidRDefault="0015147D" w:rsidP="005B64F7">
                            <w:pPr>
                              <w:ind w:firstLine="0"/>
                            </w:pPr>
                            <w:r w:rsidRPr="005B64F7">
                              <w:rPr>
                                <w:b/>
                              </w:rPr>
                              <w:t>Table 2</w:t>
                            </w:r>
                            <w:r>
                              <w:t xml:space="preserve"> Continued</w:t>
                            </w:r>
                          </w:p>
                        </w:txbxContent>
                      </v:textbox>
                    </v:shape>
                  </w:pict>
                </mc:Fallback>
              </mc:AlternateContent>
            </w:r>
            <w:r w:rsidR="00411012" w:rsidRPr="00411012">
              <w:t xml:space="preserve">    &lt;20</w:t>
            </w:r>
          </w:p>
        </w:tc>
        <w:tc>
          <w:tcPr>
            <w:tcW w:w="521" w:type="pct"/>
          </w:tcPr>
          <w:p w:rsidR="00411012" w:rsidRPr="00411012" w:rsidRDefault="00411012" w:rsidP="00411012">
            <w:pPr>
              <w:adjustRightInd w:val="0"/>
              <w:snapToGrid w:val="0"/>
              <w:spacing w:line="276" w:lineRule="auto"/>
              <w:ind w:firstLine="0"/>
              <w:jc w:val="center"/>
            </w:pPr>
            <w:r w:rsidRPr="00411012">
              <w:t>2,420</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552(22.8)</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504(20.8)</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460(19.0)</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466(19.3)</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438(18.1)</w:t>
            </w:r>
          </w:p>
        </w:tc>
        <w:tc>
          <w:tcPr>
            <w:tcW w:w="416" w:type="pct"/>
            <w:vMerge w:val="restart"/>
            <w:vAlign w:val="center"/>
          </w:tcPr>
          <w:p w:rsidR="00411012" w:rsidRPr="00411012" w:rsidRDefault="001511EA" w:rsidP="00411012">
            <w:pPr>
              <w:adjustRightInd w:val="0"/>
              <w:snapToGrid w:val="0"/>
              <w:spacing w:line="276" w:lineRule="auto"/>
              <w:ind w:firstLine="0"/>
              <w:jc w:val="center"/>
            </w:pPr>
            <w:r>
              <w:t>&lt;0.01</w:t>
            </w: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21-25</w:t>
            </w:r>
          </w:p>
        </w:tc>
        <w:tc>
          <w:tcPr>
            <w:tcW w:w="521" w:type="pct"/>
          </w:tcPr>
          <w:p w:rsidR="00411012" w:rsidRPr="00411012" w:rsidRDefault="00411012" w:rsidP="00411012">
            <w:pPr>
              <w:adjustRightInd w:val="0"/>
              <w:snapToGrid w:val="0"/>
              <w:spacing w:line="276" w:lineRule="auto"/>
              <w:ind w:firstLine="0"/>
              <w:jc w:val="center"/>
            </w:pPr>
            <w:r w:rsidRPr="00411012">
              <w:t>5,357</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1,075(20.1)</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1,089(20.3)</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1,095(20.4)</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1,059(19.8)</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1,039(19.4)</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rPr>
          <w:trHeight w:val="207"/>
        </w:trPr>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26-30</w:t>
            </w:r>
          </w:p>
        </w:tc>
        <w:tc>
          <w:tcPr>
            <w:tcW w:w="521" w:type="pct"/>
          </w:tcPr>
          <w:p w:rsidR="00411012" w:rsidRPr="00411012" w:rsidRDefault="00411012" w:rsidP="00411012">
            <w:pPr>
              <w:adjustRightInd w:val="0"/>
              <w:snapToGrid w:val="0"/>
              <w:spacing w:line="276" w:lineRule="auto"/>
              <w:ind w:firstLine="0"/>
              <w:jc w:val="center"/>
            </w:pPr>
            <w:r w:rsidRPr="00411012">
              <w:t>3,962</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738(18.6)</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779(19.7)</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806(20.3)</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812(20.5)</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827(20.9)</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rPr>
          <w:trHeight w:val="279"/>
        </w:trPr>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31+</w:t>
            </w:r>
          </w:p>
        </w:tc>
        <w:tc>
          <w:tcPr>
            <w:tcW w:w="521" w:type="pct"/>
          </w:tcPr>
          <w:p w:rsidR="00411012" w:rsidRPr="00411012" w:rsidRDefault="00411012" w:rsidP="00411012">
            <w:pPr>
              <w:adjustRightInd w:val="0"/>
              <w:snapToGrid w:val="0"/>
              <w:spacing w:line="276" w:lineRule="auto"/>
              <w:ind w:firstLine="0"/>
              <w:jc w:val="center"/>
            </w:pPr>
            <w:r w:rsidRPr="00411012">
              <w:t>1,526</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292(19.1)</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288(18.9)</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293(19.2)</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315(20.6)</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338(22.1)</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 xml:space="preserve">    </w:t>
            </w:r>
            <w:proofErr w:type="spellStart"/>
            <w:r w:rsidRPr="00411012">
              <w:t>Nulliporous</w:t>
            </w:r>
            <w:proofErr w:type="spellEnd"/>
          </w:p>
        </w:tc>
        <w:tc>
          <w:tcPr>
            <w:tcW w:w="521" w:type="pct"/>
          </w:tcPr>
          <w:p w:rsidR="00411012" w:rsidRPr="00411012" w:rsidRDefault="00411012" w:rsidP="00411012">
            <w:pPr>
              <w:adjustRightInd w:val="0"/>
              <w:snapToGrid w:val="0"/>
              <w:spacing w:line="276" w:lineRule="auto"/>
              <w:ind w:firstLine="0"/>
              <w:jc w:val="center"/>
            </w:pPr>
            <w:r w:rsidRPr="00411012">
              <w:t>1,028</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203(19.7)</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199(19.4)</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203(19.7)</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206(20.0)</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217(21.1)</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t>Age at menarche</w:t>
            </w:r>
            <w:r w:rsidR="00A77BD6">
              <w:t xml:space="preserve">, </w:t>
            </w:r>
            <w:r w:rsidR="00A77BD6" w:rsidRPr="00411012">
              <w:t>n (%)</w:t>
            </w:r>
          </w:p>
        </w:tc>
        <w:tc>
          <w:tcPr>
            <w:tcW w:w="521" w:type="pct"/>
          </w:tcPr>
          <w:p w:rsidR="00411012" w:rsidRPr="00411012" w:rsidRDefault="00411012" w:rsidP="00411012">
            <w:pPr>
              <w:adjustRightInd w:val="0"/>
              <w:snapToGrid w:val="0"/>
              <w:spacing w:line="276" w:lineRule="auto"/>
              <w:ind w:firstLine="0"/>
              <w:jc w:val="center"/>
            </w:pP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p>
        </w:tc>
        <w:tc>
          <w:tcPr>
            <w:tcW w:w="416" w:type="pct"/>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rPr>
                <w:lang w:eastAsia="zh-CN"/>
              </w:rPr>
              <w:t xml:space="preserve">   &lt;13</w:t>
            </w:r>
          </w:p>
        </w:tc>
        <w:tc>
          <w:tcPr>
            <w:tcW w:w="521" w:type="pct"/>
          </w:tcPr>
          <w:p w:rsidR="00411012" w:rsidRPr="00411012" w:rsidRDefault="00411012" w:rsidP="00411012">
            <w:pPr>
              <w:adjustRightInd w:val="0"/>
              <w:snapToGrid w:val="0"/>
              <w:spacing w:line="276" w:lineRule="auto"/>
              <w:ind w:firstLine="0"/>
              <w:jc w:val="center"/>
            </w:pPr>
            <w:r w:rsidRPr="00411012">
              <w:t>3,536</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480(13.6)</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611(17.3)</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704(20.0)</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820(23.2)</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921(26.1)</w:t>
            </w:r>
          </w:p>
        </w:tc>
        <w:tc>
          <w:tcPr>
            <w:tcW w:w="416" w:type="pct"/>
            <w:vMerge w:val="restart"/>
            <w:vAlign w:val="center"/>
          </w:tcPr>
          <w:p w:rsidR="00411012" w:rsidRPr="00411012" w:rsidRDefault="00563ECB" w:rsidP="00411012">
            <w:pPr>
              <w:adjustRightInd w:val="0"/>
              <w:snapToGrid w:val="0"/>
              <w:spacing w:line="276" w:lineRule="auto"/>
              <w:ind w:firstLine="0"/>
              <w:jc w:val="center"/>
            </w:pPr>
            <w:r>
              <w:t>0.54</w:t>
            </w: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rPr>
                <w:lang w:eastAsia="zh-CN"/>
              </w:rPr>
              <w:t xml:space="preserve">   13-14</w:t>
            </w:r>
          </w:p>
        </w:tc>
        <w:tc>
          <w:tcPr>
            <w:tcW w:w="521" w:type="pct"/>
          </w:tcPr>
          <w:p w:rsidR="00411012" w:rsidRPr="00411012" w:rsidRDefault="00411012" w:rsidP="00411012">
            <w:pPr>
              <w:adjustRightInd w:val="0"/>
              <w:snapToGrid w:val="0"/>
              <w:spacing w:line="276" w:lineRule="auto"/>
              <w:ind w:firstLine="0"/>
              <w:jc w:val="center"/>
            </w:pPr>
            <w:r w:rsidRPr="00411012">
              <w:t>5,238</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890(17.0)</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964(18.4)</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1,031(19.7)</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1,128(21.5)</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1,225(23.4)</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rPr>
                <w:lang w:eastAsia="zh-CN"/>
              </w:rPr>
              <w:t xml:space="preserve">   15-16</w:t>
            </w:r>
          </w:p>
        </w:tc>
        <w:tc>
          <w:tcPr>
            <w:tcW w:w="521" w:type="pct"/>
          </w:tcPr>
          <w:p w:rsidR="00411012" w:rsidRPr="00411012" w:rsidRDefault="00411012" w:rsidP="00411012">
            <w:pPr>
              <w:adjustRightInd w:val="0"/>
              <w:snapToGrid w:val="0"/>
              <w:spacing w:line="276" w:lineRule="auto"/>
              <w:ind w:firstLine="0"/>
              <w:jc w:val="center"/>
            </w:pPr>
            <w:r w:rsidRPr="00411012">
              <w:t>4,101</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746(18.2)</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793(19.3)</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811(19.8)</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867(21.1)</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884(21.6)</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411012" w:rsidRPr="00411012" w:rsidTr="00411012">
        <w:tc>
          <w:tcPr>
            <w:tcW w:w="1250" w:type="pct"/>
            <w:shd w:val="clear" w:color="auto" w:fill="auto"/>
          </w:tcPr>
          <w:p w:rsidR="00411012" w:rsidRPr="00411012" w:rsidRDefault="00411012" w:rsidP="00411012">
            <w:pPr>
              <w:adjustRightInd w:val="0"/>
              <w:snapToGrid w:val="0"/>
              <w:spacing w:line="276" w:lineRule="auto"/>
              <w:ind w:firstLine="0"/>
              <w:jc w:val="left"/>
            </w:pPr>
            <w:r w:rsidRPr="00411012">
              <w:rPr>
                <w:lang w:eastAsia="zh-CN"/>
              </w:rPr>
              <w:t xml:space="preserve">   17+</w:t>
            </w:r>
          </w:p>
        </w:tc>
        <w:tc>
          <w:tcPr>
            <w:tcW w:w="521" w:type="pct"/>
          </w:tcPr>
          <w:p w:rsidR="00411012" w:rsidRPr="00411012" w:rsidRDefault="00411012" w:rsidP="00411012">
            <w:pPr>
              <w:adjustRightInd w:val="0"/>
              <w:snapToGrid w:val="0"/>
              <w:spacing w:line="276" w:lineRule="auto"/>
              <w:ind w:firstLine="0"/>
              <w:jc w:val="center"/>
            </w:pPr>
            <w:r w:rsidRPr="00411012">
              <w:t>1,430</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263(18.4)</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298(20.8)</w:t>
            </w:r>
          </w:p>
        </w:tc>
        <w:tc>
          <w:tcPr>
            <w:tcW w:w="555"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277(19.4)</w:t>
            </w:r>
          </w:p>
        </w:tc>
        <w:tc>
          <w:tcPr>
            <w:tcW w:w="556" w:type="pct"/>
            <w:shd w:val="clear" w:color="auto" w:fill="auto"/>
            <w:vAlign w:val="center"/>
          </w:tcPr>
          <w:p w:rsidR="00411012" w:rsidRPr="00411012" w:rsidRDefault="00411012" w:rsidP="00411012">
            <w:pPr>
              <w:adjustRightInd w:val="0"/>
              <w:snapToGrid w:val="0"/>
              <w:spacing w:line="276" w:lineRule="auto"/>
              <w:ind w:firstLine="0"/>
              <w:jc w:val="center"/>
            </w:pPr>
            <w:r w:rsidRPr="00411012">
              <w:t>320(22.4)</w:t>
            </w:r>
          </w:p>
        </w:tc>
        <w:tc>
          <w:tcPr>
            <w:tcW w:w="591" w:type="pct"/>
            <w:shd w:val="clear" w:color="auto" w:fill="auto"/>
            <w:vAlign w:val="center"/>
          </w:tcPr>
          <w:p w:rsidR="00411012" w:rsidRPr="00411012" w:rsidRDefault="00411012" w:rsidP="00411012">
            <w:pPr>
              <w:adjustRightInd w:val="0"/>
              <w:snapToGrid w:val="0"/>
              <w:spacing w:line="276" w:lineRule="auto"/>
              <w:ind w:firstLine="0"/>
              <w:jc w:val="center"/>
            </w:pPr>
            <w:r w:rsidRPr="00411012">
              <w:t>272(19.0)</w:t>
            </w:r>
          </w:p>
        </w:tc>
        <w:tc>
          <w:tcPr>
            <w:tcW w:w="416" w:type="pct"/>
            <w:vMerge/>
            <w:vAlign w:val="center"/>
          </w:tcPr>
          <w:p w:rsidR="00411012" w:rsidRPr="00411012" w:rsidRDefault="00411012" w:rsidP="00411012">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Menopausal status</w:t>
            </w:r>
            <w:r>
              <w:t xml:space="preserve">, </w:t>
            </w:r>
            <w:r w:rsidRPr="00411012">
              <w:t>n (%)</w:t>
            </w:r>
          </w:p>
        </w:tc>
        <w:tc>
          <w:tcPr>
            <w:tcW w:w="521" w:type="pct"/>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416" w:type="pct"/>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Still menstruating</w:t>
            </w:r>
          </w:p>
        </w:tc>
        <w:tc>
          <w:tcPr>
            <w:tcW w:w="521" w:type="pct"/>
          </w:tcPr>
          <w:p w:rsidR="00563ECB" w:rsidRPr="00411012" w:rsidRDefault="00563ECB" w:rsidP="00563ECB">
            <w:pPr>
              <w:adjustRightInd w:val="0"/>
              <w:snapToGrid w:val="0"/>
              <w:spacing w:line="276" w:lineRule="auto"/>
              <w:ind w:firstLine="0"/>
              <w:jc w:val="center"/>
            </w:pPr>
            <w:r w:rsidRPr="00411012">
              <w:t>1,474</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150(10.2)</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238(16.2)</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292(19.8)</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329(22.3)</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465(31.6)</w:t>
            </w:r>
          </w:p>
        </w:tc>
        <w:tc>
          <w:tcPr>
            <w:tcW w:w="416" w:type="pct"/>
            <w:vMerge w:val="restart"/>
            <w:vAlign w:val="center"/>
          </w:tcPr>
          <w:p w:rsidR="00563ECB" w:rsidRPr="00411012" w:rsidRDefault="00563ECB" w:rsidP="00563ECB">
            <w:pPr>
              <w:adjustRightInd w:val="0"/>
              <w:snapToGrid w:val="0"/>
              <w:spacing w:line="276" w:lineRule="auto"/>
              <w:ind w:firstLine="0"/>
              <w:jc w:val="center"/>
            </w:pPr>
            <w:r w:rsidRPr="00411012">
              <w:t>0.0</w:t>
            </w:r>
            <w:r>
              <w:t>3</w:t>
            </w: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Postmenopausal</w:t>
            </w:r>
          </w:p>
        </w:tc>
        <w:tc>
          <w:tcPr>
            <w:tcW w:w="521" w:type="pct"/>
          </w:tcPr>
          <w:p w:rsidR="00563ECB" w:rsidRPr="00411012" w:rsidRDefault="00563ECB" w:rsidP="00563ECB">
            <w:pPr>
              <w:adjustRightInd w:val="0"/>
              <w:snapToGrid w:val="0"/>
              <w:spacing w:line="276" w:lineRule="auto"/>
              <w:ind w:firstLine="0"/>
              <w:jc w:val="center"/>
            </w:pPr>
            <w:r w:rsidRPr="00411012">
              <w:t>12,671</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2,195(17.3)</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2,399(18.9)</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2,503(19.8)</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2,774(21.9)</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2,800(22.1)</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Age at menopause</w:t>
            </w:r>
            <w:r>
              <w:t xml:space="preserve">, </w:t>
            </w:r>
            <w:r w:rsidRPr="00411012">
              <w:t>n (%)</w:t>
            </w:r>
          </w:p>
        </w:tc>
        <w:tc>
          <w:tcPr>
            <w:tcW w:w="521" w:type="pct"/>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416" w:type="pct"/>
            <w:vAlign w:val="center"/>
          </w:tcPr>
          <w:p w:rsidR="00563ECB" w:rsidRPr="00411012" w:rsidRDefault="00563ECB" w:rsidP="00563ECB">
            <w:pPr>
              <w:adjustRightInd w:val="0"/>
              <w:snapToGrid w:val="0"/>
              <w:spacing w:line="276" w:lineRule="auto"/>
              <w:ind w:firstLine="0"/>
              <w:jc w:val="center"/>
            </w:pPr>
          </w:p>
        </w:tc>
      </w:tr>
      <w:tr w:rsidR="00563ECB" w:rsidRPr="00411012" w:rsidTr="00411012">
        <w:trPr>
          <w:trHeight w:val="252"/>
        </w:trPr>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Still have period</w:t>
            </w:r>
          </w:p>
        </w:tc>
        <w:tc>
          <w:tcPr>
            <w:tcW w:w="521" w:type="pct"/>
          </w:tcPr>
          <w:p w:rsidR="00563ECB" w:rsidRPr="00411012" w:rsidRDefault="00563ECB" w:rsidP="00563ECB">
            <w:pPr>
              <w:adjustRightInd w:val="0"/>
              <w:snapToGrid w:val="0"/>
              <w:spacing w:line="276" w:lineRule="auto"/>
              <w:ind w:firstLine="0"/>
              <w:jc w:val="center"/>
            </w:pPr>
            <w:r w:rsidRPr="00411012">
              <w:t>4,688</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623(13.3)</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821(17.5)</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989(21.1)</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1,064(22.7)</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1,191(25.4)</w:t>
            </w:r>
          </w:p>
        </w:tc>
        <w:tc>
          <w:tcPr>
            <w:tcW w:w="416" w:type="pct"/>
            <w:vMerge w:val="restart"/>
            <w:vAlign w:val="center"/>
          </w:tcPr>
          <w:p w:rsidR="00563ECB" w:rsidRPr="00411012" w:rsidRDefault="001511EA" w:rsidP="00563ECB">
            <w:pPr>
              <w:adjustRightInd w:val="0"/>
              <w:snapToGrid w:val="0"/>
              <w:spacing w:line="276" w:lineRule="auto"/>
              <w:ind w:firstLine="0"/>
              <w:jc w:val="center"/>
            </w:pPr>
            <w:r>
              <w:t>&lt;0.01</w:t>
            </w: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&lt;40</w:t>
            </w:r>
          </w:p>
        </w:tc>
        <w:tc>
          <w:tcPr>
            <w:tcW w:w="521" w:type="pct"/>
          </w:tcPr>
          <w:p w:rsidR="00563ECB" w:rsidRPr="00411012" w:rsidRDefault="00563ECB" w:rsidP="00563ECB">
            <w:pPr>
              <w:adjustRightInd w:val="0"/>
              <w:snapToGrid w:val="0"/>
              <w:spacing w:line="276" w:lineRule="auto"/>
              <w:ind w:firstLine="0"/>
              <w:jc w:val="center"/>
            </w:pPr>
            <w:r w:rsidRPr="00411012">
              <w:t>353</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77(21.8)</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66(18.7)</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66(18.7)</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79(22.4)</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65(18.4)</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40-44</w:t>
            </w:r>
          </w:p>
        </w:tc>
        <w:tc>
          <w:tcPr>
            <w:tcW w:w="521" w:type="pct"/>
          </w:tcPr>
          <w:p w:rsidR="00563ECB" w:rsidRPr="00411012" w:rsidRDefault="00563ECB" w:rsidP="00563ECB">
            <w:pPr>
              <w:adjustRightInd w:val="0"/>
              <w:snapToGrid w:val="0"/>
              <w:spacing w:line="276" w:lineRule="auto"/>
              <w:ind w:firstLine="0"/>
              <w:jc w:val="center"/>
            </w:pPr>
            <w:r w:rsidRPr="00411012">
              <w:t>884</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190(21.5)</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161(18.2)</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180(20.4)</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165(18.7)</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188(21.3)</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45-49</w:t>
            </w:r>
          </w:p>
        </w:tc>
        <w:tc>
          <w:tcPr>
            <w:tcW w:w="521" w:type="pct"/>
          </w:tcPr>
          <w:p w:rsidR="00563ECB" w:rsidRPr="00411012" w:rsidRDefault="00563ECB" w:rsidP="00563ECB">
            <w:pPr>
              <w:adjustRightInd w:val="0"/>
              <w:snapToGrid w:val="0"/>
              <w:spacing w:line="276" w:lineRule="auto"/>
              <w:ind w:firstLine="0"/>
              <w:jc w:val="center"/>
            </w:pPr>
            <w:r w:rsidRPr="00411012">
              <w:t>3,091</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696(22.5)</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630(20.4)</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621(20.1)</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563(18.2)</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581(18.8)</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50-54</w:t>
            </w:r>
          </w:p>
        </w:tc>
        <w:tc>
          <w:tcPr>
            <w:tcW w:w="521" w:type="pct"/>
          </w:tcPr>
          <w:p w:rsidR="00563ECB" w:rsidRPr="00411012" w:rsidRDefault="00563ECB" w:rsidP="00563ECB">
            <w:pPr>
              <w:adjustRightInd w:val="0"/>
              <w:snapToGrid w:val="0"/>
              <w:spacing w:line="276" w:lineRule="auto"/>
              <w:ind w:firstLine="0"/>
              <w:jc w:val="center"/>
            </w:pPr>
            <w:r w:rsidRPr="00411012">
              <w:t>4,576</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1,085(23.7)</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1,027(22.4)</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877(19.2)</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858(18.8)</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729(15.9)</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rPr>
          <w:trHeight w:val="297"/>
        </w:trPr>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55+</w:t>
            </w:r>
          </w:p>
        </w:tc>
        <w:tc>
          <w:tcPr>
            <w:tcW w:w="521" w:type="pct"/>
          </w:tcPr>
          <w:p w:rsidR="00563ECB" w:rsidRPr="00411012" w:rsidRDefault="00563ECB" w:rsidP="00563ECB">
            <w:pPr>
              <w:adjustRightInd w:val="0"/>
              <w:snapToGrid w:val="0"/>
              <w:spacing w:line="276" w:lineRule="auto"/>
              <w:ind w:firstLine="0"/>
              <w:jc w:val="center"/>
            </w:pPr>
            <w:r w:rsidRPr="00411012">
              <w:t>693</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187(27.0)</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152(21.9)</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1,28(18.5)</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125(18.0)</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rPr>
                <w:lang w:eastAsia="zh-CN"/>
              </w:rPr>
            </w:pPr>
            <w:r w:rsidRPr="00411012">
              <w:t>101(14.6)</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Use of OC</w:t>
            </w:r>
            <w:r>
              <w:t xml:space="preserve">, </w:t>
            </w:r>
            <w:r w:rsidRPr="00411012">
              <w:t>n (%)</w:t>
            </w:r>
          </w:p>
        </w:tc>
        <w:tc>
          <w:tcPr>
            <w:tcW w:w="521" w:type="pct"/>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416" w:type="pct"/>
            <w:vAlign w:val="center"/>
          </w:tcPr>
          <w:p w:rsidR="00563ECB" w:rsidRPr="00411012" w:rsidRDefault="00563ECB" w:rsidP="00563ECB">
            <w:pPr>
              <w:adjustRightInd w:val="0"/>
              <w:snapToGrid w:val="0"/>
              <w:spacing w:line="276" w:lineRule="auto"/>
              <w:ind w:firstLine="0"/>
              <w:jc w:val="center"/>
            </w:pPr>
          </w:p>
        </w:tc>
      </w:tr>
      <w:tr w:rsidR="00563ECB" w:rsidRPr="00411012" w:rsidTr="00411012">
        <w:trPr>
          <w:trHeight w:val="279"/>
        </w:trPr>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Never users</w:t>
            </w:r>
          </w:p>
        </w:tc>
        <w:tc>
          <w:tcPr>
            <w:tcW w:w="521" w:type="pct"/>
          </w:tcPr>
          <w:p w:rsidR="00563ECB" w:rsidRPr="00411012" w:rsidRDefault="00563ECB" w:rsidP="00563ECB">
            <w:pPr>
              <w:adjustRightInd w:val="0"/>
              <w:snapToGrid w:val="0"/>
              <w:spacing w:line="276" w:lineRule="auto"/>
              <w:ind w:firstLine="0"/>
              <w:jc w:val="center"/>
            </w:pPr>
            <w:r w:rsidRPr="00411012">
              <w:t>9,888</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2,082(21.1)</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1,989(20.1)</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1,948(19.7)</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1,929(19.5)</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1,940(19.6)</w:t>
            </w:r>
          </w:p>
        </w:tc>
        <w:tc>
          <w:tcPr>
            <w:tcW w:w="416" w:type="pct"/>
            <w:vMerge w:val="restart"/>
            <w:vAlign w:val="center"/>
          </w:tcPr>
          <w:p w:rsidR="00563ECB" w:rsidRPr="00411012" w:rsidRDefault="001511EA" w:rsidP="00563ECB">
            <w:pPr>
              <w:adjustRightInd w:val="0"/>
              <w:snapToGrid w:val="0"/>
              <w:spacing w:line="276" w:lineRule="auto"/>
              <w:ind w:firstLine="0"/>
              <w:jc w:val="center"/>
            </w:pPr>
            <w:r>
              <w:t>0.00</w:t>
            </w: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t xml:space="preserve">   Ever used</w:t>
            </w:r>
          </w:p>
        </w:tc>
        <w:tc>
          <w:tcPr>
            <w:tcW w:w="521" w:type="pct"/>
          </w:tcPr>
          <w:p w:rsidR="00563ECB" w:rsidRPr="00411012" w:rsidRDefault="00563ECB" w:rsidP="00563ECB">
            <w:pPr>
              <w:adjustRightInd w:val="0"/>
              <w:snapToGrid w:val="0"/>
              <w:spacing w:line="276" w:lineRule="auto"/>
              <w:ind w:firstLine="0"/>
              <w:jc w:val="center"/>
            </w:pPr>
            <w:r w:rsidRPr="00411012">
              <w:t>4,416</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779(17.6)</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872(19.7)</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913(20.7)</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932(21.1)</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920(20.8)</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3E4905" w:rsidP="00563ECB">
            <w:pPr>
              <w:adjustRightInd w:val="0"/>
              <w:snapToGrid w:val="0"/>
              <w:spacing w:line="276" w:lineRule="auto"/>
              <w:ind w:firstLine="0"/>
              <w:jc w:val="left"/>
            </w:pPr>
            <w:r>
              <w:t>Use of MHT</w:t>
            </w:r>
            <w:r w:rsidR="00563ECB">
              <w:t xml:space="preserve">, </w:t>
            </w:r>
            <w:r w:rsidR="00563ECB" w:rsidRPr="00411012">
              <w:t>n (%)</w:t>
            </w:r>
          </w:p>
        </w:tc>
        <w:tc>
          <w:tcPr>
            <w:tcW w:w="521" w:type="pct"/>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416" w:type="pct"/>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 xml:space="preserve">   Never users</w:t>
            </w:r>
          </w:p>
        </w:tc>
        <w:tc>
          <w:tcPr>
            <w:tcW w:w="521" w:type="pct"/>
          </w:tcPr>
          <w:p w:rsidR="00563ECB" w:rsidRPr="00411012" w:rsidRDefault="00563ECB" w:rsidP="00563ECB">
            <w:pPr>
              <w:adjustRightInd w:val="0"/>
              <w:snapToGrid w:val="0"/>
              <w:spacing w:line="276" w:lineRule="auto"/>
              <w:ind w:firstLine="0"/>
              <w:jc w:val="center"/>
            </w:pPr>
            <w:r w:rsidRPr="00411012">
              <w:t>10,579</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1,916(18.1)</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2,040(19.3)</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2,082(19.7)</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2,287(21.6)</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2,254(21.3)</w:t>
            </w:r>
          </w:p>
        </w:tc>
        <w:tc>
          <w:tcPr>
            <w:tcW w:w="416" w:type="pct"/>
            <w:vMerge w:val="restart"/>
            <w:vAlign w:val="center"/>
          </w:tcPr>
          <w:p w:rsidR="00563ECB" w:rsidRPr="00411012" w:rsidRDefault="00563ECB" w:rsidP="00563ECB">
            <w:pPr>
              <w:adjustRightInd w:val="0"/>
              <w:snapToGrid w:val="0"/>
              <w:spacing w:line="276" w:lineRule="auto"/>
              <w:ind w:firstLine="0"/>
              <w:jc w:val="center"/>
            </w:pPr>
            <w:r>
              <w:t>0.19</w:t>
            </w: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 xml:space="preserve">   Ever used</w:t>
            </w:r>
          </w:p>
        </w:tc>
        <w:tc>
          <w:tcPr>
            <w:tcW w:w="521" w:type="pct"/>
          </w:tcPr>
          <w:p w:rsidR="00563ECB" w:rsidRPr="00411012" w:rsidRDefault="00563ECB" w:rsidP="00563ECB">
            <w:pPr>
              <w:adjustRightInd w:val="0"/>
              <w:snapToGrid w:val="0"/>
              <w:spacing w:line="276" w:lineRule="auto"/>
              <w:ind w:firstLine="0"/>
              <w:jc w:val="center"/>
            </w:pPr>
            <w:r w:rsidRPr="00411012">
              <w:t>3,727</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463(12.4)</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626(16.8)</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741(19.9)</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848(22.8)</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1,049(28.2)</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Family history of breast cancer</w:t>
            </w:r>
            <w:r>
              <w:rPr>
                <w:lang w:eastAsia="zh-CN"/>
              </w:rPr>
              <w:t xml:space="preserve">, </w:t>
            </w:r>
            <w:r w:rsidRPr="00411012">
              <w:t>n (%)</w:t>
            </w:r>
          </w:p>
        </w:tc>
        <w:tc>
          <w:tcPr>
            <w:tcW w:w="521" w:type="pct"/>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416" w:type="pct"/>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 xml:space="preserve">   No</w:t>
            </w:r>
          </w:p>
        </w:tc>
        <w:tc>
          <w:tcPr>
            <w:tcW w:w="521" w:type="pct"/>
          </w:tcPr>
          <w:p w:rsidR="00563ECB" w:rsidRPr="00411012" w:rsidRDefault="00563ECB" w:rsidP="00563ECB">
            <w:pPr>
              <w:adjustRightInd w:val="0"/>
              <w:snapToGrid w:val="0"/>
              <w:spacing w:line="276" w:lineRule="auto"/>
              <w:ind w:firstLine="0"/>
              <w:jc w:val="center"/>
            </w:pPr>
            <w:r w:rsidRPr="00411012">
              <w:t>1,4066</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2,357(16.8)</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2,614(18.6)</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2,774(19.7)</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3,085(21.9)</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3,236(23.0)</w:t>
            </w:r>
          </w:p>
        </w:tc>
        <w:tc>
          <w:tcPr>
            <w:tcW w:w="416" w:type="pct"/>
            <w:vMerge w:val="restart"/>
            <w:vAlign w:val="center"/>
          </w:tcPr>
          <w:p w:rsidR="00563ECB" w:rsidRPr="00411012" w:rsidRDefault="00563ECB" w:rsidP="00563ECB">
            <w:pPr>
              <w:adjustRightInd w:val="0"/>
              <w:snapToGrid w:val="0"/>
              <w:spacing w:line="276" w:lineRule="auto"/>
              <w:ind w:firstLine="0"/>
              <w:jc w:val="center"/>
            </w:pPr>
            <w:r>
              <w:t>0.18</w:t>
            </w: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lastRenderedPageBreak/>
              <w:t xml:space="preserve">   Yes</w:t>
            </w:r>
          </w:p>
        </w:tc>
        <w:tc>
          <w:tcPr>
            <w:tcW w:w="521" w:type="pct"/>
          </w:tcPr>
          <w:p w:rsidR="00563ECB" w:rsidRPr="00411012" w:rsidRDefault="00563ECB" w:rsidP="00563ECB">
            <w:pPr>
              <w:adjustRightInd w:val="0"/>
              <w:snapToGrid w:val="0"/>
              <w:spacing w:line="276" w:lineRule="auto"/>
              <w:ind w:firstLine="0"/>
              <w:jc w:val="center"/>
            </w:pPr>
            <w:r w:rsidRPr="00411012">
              <w:t>240</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22(9.2)</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52(21.7)</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49(20.4)</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50(20.8)</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67(27.9)</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Physical activity (weekly moderate activity)</w:t>
            </w:r>
            <w:r>
              <w:rPr>
                <w:lang w:eastAsia="zh-CN"/>
              </w:rPr>
              <w:t xml:space="preserve">, </w:t>
            </w:r>
            <w:r w:rsidRPr="00411012">
              <w:t>n (%)</w:t>
            </w:r>
          </w:p>
        </w:tc>
        <w:tc>
          <w:tcPr>
            <w:tcW w:w="521" w:type="pct"/>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p>
        </w:tc>
        <w:tc>
          <w:tcPr>
            <w:tcW w:w="416" w:type="pct"/>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 xml:space="preserve">   No </w:t>
            </w:r>
          </w:p>
        </w:tc>
        <w:tc>
          <w:tcPr>
            <w:tcW w:w="521" w:type="pct"/>
          </w:tcPr>
          <w:p w:rsidR="00563ECB" w:rsidRPr="00411012" w:rsidRDefault="00563ECB" w:rsidP="00563ECB">
            <w:pPr>
              <w:adjustRightInd w:val="0"/>
              <w:snapToGrid w:val="0"/>
              <w:spacing w:line="276" w:lineRule="auto"/>
              <w:ind w:firstLine="0"/>
              <w:jc w:val="center"/>
            </w:pPr>
            <w:r w:rsidRPr="00411012">
              <w:t>11,212</w:t>
            </w:r>
          </w:p>
        </w:tc>
        <w:tc>
          <w:tcPr>
            <w:tcW w:w="556" w:type="pct"/>
            <w:shd w:val="clear" w:color="auto" w:fill="auto"/>
          </w:tcPr>
          <w:p w:rsidR="00563ECB" w:rsidRPr="00411012" w:rsidRDefault="00563ECB" w:rsidP="00563ECB">
            <w:pPr>
              <w:adjustRightInd w:val="0"/>
              <w:snapToGrid w:val="0"/>
              <w:spacing w:line="276" w:lineRule="auto"/>
              <w:ind w:firstLine="0"/>
              <w:jc w:val="center"/>
            </w:pPr>
            <w:r w:rsidRPr="00411012">
              <w:t>1,836(16.4)</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2,077(18.5)</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2,226(19.9)</w:t>
            </w:r>
          </w:p>
        </w:tc>
        <w:tc>
          <w:tcPr>
            <w:tcW w:w="556" w:type="pct"/>
            <w:shd w:val="clear" w:color="auto" w:fill="auto"/>
            <w:vAlign w:val="center"/>
          </w:tcPr>
          <w:p w:rsidR="00563ECB" w:rsidRPr="00411012" w:rsidRDefault="00563ECB" w:rsidP="00563ECB">
            <w:pPr>
              <w:adjustRightInd w:val="0"/>
              <w:snapToGrid w:val="0"/>
              <w:spacing w:line="276" w:lineRule="auto"/>
              <w:ind w:firstLine="0"/>
              <w:jc w:val="left"/>
            </w:pPr>
            <w:r w:rsidRPr="00411012">
              <w:t>2,487(22.2)</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2,586(23.1)</w:t>
            </w:r>
          </w:p>
        </w:tc>
        <w:tc>
          <w:tcPr>
            <w:tcW w:w="416" w:type="pct"/>
            <w:vMerge w:val="restart"/>
            <w:vAlign w:val="center"/>
          </w:tcPr>
          <w:p w:rsidR="00563ECB" w:rsidRPr="00411012" w:rsidRDefault="00563ECB" w:rsidP="00563ECB">
            <w:pPr>
              <w:adjustRightInd w:val="0"/>
              <w:snapToGrid w:val="0"/>
              <w:spacing w:line="276" w:lineRule="auto"/>
              <w:ind w:firstLine="0"/>
              <w:jc w:val="center"/>
            </w:pPr>
            <w:r>
              <w:t>0.71</w:t>
            </w:r>
          </w:p>
        </w:tc>
      </w:tr>
      <w:tr w:rsidR="00563ECB" w:rsidRPr="00411012" w:rsidTr="00411012">
        <w:tc>
          <w:tcPr>
            <w:tcW w:w="1250" w:type="pct"/>
            <w:shd w:val="clear" w:color="auto" w:fill="auto"/>
          </w:tcPr>
          <w:p w:rsidR="00563ECB" w:rsidRPr="00411012" w:rsidRDefault="00563ECB" w:rsidP="00563ECB">
            <w:pPr>
              <w:adjustRightInd w:val="0"/>
              <w:snapToGrid w:val="0"/>
              <w:spacing w:line="276" w:lineRule="auto"/>
              <w:ind w:firstLine="0"/>
              <w:jc w:val="left"/>
            </w:pPr>
            <w:r w:rsidRPr="00411012">
              <w:rPr>
                <w:lang w:eastAsia="zh-CN"/>
              </w:rPr>
              <w:t xml:space="preserve">   ½ - 3 hours/week</w:t>
            </w:r>
          </w:p>
        </w:tc>
        <w:tc>
          <w:tcPr>
            <w:tcW w:w="521" w:type="pct"/>
          </w:tcPr>
          <w:p w:rsidR="00563ECB" w:rsidRPr="00411012" w:rsidRDefault="00563ECB" w:rsidP="00563ECB">
            <w:pPr>
              <w:adjustRightInd w:val="0"/>
              <w:snapToGrid w:val="0"/>
              <w:spacing w:line="276" w:lineRule="auto"/>
              <w:ind w:firstLine="0"/>
              <w:jc w:val="center"/>
            </w:pPr>
            <w:r w:rsidRPr="00411012">
              <w:t>1,958</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338(17.3)</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371(19.0)</w:t>
            </w:r>
          </w:p>
        </w:tc>
        <w:tc>
          <w:tcPr>
            <w:tcW w:w="555" w:type="pct"/>
            <w:shd w:val="clear" w:color="auto" w:fill="auto"/>
            <w:vAlign w:val="center"/>
          </w:tcPr>
          <w:p w:rsidR="00563ECB" w:rsidRPr="00411012" w:rsidRDefault="00563ECB" w:rsidP="00563ECB">
            <w:pPr>
              <w:adjustRightInd w:val="0"/>
              <w:snapToGrid w:val="0"/>
              <w:spacing w:line="276" w:lineRule="auto"/>
              <w:ind w:firstLine="0"/>
              <w:jc w:val="center"/>
            </w:pPr>
            <w:r w:rsidRPr="00411012">
              <w:t>376(19.2)</w:t>
            </w:r>
          </w:p>
        </w:tc>
        <w:tc>
          <w:tcPr>
            <w:tcW w:w="556" w:type="pct"/>
            <w:shd w:val="clear" w:color="auto" w:fill="auto"/>
            <w:vAlign w:val="center"/>
          </w:tcPr>
          <w:p w:rsidR="00563ECB" w:rsidRPr="00411012" w:rsidRDefault="00563ECB" w:rsidP="00563ECB">
            <w:pPr>
              <w:adjustRightInd w:val="0"/>
              <w:snapToGrid w:val="0"/>
              <w:spacing w:line="276" w:lineRule="auto"/>
              <w:ind w:firstLine="0"/>
              <w:jc w:val="center"/>
            </w:pPr>
            <w:r w:rsidRPr="00411012">
              <w:t>410(20.9)</w:t>
            </w:r>
          </w:p>
        </w:tc>
        <w:tc>
          <w:tcPr>
            <w:tcW w:w="591" w:type="pct"/>
            <w:shd w:val="clear" w:color="auto" w:fill="auto"/>
            <w:vAlign w:val="center"/>
          </w:tcPr>
          <w:p w:rsidR="00563ECB" w:rsidRPr="00411012" w:rsidRDefault="00563ECB" w:rsidP="00563ECB">
            <w:pPr>
              <w:adjustRightInd w:val="0"/>
              <w:snapToGrid w:val="0"/>
              <w:spacing w:line="276" w:lineRule="auto"/>
              <w:ind w:firstLine="0"/>
              <w:jc w:val="center"/>
            </w:pPr>
            <w:r w:rsidRPr="00411012">
              <w:t>463(23.7)</w:t>
            </w:r>
          </w:p>
        </w:tc>
        <w:tc>
          <w:tcPr>
            <w:tcW w:w="416" w:type="pct"/>
            <w:vMerge/>
            <w:vAlign w:val="center"/>
          </w:tcPr>
          <w:p w:rsidR="00563ECB" w:rsidRPr="00411012" w:rsidRDefault="00563ECB" w:rsidP="00563ECB">
            <w:pPr>
              <w:adjustRightInd w:val="0"/>
              <w:snapToGrid w:val="0"/>
              <w:spacing w:line="276" w:lineRule="auto"/>
              <w:ind w:firstLine="0"/>
              <w:jc w:val="center"/>
            </w:pPr>
          </w:p>
        </w:tc>
      </w:tr>
      <w:tr w:rsidR="00563ECB" w:rsidRPr="00411012" w:rsidTr="00411012">
        <w:tc>
          <w:tcPr>
            <w:tcW w:w="1250" w:type="pct"/>
            <w:tcBorders>
              <w:bottom w:val="single" w:sz="4" w:space="0" w:color="000000"/>
            </w:tcBorders>
            <w:shd w:val="clear" w:color="auto" w:fill="auto"/>
          </w:tcPr>
          <w:p w:rsidR="00563ECB" w:rsidRPr="00411012" w:rsidRDefault="00563ECB" w:rsidP="00563ECB">
            <w:pPr>
              <w:adjustRightInd w:val="0"/>
              <w:snapToGrid w:val="0"/>
              <w:spacing w:line="276" w:lineRule="auto"/>
              <w:ind w:firstLine="0"/>
              <w:jc w:val="left"/>
            </w:pPr>
            <w:r w:rsidRPr="00411012">
              <w:rPr>
                <w:lang w:eastAsia="zh-CN"/>
              </w:rPr>
              <w:t xml:space="preserve">   4+ hours/week</w:t>
            </w:r>
          </w:p>
        </w:tc>
        <w:tc>
          <w:tcPr>
            <w:tcW w:w="521" w:type="pct"/>
            <w:tcBorders>
              <w:bottom w:val="single" w:sz="4" w:space="0" w:color="000000"/>
            </w:tcBorders>
          </w:tcPr>
          <w:p w:rsidR="00563ECB" w:rsidRPr="00411012" w:rsidRDefault="00563ECB" w:rsidP="00563ECB">
            <w:pPr>
              <w:adjustRightInd w:val="0"/>
              <w:snapToGrid w:val="0"/>
              <w:spacing w:line="276" w:lineRule="auto"/>
              <w:ind w:firstLine="0"/>
              <w:jc w:val="center"/>
            </w:pPr>
            <w:r w:rsidRPr="00411012">
              <w:t>1,136</w:t>
            </w:r>
          </w:p>
        </w:tc>
        <w:tc>
          <w:tcPr>
            <w:tcW w:w="556" w:type="pct"/>
            <w:tcBorders>
              <w:bottom w:val="single" w:sz="4" w:space="0" w:color="000000"/>
            </w:tcBorders>
            <w:shd w:val="clear" w:color="auto" w:fill="auto"/>
            <w:vAlign w:val="center"/>
          </w:tcPr>
          <w:p w:rsidR="00563ECB" w:rsidRPr="00411012" w:rsidRDefault="00563ECB" w:rsidP="00563ECB">
            <w:pPr>
              <w:adjustRightInd w:val="0"/>
              <w:snapToGrid w:val="0"/>
              <w:spacing w:line="276" w:lineRule="auto"/>
              <w:ind w:firstLine="0"/>
              <w:jc w:val="center"/>
            </w:pPr>
            <w:r w:rsidRPr="00411012">
              <w:t>205(18.1)</w:t>
            </w:r>
          </w:p>
        </w:tc>
        <w:tc>
          <w:tcPr>
            <w:tcW w:w="555" w:type="pct"/>
            <w:tcBorders>
              <w:bottom w:val="single" w:sz="4" w:space="0" w:color="000000"/>
            </w:tcBorders>
            <w:shd w:val="clear" w:color="auto" w:fill="auto"/>
            <w:vAlign w:val="center"/>
          </w:tcPr>
          <w:p w:rsidR="00563ECB" w:rsidRPr="00411012" w:rsidRDefault="00563ECB" w:rsidP="00563ECB">
            <w:pPr>
              <w:adjustRightInd w:val="0"/>
              <w:snapToGrid w:val="0"/>
              <w:spacing w:line="276" w:lineRule="auto"/>
              <w:ind w:firstLine="0"/>
              <w:jc w:val="center"/>
            </w:pPr>
            <w:r w:rsidRPr="00411012">
              <w:t>218(19.2)</w:t>
            </w:r>
          </w:p>
        </w:tc>
        <w:tc>
          <w:tcPr>
            <w:tcW w:w="555" w:type="pct"/>
            <w:tcBorders>
              <w:bottom w:val="single" w:sz="4" w:space="0" w:color="000000"/>
            </w:tcBorders>
            <w:shd w:val="clear" w:color="auto" w:fill="auto"/>
            <w:vAlign w:val="center"/>
          </w:tcPr>
          <w:p w:rsidR="00563ECB" w:rsidRPr="00411012" w:rsidRDefault="00563ECB" w:rsidP="00563ECB">
            <w:pPr>
              <w:adjustRightInd w:val="0"/>
              <w:snapToGrid w:val="0"/>
              <w:spacing w:line="276" w:lineRule="auto"/>
              <w:ind w:firstLine="0"/>
              <w:jc w:val="center"/>
            </w:pPr>
            <w:r w:rsidRPr="00411012">
              <w:t>221(19.5)</w:t>
            </w:r>
          </w:p>
        </w:tc>
        <w:tc>
          <w:tcPr>
            <w:tcW w:w="556" w:type="pct"/>
            <w:tcBorders>
              <w:bottom w:val="single" w:sz="4" w:space="0" w:color="000000"/>
            </w:tcBorders>
            <w:shd w:val="clear" w:color="auto" w:fill="auto"/>
            <w:vAlign w:val="center"/>
          </w:tcPr>
          <w:p w:rsidR="00563ECB" w:rsidRPr="00411012" w:rsidRDefault="00563ECB" w:rsidP="00563ECB">
            <w:pPr>
              <w:adjustRightInd w:val="0"/>
              <w:snapToGrid w:val="0"/>
              <w:spacing w:line="276" w:lineRule="auto"/>
              <w:ind w:firstLine="0"/>
              <w:jc w:val="center"/>
            </w:pPr>
            <w:r w:rsidRPr="00411012">
              <w:t>238(21.0)</w:t>
            </w:r>
          </w:p>
        </w:tc>
        <w:tc>
          <w:tcPr>
            <w:tcW w:w="591" w:type="pct"/>
            <w:tcBorders>
              <w:bottom w:val="single" w:sz="4" w:space="0" w:color="000000"/>
            </w:tcBorders>
            <w:shd w:val="clear" w:color="auto" w:fill="auto"/>
            <w:vAlign w:val="center"/>
          </w:tcPr>
          <w:p w:rsidR="00563ECB" w:rsidRPr="00411012" w:rsidRDefault="00563ECB" w:rsidP="00563ECB">
            <w:pPr>
              <w:adjustRightInd w:val="0"/>
              <w:snapToGrid w:val="0"/>
              <w:spacing w:line="276" w:lineRule="auto"/>
              <w:ind w:firstLine="0"/>
              <w:jc w:val="center"/>
            </w:pPr>
            <w:r w:rsidRPr="00411012">
              <w:t>254(22.4)</w:t>
            </w:r>
          </w:p>
        </w:tc>
        <w:tc>
          <w:tcPr>
            <w:tcW w:w="416" w:type="pct"/>
            <w:vMerge/>
            <w:tcBorders>
              <w:bottom w:val="single" w:sz="4" w:space="0" w:color="000000"/>
            </w:tcBorders>
            <w:vAlign w:val="center"/>
          </w:tcPr>
          <w:p w:rsidR="00563ECB" w:rsidRPr="00411012" w:rsidRDefault="00563ECB" w:rsidP="00563ECB">
            <w:pPr>
              <w:adjustRightInd w:val="0"/>
              <w:snapToGrid w:val="0"/>
              <w:spacing w:line="276" w:lineRule="auto"/>
              <w:ind w:firstLine="0"/>
              <w:jc w:val="center"/>
            </w:pPr>
          </w:p>
        </w:tc>
      </w:tr>
    </w:tbl>
    <w:p w:rsidR="00AC28DD" w:rsidRDefault="005B64F7" w:rsidP="00AC28DD">
      <w:pPr>
        <w:adjustRightInd w:val="0"/>
        <w:snapToGrid w:val="0"/>
        <w:spacing w:after="60" w:line="240" w:lineRule="auto"/>
        <w:ind w:firstLine="0"/>
        <w:jc w:val="left"/>
        <w:rPr>
          <w:bCs/>
        </w:rPr>
      </w:pPr>
      <w:r>
        <w:rPr>
          <w:bCs/>
          <w:noProof/>
          <w:vertAlign w:val="superscript"/>
        </w:rPr>
        <mc:AlternateContent>
          <mc:Choice Requires="wps">
            <w:drawing>
              <wp:anchor distT="0" distB="0" distL="114300" distR="114300" simplePos="0" relativeHeight="251662336" behindDoc="0" locked="0" layoutInCell="1" allowOverlap="1">
                <wp:simplePos x="0" y="0"/>
                <wp:positionH relativeFrom="column">
                  <wp:posOffset>1</wp:posOffset>
                </wp:positionH>
                <wp:positionV relativeFrom="paragraph">
                  <wp:posOffset>-1539240</wp:posOffset>
                </wp:positionV>
                <wp:extent cx="247650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257175"/>
                        </a:xfrm>
                        <a:prstGeom prst="rect">
                          <a:avLst/>
                        </a:prstGeom>
                        <a:noFill/>
                        <a:ln w="6350">
                          <a:noFill/>
                        </a:ln>
                      </wps:spPr>
                      <wps:txbx>
                        <w:txbxContent>
                          <w:p w:rsidR="0015147D" w:rsidRPr="005B64F7" w:rsidRDefault="0015147D" w:rsidP="005B64F7">
                            <w:pPr>
                              <w:ind w:firstLine="0"/>
                              <w:rPr>
                                <w:color w:val="FFFFFF" w:themeColor="background1"/>
                                <w14:textFill>
                                  <w14:noFill/>
                                </w14:textFill>
                              </w:rPr>
                            </w:pPr>
                            <w:r w:rsidRPr="005B64F7">
                              <w:rPr>
                                <w:b/>
                              </w:rPr>
                              <w:t>Table 2</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0;margin-top:-121.2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" filled="f" stroked="f" strokeweight=".5pt">
                <v:textbox>
                  <w:txbxContent>
                    <w:p w:rsidR="0015147D" w:rsidRPr="005B64F7" w:rsidRDefault="0015147D" w:rsidP="005B64F7">
                      <w:pPr>
                        <w:ind w:firstLine="0"/>
                        <w:rPr>
                          <w:color w:val="FFFFFF" w:themeColor="background1"/>
                          <w14:textFill>
                            <w14:noFill/>
                          </w14:textFill>
                        </w:rPr>
                      </w:pPr>
                      <w:r w:rsidRPr="005B64F7">
                        <w:rPr>
                          <w:b/>
                        </w:rPr>
                        <w:t>Table 2</w:t>
                      </w:r>
                      <w:r>
                        <w:t xml:space="preserve"> Continued</w:t>
                      </w:r>
                    </w:p>
                  </w:txbxContent>
                </v:textbox>
              </v:shape>
            </w:pict>
          </mc:Fallback>
        </mc:AlternateContent>
      </w:r>
      <w:r w:rsidR="00AC28DD">
        <w:rPr>
          <w:bCs/>
          <w:vertAlign w:val="superscript"/>
        </w:rPr>
        <w:t>*</w:t>
      </w:r>
      <w:r w:rsidR="00AC28DD">
        <w:rPr>
          <w:bCs/>
        </w:rPr>
        <w:t xml:space="preserve"> Adjusted for age at sample collection. </w:t>
      </w:r>
    </w:p>
    <w:p w:rsidR="00A77BD6" w:rsidRDefault="00411012" w:rsidP="00A77BD6">
      <w:pPr>
        <w:adjustRightInd w:val="0"/>
        <w:snapToGrid w:val="0"/>
        <w:spacing w:after="60" w:line="240" w:lineRule="auto"/>
        <w:ind w:left="360" w:hanging="360"/>
        <w:jc w:val="left"/>
        <w:rPr>
          <w:bCs/>
        </w:rPr>
      </w:pPr>
      <w:r w:rsidRPr="001511EA">
        <w:rPr>
          <w:bCs/>
        </w:rPr>
        <w:t xml:space="preserve">† </w:t>
      </w:r>
      <w:r w:rsidRPr="00411012">
        <w:rPr>
          <w:bCs/>
        </w:rPr>
        <w:t>Among for</w:t>
      </w:r>
      <w:r w:rsidR="00A77BD6">
        <w:rPr>
          <w:bCs/>
        </w:rPr>
        <w:t>mer and current smokers only.</w:t>
      </w:r>
    </w:p>
    <w:p w:rsidR="006C6BFE" w:rsidRPr="00C25423" w:rsidRDefault="006C6BFE" w:rsidP="006C6BFE">
      <w:pPr>
        <w:adjustRightInd w:val="0"/>
        <w:snapToGrid w:val="0"/>
        <w:spacing w:after="60" w:line="360" w:lineRule="auto"/>
        <w:ind w:firstLine="0"/>
        <w:jc w:val="left"/>
        <w:rPr>
          <w:bCs/>
          <w:lang w:eastAsia="zh-CN"/>
        </w:rPr>
        <w:sectPr w:rsidR="006C6BFE" w:rsidRPr="00C25423" w:rsidSect="00C957A0">
          <w:pgSz w:w="15840" w:h="12240" w:orient="landscape"/>
          <w:pgMar w:top="1440" w:right="1440" w:bottom="1440" w:left="1440" w:header="720" w:footer="720" w:gutter="0"/>
          <w:cols w:space="720"/>
          <w:docGrid w:linePitch="360"/>
        </w:sectPr>
      </w:pPr>
    </w:p>
    <w:p w:rsidR="003762EB" w:rsidRDefault="006C6BFE" w:rsidP="006C6BFE">
      <w:pPr>
        <w:pStyle w:val="Heading2"/>
      </w:pPr>
      <w:bookmarkStart w:id="39" w:name="_Toc509180573"/>
      <w:r>
        <w:lastRenderedPageBreak/>
        <w:t>Telomere length and risk of breast cancer</w:t>
      </w:r>
      <w:bookmarkEnd w:id="39"/>
    </w:p>
    <w:p w:rsidR="006C6BFE" w:rsidRDefault="00952497" w:rsidP="00D012A4">
      <w:pPr>
        <w:pStyle w:val="Noindent"/>
        <w:spacing w:before="240" w:line="360" w:lineRule="auto"/>
      </w:pPr>
      <w:r>
        <w:t>Table 3 shows t</w:t>
      </w:r>
      <w:r w:rsidR="006C6BFE">
        <w:t>he association</w:t>
      </w:r>
      <w:r w:rsidR="00037260">
        <w:t>s</w:t>
      </w:r>
      <w:r w:rsidR="006C6BFE">
        <w:t xml:space="preserve"> between telomere length and risk of breast cancer. </w:t>
      </w:r>
      <w:r w:rsidR="00F02620">
        <w:t xml:space="preserve">Relative telomere length was significantly </w:t>
      </w:r>
      <w:r w:rsidR="00935E4C">
        <w:t xml:space="preserve">associated with </w:t>
      </w:r>
      <w:r w:rsidR="00F02620">
        <w:t xml:space="preserve">increased risk of breast cancer. </w:t>
      </w:r>
      <w:r w:rsidR="00C7325C">
        <w:t>After controlling for age, BMI, level of education,</w:t>
      </w:r>
      <w:r w:rsidR="003E4905">
        <w:t xml:space="preserve"> number of live birth and age at</w:t>
      </w:r>
      <w:r w:rsidR="00C7325C">
        <w:t xml:space="preserve"> first live birth, </w:t>
      </w:r>
      <w:r w:rsidR="003100C6">
        <w:t xml:space="preserve">the risk of developing breast cancer </w:t>
      </w:r>
      <w:r w:rsidR="00C7325C">
        <w:t>f</w:t>
      </w:r>
      <w:r w:rsidR="00DE2979">
        <w:t>or w</w:t>
      </w:r>
      <w:r w:rsidR="00461D26">
        <w:t>omen in</w:t>
      </w:r>
      <w:r w:rsidR="00C7325C">
        <w:t xml:space="preserve"> </w:t>
      </w:r>
      <w:r w:rsidR="005B0BA5">
        <w:t xml:space="preserve">the </w:t>
      </w:r>
      <w:r w:rsidR="00DD0F64">
        <w:t xml:space="preserve">longest telomere length </w:t>
      </w:r>
      <w:r w:rsidR="00461D26">
        <w:t>group</w:t>
      </w:r>
      <w:r w:rsidR="00A41410">
        <w:t xml:space="preserve"> (5</w:t>
      </w:r>
      <w:r w:rsidR="00A41410" w:rsidRPr="00A41410">
        <w:rPr>
          <w:vertAlign w:val="superscript"/>
        </w:rPr>
        <w:t>th</w:t>
      </w:r>
      <w:r w:rsidR="00A41410">
        <w:t xml:space="preserve"> quintile)</w:t>
      </w:r>
      <w:r w:rsidR="00461D26">
        <w:t xml:space="preserve"> </w:t>
      </w:r>
      <w:r w:rsidR="00A17618">
        <w:t xml:space="preserve">was </w:t>
      </w:r>
      <w:r w:rsidR="00C7325C">
        <w:t>47</w:t>
      </w:r>
      <w:r w:rsidR="00A17618">
        <w:t xml:space="preserve">% </w:t>
      </w:r>
      <w:r w:rsidR="00461D26">
        <w:t xml:space="preserve">higher than women </w:t>
      </w:r>
      <w:r w:rsidR="00DD0F64">
        <w:t>in</w:t>
      </w:r>
      <w:r w:rsidR="00C7325C">
        <w:t xml:space="preserve"> </w:t>
      </w:r>
      <w:r w:rsidR="005B0BA5">
        <w:t xml:space="preserve">the </w:t>
      </w:r>
      <w:r w:rsidR="00C7325C">
        <w:t xml:space="preserve">lowest </w:t>
      </w:r>
      <w:r w:rsidR="00DD0F64">
        <w:t>telomere length group</w:t>
      </w:r>
      <w:r w:rsidR="00A41410">
        <w:t xml:space="preserve"> (1</w:t>
      </w:r>
      <w:r w:rsidR="00A41410" w:rsidRPr="00A41410">
        <w:rPr>
          <w:vertAlign w:val="superscript"/>
        </w:rPr>
        <w:t>st</w:t>
      </w:r>
      <w:r w:rsidR="00A41410">
        <w:t xml:space="preserve"> quintile)</w:t>
      </w:r>
      <w:r w:rsidR="00C7325C">
        <w:t xml:space="preserve"> (</w:t>
      </w:r>
      <w:proofErr w:type="spellStart"/>
      <w:r w:rsidR="00C7325C" w:rsidRPr="00C7325C">
        <w:rPr>
          <w:i/>
        </w:rPr>
        <w:t>P</w:t>
      </w:r>
      <w:r w:rsidR="00C7325C">
        <w:rPr>
          <w:vertAlign w:val="subscript"/>
        </w:rPr>
        <w:t>trend</w:t>
      </w:r>
      <w:proofErr w:type="spellEnd"/>
      <w:r w:rsidR="001E70BB">
        <w:t xml:space="preserve"> </w:t>
      </w:r>
      <w:r w:rsidR="00C7325C">
        <w:t>=</w:t>
      </w:r>
      <w:r w:rsidR="00B6631C">
        <w:t xml:space="preserve"> </w:t>
      </w:r>
      <w:r w:rsidR="00C7325C">
        <w:t xml:space="preserve">0.01). </w:t>
      </w:r>
      <w:r w:rsidR="003100C6">
        <w:t>Women in the second longest group (4</w:t>
      </w:r>
      <w:r w:rsidR="003100C6" w:rsidRPr="00D91CC5">
        <w:rPr>
          <w:vertAlign w:val="superscript"/>
        </w:rPr>
        <w:t>th</w:t>
      </w:r>
      <w:r w:rsidR="003100C6">
        <w:t xml:space="preserve"> qu</w:t>
      </w:r>
      <w:r w:rsidR="0015479D">
        <w:t>intile) of telomere length had the</w:t>
      </w:r>
      <w:r w:rsidR="003100C6">
        <w:t xml:space="preserve"> highest risk of breast cancer</w:t>
      </w:r>
      <w:r w:rsidR="00C138FE">
        <w:t xml:space="preserve"> among all quintile groups</w:t>
      </w:r>
      <w:r w:rsidR="003100C6">
        <w:t xml:space="preserve">, and there was a similar pattern in women </w:t>
      </w:r>
      <w:r w:rsidR="00601410">
        <w:t>had</w:t>
      </w:r>
      <w:r w:rsidR="003100C6">
        <w:t xml:space="preserve"> menarche </w:t>
      </w:r>
      <w:r w:rsidR="00601410">
        <w:t>younger than</w:t>
      </w:r>
      <w:r w:rsidR="003100C6">
        <w:t xml:space="preserve"> 14</w:t>
      </w:r>
      <w:r w:rsidR="00D63947">
        <w:t xml:space="preserve"> </w:t>
      </w:r>
      <w:r w:rsidR="00D03FFC">
        <w:t xml:space="preserve">years </w:t>
      </w:r>
      <w:r w:rsidR="00601410">
        <w:t xml:space="preserve">old </w:t>
      </w:r>
      <w:r w:rsidR="003100C6">
        <w:t xml:space="preserve">or </w:t>
      </w:r>
      <w:r w:rsidR="00DA4991">
        <w:t>had</w:t>
      </w:r>
      <w:r w:rsidR="003100C6">
        <w:t xml:space="preserve"> 3 </w:t>
      </w:r>
      <w:r w:rsidR="00DA4991">
        <w:t xml:space="preserve">or more </w:t>
      </w:r>
      <w:r w:rsidR="003100C6">
        <w:t xml:space="preserve">children. </w:t>
      </w:r>
      <w:r w:rsidR="00A57EE2">
        <w:t xml:space="preserve">When </w:t>
      </w:r>
      <w:r w:rsidR="009B2414">
        <w:t xml:space="preserve">results were stratified by multiple variables as shown in Table 4, </w:t>
      </w:r>
      <w:r w:rsidR="00D91CC5">
        <w:t xml:space="preserve">the </w:t>
      </w:r>
      <w:r w:rsidR="002E05EB">
        <w:t xml:space="preserve">positive </w:t>
      </w:r>
      <w:r w:rsidR="00D91CC5">
        <w:t xml:space="preserve">association </w:t>
      </w:r>
      <w:r w:rsidR="005B15F1">
        <w:t>between telomere length and</w:t>
      </w:r>
      <w:r w:rsidR="002E05EB">
        <w:t xml:space="preserve"> breast cancer </w:t>
      </w:r>
      <w:r w:rsidR="005B15F1">
        <w:t xml:space="preserve">risk </w:t>
      </w:r>
      <w:r w:rsidR="00DA4991">
        <w:t xml:space="preserve">was </w:t>
      </w:r>
      <w:r w:rsidR="00D63177">
        <w:t xml:space="preserve">only </w:t>
      </w:r>
      <w:r w:rsidR="00DA4991">
        <w:t xml:space="preserve">significant in </w:t>
      </w:r>
      <w:r w:rsidR="00AF6F1B">
        <w:t xml:space="preserve">women who were </w:t>
      </w:r>
      <w:r w:rsidR="00BA33D4">
        <w:t xml:space="preserve">overweight or </w:t>
      </w:r>
      <w:r w:rsidR="003100C6">
        <w:t>obes</w:t>
      </w:r>
      <w:r w:rsidR="00DA4991">
        <w:t>e</w:t>
      </w:r>
      <w:r w:rsidR="00AF6F1B">
        <w:t xml:space="preserve"> </w:t>
      </w:r>
      <w:r w:rsidR="00426F96">
        <w:t>(HR = 2.00</w:t>
      </w:r>
      <w:r w:rsidR="002E05EB">
        <w:t xml:space="preserve">, 95% CI </w:t>
      </w:r>
      <w:r w:rsidR="00426F96">
        <w:t>1.02</w:t>
      </w:r>
      <w:r w:rsidR="00FF40C5">
        <w:t xml:space="preserve"> </w:t>
      </w:r>
      <w:r w:rsidR="00426F96">
        <w:t>-</w:t>
      </w:r>
      <w:r w:rsidR="00FF40C5">
        <w:t xml:space="preserve"> </w:t>
      </w:r>
      <w:r w:rsidR="00426F96">
        <w:t>3.91</w:t>
      </w:r>
      <w:r w:rsidR="00D012A4">
        <w:t xml:space="preserve">, </w:t>
      </w:r>
      <w:proofErr w:type="spellStart"/>
      <w:r w:rsidR="00D012A4" w:rsidRPr="00C7325C">
        <w:rPr>
          <w:i/>
        </w:rPr>
        <w:t>P</w:t>
      </w:r>
      <w:r w:rsidR="00D012A4">
        <w:rPr>
          <w:vertAlign w:val="subscript"/>
        </w:rPr>
        <w:t>trend</w:t>
      </w:r>
      <w:proofErr w:type="spellEnd"/>
      <w:r w:rsidR="001E70BB">
        <w:t xml:space="preserve"> </w:t>
      </w:r>
      <w:r w:rsidR="00D012A4">
        <w:t>=</w:t>
      </w:r>
      <w:r w:rsidR="00C137F1">
        <w:t xml:space="preserve"> </w:t>
      </w:r>
      <w:r w:rsidR="00F031E0">
        <w:t>0.01</w:t>
      </w:r>
      <w:r w:rsidR="002E05EB">
        <w:t>)</w:t>
      </w:r>
      <w:r w:rsidR="00BA2176">
        <w:t>;</w:t>
      </w:r>
      <w:r w:rsidR="00DA4991">
        <w:t xml:space="preserve"> women who had menarche less than 14 years old</w:t>
      </w:r>
      <w:r w:rsidR="0054665E">
        <w:t xml:space="preserve"> </w:t>
      </w:r>
      <w:r w:rsidR="002E05EB">
        <w:t>(</w:t>
      </w:r>
      <w:r w:rsidR="00D012A4">
        <w:t>HR = 1.56, 95% CI 0.84</w:t>
      </w:r>
      <w:r w:rsidR="00FF40C5">
        <w:t xml:space="preserve"> </w:t>
      </w:r>
      <w:r w:rsidR="00D012A4">
        <w:t>-</w:t>
      </w:r>
      <w:r w:rsidR="00FF40C5">
        <w:t xml:space="preserve"> </w:t>
      </w:r>
      <w:r w:rsidR="00D012A4">
        <w:t xml:space="preserve">2.89, </w:t>
      </w:r>
      <w:proofErr w:type="spellStart"/>
      <w:r w:rsidR="002E05EB" w:rsidRPr="00C7325C">
        <w:rPr>
          <w:i/>
        </w:rPr>
        <w:t>P</w:t>
      </w:r>
      <w:r w:rsidR="002E05EB">
        <w:rPr>
          <w:vertAlign w:val="subscript"/>
        </w:rPr>
        <w:t>trend</w:t>
      </w:r>
      <w:proofErr w:type="spellEnd"/>
      <w:r w:rsidR="001E70BB">
        <w:t xml:space="preserve"> </w:t>
      </w:r>
      <w:r w:rsidR="002E05EB">
        <w:t>=</w:t>
      </w:r>
      <w:r w:rsidR="00C137F1">
        <w:t xml:space="preserve"> </w:t>
      </w:r>
      <w:r w:rsidR="002E05EB">
        <w:t>0.01)</w:t>
      </w:r>
      <w:r w:rsidR="00BA2176">
        <w:t>;</w:t>
      </w:r>
      <w:r w:rsidR="00F13469">
        <w:t xml:space="preserve"> women who gave first live</w:t>
      </w:r>
      <w:r w:rsidR="00D91302">
        <w:t xml:space="preserve"> </w:t>
      </w:r>
      <w:r w:rsidR="00DA4991">
        <w:t>birth 26 years</w:t>
      </w:r>
      <w:r w:rsidR="00D012A4">
        <w:t xml:space="preserve"> old or older (HR = 1.74, 95% CI 0.86</w:t>
      </w:r>
      <w:r w:rsidR="00FF40C5">
        <w:t xml:space="preserve"> </w:t>
      </w:r>
      <w:r w:rsidR="00D012A4">
        <w:t>-</w:t>
      </w:r>
      <w:r w:rsidR="00FF40C5">
        <w:t xml:space="preserve"> </w:t>
      </w:r>
      <w:r w:rsidR="00D012A4">
        <w:t xml:space="preserve">3.54, </w:t>
      </w:r>
      <w:proofErr w:type="spellStart"/>
      <w:r w:rsidR="00D012A4" w:rsidRPr="00C7325C">
        <w:rPr>
          <w:i/>
        </w:rPr>
        <w:t>P</w:t>
      </w:r>
      <w:r w:rsidR="00D012A4">
        <w:rPr>
          <w:vertAlign w:val="subscript"/>
        </w:rPr>
        <w:t>trend</w:t>
      </w:r>
      <w:proofErr w:type="spellEnd"/>
      <w:r w:rsidR="001E70BB">
        <w:t xml:space="preserve"> </w:t>
      </w:r>
      <w:r w:rsidR="00D012A4">
        <w:t>=</w:t>
      </w:r>
      <w:r w:rsidR="00C137F1">
        <w:t xml:space="preserve"> </w:t>
      </w:r>
      <w:r w:rsidR="00D012A4">
        <w:t>0.02)</w:t>
      </w:r>
      <w:r w:rsidR="00BA2176">
        <w:t>;</w:t>
      </w:r>
      <w:r w:rsidR="00D012A4">
        <w:t xml:space="preserve"> </w:t>
      </w:r>
      <w:r w:rsidR="00DA4991">
        <w:t xml:space="preserve">and women </w:t>
      </w:r>
      <w:r w:rsidR="00955D33">
        <w:t xml:space="preserve">who </w:t>
      </w:r>
      <w:r w:rsidR="00DA4991">
        <w:t>had 3 or more children</w:t>
      </w:r>
      <w:r w:rsidR="00D012A4">
        <w:t xml:space="preserve"> (HR = 1.64, 95% CI 0.83</w:t>
      </w:r>
      <w:r w:rsidR="00FF40C5">
        <w:t xml:space="preserve"> </w:t>
      </w:r>
      <w:r w:rsidR="00D012A4">
        <w:t>-</w:t>
      </w:r>
      <w:r w:rsidR="00FF40C5">
        <w:t xml:space="preserve"> </w:t>
      </w:r>
      <w:r w:rsidR="00D012A4">
        <w:t xml:space="preserve">3.23, </w:t>
      </w:r>
      <w:proofErr w:type="spellStart"/>
      <w:r w:rsidR="00D012A4" w:rsidRPr="00C7325C">
        <w:rPr>
          <w:i/>
        </w:rPr>
        <w:t>P</w:t>
      </w:r>
      <w:r w:rsidR="00D012A4">
        <w:rPr>
          <w:vertAlign w:val="subscript"/>
        </w:rPr>
        <w:t>trend</w:t>
      </w:r>
      <w:proofErr w:type="spellEnd"/>
      <w:r w:rsidR="001E70BB">
        <w:t xml:space="preserve"> </w:t>
      </w:r>
      <w:r w:rsidR="001E70BB">
        <w:rPr>
          <w:vertAlign w:val="subscript"/>
        </w:rPr>
        <w:t xml:space="preserve"> </w:t>
      </w:r>
      <w:r w:rsidR="00D012A4">
        <w:t>=</w:t>
      </w:r>
      <w:r w:rsidR="00C137F1">
        <w:t xml:space="preserve"> </w:t>
      </w:r>
      <w:r w:rsidR="00D012A4">
        <w:t>0.02)</w:t>
      </w:r>
      <w:r w:rsidR="00DA4991">
        <w:t xml:space="preserve"> (Table 4)</w:t>
      </w:r>
      <w:r w:rsidR="00D91302">
        <w:t xml:space="preserve">, although the interaction tests were not </w:t>
      </w:r>
      <w:r w:rsidR="00D012A4">
        <w:t>significant between those variables and telomere length</w:t>
      </w:r>
      <w:r w:rsidR="00D2033D">
        <w:t xml:space="preserve"> (data not shown)</w:t>
      </w:r>
      <w:r w:rsidR="00D012A4">
        <w:t xml:space="preserve">. </w:t>
      </w:r>
      <w:r w:rsidR="00CD3DE9">
        <w:t>Further stratification</w:t>
      </w:r>
      <w:r w:rsidR="00BA2176">
        <w:t>s</w:t>
      </w:r>
      <w:r w:rsidR="00CD3DE9">
        <w:t xml:space="preserve"> </w:t>
      </w:r>
      <w:r w:rsidR="00BA2176">
        <w:t xml:space="preserve">by smoking status, drinking status, menopausal status, physical activity, use of OC and </w:t>
      </w:r>
      <w:r w:rsidR="004152D0">
        <w:t xml:space="preserve">use of </w:t>
      </w:r>
      <w:r w:rsidR="00BA2176">
        <w:t>MHT were</w:t>
      </w:r>
      <w:r w:rsidR="00CD3DE9">
        <w:t xml:space="preserve"> not significan</w:t>
      </w:r>
      <w:r w:rsidR="000421AA">
        <w:t>t due to the small number of breast cancer cases</w:t>
      </w:r>
      <w:r w:rsidR="00CD3DE9">
        <w:t xml:space="preserve"> in each category. </w:t>
      </w:r>
      <w:r w:rsidR="00D2033D">
        <w:t xml:space="preserve">When the analysis </w:t>
      </w:r>
      <w:r w:rsidR="00C137F1">
        <w:t xml:space="preserve">was restricted </w:t>
      </w:r>
      <w:r w:rsidR="00D2033D">
        <w:t>to women who had</w:t>
      </w:r>
      <w:r w:rsidR="004A0B69">
        <w:t xml:space="preserve"> at lea</w:t>
      </w:r>
      <w:r w:rsidR="006B2198">
        <w:t>st</w:t>
      </w:r>
      <w:r w:rsidR="00D2033D">
        <w:t xml:space="preserve"> 2 years of follow-up period, there wer</w:t>
      </w:r>
      <w:r w:rsidR="006B2198">
        <w:t>e 144 breast c</w:t>
      </w:r>
      <w:r w:rsidR="009C7E59">
        <w:t xml:space="preserve">ancer cases left. In this reduced dataset, no significant association between telomere length and risk of breast cancer </w:t>
      </w:r>
      <w:r w:rsidR="0067235D">
        <w:t xml:space="preserve">was detected </w:t>
      </w:r>
      <w:r w:rsidR="009C7E59">
        <w:t>in repeated analysis</w:t>
      </w:r>
      <w:r w:rsidR="0067235D">
        <w:t xml:space="preserve"> (</w:t>
      </w:r>
      <w:proofErr w:type="spellStart"/>
      <w:r w:rsidR="0067235D" w:rsidRPr="00C7325C">
        <w:rPr>
          <w:i/>
        </w:rPr>
        <w:t>P</w:t>
      </w:r>
      <w:r w:rsidR="0067235D">
        <w:rPr>
          <w:vertAlign w:val="subscript"/>
        </w:rPr>
        <w:t>trend</w:t>
      </w:r>
      <w:proofErr w:type="spellEnd"/>
      <w:r w:rsidR="0067235D">
        <w:t xml:space="preserve"> = 0.10)</w:t>
      </w:r>
      <w:r w:rsidR="009C7E59">
        <w:t>.</w:t>
      </w:r>
    </w:p>
    <w:p w:rsidR="00F02620" w:rsidRDefault="00F02620" w:rsidP="00F02620">
      <w:pPr>
        <w:ind w:firstLine="0"/>
      </w:pPr>
    </w:p>
    <w:p w:rsidR="00026512" w:rsidRDefault="00026512" w:rsidP="00F02620">
      <w:pPr>
        <w:ind w:firstLine="0"/>
      </w:pPr>
    </w:p>
    <w:p w:rsidR="009C7E59" w:rsidRDefault="009C7E59" w:rsidP="00F02620">
      <w:pPr>
        <w:ind w:firstLine="0"/>
      </w:pPr>
    </w:p>
    <w:p w:rsidR="009C7E59" w:rsidRDefault="009C7E59" w:rsidP="00F02620">
      <w:pPr>
        <w:ind w:firstLine="0"/>
      </w:pPr>
    </w:p>
    <w:p w:rsidR="009C7E59" w:rsidRDefault="009C7E59" w:rsidP="00F02620">
      <w:pPr>
        <w:ind w:firstLine="0"/>
      </w:pPr>
    </w:p>
    <w:p w:rsidR="00026512" w:rsidRDefault="00026512" w:rsidP="00F02620">
      <w:pPr>
        <w:ind w:firstLine="0"/>
      </w:pPr>
    </w:p>
    <w:p w:rsidR="00F02620" w:rsidRPr="001E70BB" w:rsidRDefault="009D1D0B" w:rsidP="003B56FA">
      <w:pPr>
        <w:pStyle w:val="Caption"/>
        <w:spacing w:line="360" w:lineRule="auto"/>
        <w:ind w:firstLine="0"/>
        <w:rPr>
          <w:b w:val="0"/>
          <w:sz w:val="24"/>
          <w:szCs w:val="24"/>
        </w:rPr>
      </w:pPr>
      <w:bookmarkStart w:id="40" w:name="_Toc512007052"/>
      <w:r w:rsidRPr="001E70BB">
        <w:rPr>
          <w:sz w:val="24"/>
          <w:szCs w:val="24"/>
        </w:rPr>
        <w:lastRenderedPageBreak/>
        <w:t>Table 3</w:t>
      </w:r>
      <w:r w:rsidRPr="001E70BB">
        <w:rPr>
          <w:b w:val="0"/>
          <w:sz w:val="24"/>
          <w:szCs w:val="24"/>
        </w:rPr>
        <w:t>. Hazard ratio</w:t>
      </w:r>
      <w:r w:rsidR="004C438D">
        <w:rPr>
          <w:b w:val="0"/>
          <w:sz w:val="24"/>
          <w:szCs w:val="24"/>
        </w:rPr>
        <w:t xml:space="preserve"> </w:t>
      </w:r>
      <w:r w:rsidRPr="001E70BB">
        <w:rPr>
          <w:b w:val="0"/>
          <w:sz w:val="24"/>
          <w:szCs w:val="24"/>
        </w:rPr>
        <w:t>(HR</w:t>
      </w:r>
      <w:r w:rsidR="00F02620" w:rsidRPr="001E70BB">
        <w:rPr>
          <w:b w:val="0"/>
          <w:sz w:val="24"/>
          <w:szCs w:val="24"/>
        </w:rPr>
        <w:t>) of breast cancer in relation to relative telomere length in all subjects</w:t>
      </w:r>
      <w:r w:rsidRPr="001E70BB">
        <w:rPr>
          <w:b w:val="0"/>
          <w:sz w:val="24"/>
          <w:szCs w:val="24"/>
        </w:rPr>
        <w:t>: The Singapore Chinese Health Study.</w:t>
      </w:r>
      <w:bookmarkEnd w:id="40"/>
      <w:r w:rsidRPr="001E70BB">
        <w:rPr>
          <w:b w:val="0"/>
          <w:sz w:val="24"/>
          <w:szCs w:val="24"/>
        </w:rPr>
        <w:t xml:space="preserve"> </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1981"/>
        <w:gridCol w:w="1709"/>
        <w:gridCol w:w="2520"/>
      </w:tblGrid>
      <w:tr w:rsidR="00123C97" w:rsidTr="00193643">
        <w:trPr>
          <w:trHeight w:val="548"/>
        </w:trPr>
        <w:tc>
          <w:tcPr>
            <w:tcW w:w="1683" w:type="pct"/>
            <w:tcBorders>
              <w:bottom w:val="single" w:sz="4" w:space="0" w:color="000000"/>
            </w:tcBorders>
            <w:vAlign w:val="center"/>
          </w:tcPr>
          <w:p w:rsidR="00F02620" w:rsidRPr="00BB2272" w:rsidRDefault="00F02620" w:rsidP="00123C97">
            <w:pPr>
              <w:spacing w:before="120" w:after="120" w:line="276" w:lineRule="auto"/>
              <w:ind w:firstLine="0"/>
              <w:jc w:val="left"/>
            </w:pPr>
            <w:r>
              <w:t xml:space="preserve">Relative </w:t>
            </w:r>
            <w:r w:rsidR="00C7325C">
              <w:t>telomere length</w:t>
            </w:r>
            <w:r w:rsidRPr="00BB2272">
              <w:t xml:space="preserve"> in quintile</w:t>
            </w:r>
          </w:p>
        </w:tc>
        <w:tc>
          <w:tcPr>
            <w:tcW w:w="1058" w:type="pct"/>
            <w:tcBorders>
              <w:bottom w:val="single" w:sz="4" w:space="0" w:color="000000"/>
            </w:tcBorders>
            <w:vAlign w:val="center"/>
          </w:tcPr>
          <w:p w:rsidR="00F02620" w:rsidRDefault="00F02620" w:rsidP="00123C97">
            <w:pPr>
              <w:spacing w:before="120" w:after="120" w:line="276" w:lineRule="auto"/>
              <w:ind w:firstLine="0"/>
              <w:jc w:val="left"/>
              <w:rPr>
                <w:bCs/>
              </w:rPr>
            </w:pPr>
            <w:r>
              <w:rPr>
                <w:bCs/>
              </w:rPr>
              <w:t>Person-years</w:t>
            </w:r>
          </w:p>
        </w:tc>
        <w:tc>
          <w:tcPr>
            <w:tcW w:w="913" w:type="pct"/>
            <w:tcBorders>
              <w:bottom w:val="single" w:sz="4" w:space="0" w:color="000000"/>
            </w:tcBorders>
            <w:vAlign w:val="center"/>
          </w:tcPr>
          <w:p w:rsidR="00F02620" w:rsidRPr="003027E7" w:rsidRDefault="00F02620" w:rsidP="00123C97">
            <w:pPr>
              <w:spacing w:before="120" w:after="120" w:line="276" w:lineRule="auto"/>
              <w:ind w:firstLine="0"/>
              <w:jc w:val="left"/>
            </w:pPr>
            <w:r>
              <w:rPr>
                <w:bCs/>
              </w:rPr>
              <w:t xml:space="preserve">No. of </w:t>
            </w:r>
            <w:r w:rsidRPr="003027E7">
              <w:rPr>
                <w:bCs/>
              </w:rPr>
              <w:t>cases</w:t>
            </w:r>
          </w:p>
        </w:tc>
        <w:tc>
          <w:tcPr>
            <w:tcW w:w="1346" w:type="pct"/>
            <w:tcBorders>
              <w:bottom w:val="single" w:sz="4" w:space="0" w:color="000000"/>
            </w:tcBorders>
            <w:vAlign w:val="center"/>
          </w:tcPr>
          <w:p w:rsidR="00F02620" w:rsidRPr="004F6779" w:rsidRDefault="00F02620" w:rsidP="00123C97">
            <w:pPr>
              <w:spacing w:before="120" w:after="120" w:line="276" w:lineRule="auto"/>
              <w:ind w:firstLine="0"/>
              <w:jc w:val="left"/>
            </w:pPr>
            <w:r>
              <w:t>Adjusted HR (95% CI)</w:t>
            </w:r>
            <w:r w:rsidR="004F6779">
              <w:rPr>
                <w:vertAlign w:val="superscript"/>
              </w:rPr>
              <w:t>*</w:t>
            </w:r>
          </w:p>
        </w:tc>
      </w:tr>
      <w:tr w:rsidR="00123C97" w:rsidTr="00193643">
        <w:trPr>
          <w:trHeight w:val="288"/>
        </w:trPr>
        <w:tc>
          <w:tcPr>
            <w:tcW w:w="1683" w:type="pct"/>
            <w:tcBorders>
              <w:top w:val="single" w:sz="4" w:space="0" w:color="000000"/>
            </w:tcBorders>
            <w:vAlign w:val="center"/>
          </w:tcPr>
          <w:p w:rsidR="00F02620" w:rsidRPr="00BB2272" w:rsidRDefault="00F02620" w:rsidP="00123C97">
            <w:pPr>
              <w:adjustRightInd w:val="0"/>
              <w:snapToGrid w:val="0"/>
              <w:spacing w:before="120" w:line="360" w:lineRule="auto"/>
              <w:ind w:firstLine="0"/>
              <w:jc w:val="left"/>
            </w:pPr>
            <w:r>
              <w:t>All</w:t>
            </w:r>
            <w:r w:rsidRPr="00BB2272">
              <w:t xml:space="preserve"> subjects</w:t>
            </w:r>
          </w:p>
        </w:tc>
        <w:tc>
          <w:tcPr>
            <w:tcW w:w="1058" w:type="pct"/>
            <w:tcBorders>
              <w:top w:val="single" w:sz="4" w:space="0" w:color="000000"/>
            </w:tcBorders>
            <w:vAlign w:val="center"/>
          </w:tcPr>
          <w:p w:rsidR="00F02620" w:rsidRPr="003027E7" w:rsidRDefault="00F02620" w:rsidP="00123C97">
            <w:pPr>
              <w:adjustRightInd w:val="0"/>
              <w:snapToGrid w:val="0"/>
              <w:spacing w:line="360" w:lineRule="auto"/>
              <w:jc w:val="left"/>
              <w:rPr>
                <w:bCs/>
              </w:rPr>
            </w:pPr>
          </w:p>
        </w:tc>
        <w:tc>
          <w:tcPr>
            <w:tcW w:w="913" w:type="pct"/>
            <w:tcBorders>
              <w:top w:val="single" w:sz="4" w:space="0" w:color="000000"/>
            </w:tcBorders>
            <w:vAlign w:val="center"/>
          </w:tcPr>
          <w:p w:rsidR="00F02620" w:rsidRPr="003027E7" w:rsidRDefault="00F02620" w:rsidP="00123C97">
            <w:pPr>
              <w:adjustRightInd w:val="0"/>
              <w:snapToGrid w:val="0"/>
              <w:spacing w:line="360" w:lineRule="auto"/>
              <w:jc w:val="left"/>
              <w:rPr>
                <w:bCs/>
              </w:rPr>
            </w:pPr>
          </w:p>
        </w:tc>
        <w:tc>
          <w:tcPr>
            <w:tcW w:w="1346" w:type="pct"/>
            <w:tcBorders>
              <w:top w:val="single" w:sz="4" w:space="0" w:color="000000"/>
            </w:tcBorders>
            <w:vAlign w:val="center"/>
          </w:tcPr>
          <w:p w:rsidR="00F02620" w:rsidRPr="003027E7" w:rsidRDefault="00F02620" w:rsidP="00123C97">
            <w:pPr>
              <w:adjustRightInd w:val="0"/>
              <w:snapToGrid w:val="0"/>
              <w:spacing w:line="360" w:lineRule="auto"/>
              <w:jc w:val="left"/>
            </w:pPr>
          </w:p>
        </w:tc>
      </w:tr>
      <w:tr w:rsidR="00123C97" w:rsidTr="00EB591E">
        <w:trPr>
          <w:trHeight w:val="288"/>
        </w:trPr>
        <w:tc>
          <w:tcPr>
            <w:tcW w:w="1683" w:type="pct"/>
            <w:vAlign w:val="center"/>
          </w:tcPr>
          <w:p w:rsidR="00F02620" w:rsidRPr="003027E7" w:rsidRDefault="00C7325C" w:rsidP="00123C97">
            <w:pPr>
              <w:adjustRightInd w:val="0"/>
              <w:snapToGrid w:val="0"/>
              <w:spacing w:line="360" w:lineRule="auto"/>
              <w:ind w:firstLine="0"/>
              <w:jc w:val="left"/>
            </w:pPr>
            <w:r>
              <w:t xml:space="preserve">   </w:t>
            </w:r>
            <w:r w:rsidR="00F02620" w:rsidRPr="003027E7">
              <w:t>1</w:t>
            </w:r>
            <w:r w:rsidR="00F02620" w:rsidRPr="003027E7">
              <w:rPr>
                <w:vertAlign w:val="superscript"/>
              </w:rPr>
              <w:t>st</w:t>
            </w:r>
            <w:r w:rsidR="00F02620" w:rsidRPr="003027E7">
              <w:t xml:space="preserve">  (shortest)</w:t>
            </w:r>
          </w:p>
        </w:tc>
        <w:tc>
          <w:tcPr>
            <w:tcW w:w="1058" w:type="pct"/>
            <w:vAlign w:val="center"/>
          </w:tcPr>
          <w:p w:rsidR="00F02620" w:rsidRDefault="00F02620" w:rsidP="00123C97">
            <w:pPr>
              <w:adjustRightInd w:val="0"/>
              <w:snapToGrid w:val="0"/>
              <w:spacing w:line="360" w:lineRule="auto"/>
              <w:ind w:firstLine="0"/>
              <w:jc w:val="left"/>
              <w:rPr>
                <w:bCs/>
              </w:rPr>
            </w:pPr>
            <w:r>
              <w:rPr>
                <w:bCs/>
              </w:rPr>
              <w:t>17,964</w:t>
            </w:r>
          </w:p>
        </w:tc>
        <w:tc>
          <w:tcPr>
            <w:tcW w:w="913" w:type="pct"/>
            <w:vAlign w:val="center"/>
          </w:tcPr>
          <w:p w:rsidR="00F02620" w:rsidRPr="003027E7" w:rsidRDefault="00F02620" w:rsidP="00123C97">
            <w:pPr>
              <w:adjustRightInd w:val="0"/>
              <w:snapToGrid w:val="0"/>
              <w:spacing w:line="360" w:lineRule="auto"/>
              <w:ind w:firstLine="0"/>
              <w:jc w:val="left"/>
              <w:rPr>
                <w:bCs/>
              </w:rPr>
            </w:pPr>
            <w:r>
              <w:rPr>
                <w:bCs/>
              </w:rPr>
              <w:t>29</w:t>
            </w:r>
          </w:p>
        </w:tc>
        <w:tc>
          <w:tcPr>
            <w:tcW w:w="1346" w:type="pct"/>
            <w:vAlign w:val="center"/>
          </w:tcPr>
          <w:p w:rsidR="00F02620" w:rsidRPr="003027E7" w:rsidRDefault="00F02620" w:rsidP="00123C97">
            <w:pPr>
              <w:adjustRightInd w:val="0"/>
              <w:snapToGrid w:val="0"/>
              <w:spacing w:line="360" w:lineRule="auto"/>
              <w:ind w:firstLine="0"/>
              <w:jc w:val="left"/>
              <w:rPr>
                <w:bCs/>
              </w:rPr>
            </w:pPr>
            <w:r w:rsidRPr="003027E7">
              <w:rPr>
                <w:bCs/>
              </w:rPr>
              <w:t>1.00</w:t>
            </w:r>
          </w:p>
        </w:tc>
      </w:tr>
      <w:tr w:rsidR="00123C97" w:rsidTr="00EB591E">
        <w:trPr>
          <w:trHeight w:val="288"/>
        </w:trPr>
        <w:tc>
          <w:tcPr>
            <w:tcW w:w="1683" w:type="pct"/>
            <w:vAlign w:val="center"/>
          </w:tcPr>
          <w:p w:rsidR="00F02620" w:rsidRPr="003027E7" w:rsidRDefault="00C7325C" w:rsidP="00123C97">
            <w:pPr>
              <w:adjustRightInd w:val="0"/>
              <w:snapToGrid w:val="0"/>
              <w:spacing w:line="360" w:lineRule="auto"/>
              <w:ind w:firstLine="0"/>
              <w:jc w:val="left"/>
              <w:rPr>
                <w:bCs/>
              </w:rPr>
            </w:pPr>
            <w:r>
              <w:rPr>
                <w:bCs/>
              </w:rPr>
              <w:t xml:space="preserve">   </w:t>
            </w:r>
            <w:r w:rsidR="00F02620" w:rsidRPr="003027E7">
              <w:rPr>
                <w:bCs/>
              </w:rPr>
              <w:t>2</w:t>
            </w:r>
            <w:r w:rsidR="00F02620" w:rsidRPr="003027E7">
              <w:rPr>
                <w:bCs/>
                <w:vertAlign w:val="superscript"/>
              </w:rPr>
              <w:t>nd</w:t>
            </w:r>
          </w:p>
        </w:tc>
        <w:tc>
          <w:tcPr>
            <w:tcW w:w="1058" w:type="pct"/>
            <w:vAlign w:val="center"/>
          </w:tcPr>
          <w:p w:rsidR="00F02620" w:rsidRDefault="00F02620" w:rsidP="00123C97">
            <w:pPr>
              <w:adjustRightInd w:val="0"/>
              <w:snapToGrid w:val="0"/>
              <w:spacing w:line="360" w:lineRule="auto"/>
              <w:ind w:firstLine="0"/>
              <w:jc w:val="left"/>
              <w:rPr>
                <w:bCs/>
              </w:rPr>
            </w:pPr>
            <w:r>
              <w:rPr>
                <w:bCs/>
              </w:rPr>
              <w:t>18,186</w:t>
            </w:r>
          </w:p>
        </w:tc>
        <w:tc>
          <w:tcPr>
            <w:tcW w:w="913" w:type="pct"/>
            <w:vAlign w:val="center"/>
          </w:tcPr>
          <w:p w:rsidR="00F02620" w:rsidRPr="003027E7" w:rsidRDefault="00F02620" w:rsidP="00123C97">
            <w:pPr>
              <w:adjustRightInd w:val="0"/>
              <w:snapToGrid w:val="0"/>
              <w:spacing w:line="360" w:lineRule="auto"/>
              <w:ind w:firstLine="0"/>
              <w:jc w:val="left"/>
              <w:rPr>
                <w:bCs/>
              </w:rPr>
            </w:pPr>
            <w:r>
              <w:rPr>
                <w:bCs/>
              </w:rPr>
              <w:t>35</w:t>
            </w:r>
          </w:p>
        </w:tc>
        <w:tc>
          <w:tcPr>
            <w:tcW w:w="1346" w:type="pct"/>
            <w:vAlign w:val="center"/>
          </w:tcPr>
          <w:p w:rsidR="00F02620" w:rsidRPr="003027E7" w:rsidRDefault="00F02620" w:rsidP="00123C97">
            <w:pPr>
              <w:adjustRightInd w:val="0"/>
              <w:snapToGrid w:val="0"/>
              <w:spacing w:line="360" w:lineRule="auto"/>
              <w:ind w:firstLine="0"/>
              <w:jc w:val="left"/>
              <w:rPr>
                <w:bCs/>
              </w:rPr>
            </w:pPr>
            <w:r>
              <w:rPr>
                <w:bCs/>
              </w:rPr>
              <w:t>1.06 (0.62, 1.80</w:t>
            </w:r>
            <w:r w:rsidRPr="003027E7">
              <w:rPr>
                <w:bCs/>
              </w:rPr>
              <w:t>)</w:t>
            </w:r>
          </w:p>
        </w:tc>
      </w:tr>
      <w:tr w:rsidR="00123C97" w:rsidTr="00EB591E">
        <w:trPr>
          <w:trHeight w:val="288"/>
        </w:trPr>
        <w:tc>
          <w:tcPr>
            <w:tcW w:w="1683" w:type="pct"/>
            <w:vAlign w:val="center"/>
          </w:tcPr>
          <w:p w:rsidR="00F02620" w:rsidRPr="003027E7" w:rsidRDefault="00C7325C" w:rsidP="00123C97">
            <w:pPr>
              <w:adjustRightInd w:val="0"/>
              <w:snapToGrid w:val="0"/>
              <w:spacing w:line="360" w:lineRule="auto"/>
              <w:ind w:firstLine="0"/>
              <w:jc w:val="left"/>
              <w:rPr>
                <w:bCs/>
              </w:rPr>
            </w:pPr>
            <w:r>
              <w:rPr>
                <w:bCs/>
              </w:rPr>
              <w:t xml:space="preserve">   </w:t>
            </w:r>
            <w:r w:rsidR="00F02620" w:rsidRPr="003027E7">
              <w:rPr>
                <w:bCs/>
              </w:rPr>
              <w:t>3</w:t>
            </w:r>
            <w:r w:rsidR="00F02620" w:rsidRPr="003027E7">
              <w:rPr>
                <w:bCs/>
                <w:vertAlign w:val="superscript"/>
              </w:rPr>
              <w:t>rd</w:t>
            </w:r>
          </w:p>
        </w:tc>
        <w:tc>
          <w:tcPr>
            <w:tcW w:w="1058" w:type="pct"/>
            <w:vAlign w:val="center"/>
          </w:tcPr>
          <w:p w:rsidR="00F02620" w:rsidRDefault="00F02620" w:rsidP="00123C97">
            <w:pPr>
              <w:adjustRightInd w:val="0"/>
              <w:snapToGrid w:val="0"/>
              <w:spacing w:line="360" w:lineRule="auto"/>
              <w:ind w:firstLine="0"/>
              <w:jc w:val="left"/>
              <w:rPr>
                <w:bCs/>
              </w:rPr>
            </w:pPr>
            <w:r>
              <w:rPr>
                <w:bCs/>
              </w:rPr>
              <w:t>18,288</w:t>
            </w:r>
          </w:p>
        </w:tc>
        <w:tc>
          <w:tcPr>
            <w:tcW w:w="913" w:type="pct"/>
            <w:vAlign w:val="center"/>
          </w:tcPr>
          <w:p w:rsidR="00F02620" w:rsidRPr="003027E7" w:rsidRDefault="00F02620" w:rsidP="00123C97">
            <w:pPr>
              <w:adjustRightInd w:val="0"/>
              <w:snapToGrid w:val="0"/>
              <w:spacing w:line="360" w:lineRule="auto"/>
              <w:ind w:firstLine="0"/>
              <w:jc w:val="left"/>
              <w:rPr>
                <w:bCs/>
              </w:rPr>
            </w:pPr>
            <w:r>
              <w:rPr>
                <w:bCs/>
              </w:rPr>
              <w:t>48</w:t>
            </w:r>
          </w:p>
        </w:tc>
        <w:tc>
          <w:tcPr>
            <w:tcW w:w="1346" w:type="pct"/>
            <w:vAlign w:val="center"/>
          </w:tcPr>
          <w:p w:rsidR="00F02620" w:rsidRPr="003027E7" w:rsidRDefault="00F02620" w:rsidP="00123C97">
            <w:pPr>
              <w:adjustRightInd w:val="0"/>
              <w:snapToGrid w:val="0"/>
              <w:spacing w:line="360" w:lineRule="auto"/>
              <w:ind w:firstLine="0"/>
              <w:jc w:val="left"/>
              <w:rPr>
                <w:bCs/>
              </w:rPr>
            </w:pPr>
            <w:r>
              <w:rPr>
                <w:bCs/>
              </w:rPr>
              <w:t>1.36 (0.83, 2.24</w:t>
            </w:r>
            <w:r w:rsidRPr="003027E7">
              <w:rPr>
                <w:bCs/>
              </w:rPr>
              <w:t>)</w:t>
            </w:r>
          </w:p>
        </w:tc>
      </w:tr>
      <w:tr w:rsidR="00123C97" w:rsidTr="00EB591E">
        <w:trPr>
          <w:trHeight w:val="288"/>
        </w:trPr>
        <w:tc>
          <w:tcPr>
            <w:tcW w:w="1683" w:type="pct"/>
            <w:vAlign w:val="center"/>
          </w:tcPr>
          <w:p w:rsidR="00F02620" w:rsidRPr="003027E7" w:rsidRDefault="00C7325C" w:rsidP="00123C97">
            <w:pPr>
              <w:adjustRightInd w:val="0"/>
              <w:snapToGrid w:val="0"/>
              <w:spacing w:line="360" w:lineRule="auto"/>
              <w:ind w:firstLine="0"/>
              <w:jc w:val="left"/>
              <w:rPr>
                <w:bCs/>
              </w:rPr>
            </w:pPr>
            <w:r>
              <w:rPr>
                <w:bCs/>
              </w:rPr>
              <w:t xml:space="preserve">   </w:t>
            </w:r>
            <w:r w:rsidR="00F02620" w:rsidRPr="003027E7">
              <w:rPr>
                <w:bCs/>
              </w:rPr>
              <w:t>4</w:t>
            </w:r>
            <w:r w:rsidR="00F02620" w:rsidRPr="003027E7">
              <w:rPr>
                <w:bCs/>
                <w:vertAlign w:val="superscript"/>
              </w:rPr>
              <w:t>th</w:t>
            </w:r>
          </w:p>
        </w:tc>
        <w:tc>
          <w:tcPr>
            <w:tcW w:w="1058" w:type="pct"/>
            <w:vAlign w:val="center"/>
          </w:tcPr>
          <w:p w:rsidR="00F02620" w:rsidRDefault="00F02620" w:rsidP="00123C97">
            <w:pPr>
              <w:adjustRightInd w:val="0"/>
              <w:snapToGrid w:val="0"/>
              <w:spacing w:line="360" w:lineRule="auto"/>
              <w:ind w:firstLine="0"/>
              <w:jc w:val="left"/>
              <w:rPr>
                <w:bCs/>
              </w:rPr>
            </w:pPr>
            <w:r>
              <w:rPr>
                <w:bCs/>
              </w:rPr>
              <w:t>18,487</w:t>
            </w:r>
          </w:p>
        </w:tc>
        <w:tc>
          <w:tcPr>
            <w:tcW w:w="913" w:type="pct"/>
            <w:vAlign w:val="center"/>
          </w:tcPr>
          <w:p w:rsidR="00F02620" w:rsidRPr="003027E7" w:rsidRDefault="00F02620" w:rsidP="00123C97">
            <w:pPr>
              <w:adjustRightInd w:val="0"/>
              <w:snapToGrid w:val="0"/>
              <w:spacing w:line="360" w:lineRule="auto"/>
              <w:ind w:firstLine="0"/>
              <w:jc w:val="left"/>
              <w:rPr>
                <w:bCs/>
              </w:rPr>
            </w:pPr>
            <w:r>
              <w:rPr>
                <w:bCs/>
              </w:rPr>
              <w:t>52</w:t>
            </w:r>
          </w:p>
        </w:tc>
        <w:tc>
          <w:tcPr>
            <w:tcW w:w="1346" w:type="pct"/>
            <w:vAlign w:val="center"/>
          </w:tcPr>
          <w:p w:rsidR="00F02620" w:rsidRPr="003027E7" w:rsidRDefault="00F02620" w:rsidP="00123C97">
            <w:pPr>
              <w:adjustRightInd w:val="0"/>
              <w:snapToGrid w:val="0"/>
              <w:spacing w:line="360" w:lineRule="auto"/>
              <w:ind w:firstLine="0"/>
              <w:jc w:val="left"/>
              <w:rPr>
                <w:bCs/>
              </w:rPr>
            </w:pPr>
            <w:r>
              <w:rPr>
                <w:bCs/>
              </w:rPr>
              <w:t>1.70 (1.05, 2.73</w:t>
            </w:r>
            <w:r w:rsidRPr="003027E7">
              <w:rPr>
                <w:bCs/>
              </w:rPr>
              <w:t>)</w:t>
            </w:r>
          </w:p>
        </w:tc>
      </w:tr>
      <w:tr w:rsidR="00123C97" w:rsidTr="00EB591E">
        <w:trPr>
          <w:trHeight w:val="288"/>
        </w:trPr>
        <w:tc>
          <w:tcPr>
            <w:tcW w:w="1683" w:type="pct"/>
            <w:vAlign w:val="center"/>
          </w:tcPr>
          <w:p w:rsidR="00F02620" w:rsidRPr="003027E7" w:rsidRDefault="00C7325C" w:rsidP="00123C97">
            <w:pPr>
              <w:adjustRightInd w:val="0"/>
              <w:snapToGrid w:val="0"/>
              <w:spacing w:line="360" w:lineRule="auto"/>
              <w:ind w:firstLine="0"/>
              <w:jc w:val="left"/>
              <w:rPr>
                <w:bCs/>
              </w:rPr>
            </w:pPr>
            <w:r>
              <w:rPr>
                <w:bCs/>
              </w:rPr>
              <w:t xml:space="preserve">   </w:t>
            </w:r>
            <w:r w:rsidR="00F02620" w:rsidRPr="003027E7">
              <w:rPr>
                <w:bCs/>
              </w:rPr>
              <w:t>5</w:t>
            </w:r>
            <w:r w:rsidR="00F02620" w:rsidRPr="003027E7">
              <w:rPr>
                <w:bCs/>
                <w:vertAlign w:val="superscript"/>
              </w:rPr>
              <w:t>th</w:t>
            </w:r>
            <w:r w:rsidR="00F02620" w:rsidRPr="003027E7">
              <w:rPr>
                <w:bCs/>
              </w:rPr>
              <w:t xml:space="preserve">  (longest)</w:t>
            </w:r>
          </w:p>
        </w:tc>
        <w:tc>
          <w:tcPr>
            <w:tcW w:w="1058" w:type="pct"/>
            <w:vAlign w:val="center"/>
          </w:tcPr>
          <w:p w:rsidR="00F02620" w:rsidRDefault="00F02620" w:rsidP="00123C97">
            <w:pPr>
              <w:adjustRightInd w:val="0"/>
              <w:snapToGrid w:val="0"/>
              <w:spacing w:line="360" w:lineRule="auto"/>
              <w:ind w:firstLine="0"/>
              <w:jc w:val="left"/>
              <w:rPr>
                <w:bCs/>
              </w:rPr>
            </w:pPr>
            <w:r>
              <w:rPr>
                <w:bCs/>
              </w:rPr>
              <w:t>19,097</w:t>
            </w:r>
          </w:p>
        </w:tc>
        <w:tc>
          <w:tcPr>
            <w:tcW w:w="913" w:type="pct"/>
            <w:vAlign w:val="center"/>
          </w:tcPr>
          <w:p w:rsidR="00F02620" w:rsidRPr="003027E7" w:rsidRDefault="00F02620" w:rsidP="00123C97">
            <w:pPr>
              <w:adjustRightInd w:val="0"/>
              <w:snapToGrid w:val="0"/>
              <w:spacing w:line="360" w:lineRule="auto"/>
              <w:ind w:firstLine="0"/>
              <w:jc w:val="left"/>
              <w:rPr>
                <w:bCs/>
              </w:rPr>
            </w:pPr>
            <w:r>
              <w:rPr>
                <w:bCs/>
              </w:rPr>
              <w:t>46</w:t>
            </w:r>
          </w:p>
        </w:tc>
        <w:tc>
          <w:tcPr>
            <w:tcW w:w="1346" w:type="pct"/>
            <w:vAlign w:val="center"/>
          </w:tcPr>
          <w:p w:rsidR="00F02620" w:rsidRPr="003027E7" w:rsidRDefault="00F02620" w:rsidP="00123C97">
            <w:pPr>
              <w:adjustRightInd w:val="0"/>
              <w:snapToGrid w:val="0"/>
              <w:spacing w:line="360" w:lineRule="auto"/>
              <w:ind w:firstLine="0"/>
              <w:jc w:val="left"/>
              <w:rPr>
                <w:bCs/>
              </w:rPr>
            </w:pPr>
            <w:r>
              <w:rPr>
                <w:bCs/>
              </w:rPr>
              <w:t>1.47 (0.90, 2.38</w:t>
            </w:r>
            <w:r w:rsidRPr="003027E7">
              <w:rPr>
                <w:bCs/>
              </w:rPr>
              <w:t>)</w:t>
            </w:r>
          </w:p>
        </w:tc>
      </w:tr>
      <w:tr w:rsidR="00123C97" w:rsidTr="00EB591E">
        <w:trPr>
          <w:trHeight w:val="288"/>
        </w:trPr>
        <w:tc>
          <w:tcPr>
            <w:tcW w:w="1683" w:type="pct"/>
            <w:tcBorders>
              <w:bottom w:val="single" w:sz="4" w:space="0" w:color="000000"/>
            </w:tcBorders>
            <w:vAlign w:val="center"/>
          </w:tcPr>
          <w:p w:rsidR="00F02620" w:rsidRPr="003027E7" w:rsidRDefault="00F02620" w:rsidP="00123C97">
            <w:pPr>
              <w:adjustRightInd w:val="0"/>
              <w:snapToGrid w:val="0"/>
              <w:spacing w:line="360" w:lineRule="auto"/>
              <w:ind w:firstLine="0"/>
              <w:jc w:val="left"/>
              <w:rPr>
                <w:bCs/>
              </w:rPr>
            </w:pPr>
            <w:r w:rsidRPr="003027E7">
              <w:rPr>
                <w:bCs/>
                <w:i/>
              </w:rPr>
              <w:t xml:space="preserve">P </w:t>
            </w:r>
            <w:r w:rsidRPr="003027E7">
              <w:rPr>
                <w:bCs/>
              </w:rPr>
              <w:t>trend</w:t>
            </w:r>
          </w:p>
        </w:tc>
        <w:tc>
          <w:tcPr>
            <w:tcW w:w="1058" w:type="pct"/>
            <w:tcBorders>
              <w:bottom w:val="single" w:sz="4" w:space="0" w:color="000000"/>
            </w:tcBorders>
            <w:vAlign w:val="center"/>
          </w:tcPr>
          <w:p w:rsidR="00F02620" w:rsidRPr="003027E7" w:rsidRDefault="00F02620" w:rsidP="00123C97">
            <w:pPr>
              <w:adjustRightInd w:val="0"/>
              <w:snapToGrid w:val="0"/>
              <w:spacing w:line="360" w:lineRule="auto"/>
              <w:jc w:val="left"/>
              <w:rPr>
                <w:bCs/>
              </w:rPr>
            </w:pPr>
          </w:p>
        </w:tc>
        <w:tc>
          <w:tcPr>
            <w:tcW w:w="913" w:type="pct"/>
            <w:tcBorders>
              <w:bottom w:val="single" w:sz="4" w:space="0" w:color="000000"/>
            </w:tcBorders>
            <w:vAlign w:val="center"/>
          </w:tcPr>
          <w:p w:rsidR="00F02620" w:rsidRPr="003027E7" w:rsidRDefault="00F02620" w:rsidP="00123C97">
            <w:pPr>
              <w:adjustRightInd w:val="0"/>
              <w:snapToGrid w:val="0"/>
              <w:spacing w:line="360" w:lineRule="auto"/>
              <w:jc w:val="left"/>
              <w:rPr>
                <w:bCs/>
              </w:rPr>
            </w:pPr>
          </w:p>
        </w:tc>
        <w:tc>
          <w:tcPr>
            <w:tcW w:w="1346" w:type="pct"/>
            <w:tcBorders>
              <w:bottom w:val="single" w:sz="4" w:space="0" w:color="000000"/>
            </w:tcBorders>
            <w:vAlign w:val="center"/>
          </w:tcPr>
          <w:p w:rsidR="00F02620" w:rsidRPr="003027E7" w:rsidRDefault="00F02620" w:rsidP="00123C97">
            <w:pPr>
              <w:adjustRightInd w:val="0"/>
              <w:snapToGrid w:val="0"/>
              <w:spacing w:line="360" w:lineRule="auto"/>
              <w:ind w:firstLine="0"/>
              <w:jc w:val="left"/>
              <w:rPr>
                <w:bCs/>
              </w:rPr>
            </w:pPr>
            <w:r>
              <w:rPr>
                <w:bCs/>
              </w:rPr>
              <w:t>0.01</w:t>
            </w:r>
          </w:p>
        </w:tc>
      </w:tr>
      <w:tr w:rsidR="001D1988" w:rsidTr="00123C97">
        <w:trPr>
          <w:trHeight w:val="202"/>
        </w:trPr>
        <w:tc>
          <w:tcPr>
            <w:tcW w:w="5000" w:type="pct"/>
            <w:gridSpan w:val="4"/>
            <w:tcBorders>
              <w:top w:val="single" w:sz="4" w:space="0" w:color="000000"/>
            </w:tcBorders>
            <w:vAlign w:val="center"/>
          </w:tcPr>
          <w:p w:rsidR="001D1988" w:rsidRPr="004F6779" w:rsidRDefault="004F6779" w:rsidP="001D1988">
            <w:pPr>
              <w:adjustRightInd w:val="0"/>
              <w:snapToGrid w:val="0"/>
              <w:spacing w:line="360" w:lineRule="auto"/>
              <w:ind w:firstLine="0"/>
              <w:jc w:val="left"/>
              <w:rPr>
                <w:bCs/>
              </w:rPr>
            </w:pPr>
            <w:r>
              <w:rPr>
                <w:bCs/>
                <w:vertAlign w:val="superscript"/>
              </w:rPr>
              <w:t>*</w:t>
            </w:r>
            <w:r>
              <w:rPr>
                <w:bCs/>
              </w:rPr>
              <w:t>Adjusted for age</w:t>
            </w:r>
            <w:r w:rsidR="002126AD">
              <w:rPr>
                <w:bCs/>
              </w:rPr>
              <w:t xml:space="preserve"> at blood collection</w:t>
            </w:r>
            <w:r>
              <w:rPr>
                <w:bCs/>
              </w:rPr>
              <w:t xml:space="preserve">, BMI, </w:t>
            </w:r>
            <w:r w:rsidR="00EB564A">
              <w:rPr>
                <w:bCs/>
              </w:rPr>
              <w:t xml:space="preserve">level of </w:t>
            </w:r>
            <w:r>
              <w:rPr>
                <w:bCs/>
              </w:rPr>
              <w:t>educatio</w:t>
            </w:r>
            <w:r w:rsidR="001E70BB">
              <w:rPr>
                <w:bCs/>
              </w:rPr>
              <w:t xml:space="preserve">n, number of live births, </w:t>
            </w:r>
            <w:r w:rsidR="002126AD">
              <w:rPr>
                <w:bCs/>
              </w:rPr>
              <w:t xml:space="preserve">and </w:t>
            </w:r>
            <w:r w:rsidR="001E70BB">
              <w:rPr>
                <w:bCs/>
              </w:rPr>
              <w:t xml:space="preserve">age at </w:t>
            </w:r>
            <w:r>
              <w:rPr>
                <w:bCs/>
              </w:rPr>
              <w:t xml:space="preserve">first live birth. </w:t>
            </w:r>
          </w:p>
        </w:tc>
      </w:tr>
    </w:tbl>
    <w:p w:rsidR="00026512" w:rsidRDefault="00026512" w:rsidP="008E4F1B">
      <w:pPr>
        <w:ind w:firstLine="0"/>
        <w:rPr>
          <w:b/>
        </w:rPr>
      </w:pPr>
    </w:p>
    <w:p w:rsidR="008E4F1B" w:rsidRDefault="008E4F1B" w:rsidP="003B56FA">
      <w:pPr>
        <w:rPr>
          <w:b/>
        </w:rPr>
      </w:pPr>
    </w:p>
    <w:p w:rsidR="008E4F1B" w:rsidRDefault="008E4F1B"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2126AD" w:rsidRDefault="002126AD" w:rsidP="003B56FA">
      <w:pPr>
        <w:rPr>
          <w:b/>
        </w:rPr>
      </w:pPr>
    </w:p>
    <w:p w:rsidR="006C6BFE" w:rsidRPr="001E70BB" w:rsidRDefault="00C7325C" w:rsidP="003B56FA">
      <w:pPr>
        <w:pStyle w:val="Caption"/>
        <w:spacing w:line="360" w:lineRule="auto"/>
        <w:ind w:firstLine="0"/>
        <w:rPr>
          <w:b w:val="0"/>
          <w:sz w:val="24"/>
          <w:szCs w:val="24"/>
        </w:rPr>
      </w:pPr>
      <w:bookmarkStart w:id="41" w:name="_Toc512007053"/>
      <w:r w:rsidRPr="001E70BB">
        <w:rPr>
          <w:sz w:val="24"/>
          <w:szCs w:val="24"/>
        </w:rPr>
        <w:lastRenderedPageBreak/>
        <w:t xml:space="preserve">Table 4. </w:t>
      </w:r>
      <w:r w:rsidR="009D1D0B" w:rsidRPr="001E70BB">
        <w:rPr>
          <w:b w:val="0"/>
          <w:sz w:val="24"/>
          <w:szCs w:val="24"/>
        </w:rPr>
        <w:t>Hazard ratio</w:t>
      </w:r>
      <w:r w:rsidR="006D12EB">
        <w:rPr>
          <w:b w:val="0"/>
          <w:sz w:val="24"/>
          <w:szCs w:val="24"/>
        </w:rPr>
        <w:t xml:space="preserve"> </w:t>
      </w:r>
      <w:r w:rsidR="009D1D0B" w:rsidRPr="001E70BB">
        <w:rPr>
          <w:b w:val="0"/>
          <w:sz w:val="24"/>
          <w:szCs w:val="24"/>
        </w:rPr>
        <w:t>(HR</w:t>
      </w:r>
      <w:r w:rsidRPr="001E70BB">
        <w:rPr>
          <w:b w:val="0"/>
          <w:sz w:val="24"/>
          <w:szCs w:val="24"/>
        </w:rPr>
        <w:t>) of breast cancer in relation to relative telomere length in all sub</w:t>
      </w:r>
      <w:r w:rsidR="00A64931">
        <w:rPr>
          <w:b w:val="0"/>
          <w:sz w:val="24"/>
          <w:szCs w:val="24"/>
        </w:rPr>
        <w:t>jects by stratified by</w:t>
      </w:r>
      <w:r w:rsidR="009D1D0B" w:rsidRPr="001E70BB">
        <w:rPr>
          <w:b w:val="0"/>
          <w:sz w:val="24"/>
          <w:szCs w:val="24"/>
        </w:rPr>
        <w:t xml:space="preserve"> </w:t>
      </w:r>
      <w:r w:rsidR="00A64931">
        <w:rPr>
          <w:b w:val="0"/>
          <w:sz w:val="24"/>
          <w:szCs w:val="24"/>
        </w:rPr>
        <w:t xml:space="preserve">median age, </w:t>
      </w:r>
      <w:r w:rsidR="009D1D0B" w:rsidRPr="001E70BB">
        <w:rPr>
          <w:b w:val="0"/>
          <w:sz w:val="24"/>
          <w:szCs w:val="24"/>
        </w:rPr>
        <w:t>BMI,</w:t>
      </w:r>
      <w:r w:rsidRPr="001E70BB">
        <w:rPr>
          <w:b w:val="0"/>
          <w:sz w:val="24"/>
          <w:szCs w:val="24"/>
        </w:rPr>
        <w:t xml:space="preserve"> </w:t>
      </w:r>
      <w:r w:rsidR="009D1D0B" w:rsidRPr="001E70BB">
        <w:rPr>
          <w:b w:val="0"/>
          <w:sz w:val="24"/>
          <w:szCs w:val="24"/>
        </w:rPr>
        <w:t>age at menarche, age at</w:t>
      </w:r>
      <w:r w:rsidRPr="001E70BB">
        <w:rPr>
          <w:b w:val="0"/>
          <w:sz w:val="24"/>
          <w:szCs w:val="24"/>
        </w:rPr>
        <w:t xml:space="preserve"> first </w:t>
      </w:r>
      <w:r w:rsidR="0090094F" w:rsidRPr="001E70BB">
        <w:rPr>
          <w:b w:val="0"/>
          <w:sz w:val="24"/>
          <w:szCs w:val="24"/>
        </w:rPr>
        <w:t>live birth</w:t>
      </w:r>
      <w:r w:rsidR="00A64931">
        <w:rPr>
          <w:b w:val="0"/>
          <w:sz w:val="24"/>
          <w:szCs w:val="24"/>
        </w:rPr>
        <w:t>,</w:t>
      </w:r>
      <w:r w:rsidR="00837039">
        <w:rPr>
          <w:b w:val="0"/>
          <w:sz w:val="24"/>
          <w:szCs w:val="24"/>
        </w:rPr>
        <w:t xml:space="preserve"> </w:t>
      </w:r>
      <w:r w:rsidR="009D1D0B" w:rsidRPr="001E70BB">
        <w:rPr>
          <w:b w:val="0"/>
          <w:sz w:val="24"/>
          <w:szCs w:val="24"/>
        </w:rPr>
        <w:t>number of children</w:t>
      </w:r>
      <w:r w:rsidR="00837039">
        <w:rPr>
          <w:b w:val="0"/>
          <w:sz w:val="24"/>
          <w:szCs w:val="24"/>
        </w:rPr>
        <w:t xml:space="preserve"> and length of follow-up</w:t>
      </w:r>
      <w:r w:rsidR="009D1D0B" w:rsidRPr="001E70BB">
        <w:rPr>
          <w:b w:val="0"/>
          <w:sz w:val="24"/>
          <w:szCs w:val="24"/>
        </w:rPr>
        <w:t>: The Singapore Chinese Health Study.</w:t>
      </w:r>
      <w:bookmarkEnd w:id="41"/>
      <w:r w:rsidR="009D1D0B" w:rsidRPr="001E70BB">
        <w:rPr>
          <w:b w:val="0"/>
          <w:sz w:val="24"/>
          <w:szCs w:val="24"/>
        </w:rPr>
        <w:t xml:space="preserve"> </w:t>
      </w:r>
    </w:p>
    <w:tbl>
      <w:tblPr>
        <w:tblStyle w:val="TableGrid"/>
        <w:tblW w:w="944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975"/>
        <w:gridCol w:w="1710"/>
        <w:gridCol w:w="2610"/>
      </w:tblGrid>
      <w:tr w:rsidR="00C7325C" w:rsidRPr="00D91CC5" w:rsidTr="00301410">
        <w:tc>
          <w:tcPr>
            <w:tcW w:w="3150" w:type="dxa"/>
            <w:tcBorders>
              <w:bottom w:val="single" w:sz="4" w:space="0" w:color="000000"/>
            </w:tcBorders>
            <w:vAlign w:val="center"/>
          </w:tcPr>
          <w:p w:rsidR="00C7325C" w:rsidRPr="00D91CC5" w:rsidRDefault="00C7325C" w:rsidP="00D91CC5">
            <w:pPr>
              <w:spacing w:line="360" w:lineRule="auto"/>
              <w:ind w:firstLine="0"/>
              <w:jc w:val="left"/>
            </w:pPr>
            <w:r w:rsidRPr="00D91CC5">
              <w:t>Relative telomere length in quintile</w:t>
            </w:r>
          </w:p>
        </w:tc>
        <w:tc>
          <w:tcPr>
            <w:tcW w:w="1975" w:type="dxa"/>
            <w:tcBorders>
              <w:bottom w:val="single" w:sz="4" w:space="0" w:color="000000"/>
            </w:tcBorders>
            <w:vAlign w:val="center"/>
          </w:tcPr>
          <w:p w:rsidR="00C7325C" w:rsidRPr="00D91CC5" w:rsidRDefault="00C7325C" w:rsidP="00D91CC5">
            <w:pPr>
              <w:spacing w:line="360" w:lineRule="auto"/>
              <w:ind w:firstLine="0"/>
              <w:jc w:val="left"/>
            </w:pPr>
            <w:r w:rsidRPr="00D91CC5">
              <w:t>Person-years</w:t>
            </w:r>
          </w:p>
        </w:tc>
        <w:tc>
          <w:tcPr>
            <w:tcW w:w="1710" w:type="dxa"/>
            <w:tcBorders>
              <w:bottom w:val="single" w:sz="4" w:space="0" w:color="000000"/>
            </w:tcBorders>
            <w:vAlign w:val="center"/>
          </w:tcPr>
          <w:p w:rsidR="00C7325C" w:rsidRPr="00D91CC5" w:rsidRDefault="00C7325C" w:rsidP="00D91CC5">
            <w:pPr>
              <w:spacing w:line="360" w:lineRule="auto"/>
              <w:ind w:firstLine="0"/>
              <w:jc w:val="left"/>
            </w:pPr>
            <w:r w:rsidRPr="00D91CC5">
              <w:t>No. of cases</w:t>
            </w:r>
          </w:p>
        </w:tc>
        <w:tc>
          <w:tcPr>
            <w:tcW w:w="2610" w:type="dxa"/>
            <w:tcBorders>
              <w:bottom w:val="single" w:sz="4" w:space="0" w:color="000000"/>
            </w:tcBorders>
            <w:vAlign w:val="center"/>
          </w:tcPr>
          <w:p w:rsidR="00C7325C" w:rsidRPr="00D91CC5" w:rsidRDefault="00EB591E" w:rsidP="00D91CC5">
            <w:pPr>
              <w:spacing w:line="360" w:lineRule="auto"/>
              <w:ind w:firstLine="0"/>
              <w:jc w:val="left"/>
            </w:pPr>
            <w:r w:rsidRPr="00D91CC5">
              <w:t xml:space="preserve">Adjusted HR </w:t>
            </w:r>
            <w:r w:rsidR="00C7325C" w:rsidRPr="00D91CC5">
              <w:t>(95% CI)</w:t>
            </w:r>
            <w:r w:rsidR="00C7325C" w:rsidRPr="00D91CC5">
              <w:rPr>
                <w:vertAlign w:val="superscript"/>
              </w:rPr>
              <w:t>*</w:t>
            </w:r>
          </w:p>
        </w:tc>
      </w:tr>
      <w:tr w:rsidR="00A64931" w:rsidRPr="00D91CC5" w:rsidTr="00301410">
        <w:tc>
          <w:tcPr>
            <w:tcW w:w="3150" w:type="dxa"/>
            <w:tcBorders>
              <w:top w:val="single" w:sz="4" w:space="0" w:color="000000"/>
            </w:tcBorders>
            <w:vAlign w:val="center"/>
          </w:tcPr>
          <w:p w:rsidR="00A64931" w:rsidRPr="00D91CC5" w:rsidRDefault="00A64931" w:rsidP="00A64931">
            <w:pPr>
              <w:adjustRightInd w:val="0"/>
              <w:snapToGrid w:val="0"/>
              <w:spacing w:before="120" w:line="360" w:lineRule="auto"/>
              <w:ind w:firstLine="0"/>
              <w:jc w:val="left"/>
            </w:pPr>
            <w:r>
              <w:t xml:space="preserve">Age </w:t>
            </w:r>
            <w:r w:rsidRPr="00D91CC5">
              <w:t>&lt;</w:t>
            </w:r>
            <w:r>
              <w:t xml:space="preserve"> 62</w:t>
            </w:r>
            <w:r w:rsidR="00485979">
              <w:t xml:space="preserve"> (median age) </w:t>
            </w:r>
          </w:p>
        </w:tc>
        <w:tc>
          <w:tcPr>
            <w:tcW w:w="1975" w:type="dxa"/>
            <w:tcBorders>
              <w:top w:val="single" w:sz="4" w:space="0" w:color="000000"/>
            </w:tcBorders>
            <w:vAlign w:val="center"/>
          </w:tcPr>
          <w:p w:rsidR="00A64931" w:rsidRPr="00D91CC5" w:rsidRDefault="00A64931" w:rsidP="00A64931">
            <w:pPr>
              <w:adjustRightInd w:val="0"/>
              <w:snapToGrid w:val="0"/>
              <w:spacing w:line="360" w:lineRule="auto"/>
              <w:jc w:val="left"/>
              <w:rPr>
                <w:bCs/>
              </w:rPr>
            </w:pPr>
          </w:p>
        </w:tc>
        <w:tc>
          <w:tcPr>
            <w:tcW w:w="1710" w:type="dxa"/>
            <w:tcBorders>
              <w:top w:val="single" w:sz="4" w:space="0" w:color="000000"/>
            </w:tcBorders>
            <w:vAlign w:val="center"/>
          </w:tcPr>
          <w:p w:rsidR="00A64931" w:rsidRPr="00D91CC5" w:rsidRDefault="00A64931" w:rsidP="00A64931">
            <w:pPr>
              <w:adjustRightInd w:val="0"/>
              <w:snapToGrid w:val="0"/>
              <w:spacing w:line="360" w:lineRule="auto"/>
              <w:jc w:val="left"/>
              <w:rPr>
                <w:bCs/>
              </w:rPr>
            </w:pPr>
          </w:p>
        </w:tc>
        <w:tc>
          <w:tcPr>
            <w:tcW w:w="2610" w:type="dxa"/>
            <w:tcBorders>
              <w:top w:val="single" w:sz="4" w:space="0" w:color="000000"/>
            </w:tcBorders>
            <w:vAlign w:val="center"/>
          </w:tcPr>
          <w:p w:rsidR="00A64931" w:rsidRPr="00D91CC5" w:rsidRDefault="00A64931" w:rsidP="00A64931">
            <w:pPr>
              <w:adjustRightInd w:val="0"/>
              <w:snapToGrid w:val="0"/>
              <w:spacing w:line="360" w:lineRule="auto"/>
              <w:jc w:val="left"/>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5,145</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7</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2</w:t>
            </w:r>
            <w:r w:rsidRPr="00D91CC5">
              <w:rPr>
                <w:bCs/>
                <w:vertAlign w:val="superscript"/>
              </w:rPr>
              <w:t>nd</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7,523</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14</w:t>
            </w:r>
          </w:p>
        </w:tc>
        <w:tc>
          <w:tcPr>
            <w:tcW w:w="2610" w:type="dxa"/>
            <w:vAlign w:val="center"/>
          </w:tcPr>
          <w:p w:rsidR="00A64931" w:rsidRPr="00D91CC5" w:rsidRDefault="005E2C2D" w:rsidP="00A64931">
            <w:pPr>
              <w:adjustRightInd w:val="0"/>
              <w:snapToGrid w:val="0"/>
              <w:spacing w:line="360" w:lineRule="auto"/>
              <w:ind w:firstLine="0"/>
              <w:jc w:val="left"/>
              <w:rPr>
                <w:bCs/>
              </w:rPr>
            </w:pPr>
            <w:r>
              <w:rPr>
                <w:bCs/>
              </w:rPr>
              <w:t>1.34 (0.54, 3.34</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9,309</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22</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1.70</w:t>
            </w:r>
            <w:r w:rsidR="00A64931" w:rsidRPr="00D91CC5">
              <w:rPr>
                <w:bCs/>
              </w:rPr>
              <w:t xml:space="preserve"> (0</w:t>
            </w:r>
            <w:r w:rsidR="005E2C2D">
              <w:rPr>
                <w:bCs/>
              </w:rPr>
              <w:t>.72, 3.98</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11,210</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37</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2.38</w:t>
            </w:r>
            <w:r w:rsidR="005E2C2D">
              <w:rPr>
                <w:bCs/>
              </w:rPr>
              <w:t xml:space="preserve"> (1</w:t>
            </w:r>
            <w:r>
              <w:rPr>
                <w:bCs/>
              </w:rPr>
              <w:t>.05</w:t>
            </w:r>
            <w:r w:rsidR="005E2C2D">
              <w:rPr>
                <w:bCs/>
              </w:rPr>
              <w:t>, 5.34</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w:t>
            </w:r>
            <w:r w:rsidR="005E2C2D">
              <w:rPr>
                <w:bCs/>
              </w:rPr>
              <w:t>4,367</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37</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1.86 (0.82, 4.16</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r w:rsidR="00202AA9">
              <w:rPr>
                <w:bCs/>
              </w:rPr>
              <w:t xml:space="preserve"> </w:t>
            </w:r>
            <w:r w:rsidR="00202AA9">
              <w:t>(median age)</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5E2C2D" w:rsidP="00A64931">
            <w:pPr>
              <w:adjustRightInd w:val="0"/>
              <w:snapToGrid w:val="0"/>
              <w:spacing w:line="360" w:lineRule="auto"/>
              <w:ind w:firstLine="0"/>
              <w:jc w:val="left"/>
              <w:rPr>
                <w:bCs/>
              </w:rPr>
            </w:pPr>
            <w:r>
              <w:rPr>
                <w:bCs/>
              </w:rPr>
              <w:t>0.0</w:t>
            </w:r>
            <w:r w:rsidR="00301410">
              <w:rPr>
                <w:bCs/>
              </w:rPr>
              <w:t>5</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Pr>
                <w:bCs/>
              </w:rPr>
              <w:t>Age</w:t>
            </w:r>
            <w:r w:rsidRPr="00D91CC5">
              <w:rPr>
                <w:bCs/>
              </w:rPr>
              <w:t xml:space="preserve"> </w:t>
            </w:r>
            <m:oMath>
              <m:r>
                <w:rPr>
                  <w:rFonts w:ascii="Cambria Math" w:hAnsi="Cambria Math"/>
                </w:rPr>
                <m:t xml:space="preserve">≥ </m:t>
              </m:r>
            </m:oMath>
            <w:r>
              <w:rPr>
                <w:bCs/>
              </w:rPr>
              <w:t>62</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9,773</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1</w:t>
            </w:r>
            <w:r w:rsidR="00A64931" w:rsidRPr="00D91CC5">
              <w:rPr>
                <w:bCs/>
              </w:rPr>
              <w:t>8</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9,382</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16</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0.96(0.49, 1.88</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8,849</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20</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1.25(0.66, 2.37</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8,840</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21</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1.28(0.68, 2.41</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5E2C2D" w:rsidP="00A64931">
            <w:pPr>
              <w:adjustRightInd w:val="0"/>
              <w:snapToGrid w:val="0"/>
              <w:spacing w:line="360" w:lineRule="auto"/>
              <w:ind w:firstLine="0"/>
              <w:jc w:val="left"/>
              <w:rPr>
                <w:bCs/>
              </w:rPr>
            </w:pPr>
            <w:r>
              <w:rPr>
                <w:bCs/>
              </w:rPr>
              <w:t>7,625</w:t>
            </w:r>
          </w:p>
        </w:tc>
        <w:tc>
          <w:tcPr>
            <w:tcW w:w="1710" w:type="dxa"/>
            <w:vAlign w:val="center"/>
          </w:tcPr>
          <w:p w:rsidR="00A64931" w:rsidRPr="00D91CC5" w:rsidRDefault="005E2C2D" w:rsidP="00A64931">
            <w:pPr>
              <w:adjustRightInd w:val="0"/>
              <w:snapToGrid w:val="0"/>
              <w:spacing w:line="360" w:lineRule="auto"/>
              <w:ind w:firstLine="0"/>
              <w:jc w:val="left"/>
              <w:rPr>
                <w:bCs/>
              </w:rPr>
            </w:pPr>
            <w:r>
              <w:rPr>
                <w:bCs/>
              </w:rPr>
              <w:t>18</w:t>
            </w: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1.30(0.67, 2.51</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301410" w:rsidP="00A64931">
            <w:pPr>
              <w:adjustRightInd w:val="0"/>
              <w:snapToGrid w:val="0"/>
              <w:spacing w:line="360" w:lineRule="auto"/>
              <w:ind w:firstLine="0"/>
              <w:jc w:val="left"/>
              <w:rPr>
                <w:bCs/>
              </w:rPr>
            </w:pPr>
            <w:r>
              <w:rPr>
                <w:bCs/>
              </w:rPr>
              <w:t>0.27</w:t>
            </w:r>
          </w:p>
        </w:tc>
      </w:tr>
      <w:tr w:rsidR="00A64931" w:rsidRPr="00D91CC5" w:rsidTr="00301410">
        <w:tc>
          <w:tcPr>
            <w:tcW w:w="3150" w:type="dxa"/>
            <w:vAlign w:val="center"/>
          </w:tcPr>
          <w:p w:rsidR="00A64931" w:rsidRPr="00D91CC5" w:rsidRDefault="00602748" w:rsidP="00A64931">
            <w:pPr>
              <w:adjustRightInd w:val="0"/>
              <w:snapToGrid w:val="0"/>
              <w:spacing w:before="120" w:line="360" w:lineRule="auto"/>
              <w:ind w:firstLine="0"/>
              <w:jc w:val="left"/>
            </w:pPr>
            <w:r>
              <w:t>BMI&lt;23</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jc w:val="left"/>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602748" w:rsidP="00A64931">
            <w:pPr>
              <w:adjustRightInd w:val="0"/>
              <w:snapToGrid w:val="0"/>
              <w:spacing w:line="360" w:lineRule="auto"/>
              <w:ind w:firstLine="0"/>
              <w:jc w:val="left"/>
              <w:rPr>
                <w:bCs/>
              </w:rPr>
            </w:pPr>
            <w:r>
              <w:rPr>
                <w:bCs/>
              </w:rPr>
              <w:t>7,219</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13</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2</w:t>
            </w:r>
            <w:r w:rsidRPr="00D91CC5">
              <w:rPr>
                <w:bCs/>
                <w:vertAlign w:val="superscript"/>
              </w:rPr>
              <w:t>nd</w:t>
            </w:r>
          </w:p>
        </w:tc>
        <w:tc>
          <w:tcPr>
            <w:tcW w:w="1975" w:type="dxa"/>
            <w:vAlign w:val="center"/>
          </w:tcPr>
          <w:p w:rsidR="00A64931" w:rsidRPr="00D91CC5" w:rsidRDefault="00602748" w:rsidP="00A64931">
            <w:pPr>
              <w:adjustRightInd w:val="0"/>
              <w:snapToGrid w:val="0"/>
              <w:spacing w:line="360" w:lineRule="auto"/>
              <w:ind w:firstLine="0"/>
              <w:jc w:val="left"/>
              <w:rPr>
                <w:bCs/>
              </w:rPr>
            </w:pPr>
            <w:r>
              <w:rPr>
                <w:bCs/>
              </w:rPr>
              <w:t>8,417</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11</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0.73 (0.32, 1.62</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602748" w:rsidP="00A64931">
            <w:pPr>
              <w:adjustRightInd w:val="0"/>
              <w:snapToGrid w:val="0"/>
              <w:spacing w:line="360" w:lineRule="auto"/>
              <w:ind w:firstLine="0"/>
              <w:jc w:val="left"/>
              <w:rPr>
                <w:bCs/>
              </w:rPr>
            </w:pPr>
            <w:r>
              <w:rPr>
                <w:bCs/>
              </w:rPr>
              <w:t>8,740</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17</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1.08</w:t>
            </w:r>
            <w:r w:rsidR="00A64931" w:rsidRPr="00D91CC5">
              <w:rPr>
                <w:bCs/>
              </w:rPr>
              <w:t xml:space="preserve"> (0</w:t>
            </w:r>
            <w:r>
              <w:rPr>
                <w:bCs/>
              </w:rPr>
              <w:t>.52, 2.24</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4B72F9" w:rsidP="00A64931">
            <w:pPr>
              <w:adjustRightInd w:val="0"/>
              <w:snapToGrid w:val="0"/>
              <w:spacing w:line="360" w:lineRule="auto"/>
              <w:ind w:firstLine="0"/>
              <w:jc w:val="left"/>
              <w:rPr>
                <w:bCs/>
              </w:rPr>
            </w:pPr>
            <w:r>
              <w:rPr>
                <w:bCs/>
              </w:rPr>
              <w:t>9,610</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19</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1.09 (0.53, 2.23</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w:t>
            </w:r>
            <w:r w:rsidR="004B72F9">
              <w:rPr>
                <w:bCs/>
              </w:rPr>
              <w:t>1,070</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20</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1.01 (0.49, 2.06</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0.64</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BMI </w:t>
            </w:r>
            <m:oMath>
              <m:r>
                <w:rPr>
                  <w:rFonts w:ascii="Cambria Math" w:hAnsi="Cambria Math"/>
                </w:rPr>
                <m:t>≥</m:t>
              </m:r>
            </m:oMath>
            <w:r w:rsidR="00602748">
              <w:rPr>
                <w:bCs/>
              </w:rPr>
              <w:t>23</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4B72F9" w:rsidP="00A64931">
            <w:pPr>
              <w:adjustRightInd w:val="0"/>
              <w:snapToGrid w:val="0"/>
              <w:spacing w:line="360" w:lineRule="auto"/>
              <w:ind w:firstLine="0"/>
              <w:jc w:val="left"/>
              <w:rPr>
                <w:bCs/>
              </w:rPr>
            </w:pPr>
            <w:r>
              <w:rPr>
                <w:bCs/>
              </w:rPr>
              <w:t>7,699</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12</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4B72F9" w:rsidP="00A64931">
            <w:pPr>
              <w:adjustRightInd w:val="0"/>
              <w:snapToGrid w:val="0"/>
              <w:spacing w:line="360" w:lineRule="auto"/>
              <w:ind w:firstLine="0"/>
              <w:jc w:val="left"/>
              <w:rPr>
                <w:bCs/>
              </w:rPr>
            </w:pPr>
            <w:r>
              <w:rPr>
                <w:bCs/>
              </w:rPr>
              <w:t>8,488</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19</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1.44(0.70, 2.98</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4B72F9" w:rsidP="00A64931">
            <w:pPr>
              <w:adjustRightInd w:val="0"/>
              <w:snapToGrid w:val="0"/>
              <w:spacing w:line="360" w:lineRule="auto"/>
              <w:ind w:firstLine="0"/>
              <w:jc w:val="left"/>
              <w:rPr>
                <w:bCs/>
              </w:rPr>
            </w:pPr>
            <w:r>
              <w:rPr>
                <w:bCs/>
              </w:rPr>
              <w:t>9,418</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25</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1.68(0.84, 3.35</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4B72F9" w:rsidP="00A64931">
            <w:pPr>
              <w:adjustRightInd w:val="0"/>
              <w:snapToGrid w:val="0"/>
              <w:spacing w:line="360" w:lineRule="auto"/>
              <w:ind w:firstLine="0"/>
              <w:jc w:val="left"/>
              <w:rPr>
                <w:bCs/>
              </w:rPr>
            </w:pPr>
            <w:r>
              <w:rPr>
                <w:bCs/>
              </w:rPr>
              <w:t>10,439</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39</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2.34(1.22, 4.50</w:t>
            </w:r>
            <w:r w:rsidR="00A64931" w:rsidRPr="00D91CC5">
              <w:rPr>
                <w:bCs/>
              </w:rPr>
              <w:t>)</w:t>
            </w:r>
          </w:p>
        </w:tc>
      </w:tr>
      <w:tr w:rsidR="00A64931" w:rsidRPr="00D91CC5" w:rsidTr="00301410">
        <w:tc>
          <w:tcPr>
            <w:tcW w:w="3150" w:type="dxa"/>
            <w:vAlign w:val="center"/>
          </w:tcPr>
          <w:p w:rsidR="00A64931" w:rsidRPr="00D91CC5" w:rsidRDefault="003E4F53" w:rsidP="00A64931">
            <w:pPr>
              <w:adjustRightInd w:val="0"/>
              <w:snapToGrid w:val="0"/>
              <w:spacing w:line="360" w:lineRule="auto"/>
              <w:ind w:firstLine="0"/>
              <w:jc w:val="left"/>
              <w:rPr>
                <w:bCs/>
              </w:rPr>
            </w:pPr>
            <w:r>
              <w:rPr>
                <w:bCs/>
                <w:noProof/>
              </w:rPr>
              <w:lastRenderedPageBreak/>
              <mc:AlternateContent>
                <mc:Choice Requires="wps">
                  <w:drawing>
                    <wp:anchor distT="0" distB="0" distL="114300" distR="114300" simplePos="0" relativeHeight="251663360" behindDoc="0" locked="0" layoutInCell="1" allowOverlap="1">
                      <wp:simplePos x="0" y="0"/>
                      <wp:positionH relativeFrom="column">
                        <wp:posOffset>-87630</wp:posOffset>
                      </wp:positionH>
                      <wp:positionV relativeFrom="paragraph">
                        <wp:posOffset>-326390</wp:posOffset>
                      </wp:positionV>
                      <wp:extent cx="184785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847850" cy="257175"/>
                              </a:xfrm>
                              <a:prstGeom prst="rect">
                                <a:avLst/>
                              </a:prstGeom>
                              <a:noFill/>
                              <a:ln w="6350">
                                <a:noFill/>
                              </a:ln>
                            </wps:spPr>
                            <wps:txbx>
                              <w:txbxContent>
                                <w:p w:rsidR="003E4F53" w:rsidRDefault="003E4F53" w:rsidP="003E4F53">
                                  <w:pPr>
                                    <w:ind w:firstLine="0"/>
                                  </w:pPr>
                                  <w:r w:rsidRPr="003E4F53">
                                    <w:rPr>
                                      <w:b/>
                                    </w:rPr>
                                    <w:t xml:space="preserve">Table 4 </w:t>
                                  </w:r>
                                  <w: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6.9pt;margin-top:-25.7pt;width:14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" filled="f" stroked="f" strokeweight=".5pt">
                      <v:textbox>
                        <w:txbxContent>
                          <w:p w:rsidR="003E4F53" w:rsidRDefault="003E4F53" w:rsidP="003E4F53">
                            <w:pPr>
                              <w:ind w:firstLine="0"/>
                            </w:pPr>
                            <w:r w:rsidRPr="003E4F53">
                              <w:rPr>
                                <w:b/>
                              </w:rPr>
                              <w:t xml:space="preserve">Table 4 </w:t>
                            </w:r>
                            <w:r>
                              <w:t>Continued</w:t>
                            </w:r>
                          </w:p>
                        </w:txbxContent>
                      </v:textbox>
                    </v:shape>
                  </w:pict>
                </mc:Fallback>
              </mc:AlternateContent>
            </w:r>
            <w:r w:rsidR="00A64931" w:rsidRPr="00D91CC5">
              <w:rPr>
                <w:bCs/>
              </w:rPr>
              <w:t xml:space="preserve">   5</w:t>
            </w:r>
            <w:r w:rsidR="00A64931" w:rsidRPr="00D91CC5">
              <w:rPr>
                <w:bCs/>
                <w:vertAlign w:val="superscript"/>
              </w:rPr>
              <w:t>th</w:t>
            </w:r>
            <w:r w:rsidR="00A64931" w:rsidRPr="00D91CC5">
              <w:rPr>
                <w:bCs/>
              </w:rPr>
              <w:t xml:space="preserve">  (longest)</w:t>
            </w:r>
          </w:p>
        </w:tc>
        <w:tc>
          <w:tcPr>
            <w:tcW w:w="1975" w:type="dxa"/>
            <w:vAlign w:val="center"/>
          </w:tcPr>
          <w:p w:rsidR="00A64931" w:rsidRPr="00D91CC5" w:rsidRDefault="004B72F9" w:rsidP="00A64931">
            <w:pPr>
              <w:adjustRightInd w:val="0"/>
              <w:snapToGrid w:val="0"/>
              <w:spacing w:line="360" w:lineRule="auto"/>
              <w:ind w:firstLine="0"/>
              <w:jc w:val="left"/>
              <w:rPr>
                <w:bCs/>
              </w:rPr>
            </w:pPr>
            <w:r>
              <w:rPr>
                <w:bCs/>
              </w:rPr>
              <w:t>10,922</w:t>
            </w:r>
          </w:p>
        </w:tc>
        <w:tc>
          <w:tcPr>
            <w:tcW w:w="1710" w:type="dxa"/>
            <w:vAlign w:val="center"/>
          </w:tcPr>
          <w:p w:rsidR="00A64931" w:rsidRPr="00D91CC5" w:rsidRDefault="004B72F9" w:rsidP="00A64931">
            <w:pPr>
              <w:adjustRightInd w:val="0"/>
              <w:snapToGrid w:val="0"/>
              <w:spacing w:line="360" w:lineRule="auto"/>
              <w:ind w:firstLine="0"/>
              <w:jc w:val="left"/>
              <w:rPr>
                <w:bCs/>
              </w:rPr>
            </w:pPr>
            <w:r>
              <w:rPr>
                <w:bCs/>
              </w:rPr>
              <w:t>35</w:t>
            </w: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2.00(1.02, 3.91</w:t>
            </w:r>
            <w:r w:rsidR="00A64931" w:rsidRPr="00D91CC5">
              <w:rPr>
                <w:bCs/>
              </w:rPr>
              <w:t>)</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4B72F9" w:rsidP="00A64931">
            <w:pPr>
              <w:adjustRightInd w:val="0"/>
              <w:snapToGrid w:val="0"/>
              <w:spacing w:line="360" w:lineRule="auto"/>
              <w:ind w:firstLine="0"/>
              <w:jc w:val="left"/>
              <w:rPr>
                <w:bCs/>
              </w:rPr>
            </w:pPr>
            <w:r>
              <w:rPr>
                <w:bCs/>
              </w:rPr>
              <w:t>0.01</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Age at menarche</w:t>
            </w:r>
            <w:r w:rsidR="008E4F1B">
              <w:rPr>
                <w:bCs/>
              </w:rPr>
              <w:t xml:space="preserve"> </w:t>
            </w:r>
            <m:oMath>
              <m:r>
                <w:rPr>
                  <w:rFonts w:ascii="Cambria Math" w:hAnsi="Cambria Math"/>
                </w:rPr>
                <m:t>&lt;</m:t>
              </m:r>
            </m:oMath>
            <w:r>
              <w:rPr>
                <w:bCs/>
              </w:rPr>
              <w:t>14</w:t>
            </w:r>
            <w:r w:rsidRPr="00D91CC5">
              <w:rPr>
                <w:bCs/>
              </w:rPr>
              <w:t xml:space="preserve"> years</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7,725</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15</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9,038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14</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0.84(0.40, 1.73)</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9,968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21</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1.14(0.58, 2.22)</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11,440</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40</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1.89(1.04, 3.46)</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13,147</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37</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1.56(0.84, 2.89)</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0.01</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Age at menarche</w:t>
            </w:r>
            <w:r w:rsidR="008E4F1B">
              <w:rPr>
                <w:bCs/>
              </w:rPr>
              <w:t xml:space="preserve"> </w:t>
            </w:r>
            <m:oMath>
              <m:r>
                <w:rPr>
                  <w:rFonts w:ascii="Cambria Math" w:hAnsi="Cambria Math"/>
                </w:rPr>
                <m:t>≥</m:t>
              </m:r>
            </m:oMath>
            <w:r w:rsidRPr="00D91CC5">
              <w:rPr>
                <w:bCs/>
              </w:rPr>
              <w:t>14 years</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7,193</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10</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7,868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16</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1.45(0.66, 3.21)</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8,189</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21</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1.76(0.83, 3.72)</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8,609</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18</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1.40(0.64, 3.06)</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8,834</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18</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1.34(0.61, 2.96)</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0.65</w:t>
            </w:r>
          </w:p>
        </w:tc>
      </w:tr>
      <w:tr w:rsidR="00A64931" w:rsidRPr="00D91CC5" w:rsidTr="00301410">
        <w:tc>
          <w:tcPr>
            <w:tcW w:w="3150" w:type="dxa"/>
            <w:vAlign w:val="center"/>
          </w:tcPr>
          <w:p w:rsidR="008E4F1B" w:rsidRDefault="00A64931" w:rsidP="00A64931">
            <w:pPr>
              <w:adjustRightInd w:val="0"/>
              <w:snapToGrid w:val="0"/>
              <w:spacing w:line="360" w:lineRule="auto"/>
              <w:ind w:firstLine="0"/>
              <w:jc w:val="left"/>
              <w:rPr>
                <w:bCs/>
              </w:rPr>
            </w:pPr>
            <w:r w:rsidRPr="00D91CC5">
              <w:rPr>
                <w:bCs/>
              </w:rPr>
              <w:t>Age at first live birth</w:t>
            </w:r>
            <w:r>
              <w:rPr>
                <w:bCs/>
              </w:rPr>
              <w:t xml:space="preserve"> </w:t>
            </w:r>
          </w:p>
          <w:p w:rsidR="00A64931" w:rsidRPr="00D91CC5" w:rsidRDefault="00A64931" w:rsidP="00A64931">
            <w:pPr>
              <w:adjustRightInd w:val="0"/>
              <w:snapToGrid w:val="0"/>
              <w:spacing w:line="360" w:lineRule="auto"/>
              <w:ind w:firstLine="0"/>
              <w:jc w:val="left"/>
              <w:rPr>
                <w:bCs/>
              </w:rPr>
            </w:pPr>
            <w:r w:rsidRPr="00D91CC5">
              <w:rPr>
                <w:bCs/>
              </w:rPr>
              <w:t>&lt;</w:t>
            </w:r>
            <w:r>
              <w:rPr>
                <w:bCs/>
              </w:rPr>
              <w:t xml:space="preserve"> </w:t>
            </w:r>
            <w:r w:rsidRPr="00D91CC5">
              <w:rPr>
                <w:bCs/>
              </w:rPr>
              <w:t>26 years</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8,409</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13</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9,404</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15</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1.03(0.48, 2.17)</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9,978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21</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1.35(0.67, 2.71)</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10,571</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32</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1.90(0.99, 3.65)</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11,520</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20</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1.09(0.53, 2.22)</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0.32</w:t>
            </w:r>
          </w:p>
        </w:tc>
      </w:tr>
      <w:tr w:rsidR="00A64931" w:rsidRPr="00D91CC5" w:rsidTr="00301410">
        <w:tc>
          <w:tcPr>
            <w:tcW w:w="3150" w:type="dxa"/>
            <w:vAlign w:val="center"/>
          </w:tcPr>
          <w:p w:rsidR="008E4F1B" w:rsidRDefault="00A64931" w:rsidP="00A64931">
            <w:pPr>
              <w:adjustRightInd w:val="0"/>
              <w:snapToGrid w:val="0"/>
              <w:spacing w:line="360" w:lineRule="auto"/>
              <w:ind w:firstLine="0"/>
              <w:jc w:val="left"/>
              <w:rPr>
                <w:bCs/>
              </w:rPr>
            </w:pPr>
            <w:r w:rsidRPr="00D91CC5">
              <w:rPr>
                <w:bCs/>
              </w:rPr>
              <w:t>Age at first live birth</w:t>
            </w:r>
            <w:r>
              <w:rPr>
                <w:bCs/>
              </w:rPr>
              <w:t xml:space="preserve"> </w:t>
            </w:r>
          </w:p>
          <w:p w:rsidR="00A64931" w:rsidRPr="00D91CC5" w:rsidRDefault="00A64931" w:rsidP="00A64931">
            <w:pPr>
              <w:adjustRightInd w:val="0"/>
              <w:snapToGrid w:val="0"/>
              <w:spacing w:line="360" w:lineRule="auto"/>
              <w:ind w:firstLine="0"/>
              <w:jc w:val="left"/>
              <w:rPr>
                <w:bCs/>
              </w:rPr>
            </w:pPr>
            <m:oMath>
              <m:r>
                <w:rPr>
                  <w:rFonts w:ascii="Cambria Math" w:hAnsi="Cambria Math"/>
                </w:rPr>
                <m:t xml:space="preserve">≥ </m:t>
              </m:r>
            </m:oMath>
            <w:r w:rsidRPr="00D91CC5">
              <w:rPr>
                <w:bCs/>
              </w:rPr>
              <w:t>26 years</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5,418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11</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6,421</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7</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1.02(0.50, 1.41)</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6,929</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17</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1.21(0.56, 2.60)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8,028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18</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1.13(0.53, 2.43)</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8,908</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30</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1.74(0.86, 3.54)</w:t>
            </w:r>
          </w:p>
        </w:tc>
      </w:tr>
      <w:tr w:rsidR="00A64931" w:rsidRPr="00D91CC5" w:rsidTr="00301410">
        <w:tc>
          <w:tcPr>
            <w:tcW w:w="3150" w:type="dxa"/>
            <w:vAlign w:val="center"/>
          </w:tcPr>
          <w:p w:rsidR="00A64931" w:rsidRPr="00D91CC5" w:rsidRDefault="003E4F53" w:rsidP="00A64931">
            <w:pPr>
              <w:adjustRightInd w:val="0"/>
              <w:snapToGrid w:val="0"/>
              <w:spacing w:line="360" w:lineRule="auto"/>
              <w:ind w:firstLine="0"/>
              <w:jc w:val="left"/>
              <w:rPr>
                <w:bCs/>
              </w:rPr>
            </w:pPr>
            <w:r>
              <w:rPr>
                <w:bCs/>
                <w:i/>
                <w:noProof/>
              </w:rPr>
              <w:lastRenderedPageBreak/>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-354965</wp:posOffset>
                      </wp:positionV>
                      <wp:extent cx="180022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wps:spPr>
                            <wps:txbx>
                              <w:txbxContent>
                                <w:p w:rsidR="003E4F53" w:rsidRDefault="003E4F53" w:rsidP="003E4F53">
                                  <w:pPr>
                                    <w:ind w:firstLine="0"/>
                                  </w:pPr>
                                  <w:r w:rsidRPr="003E4F53">
                                    <w:rPr>
                                      <w:b/>
                                    </w:rPr>
                                    <w:t>Table 4</w:t>
                                  </w:r>
                                  <w: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6.95pt;margin-top:-27.95pt;width:141.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" filled="f" stroked="f" strokeweight=".5pt">
                      <v:textbox>
                        <w:txbxContent>
                          <w:p w:rsidR="003E4F53" w:rsidRDefault="003E4F53" w:rsidP="003E4F53">
                            <w:pPr>
                              <w:ind w:firstLine="0"/>
                            </w:pPr>
                            <w:r w:rsidRPr="003E4F53">
                              <w:rPr>
                                <w:b/>
                              </w:rPr>
                              <w:t>Table 4</w:t>
                            </w:r>
                            <w:r>
                              <w:t xml:space="preserve"> Continued</w:t>
                            </w:r>
                          </w:p>
                        </w:txbxContent>
                      </v:textbox>
                    </v:shape>
                  </w:pict>
                </mc:Fallback>
              </mc:AlternateContent>
            </w:r>
            <w:r w:rsidR="00A64931" w:rsidRPr="00D91CC5">
              <w:rPr>
                <w:bCs/>
                <w:i/>
              </w:rPr>
              <w:t xml:space="preserve">P </w:t>
            </w:r>
            <w:r w:rsidR="00A64931"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0.02</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Number of children</w:t>
            </w:r>
            <w:r w:rsidR="008E4F1B">
              <w:rPr>
                <w:bCs/>
              </w:rPr>
              <w:t xml:space="preserve"> </w:t>
            </w:r>
            <w:r w:rsidRPr="00D91CC5">
              <w:rPr>
                <w:bCs/>
              </w:rPr>
              <w:t>&lt;</w:t>
            </w:r>
            <w:r w:rsidR="008E4F1B">
              <w:rPr>
                <w:bCs/>
              </w:rPr>
              <w:t xml:space="preserve"> </w:t>
            </w:r>
            <w:r w:rsidRPr="00D91CC5">
              <w:rPr>
                <w:bCs/>
              </w:rPr>
              <w:t>3</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3,944</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11</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4,780</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7</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0.53(0.20, 1.36)</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5,543</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17</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1.10(0.51, 2.36)</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6,257</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14</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0.79(0.35, 1.76)</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7,577</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24</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1.10(0.53, 2.30)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0.46</w:t>
            </w:r>
          </w:p>
        </w:tc>
      </w:tr>
      <w:tr w:rsidR="00A64931" w:rsidRPr="00D91CC5" w:rsidTr="00301410">
        <w:trPr>
          <w:trHeight w:val="270"/>
        </w:trPr>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Number of children</w:t>
            </w:r>
            <w:r w:rsidR="008E4F1B">
              <w:rPr>
                <w:bCs/>
              </w:rPr>
              <w:t xml:space="preserve"> </w:t>
            </w:r>
            <m:oMath>
              <m:r>
                <w:rPr>
                  <w:rFonts w:ascii="Cambria Math" w:hAnsi="Cambria Math"/>
                </w:rPr>
                <m:t xml:space="preserve">≥ </m:t>
              </m:r>
            </m:oMath>
            <w:r w:rsidRPr="00D91CC5">
              <w:rPr>
                <w:bCs/>
              </w:rPr>
              <w:t>3</w:t>
            </w:r>
          </w:p>
        </w:tc>
        <w:tc>
          <w:tcPr>
            <w:tcW w:w="1975" w:type="dxa"/>
            <w:vAlign w:val="center"/>
          </w:tcPr>
          <w:p w:rsidR="00A64931" w:rsidRPr="00D91CC5" w:rsidRDefault="00A64931" w:rsidP="00A64931">
            <w:pPr>
              <w:adjustRightInd w:val="0"/>
              <w:snapToGrid w:val="0"/>
              <w:spacing w:line="360" w:lineRule="auto"/>
              <w:jc w:val="left"/>
              <w:rPr>
                <w:bCs/>
              </w:rPr>
            </w:pPr>
          </w:p>
        </w:tc>
        <w:tc>
          <w:tcPr>
            <w:tcW w:w="1710" w:type="dxa"/>
            <w:vAlign w:val="center"/>
          </w:tcPr>
          <w:p w:rsidR="00A64931" w:rsidRPr="00D91CC5" w:rsidRDefault="00A64931" w:rsidP="00A64931">
            <w:pPr>
              <w:adjustRightInd w:val="0"/>
              <w:snapToGrid w:val="0"/>
              <w:spacing w:line="360" w:lineRule="auto"/>
              <w:jc w:val="left"/>
              <w:rPr>
                <w:bCs/>
              </w:rPr>
            </w:pPr>
          </w:p>
        </w:tc>
        <w:tc>
          <w:tcPr>
            <w:tcW w:w="2610" w:type="dxa"/>
            <w:vAlign w:val="center"/>
          </w:tcPr>
          <w:p w:rsidR="00A64931" w:rsidRPr="00D91CC5" w:rsidRDefault="00A64931" w:rsidP="00A64931">
            <w:pPr>
              <w:adjustRightInd w:val="0"/>
              <w:snapToGrid w:val="0"/>
              <w:spacing w:line="360" w:lineRule="auto"/>
              <w:ind w:firstLine="0"/>
              <w:jc w:val="left"/>
              <w:rPr>
                <w:bCs/>
              </w:rPr>
            </w:pP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9,891</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13</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11,056</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15</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1.06(0.50, 2.23)</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11,395</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21</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1.45(0.72, 2.90)</w:t>
            </w:r>
          </w:p>
        </w:tc>
      </w:tr>
      <w:tr w:rsidR="00A64931" w:rsidRPr="00D91CC5" w:rsidTr="00301410">
        <w:tc>
          <w:tcPr>
            <w:tcW w:w="3150" w:type="dxa"/>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vAlign w:val="center"/>
          </w:tcPr>
          <w:p w:rsidR="00A64931" w:rsidRPr="00D91CC5" w:rsidRDefault="00A64931" w:rsidP="00A64931">
            <w:pPr>
              <w:adjustRightInd w:val="0"/>
              <w:snapToGrid w:val="0"/>
              <w:spacing w:line="360" w:lineRule="auto"/>
              <w:ind w:firstLine="0"/>
              <w:jc w:val="left"/>
              <w:rPr>
                <w:bCs/>
              </w:rPr>
            </w:pPr>
            <w:r w:rsidRPr="00D91CC5">
              <w:rPr>
                <w:bCs/>
              </w:rPr>
              <w:t>12,369</w:t>
            </w:r>
          </w:p>
        </w:tc>
        <w:tc>
          <w:tcPr>
            <w:tcW w:w="1710" w:type="dxa"/>
            <w:vAlign w:val="center"/>
          </w:tcPr>
          <w:p w:rsidR="00A64931" w:rsidRPr="00D91CC5" w:rsidRDefault="00A64931" w:rsidP="00A64931">
            <w:pPr>
              <w:adjustRightInd w:val="0"/>
              <w:snapToGrid w:val="0"/>
              <w:spacing w:line="360" w:lineRule="auto"/>
              <w:ind w:firstLine="0"/>
              <w:jc w:val="left"/>
              <w:rPr>
                <w:bCs/>
              </w:rPr>
            </w:pPr>
            <w:r w:rsidRPr="00D91CC5">
              <w:rPr>
                <w:bCs/>
              </w:rPr>
              <w:t>36</w:t>
            </w:r>
          </w:p>
        </w:tc>
        <w:tc>
          <w:tcPr>
            <w:tcW w:w="2610" w:type="dxa"/>
            <w:vAlign w:val="center"/>
          </w:tcPr>
          <w:p w:rsidR="00A64931" w:rsidRPr="00D91CC5" w:rsidRDefault="00A64931" w:rsidP="00A64931">
            <w:pPr>
              <w:adjustRightInd w:val="0"/>
              <w:snapToGrid w:val="0"/>
              <w:spacing w:line="360" w:lineRule="auto"/>
              <w:ind w:firstLine="0"/>
              <w:jc w:val="left"/>
              <w:rPr>
                <w:bCs/>
              </w:rPr>
            </w:pPr>
            <w:r w:rsidRPr="00D91CC5">
              <w:rPr>
                <w:bCs/>
              </w:rPr>
              <w:t>2.28(1.20, 4.33)</w:t>
            </w:r>
          </w:p>
        </w:tc>
      </w:tr>
      <w:tr w:rsidR="00A64931" w:rsidRPr="00D91CC5" w:rsidTr="007666E2">
        <w:tc>
          <w:tcPr>
            <w:tcW w:w="3150" w:type="dxa"/>
            <w:tcBorders>
              <w:bottom w:val="nil"/>
            </w:tcBorders>
            <w:vAlign w:val="center"/>
          </w:tcPr>
          <w:p w:rsidR="00A64931" w:rsidRPr="00D91CC5" w:rsidRDefault="00A64931" w:rsidP="00A64931">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tcBorders>
              <w:bottom w:val="nil"/>
            </w:tcBorders>
            <w:vAlign w:val="center"/>
          </w:tcPr>
          <w:p w:rsidR="00A64931" w:rsidRPr="00D91CC5" w:rsidRDefault="00A64931" w:rsidP="00A64931">
            <w:pPr>
              <w:adjustRightInd w:val="0"/>
              <w:snapToGrid w:val="0"/>
              <w:spacing w:line="360" w:lineRule="auto"/>
              <w:ind w:firstLine="0"/>
              <w:jc w:val="left"/>
              <w:rPr>
                <w:bCs/>
              </w:rPr>
            </w:pPr>
            <w:r w:rsidRPr="00D91CC5">
              <w:rPr>
                <w:bCs/>
              </w:rPr>
              <w:t>12,869</w:t>
            </w:r>
          </w:p>
        </w:tc>
        <w:tc>
          <w:tcPr>
            <w:tcW w:w="1710" w:type="dxa"/>
            <w:tcBorders>
              <w:bottom w:val="nil"/>
            </w:tcBorders>
            <w:vAlign w:val="center"/>
          </w:tcPr>
          <w:p w:rsidR="00A64931" w:rsidRPr="00D91CC5" w:rsidRDefault="00A64931" w:rsidP="00A64931">
            <w:pPr>
              <w:adjustRightInd w:val="0"/>
              <w:snapToGrid w:val="0"/>
              <w:spacing w:line="360" w:lineRule="auto"/>
              <w:ind w:firstLine="0"/>
              <w:jc w:val="left"/>
              <w:rPr>
                <w:bCs/>
              </w:rPr>
            </w:pPr>
            <w:r w:rsidRPr="00D91CC5">
              <w:rPr>
                <w:bCs/>
              </w:rPr>
              <w:t>26</w:t>
            </w:r>
          </w:p>
        </w:tc>
        <w:tc>
          <w:tcPr>
            <w:tcW w:w="2610" w:type="dxa"/>
            <w:tcBorders>
              <w:bottom w:val="nil"/>
            </w:tcBorders>
            <w:vAlign w:val="center"/>
          </w:tcPr>
          <w:p w:rsidR="00A64931" w:rsidRPr="00D91CC5" w:rsidRDefault="00A64931" w:rsidP="00A64931">
            <w:pPr>
              <w:adjustRightInd w:val="0"/>
              <w:snapToGrid w:val="0"/>
              <w:spacing w:line="360" w:lineRule="auto"/>
              <w:ind w:firstLine="0"/>
              <w:jc w:val="left"/>
              <w:rPr>
                <w:bCs/>
              </w:rPr>
            </w:pPr>
            <w:r w:rsidRPr="00D91CC5">
              <w:rPr>
                <w:bCs/>
              </w:rPr>
              <w:t>1.64(0.83, 3.23)</w:t>
            </w:r>
          </w:p>
        </w:tc>
      </w:tr>
      <w:tr w:rsidR="00A64931" w:rsidRPr="00D91CC5" w:rsidTr="007666E2">
        <w:tc>
          <w:tcPr>
            <w:tcW w:w="3150" w:type="dxa"/>
            <w:tcBorders>
              <w:top w:val="nil"/>
              <w:bottom w:val="nil"/>
            </w:tcBorders>
            <w:vAlign w:val="center"/>
          </w:tcPr>
          <w:p w:rsidR="00A64931" w:rsidRPr="00D91CC5" w:rsidRDefault="00A64931" w:rsidP="00A64931">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tcBorders>
              <w:top w:val="nil"/>
              <w:bottom w:val="nil"/>
            </w:tcBorders>
            <w:vAlign w:val="center"/>
          </w:tcPr>
          <w:p w:rsidR="00A64931" w:rsidRPr="00D91CC5" w:rsidRDefault="00A64931" w:rsidP="00A64931">
            <w:pPr>
              <w:adjustRightInd w:val="0"/>
              <w:snapToGrid w:val="0"/>
              <w:spacing w:line="360" w:lineRule="auto"/>
              <w:jc w:val="left"/>
              <w:rPr>
                <w:bCs/>
              </w:rPr>
            </w:pPr>
          </w:p>
        </w:tc>
        <w:tc>
          <w:tcPr>
            <w:tcW w:w="1710" w:type="dxa"/>
            <w:tcBorders>
              <w:top w:val="nil"/>
              <w:bottom w:val="nil"/>
            </w:tcBorders>
            <w:vAlign w:val="center"/>
          </w:tcPr>
          <w:p w:rsidR="00A64931" w:rsidRPr="00D91CC5" w:rsidRDefault="00A64931" w:rsidP="00A64931">
            <w:pPr>
              <w:adjustRightInd w:val="0"/>
              <w:snapToGrid w:val="0"/>
              <w:spacing w:line="360" w:lineRule="auto"/>
              <w:jc w:val="left"/>
              <w:rPr>
                <w:bCs/>
              </w:rPr>
            </w:pPr>
          </w:p>
        </w:tc>
        <w:tc>
          <w:tcPr>
            <w:tcW w:w="2610" w:type="dxa"/>
            <w:tcBorders>
              <w:top w:val="nil"/>
              <w:bottom w:val="nil"/>
            </w:tcBorders>
            <w:vAlign w:val="center"/>
          </w:tcPr>
          <w:p w:rsidR="00A64931" w:rsidRPr="00D91CC5" w:rsidRDefault="00A64931" w:rsidP="00A64931">
            <w:pPr>
              <w:adjustRightInd w:val="0"/>
              <w:snapToGrid w:val="0"/>
              <w:spacing w:line="360" w:lineRule="auto"/>
              <w:ind w:firstLine="0"/>
              <w:jc w:val="left"/>
              <w:rPr>
                <w:bCs/>
              </w:rPr>
            </w:pPr>
            <w:r w:rsidRPr="00D91CC5">
              <w:rPr>
                <w:bCs/>
              </w:rPr>
              <w:t>0.02</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Pr>
                <w:bCs/>
              </w:rPr>
              <w:t>Length of follow-up &lt; 2 years</w:t>
            </w:r>
          </w:p>
        </w:tc>
        <w:tc>
          <w:tcPr>
            <w:tcW w:w="1975" w:type="dxa"/>
            <w:tcBorders>
              <w:top w:val="nil"/>
              <w:bottom w:val="nil"/>
            </w:tcBorders>
            <w:vAlign w:val="center"/>
          </w:tcPr>
          <w:p w:rsidR="00837039" w:rsidRPr="00D91CC5" w:rsidRDefault="00837039" w:rsidP="00837039">
            <w:pPr>
              <w:adjustRightInd w:val="0"/>
              <w:snapToGrid w:val="0"/>
              <w:spacing w:line="360" w:lineRule="auto"/>
              <w:jc w:val="left"/>
              <w:rPr>
                <w:bCs/>
              </w:rPr>
            </w:pPr>
          </w:p>
        </w:tc>
        <w:tc>
          <w:tcPr>
            <w:tcW w:w="1710" w:type="dxa"/>
            <w:tcBorders>
              <w:top w:val="nil"/>
              <w:bottom w:val="nil"/>
            </w:tcBorders>
            <w:vAlign w:val="center"/>
          </w:tcPr>
          <w:p w:rsidR="00837039" w:rsidRPr="00D91CC5" w:rsidRDefault="00837039" w:rsidP="00837039">
            <w:pPr>
              <w:adjustRightInd w:val="0"/>
              <w:snapToGrid w:val="0"/>
              <w:spacing w:line="360" w:lineRule="auto"/>
              <w:jc w:val="left"/>
              <w:rPr>
                <w:bCs/>
              </w:rPr>
            </w:pPr>
          </w:p>
        </w:tc>
        <w:tc>
          <w:tcPr>
            <w:tcW w:w="261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67</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8</w:t>
            </w:r>
          </w:p>
        </w:tc>
        <w:tc>
          <w:tcPr>
            <w:tcW w:w="261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1.00</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67</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8</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1.14(0.41, 3.11</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64</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13</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1.24(0.49, 3.12</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87</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20</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1.99(0.83, 4.74</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75</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17</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1.43(0.59, 3.48</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tcBorders>
              <w:top w:val="nil"/>
              <w:bottom w:val="nil"/>
            </w:tcBorders>
            <w:vAlign w:val="center"/>
          </w:tcPr>
          <w:p w:rsidR="00837039" w:rsidRPr="00D91CC5" w:rsidRDefault="00837039" w:rsidP="00837039">
            <w:pPr>
              <w:adjustRightInd w:val="0"/>
              <w:snapToGrid w:val="0"/>
              <w:spacing w:line="360" w:lineRule="auto"/>
              <w:jc w:val="left"/>
              <w:rPr>
                <w:bCs/>
              </w:rPr>
            </w:pPr>
          </w:p>
        </w:tc>
        <w:tc>
          <w:tcPr>
            <w:tcW w:w="1710" w:type="dxa"/>
            <w:tcBorders>
              <w:top w:val="nil"/>
              <w:bottom w:val="nil"/>
            </w:tcBorders>
            <w:vAlign w:val="center"/>
          </w:tcPr>
          <w:p w:rsidR="00837039" w:rsidRPr="00D91CC5" w:rsidRDefault="00837039" w:rsidP="00837039">
            <w:pPr>
              <w:adjustRightInd w:val="0"/>
              <w:snapToGrid w:val="0"/>
              <w:spacing w:line="360" w:lineRule="auto"/>
              <w:jc w:val="left"/>
              <w:rPr>
                <w:bCs/>
              </w:rPr>
            </w:pP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0.23</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Pr>
                <w:bCs/>
              </w:rPr>
              <w:t xml:space="preserve">Length of follow-up </w:t>
            </w:r>
            <m:oMath>
              <m:r>
                <w:rPr>
                  <w:rFonts w:ascii="Cambria Math" w:hAnsi="Cambria Math"/>
                </w:rPr>
                <m:t xml:space="preserve">≥ </m:t>
              </m:r>
            </m:oMath>
            <w:r>
              <w:t>2 years</w:t>
            </w:r>
          </w:p>
        </w:tc>
        <w:tc>
          <w:tcPr>
            <w:tcW w:w="1975" w:type="dxa"/>
            <w:tcBorders>
              <w:top w:val="nil"/>
              <w:bottom w:val="nil"/>
            </w:tcBorders>
            <w:vAlign w:val="center"/>
          </w:tcPr>
          <w:p w:rsidR="00837039" w:rsidRPr="00D91CC5" w:rsidRDefault="00837039" w:rsidP="00837039">
            <w:pPr>
              <w:adjustRightInd w:val="0"/>
              <w:snapToGrid w:val="0"/>
              <w:spacing w:line="360" w:lineRule="auto"/>
              <w:jc w:val="left"/>
              <w:rPr>
                <w:bCs/>
              </w:rPr>
            </w:pPr>
          </w:p>
        </w:tc>
        <w:tc>
          <w:tcPr>
            <w:tcW w:w="1710" w:type="dxa"/>
            <w:tcBorders>
              <w:top w:val="nil"/>
              <w:bottom w:val="nil"/>
            </w:tcBorders>
            <w:vAlign w:val="center"/>
          </w:tcPr>
          <w:p w:rsidR="00837039" w:rsidRPr="00D91CC5" w:rsidRDefault="00837039" w:rsidP="00837039">
            <w:pPr>
              <w:adjustRightInd w:val="0"/>
              <w:snapToGrid w:val="0"/>
              <w:spacing w:line="360" w:lineRule="auto"/>
              <w:jc w:val="left"/>
              <w:rPr>
                <w:bCs/>
              </w:rPr>
            </w:pPr>
          </w:p>
        </w:tc>
        <w:tc>
          <w:tcPr>
            <w:tcW w:w="261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t xml:space="preserve">   1</w:t>
            </w:r>
            <w:r w:rsidRPr="00D91CC5">
              <w:rPr>
                <w:vertAlign w:val="superscript"/>
              </w:rPr>
              <w:t>st</w:t>
            </w:r>
            <w:r w:rsidRPr="00D91CC5">
              <w:t xml:space="preserve">  (shortest)</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14,851</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17</w:t>
            </w:r>
          </w:p>
        </w:tc>
        <w:tc>
          <w:tcPr>
            <w:tcW w:w="261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1.00</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pPr>
            <w:r w:rsidRPr="00D91CC5">
              <w:rPr>
                <w:bCs/>
              </w:rPr>
              <w:t xml:space="preserve">   2</w:t>
            </w:r>
            <w:r w:rsidRPr="00D91CC5">
              <w:rPr>
                <w:bCs/>
                <w:vertAlign w:val="superscript"/>
              </w:rPr>
              <w:t>nd</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16,838</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22</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1.14(0.61, 2.16</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 xml:space="preserve">   3</w:t>
            </w:r>
            <w:r w:rsidRPr="00D91CC5">
              <w:rPr>
                <w:bCs/>
                <w:vertAlign w:val="superscript"/>
              </w:rPr>
              <w:t>rd</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18,093</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29</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1.38(0.76, 2.52</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 xml:space="preserve">   4</w:t>
            </w:r>
            <w:r w:rsidRPr="00D91CC5">
              <w:rPr>
                <w:bCs/>
                <w:vertAlign w:val="superscript"/>
              </w:rPr>
              <w:t>th</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19,961</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38</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1.61(0.90, 2.88</w:t>
            </w:r>
            <w:r w:rsidR="00837039" w:rsidRPr="00D91CC5">
              <w:rPr>
                <w:bCs/>
              </w:rPr>
              <w:t>)</w:t>
            </w:r>
          </w:p>
        </w:tc>
      </w:tr>
      <w:tr w:rsidR="00837039" w:rsidRPr="00D91CC5" w:rsidTr="007666E2">
        <w:tc>
          <w:tcPr>
            <w:tcW w:w="3150" w:type="dxa"/>
            <w:tcBorders>
              <w:top w:val="nil"/>
              <w:bottom w:val="nil"/>
            </w:tcBorders>
            <w:vAlign w:val="center"/>
          </w:tcPr>
          <w:p w:rsidR="00837039" w:rsidRPr="00D91CC5" w:rsidRDefault="00837039" w:rsidP="00837039">
            <w:pPr>
              <w:adjustRightInd w:val="0"/>
              <w:snapToGrid w:val="0"/>
              <w:spacing w:line="360" w:lineRule="auto"/>
              <w:ind w:firstLine="0"/>
              <w:jc w:val="left"/>
              <w:rPr>
                <w:bCs/>
              </w:rPr>
            </w:pPr>
            <w:r w:rsidRPr="00D91CC5">
              <w:rPr>
                <w:bCs/>
              </w:rPr>
              <w:t xml:space="preserve">   5</w:t>
            </w:r>
            <w:r w:rsidRPr="00D91CC5">
              <w:rPr>
                <w:bCs/>
                <w:vertAlign w:val="superscript"/>
              </w:rPr>
              <w:t>th</w:t>
            </w:r>
            <w:r w:rsidRPr="00D91CC5">
              <w:rPr>
                <w:bCs/>
              </w:rPr>
              <w:t xml:space="preserve">  (longest)</w:t>
            </w:r>
          </w:p>
        </w:tc>
        <w:tc>
          <w:tcPr>
            <w:tcW w:w="1975"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21,916</w:t>
            </w:r>
          </w:p>
        </w:tc>
        <w:tc>
          <w:tcPr>
            <w:tcW w:w="17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38</w:t>
            </w:r>
          </w:p>
        </w:tc>
        <w:tc>
          <w:tcPr>
            <w:tcW w:w="2610" w:type="dxa"/>
            <w:tcBorders>
              <w:top w:val="nil"/>
              <w:bottom w:val="nil"/>
            </w:tcBorders>
            <w:vAlign w:val="center"/>
          </w:tcPr>
          <w:p w:rsidR="00837039" w:rsidRPr="00D91CC5" w:rsidRDefault="007666E2" w:rsidP="00837039">
            <w:pPr>
              <w:adjustRightInd w:val="0"/>
              <w:snapToGrid w:val="0"/>
              <w:spacing w:line="360" w:lineRule="auto"/>
              <w:ind w:firstLine="0"/>
              <w:jc w:val="left"/>
              <w:rPr>
                <w:bCs/>
              </w:rPr>
            </w:pPr>
            <w:r>
              <w:rPr>
                <w:bCs/>
              </w:rPr>
              <w:t>1.45(0.81, 2.61</w:t>
            </w:r>
            <w:r w:rsidR="00837039" w:rsidRPr="00D91CC5">
              <w:rPr>
                <w:bCs/>
              </w:rPr>
              <w:t>)</w:t>
            </w:r>
          </w:p>
        </w:tc>
      </w:tr>
      <w:tr w:rsidR="00837039" w:rsidRPr="00D91CC5" w:rsidTr="007666E2">
        <w:tc>
          <w:tcPr>
            <w:tcW w:w="3150" w:type="dxa"/>
            <w:tcBorders>
              <w:top w:val="nil"/>
              <w:bottom w:val="single" w:sz="4" w:space="0" w:color="000000"/>
            </w:tcBorders>
            <w:vAlign w:val="center"/>
          </w:tcPr>
          <w:p w:rsidR="00837039" w:rsidRPr="00D91CC5" w:rsidRDefault="00837039" w:rsidP="00837039">
            <w:pPr>
              <w:adjustRightInd w:val="0"/>
              <w:snapToGrid w:val="0"/>
              <w:spacing w:line="360" w:lineRule="auto"/>
              <w:ind w:firstLine="0"/>
              <w:jc w:val="left"/>
              <w:rPr>
                <w:bCs/>
              </w:rPr>
            </w:pPr>
            <w:r w:rsidRPr="00D91CC5">
              <w:rPr>
                <w:bCs/>
                <w:i/>
              </w:rPr>
              <w:t xml:space="preserve">P </w:t>
            </w:r>
            <w:r w:rsidRPr="00D91CC5">
              <w:rPr>
                <w:bCs/>
              </w:rPr>
              <w:t>trend</w:t>
            </w:r>
          </w:p>
        </w:tc>
        <w:tc>
          <w:tcPr>
            <w:tcW w:w="1975" w:type="dxa"/>
            <w:tcBorders>
              <w:top w:val="nil"/>
              <w:bottom w:val="single" w:sz="4" w:space="0" w:color="000000"/>
            </w:tcBorders>
            <w:vAlign w:val="center"/>
          </w:tcPr>
          <w:p w:rsidR="00837039" w:rsidRPr="00D91CC5" w:rsidRDefault="00837039" w:rsidP="00837039">
            <w:pPr>
              <w:adjustRightInd w:val="0"/>
              <w:snapToGrid w:val="0"/>
              <w:spacing w:line="360" w:lineRule="auto"/>
              <w:jc w:val="left"/>
              <w:rPr>
                <w:bCs/>
              </w:rPr>
            </w:pPr>
          </w:p>
        </w:tc>
        <w:tc>
          <w:tcPr>
            <w:tcW w:w="1710" w:type="dxa"/>
            <w:tcBorders>
              <w:top w:val="nil"/>
              <w:bottom w:val="single" w:sz="4" w:space="0" w:color="000000"/>
            </w:tcBorders>
            <w:vAlign w:val="center"/>
          </w:tcPr>
          <w:p w:rsidR="00837039" w:rsidRPr="00D91CC5" w:rsidRDefault="00837039" w:rsidP="00837039">
            <w:pPr>
              <w:adjustRightInd w:val="0"/>
              <w:snapToGrid w:val="0"/>
              <w:spacing w:line="360" w:lineRule="auto"/>
              <w:jc w:val="left"/>
              <w:rPr>
                <w:bCs/>
              </w:rPr>
            </w:pPr>
          </w:p>
        </w:tc>
        <w:tc>
          <w:tcPr>
            <w:tcW w:w="2610" w:type="dxa"/>
            <w:tcBorders>
              <w:top w:val="nil"/>
              <w:bottom w:val="single" w:sz="4" w:space="0" w:color="000000"/>
            </w:tcBorders>
            <w:vAlign w:val="center"/>
          </w:tcPr>
          <w:p w:rsidR="00837039" w:rsidRPr="00D91CC5" w:rsidRDefault="007666E2" w:rsidP="00837039">
            <w:pPr>
              <w:adjustRightInd w:val="0"/>
              <w:snapToGrid w:val="0"/>
              <w:spacing w:line="360" w:lineRule="auto"/>
              <w:ind w:firstLine="0"/>
              <w:jc w:val="left"/>
              <w:rPr>
                <w:bCs/>
              </w:rPr>
            </w:pPr>
            <w:r>
              <w:rPr>
                <w:bCs/>
              </w:rPr>
              <w:t>0.1</w:t>
            </w:r>
            <w:r w:rsidR="0062292C">
              <w:rPr>
                <w:bCs/>
              </w:rPr>
              <w:t>0</w:t>
            </w:r>
          </w:p>
        </w:tc>
      </w:tr>
      <w:tr w:rsidR="00CB7A48" w:rsidRPr="00D91CC5" w:rsidTr="002166BC">
        <w:tc>
          <w:tcPr>
            <w:tcW w:w="9445" w:type="dxa"/>
            <w:gridSpan w:val="4"/>
            <w:tcBorders>
              <w:top w:val="nil"/>
              <w:bottom w:val="single" w:sz="4" w:space="0" w:color="000000"/>
            </w:tcBorders>
            <w:vAlign w:val="center"/>
          </w:tcPr>
          <w:p w:rsidR="00CB7A48" w:rsidRPr="00CB7A48" w:rsidRDefault="00CB7A48" w:rsidP="00CB7A48">
            <w:pPr>
              <w:adjustRightInd w:val="0"/>
              <w:snapToGrid w:val="0"/>
              <w:spacing w:line="240" w:lineRule="auto"/>
              <w:ind w:firstLine="0"/>
              <w:jc w:val="left"/>
              <w:rPr>
                <w:bCs/>
                <w:sz w:val="20"/>
                <w:szCs w:val="20"/>
              </w:rPr>
            </w:pPr>
            <w:r w:rsidRPr="003E4F53">
              <w:rPr>
                <w:bCs/>
              </w:rPr>
              <w:t>*Adjusted for age at blood collection, BMI, level of education, number of live births, and age a first live birth where appropriate</w:t>
            </w:r>
            <w:r>
              <w:rPr>
                <w:bCs/>
                <w:sz w:val="20"/>
                <w:szCs w:val="20"/>
              </w:rPr>
              <w:t>.</w:t>
            </w:r>
          </w:p>
        </w:tc>
      </w:tr>
    </w:tbl>
    <w:p w:rsidR="0031030C" w:rsidRDefault="0031030C" w:rsidP="0031030C">
      <w:pPr>
        <w:pStyle w:val="Heading1"/>
      </w:pPr>
      <w:bookmarkStart w:id="42" w:name="_Toc509180574"/>
      <w:r>
        <w:lastRenderedPageBreak/>
        <w:t>discussion</w:t>
      </w:r>
      <w:bookmarkEnd w:id="42"/>
    </w:p>
    <w:p w:rsidR="00B54933" w:rsidRDefault="009B5DCC" w:rsidP="008971F0">
      <w:pPr>
        <w:pStyle w:val="Noindent"/>
        <w:spacing w:line="360" w:lineRule="auto"/>
      </w:pPr>
      <w:r>
        <w:t>Based on</w:t>
      </w:r>
      <w:r w:rsidR="00AD2E16">
        <w:t xml:space="preserve"> this </w:t>
      </w:r>
      <w:r w:rsidR="00B91B49">
        <w:t xml:space="preserve">prospective </w:t>
      </w:r>
      <w:r w:rsidR="00A32E36">
        <w:t xml:space="preserve">population-based cohort study </w:t>
      </w:r>
      <w:r w:rsidR="00AD2E16">
        <w:t>of 14,306 women</w:t>
      </w:r>
      <w:r w:rsidR="002F3F00">
        <w:t xml:space="preserve"> in </w:t>
      </w:r>
      <w:r w:rsidR="00850FB2">
        <w:t xml:space="preserve">the </w:t>
      </w:r>
      <w:r w:rsidR="002F3F00">
        <w:t>Singapore Chinses Health Study</w:t>
      </w:r>
      <w:r w:rsidR="00AD2E16">
        <w:t xml:space="preserve">, we </w:t>
      </w:r>
      <w:r w:rsidR="007C7016">
        <w:t>detected</w:t>
      </w:r>
      <w:r w:rsidR="00E269AD">
        <w:t xml:space="preserve"> a </w:t>
      </w:r>
      <w:r w:rsidR="008D03CB">
        <w:t xml:space="preserve">significant </w:t>
      </w:r>
      <w:r w:rsidR="007C7016">
        <w:t xml:space="preserve">positive </w:t>
      </w:r>
      <w:r w:rsidR="008D03CB">
        <w:t>association between telomere length and risk of breast cancer</w:t>
      </w:r>
      <w:r w:rsidR="00C85AAA">
        <w:t xml:space="preserve"> among</w:t>
      </w:r>
      <w:r w:rsidR="00D3515A">
        <w:t xml:space="preserve"> certain groups of women</w:t>
      </w:r>
      <w:r w:rsidR="008D03CB">
        <w:t xml:space="preserve">. </w:t>
      </w:r>
      <w:r w:rsidR="00B54933">
        <w:t xml:space="preserve">Compared to the </w:t>
      </w:r>
      <w:r w:rsidR="00A308C1">
        <w:t xml:space="preserve">lowest quintile </w:t>
      </w:r>
      <w:r w:rsidR="00FB5799">
        <w:t xml:space="preserve">group </w:t>
      </w:r>
      <w:r w:rsidR="00A308C1">
        <w:t>of telomere length</w:t>
      </w:r>
      <w:r w:rsidR="00B54933">
        <w:t>, extreme long t</w:t>
      </w:r>
      <w:r w:rsidR="001862A2">
        <w:t>elomeres were associated with</w:t>
      </w:r>
      <w:r w:rsidR="00B54933">
        <w:t xml:space="preserve"> 47% increased risk of developi</w:t>
      </w:r>
      <w:r w:rsidR="00850FB2">
        <w:t>ng breast cancer after adjustment</w:t>
      </w:r>
      <w:r w:rsidR="00B54933">
        <w:t xml:space="preserve"> for potential confounding variables. </w:t>
      </w:r>
      <w:r w:rsidR="00155FB5">
        <w:t>This association wa</w:t>
      </w:r>
      <w:r w:rsidR="008D03CB">
        <w:t xml:space="preserve">s </w:t>
      </w:r>
      <w:r w:rsidR="008E6448">
        <w:t xml:space="preserve">modified </w:t>
      </w:r>
      <w:r w:rsidR="00A32E36">
        <w:t>by BMI, age at menarche, age at first live birth</w:t>
      </w:r>
      <w:r w:rsidR="00D36DC4">
        <w:t>,</w:t>
      </w:r>
      <w:r w:rsidR="00A32E36">
        <w:t xml:space="preserve"> and number of </w:t>
      </w:r>
      <w:r w:rsidR="00C72E1D">
        <w:t>live births</w:t>
      </w:r>
      <w:r w:rsidR="0082460A">
        <w:t xml:space="preserve">. </w:t>
      </w:r>
      <w:r w:rsidR="00D110CF">
        <w:t xml:space="preserve">However, when </w:t>
      </w:r>
      <w:r w:rsidR="005716C4">
        <w:t xml:space="preserve">the results were </w:t>
      </w:r>
      <w:r w:rsidR="00D110CF">
        <w:t>restrict</w:t>
      </w:r>
      <w:r w:rsidR="005716C4">
        <w:t>ed to the subjects with</w:t>
      </w:r>
      <w:r w:rsidR="00D110CF">
        <w:t xml:space="preserve"> 2 years or longer follow</w:t>
      </w:r>
      <w:r w:rsidR="00D92499">
        <w:t>-up per</w:t>
      </w:r>
      <w:r w:rsidR="00E658A9">
        <w:t xml:space="preserve">iod, the association </w:t>
      </w:r>
      <w:r w:rsidR="005716C4">
        <w:t>was no longer significant</w:t>
      </w:r>
      <w:r w:rsidR="00D92499">
        <w:t xml:space="preserve">. </w:t>
      </w:r>
    </w:p>
    <w:p w:rsidR="00B54933" w:rsidRDefault="00E43630" w:rsidP="008971F0">
      <w:pPr>
        <w:spacing w:line="360" w:lineRule="auto"/>
      </w:pPr>
      <w:r>
        <w:t xml:space="preserve">Previous studies have </w:t>
      </w:r>
      <w:r w:rsidR="005716C4">
        <w:t xml:space="preserve">reported </w:t>
      </w:r>
      <w:r>
        <w:t xml:space="preserve">inconsistent results on </w:t>
      </w:r>
      <w:r w:rsidR="00C5033E">
        <w:t xml:space="preserve">the relationship between </w:t>
      </w:r>
      <w:r>
        <w:t>telomere length and risk of breast cancer. The main rea</w:t>
      </w:r>
      <w:r w:rsidR="00155FB5">
        <w:t>son for this inconsistency may</w:t>
      </w:r>
      <w:r>
        <w:t xml:space="preserve"> due to the study design and </w:t>
      </w:r>
      <w:r w:rsidR="00155FB5">
        <w:t xml:space="preserve">the </w:t>
      </w:r>
      <w:r w:rsidR="006F28A7">
        <w:t xml:space="preserve">number of breast cancer cases. </w:t>
      </w:r>
      <w:r w:rsidR="003330D3">
        <w:t>Most of</w:t>
      </w:r>
      <w:r>
        <w:t xml:space="preserve"> earlier studies were case-control studies. As </w:t>
      </w:r>
      <w:r w:rsidR="00513CD8">
        <w:t xml:space="preserve">telomere length was measured after breast cancer diagnosis, it could be influenced by cancer development and </w:t>
      </w:r>
      <w:r w:rsidR="008242E6">
        <w:t xml:space="preserve">the </w:t>
      </w:r>
      <w:r w:rsidR="00513CD8">
        <w:t xml:space="preserve">treatment progress. </w:t>
      </w:r>
      <w:r w:rsidR="00507C3F">
        <w:t xml:space="preserve">In addition, selection bias can exist during the </w:t>
      </w:r>
      <w:r w:rsidR="00085E97">
        <w:t xml:space="preserve">process of recruiting cases and controls. </w:t>
      </w:r>
      <w:r w:rsidR="008242E6">
        <w:t>For prospective cohort studies</w:t>
      </w:r>
      <w:r w:rsidR="00E714FF">
        <w:t xml:space="preserve"> </w:t>
      </w:r>
      <w:r w:rsidR="00162FC4">
        <w:t xml:space="preserve">conducted </w:t>
      </w:r>
      <w:r w:rsidR="00E714FF">
        <w:t>so far</w:t>
      </w:r>
      <w:r w:rsidR="008242E6">
        <w:t xml:space="preserve">, 2 </w:t>
      </w:r>
      <w:r w:rsidR="00E714FF">
        <w:t xml:space="preserve">nested case-control studies </w:t>
      </w:r>
      <w:r w:rsidR="008242E6">
        <w:t xml:space="preserve">found </w:t>
      </w:r>
      <w:r w:rsidR="00EA1B4A">
        <w:t xml:space="preserve">a </w:t>
      </w:r>
      <w:proofErr w:type="spellStart"/>
      <w:r w:rsidR="008242E6">
        <w:t>no</w:t>
      </w:r>
      <w:r w:rsidR="00EA1B4A">
        <w:t>n</w:t>
      </w:r>
      <w:r w:rsidR="008242E6">
        <w:t>significant</w:t>
      </w:r>
      <w:proofErr w:type="spellEnd"/>
      <w:r w:rsidR="008242E6">
        <w:t xml:space="preserve"> association between telomere l</w:t>
      </w:r>
      <w:r w:rsidR="00E714FF">
        <w:t xml:space="preserve">ength and risk of breast cancer </w:t>
      </w:r>
      <w:r w:rsidR="00D427DC">
        <w:fldChar w:fldCharType="begin" w:fldLock="1"/>
      </w:r>
      <w:r w:rsidR="00D427DC">
        <w:instrText>ADDIN CSL_CITATION { "citationItems" : [ { "id" : "ITEM-1", "itemData" : { "DOI" : "10.1158/1055-9965.EPI-08-0998", "ISBN" : "1055-9965", "ISSN" : "1055-9965", "PMID" : "19293310", "abstract" : "During breast cancer progression, a substantial increase in chromosomal aberrations is observed in the transition from ductal hyperplasia to carcinoma in situ. Telomeres are essential structures to chromosomal integrity. Consequently, telomere dysfunction, which leads to genomic instability, is hypothesized to play a causal role in the progression of breast cancer. However, the few epidemiologic studies that have assessed the relationship between telomere length and breast cancer risk have been inconsistent. We used quantitative real-time PCR to measure relative telomere length in genomic DNA extracted from peripheral blood leukocytes and examined its association with postmenopausal breast cancer risk in 1,122 invasive breast cancer cases and 1,147 matched controls free of diagnosed cancer nested within the prospective Nurses' Health Study. Our data show that relative telomere length was not associated with a significant elevation in postmenopausal breast cancer risk [below versus above median; odds ratio, 1.23; 95% confidence interval, 0.94-1.60; P(trend) = 0.20]. Estrone and estradiol hormone levels were significantly inversely associated with relative telomere length (P = 0.02). Other established breast cancer risk factors such as family history of breast cancer and history of benign breast disease were not associated with relative telomere length in separate linear regression models each adjusted for age and disease status (P &gt; or = 0.07). Our results provide little support for an important role of telomere length, as measured in peripheral blood leukocytes, as a biomarker of breast cancer risk.", "author" : [ { "dropping-particle" : "", "family" : "Vivo", "given" : "Immaculata", "non-dropping-particle" : "De", "parse-names" : false, "suffix" : "" }, { "dropping-particle" : "", "family" : "Prescott", "given" : "Jennifer", "non-dropping-particle" : "", "parse-names" : false, "suffix" : "" }, { "dropping-particle" : "", "family" : "Wong", "given" : "Jason Y Y", "non-dropping-particle" : "", "parse-names" : false, "suffix" : "" }, { "dropping-particle" : "", "family" : "Kraft", "given" : "Peter", "non-dropping-particle" : "", "parse-names" : false, "suffix" : "" }, { "dropping-particle" : "", "family" : "Hankinson", "given" : "Susan E", "non-dropping-particle" : "", "parse-names" : false, "suffix" : "" }, { "dropping-particle" : "", "family" : "Hunter", "given" : "David J", "non-dropping-particle" : "", "parse-names" : false, "suffix" : "" } ], "container-title" : "Cancer epidemiology, biomarkers &amp; prevention : a publication of the American Association for Cancer Research, cosponsored by the American Society of Preventive Oncology", "id" : "ITEM-1", "issue" : "4", "issued" : { "date-parts" : [ [ "2009" ] ] }, "page" : "1152-6", "title" : "A prospective study of relative telomere length and postmenopausal breast cancer risk.", "type" : "article-journal", "volume" : "18" }, "uris" : [ "http://www.mendeley.com/documents/?uuid=8f546762-24e0-421b-8e8f-295ad676a83d" ] }, { "id" : "ITEM-2", "itemData" : { "DOI" : "10.1001/jama.2010.897", "ISBN" : "0098-7484", "ISSN" : "1538-3598", "PMID" : "20606151", "abstract" : "CONTEXT: Telomeres are essential to preserve the integrity of the genome. Critically short telomeres lead to replicative cell senescence and chromosomal instability and may thereby increase cancer risk. OBJECTIVE: To determine the association between baseline telomere length and incident cancer and cancer mortality. DESIGN, SETTING, AND PARTICIPANTS: Leukocyte telomere length was measured by quantitative polymerase chain reaction in 787 participants free of cancer at baseline in 1995 from the prospective, population-based Bruneck Study in Italy. MAIN OUTCOME MEASURES: Incident cancer and cancer mortality over a follow-up period of 10 years (1995-2005 with a follow-up rate of 100%). RESULTS: A total of 92 of 787 participants (11.7%) developed cancer (incidence rate, 13.3 per 1000 person-years). Short telomere length at baseline was associated with incident cancer independently of standard cancer risk factors (multivariable hazard ratio [HR] per 1-SD decrease in log(e)-transformed telomere length, 1.60; 95% confidence interval [CI], 1.30-1.98; P &lt; .001). Compared with participants in the longest telomere length group, the multivariable HR for incident cancer was 2.15 (95% CI, 1.12-4.14) in the middle length group and 3.11 (95% CI, 1.65-5.84) in the shortest length group (P &lt; .001). Incidence rates were 5.1 (95% CI, 2.9-8.7) per 1000 person-years in the longest telomere length group, 14.2 (95% CI, 10.0-20.1) per 1000 person-years in the middle length group, and 22.5 (95% CI, 16.9-29.9) per 1000 person-years in the shortest length group. The association equally applied to men and women and emerged as robust under a variety of circumstances. Furthermore, short telomere length was associated with cancer mortality (multivariable HR per 1-SD decrease in log(e)-transformed telomere length, 2.13; 95% CI, 1.58-2.86; P &lt; .001) and individual cancer subtypes with a high fatality rate. CONCLUSION: In this study population, there was a statistically significant inverse relationship between telomere length and both cancer incidence and mortality.", "author" : [ { "dropping-particle" : "", "family" : "Willeit", "given" : "Peter", "non-dropping-particle" : "", "parse-names" : false, "suffix" : "" }, { "dropping-particle" : "", "family" : "Willeit", "given" : "Johann", "non-dropping-particle" : "", "parse-names" : false, "suffix" : "" }, { "dropping-particle" : "", "family" : "Mayr", "given" : "Agnes", "non-dropping-particle" : "", "parse-names" : false, "suffix" : "" }, { "dropping-particle" : "", "family" : "Weger", "given" : "Siegfried", "non-dropping-particle" : "", "parse-names" : false, "suffix" : "" }, { "dropping-particle" : "", "family" : "Oberhollenzer", "given" : "Friedrich", "non-dropping-particle" : "", "parse-names" : false, "suffix" : "" }, { "dropping-particle" : "", "family" : "Brandst\u00e4tter", "given" : "Anita", "non-dropping-particle" : "", "parse-names" : false, "suffix" : "" }, { "dropping-particle" : "", "family" : "Kronenberg", "given" : "Florian", "non-dropping-particle" : "", "parse-names" : false, "suffix" : "" }, { "dropping-particle" : "", "family" : "Kiechl", "given" : "Stefan", "non-dropping-particle" : "", "parse-names" : false, "suffix" : "" } ], "container-title" : "JAMA: The Journal of the American Medical Association", "id" : "ITEM-2", "issue" : "1", "issued" : { "date-parts" : [ [ "2010" ] ] }, "page" : "69-75", "title" : "Telomere length and risk of incident cancer and cancer mortality.", "type" : "article-journal", "volume" : "304" }, "uris" : [ "http://www.mendeley.com/documents/?uuid=8142fc90-e845-4adc-a963-9a43765ad41b" ] } ], "mendeley" : { "formattedCitation" : "(De Vivo et al., 2009; Willeit et al., 2010)", "plainTextFormattedCitation" : "(De Vivo et al., 2009; Willeit et al., 2010)", "previouslyFormattedCitation" : "(De Vivo et al., 2009; Willeit et al., 2010)" }, "properties" : {  }, "schema" : "https://github.com/citation-style-language/schema/raw/master/csl-citation.json" }</w:instrText>
      </w:r>
      <w:r w:rsidR="00D427DC">
        <w:fldChar w:fldCharType="separate"/>
      </w:r>
      <w:r w:rsidR="00D427DC" w:rsidRPr="00D427DC">
        <w:rPr>
          <w:noProof/>
        </w:rPr>
        <w:t>(De Vivo et al., 2009; Willeit et al., 2010)</w:t>
      </w:r>
      <w:r w:rsidR="00D427DC">
        <w:fldChar w:fldCharType="end"/>
      </w:r>
      <w:r w:rsidR="00B42C94">
        <w:t xml:space="preserve">. </w:t>
      </w:r>
      <w:r w:rsidR="00B9445C">
        <w:t xml:space="preserve">Due to the limited number of matched variables between cases and controls, the power of </w:t>
      </w:r>
      <w:r w:rsidR="00E714FF">
        <w:t xml:space="preserve">nested case-control studies </w:t>
      </w:r>
      <w:r w:rsidR="00B9445C">
        <w:t xml:space="preserve">was reduced. </w:t>
      </w:r>
      <w:r w:rsidR="007C2A4D">
        <w:t>A recent</w:t>
      </w:r>
      <w:r w:rsidR="00B42C94">
        <w:t xml:space="preserve"> </w:t>
      </w:r>
      <w:r w:rsidR="008971F0">
        <w:t>prospe</w:t>
      </w:r>
      <w:r>
        <w:t xml:space="preserve">ctive cohort study </w:t>
      </w:r>
      <w:r w:rsidR="00D17546">
        <w:t>based on</w:t>
      </w:r>
      <w:r w:rsidR="00B42C94">
        <w:t xml:space="preserve"> 47,102 </w:t>
      </w:r>
      <w:r w:rsidR="00422867">
        <w:t xml:space="preserve">Danish </w:t>
      </w:r>
      <w:r w:rsidR="00B42C94">
        <w:t xml:space="preserve">participants </w:t>
      </w:r>
      <w:r w:rsidR="00D427DC">
        <w:t xml:space="preserve">reported </w:t>
      </w:r>
      <w:r w:rsidR="004036CA">
        <w:t xml:space="preserve">that </w:t>
      </w:r>
      <w:r w:rsidR="00D427DC">
        <w:t>short</w:t>
      </w:r>
      <w:r w:rsidR="004036CA">
        <w:t>er</w:t>
      </w:r>
      <w:r w:rsidR="00D427DC">
        <w:t xml:space="preserve"> telomere length was significantly associated with </w:t>
      </w:r>
      <w:r w:rsidR="00194A30">
        <w:t>lower</w:t>
      </w:r>
      <w:r w:rsidR="00D427DC">
        <w:t xml:space="preserve"> breast cancer</w:t>
      </w:r>
      <w:r w:rsidR="004036CA">
        <w:t xml:space="preserve"> </w:t>
      </w:r>
      <w:r w:rsidR="00D17546">
        <w:t xml:space="preserve">risk </w:t>
      </w:r>
      <w:r w:rsidR="00D427DC">
        <w:fldChar w:fldCharType="begin" w:fldLock="1"/>
      </w:r>
      <w:r w:rsidR="00D427DC">
        <w:instrText>ADDIN CSL_CITATION { "citationItems" : [ { "id" : "ITEM-1", "itemData" : { "DOI" : "10.1093/jnci/djt016", "ISBN" : "1460-2105 (Electronic)\\n0027-8874 (Linking)", "ISSN" : "00278874", "PMID" : "23468462", "abstract" : "BACKGROUND: Recent meta-analyses have suggested that short telomere length was associated with increased risk of cancer. We therefore tested the hypotheses that short telomere length was associated with increased risk of cancer and with increased risk of early death after cancer.\\n\\nMETHODS: We measured leukocyte telomere length in a prospective study of 47 102 Danish general population participants from the Copenhagen City Heart Study and the Copenhagen General Population Study. Participants were followed for up to 20 years for cancer diagnosis and death. Follow-up was 100% complete. All statistical tests were two-sided.\\n\\nRESULTS: Telomere length decreased linearly with increasing age (P &lt;.001). During follow-up, we observed 3142 first cancers and, among these individuals, 1730 deaths. Decreasing quartiles of telomere length were associated with decreasing survival after cancer (log-rank P &lt;.001). Multivariable-adjusted hazard ratios of early death were 1.31 (95% confidence interval [CI] = 1.14 to 1.52) in individuals in the quartile and 1.43 (95% CI = 1.13 to 1.80) in individuals in the decile with the shortest telomeres vs the longest. Unadjusted hazard ratios of cancer risk were 1.74 (95% CI = 1.58 to 1.93) and 2.00 (95% CI = 1.70 to 2.35) in individuals in the quartile and decile with the shortest vs longest telomeres; however, multivariable adjustment changed these hazard ratios to 0.98 (95% CI = 0.88 to 1.08) and 0.95 (95% CI = 0.80 to 1.11), mainly because of age adjustment.\\n\\nCONCLUSIONS: Short telomere length is associated with reduced survival after cancer but not with cancer risk. The latter contrasts with findings from recent meta-analyses.", "author" : [ { "dropping-particle" : "", "family" : "Weischer", "given" : "Maren", "non-dropping-particle" : "", "parse-names" : false, "suffix" : "" }, { "dropping-particle" : "", "family" : "Nordestgaard", "given" : "B\u00f8rge G.", "non-dropping-particle" : "", "parse-names" : false, "suffix" : "" }, { "dropping-particle" : "", "family" : "Cawthon", "given" : "Richard M.", "non-dropping-particle" : "", "parse-names" : false, "suffix" : "" }, { "dropping-particle" : "", "family" : "Freiberg", "given" : "Jacob J.", "non-dropping-particle" : "", "parse-names" : false, "suffix" : "" }, { "dropping-particle" : "", "family" : "Tybj\u00e6rg-Hansen", "given" : "Anne", "non-dropping-particle" : "", "parse-names" : false, "suffix" : "" }, { "dropping-particle" : "", "family" : "Bojesen", "given" : "Stig E.", "non-dropping-particle" : "", "parse-names" : false, "suffix" : "" } ], "container-title" : "Journal of the National Cancer Institute", "id" : "ITEM-1", "issue" : "7", "issued" : { "date-parts" : [ [ "2013" ] ] }, "page" : "459-468", "title" : "Short telomere length, cancer survival, and cancer risk in 47102 individuals", "type" : "article-journal", "volume" : "105" }, "uris" : [ "http://www.mendeley.com/documents/?uuid=3aad8787-7768-4d74-a43d-591b40414adc" ] } ], "mendeley" : { "formattedCitation" : "(Weischer et al., 2013)", "plainTextFormattedCitation" : "(Weischer et al., 2013)", "previouslyFormattedCitation" : "(Weischer et al., 2013)" }, "properties" : {  }, "schema" : "https://github.com/citation-style-language/schema/raw/master/csl-citation.json" }</w:instrText>
      </w:r>
      <w:r w:rsidR="00D427DC">
        <w:fldChar w:fldCharType="separate"/>
      </w:r>
      <w:r w:rsidR="00D427DC" w:rsidRPr="00D427DC">
        <w:rPr>
          <w:noProof/>
        </w:rPr>
        <w:t>(Weischer et al., 2013)</w:t>
      </w:r>
      <w:r w:rsidR="00D427DC">
        <w:fldChar w:fldCharType="end"/>
      </w:r>
      <w:r w:rsidR="00927AC2">
        <w:t>.</w:t>
      </w:r>
      <w:r w:rsidR="00B57D32">
        <w:t xml:space="preserve"> </w:t>
      </w:r>
      <w:r w:rsidR="00927AC2">
        <w:t xml:space="preserve">The study had 574 breast cancer cases and used the same </w:t>
      </w:r>
      <w:r w:rsidR="00253E9E">
        <w:t xml:space="preserve">qPCR </w:t>
      </w:r>
      <w:r w:rsidR="00927AC2">
        <w:t xml:space="preserve">method </w:t>
      </w:r>
      <w:r w:rsidR="00162FC4">
        <w:t xml:space="preserve">as us </w:t>
      </w:r>
      <w:r w:rsidR="00927AC2">
        <w:t>to measured telomere length in peripheral blood</w:t>
      </w:r>
      <w:r w:rsidR="00336C1D">
        <w:t xml:space="preserve"> </w:t>
      </w:r>
      <w:r w:rsidR="00E92CF1">
        <w:t>cells</w:t>
      </w:r>
      <w:r w:rsidR="00927AC2">
        <w:t>.</w:t>
      </w:r>
      <w:r w:rsidR="008B5DA8">
        <w:t xml:space="preserve"> Our results</w:t>
      </w:r>
      <w:r w:rsidR="00CF5246">
        <w:t xml:space="preserve"> corroborate </w:t>
      </w:r>
      <w:r w:rsidR="008B5DA8">
        <w:t>by the findings from this</w:t>
      </w:r>
      <w:r w:rsidR="00CF5246">
        <w:t xml:space="preserve"> study supporting </w:t>
      </w:r>
      <w:r w:rsidR="006F73FF">
        <w:t xml:space="preserve">the </w:t>
      </w:r>
      <w:r w:rsidR="008B5DA8">
        <w:t>hypothesis</w:t>
      </w:r>
      <w:r w:rsidR="006F73FF">
        <w:t xml:space="preserve"> </w:t>
      </w:r>
      <w:r w:rsidR="00CF5246">
        <w:t xml:space="preserve">that longer telomere </w:t>
      </w:r>
      <w:r w:rsidR="008B5DA8">
        <w:t>l</w:t>
      </w:r>
      <w:r w:rsidR="00C30240">
        <w:t>ength might be a risk factor of</w:t>
      </w:r>
      <w:r w:rsidR="00CF5246">
        <w:t xml:space="preserve"> breast cancer. </w:t>
      </w:r>
    </w:p>
    <w:p w:rsidR="009C21BC" w:rsidRDefault="00AF7754" w:rsidP="000935A8">
      <w:pPr>
        <w:spacing w:line="360" w:lineRule="auto"/>
      </w:pPr>
      <w:r>
        <w:t>The mechanism behind the association between telomere length a</w:t>
      </w:r>
      <w:r w:rsidR="003F0DCA">
        <w:t xml:space="preserve">nd breast cancer </w:t>
      </w:r>
      <w:r w:rsidR="00632E74">
        <w:t xml:space="preserve">risk </w:t>
      </w:r>
      <w:r w:rsidR="003F0DCA">
        <w:t>is still un</w:t>
      </w:r>
      <w:r>
        <w:t xml:space="preserve">clear. </w:t>
      </w:r>
      <w:r w:rsidR="004A0BD1">
        <w:t>Telomere attrition is a complex process relat</w:t>
      </w:r>
      <w:r w:rsidR="001145E6">
        <w:t>ed to many interacting</w:t>
      </w:r>
      <w:r w:rsidR="00580EDE">
        <w:t xml:space="preserve"> factors</w:t>
      </w:r>
      <w:r w:rsidR="00E2129D">
        <w:t xml:space="preserve">. </w:t>
      </w:r>
      <w:r w:rsidR="00B32E7E">
        <w:t>Cells with l</w:t>
      </w:r>
      <w:r w:rsidR="00E2129D">
        <w:t xml:space="preserve">onger telomeres </w:t>
      </w:r>
      <w:r w:rsidR="00B32E7E">
        <w:t xml:space="preserve">would </w:t>
      </w:r>
      <w:r w:rsidR="00211E3D">
        <w:t>have</w:t>
      </w:r>
      <w:r w:rsidR="00250B78">
        <w:t xml:space="preserve"> </w:t>
      </w:r>
      <w:r w:rsidR="001862A2">
        <w:t xml:space="preserve">a </w:t>
      </w:r>
      <w:r w:rsidR="00250B78">
        <w:t xml:space="preserve">larger number of </w:t>
      </w:r>
      <w:r w:rsidR="00B32E7E">
        <w:t>cell divisions, which increases the probability of</w:t>
      </w:r>
      <w:r w:rsidR="00250B78">
        <w:t xml:space="preserve"> </w:t>
      </w:r>
      <w:r w:rsidR="00B32E7E">
        <w:t>acquiring mutations that may promote carcinogenesis</w:t>
      </w:r>
      <w:r w:rsidR="00D3515A">
        <w:t xml:space="preserve"> </w:t>
      </w:r>
      <w:r w:rsidR="00250B78">
        <w:fldChar w:fldCharType="begin" w:fldLock="1"/>
      </w:r>
      <w:r w:rsidR="00250B78">
        <w:instrText>ADDIN CSL_CITATION { "citationItems" : [ { "id" : "ITEM-1", "itemData" : { "DOI" : "10.1038/nrg1656", "ISBN" : "1471-0056 (Print)\\r1471-0056 (Linking)", "ISSN" : "14710056", "PMID" : "16136653", "abstract" : "Telomere length and telomerase activity are important factors in the pathobiology of human disease. Age-related diseases and premature ageing syndromes are characterized by short telomeres, which can compromise cell viability, whereas tumour cells can prevent telomere loss by aberrantly upregulating telomerase. Altered functioning of both telomerase and telomere-interacting proteins is present in some human premature ageing syndromes and in cancer, and recent findings indicate that alterations that affect telomeres at the level of chromatin structure might also have a role in human disease. These findings have inspired a number of potential therapeutic strategies that are based on telomerase and telomeres.", "author" : [ { "dropping-particle" : "", "family" : "Blasco", "given" : "Maria A.", "non-dropping-particle" : "", "parse-names" : false, "suffix" : "" } ], "container-title" : "Nature Reviews Genetics", "id" : "ITEM-1", "issue" : "8", "issued" : { "date-parts" : [ [ "2005" ] ] }, "page" : "611-622", "title" : "Telomeres and human disease: Ageing, cancer and beyond", "type" : "article", "volume" : "6" }, "uris" : [ "http://www.mendeley.com/documents/?uuid=3a9d45a6-2b6e-4cc9-9a50-5a0f48f65611" ] } ], "mendeley" : { "formattedCitation" : "(Blasco, 2005)", "plainTextFormattedCitation" : "(Blasco, 2005)", "previouslyFormattedCitation" : "(Blasco, 2005)" }, "properties" : {  }, "schema" : "https://github.com/citation-style-language/schema/raw/master/csl-citation.json" }</w:instrText>
      </w:r>
      <w:r w:rsidR="00250B78">
        <w:fldChar w:fldCharType="separate"/>
      </w:r>
      <w:r w:rsidR="00250B78" w:rsidRPr="008C51AC">
        <w:rPr>
          <w:noProof/>
        </w:rPr>
        <w:t>(Blasco, 2005)</w:t>
      </w:r>
      <w:r w:rsidR="00250B78">
        <w:fldChar w:fldCharType="end"/>
      </w:r>
      <w:r w:rsidR="004B44D3">
        <w:t>.</w:t>
      </w:r>
      <w:r w:rsidR="000935A8">
        <w:t xml:space="preserve"> However, longer telomeres</w:t>
      </w:r>
      <w:r w:rsidR="00580EDE">
        <w:t xml:space="preserve"> could also protect the stability of </w:t>
      </w:r>
      <w:r w:rsidR="00E54822">
        <w:t xml:space="preserve">chromosomes, which may </w:t>
      </w:r>
      <w:r w:rsidR="00B84B97">
        <w:t>be part of the reason why</w:t>
      </w:r>
      <w:r w:rsidR="00F03F27">
        <w:t xml:space="preserve"> </w:t>
      </w:r>
      <w:r w:rsidR="001862A2">
        <w:t xml:space="preserve">the </w:t>
      </w:r>
      <w:r w:rsidR="00F03F27">
        <w:t xml:space="preserve">risk of </w:t>
      </w:r>
      <w:r w:rsidR="00ED39F4">
        <w:t xml:space="preserve">developing </w:t>
      </w:r>
      <w:r w:rsidR="00F03F27">
        <w:t xml:space="preserve">breast cancer for </w:t>
      </w:r>
      <w:r w:rsidR="001862A2">
        <w:t xml:space="preserve">the </w:t>
      </w:r>
      <w:r w:rsidR="00F03F27">
        <w:t xml:space="preserve">longest </w:t>
      </w:r>
      <w:r w:rsidR="00ED39F4">
        <w:t xml:space="preserve">telomere length group </w:t>
      </w:r>
      <w:r w:rsidR="00F03F27">
        <w:t xml:space="preserve">is slightly lower than </w:t>
      </w:r>
      <w:r w:rsidR="00695B28">
        <w:t>the second-</w:t>
      </w:r>
      <w:r w:rsidR="00695B28">
        <w:lastRenderedPageBreak/>
        <w:t xml:space="preserve">longest telomere </w:t>
      </w:r>
      <w:r w:rsidR="003D0476">
        <w:t xml:space="preserve">length </w:t>
      </w:r>
      <w:r w:rsidR="00695B28">
        <w:t>group</w:t>
      </w:r>
      <w:r w:rsidR="009C21BC">
        <w:t xml:space="preserve">. </w:t>
      </w:r>
      <w:r w:rsidR="007378C8">
        <w:t>In ad</w:t>
      </w:r>
      <w:r w:rsidR="00A449F9">
        <w:t>dition, there are studies showing</w:t>
      </w:r>
      <w:r w:rsidR="007378C8">
        <w:t xml:space="preserve"> that longer </w:t>
      </w:r>
      <w:r w:rsidR="00A449F9">
        <w:t xml:space="preserve">telomere length at baseline is </w:t>
      </w:r>
      <w:r w:rsidR="00C474B8">
        <w:t>correlated</w:t>
      </w:r>
      <w:r w:rsidR="007378C8">
        <w:t xml:space="preserve"> to a higher shortening rate of telomere length</w:t>
      </w:r>
      <w:r w:rsidR="00C05790">
        <w:t xml:space="preserve"> </w:t>
      </w:r>
      <w:r w:rsidR="007378C8">
        <w:fldChar w:fldCharType="begin" w:fldLock="1"/>
      </w:r>
      <w:r w:rsidR="007378C8">
        <w:instrText>ADDIN CSL_CITATION { "citationItems" : [ { "id" : "ITEM-1", "itemData" : { "DOI" : "10.1371/journal.pgen.1000375", "ISBN" : "1553-7404 (Electronic)\\n1553-7390 (Linking)", "ISSN" : "15537390", "PMID" : "19214207", "abstract" : "Age-associated telomere shortening is a well documented feature of peripheral blood cells in human population studies, but it is not known to what extent these data can be transferred to the individual level. Telomere length (TL) in two blood samples taken at approximately 10 years interval from 959 individuals was investigated using real-time PCR. TL was also measured in 13 families from a multigenerational cohort. As expected, we found an age-related decline in TL over time (r = -0.164, P&lt;0.001, n = 959). However, approximately one-third of the individuals exhibited a stable or increased TL over a decade. The individual telomere attrition rate was inversely correlated with initial TL at a highly significant level (r = -0.752, P&lt;0.001), indicating that the attrition rate was most pronounced in individuals with long telomeres at baseline. In accordance, the age-associated telomere attrition rate was more prominent in families with members displaying longer telomeres at a young age (r = -0.691, P&lt;0.001). Abnormal blood TL has been reported at diagnosis of various malignancies, but in the present study there was no association between individual telomere attrition rate or prediagnostic TL and later tumor development. The collected data strongly suggest a TL maintenance mechanism acting in vivo, providing protection of short telomeres as previously demonstrated in vitro. Our findings might challenge the hypothesis that individual TL can predict possible life span or later tumor development", "author" : [ { "dropping-particle" : "", "family" : "Nordfj\u00e4ll", "given" : "Katarina", "non-dropping-particle" : "", "parse-names" : false, "suffix" : "" }, { "dropping-particle" : "", "family" : "Svenson", "given" : "Ulrika", "non-dropping-particle" : "", "parse-names" : false, "suffix" : "" }, { "dropping-particle" : "", "family" : "Norrback", "given" : "Karl Fredrik", "non-dropping-particle" : "", "parse-names" : false, "suffix" : "" }, { "dropping-particle" : "", "family" : "Adolfsson", "given" : "Rolf", "non-dropping-particle" : "", "parse-names" : false, "suffix" : "" }, { "dropping-particle" : "", "family" : "Lenner", "given" : "Per", "non-dropping-particle" : "", "parse-names" : false, "suffix" : "" }, { "dropping-particle" : "", "family" : "Roos", "given" : "G\u00f6ran", "non-dropping-particle" : "", "parse-names" : false, "suffix" : "" } ], "container-title" : "PLoS Genetics", "id" : "ITEM-1", "issue" : "2", "issued" : { "date-parts" : [ [ "2009" ] ] }, "title" : "The individual blood cell telomere attrition rate is telomere length dependent", "type" : "article-journal", "volume" : "5" }, "uris" : [ "http://www.mendeley.com/documents/?uuid=fa284fc5-d9bc-4158-b748-6531189e9110" ] }, { "id" : "ITEM-2", "itemData" : { "DOI" : "10.1093/aje/kwn338", "ISBN" : "1476-6256 (Electronic)\\n0002-9262 (Linking)", "ISSN" : "00029262", "PMID" : "19056834", "abstract" : "Leukocyte telomere length (LTL) is ostensibly a biomarker of human aging. Cross-sectional analyses have found that LTL is relatively short in a host of aging-related diseases. These studies have also provided indirect estimates of age-dependent LTL shortening. In this paper, the authors report findings of the first comprehensive longitudiavivnal study of 450 whites and 185 African Americans in Louisiana (aged 31.4 and 37.4 years at baseline (1995-1996) and follow-up (2001-2006) examinations, respectively) participating in the Bogalusa Heart Study. Rate of change in LTL was highly variable among individuals, with some displaying a paradoxical gain in LTL during the follow-up period. The most striking observation was that age-dependent LTL shortening was proportional to LTL at baseline examination. At both baseline and follow-up examinations, African Americans had longer LTLs than whites, and smokers had shorter LTLs than nonsmokers. The longer LTL in African Americans than in whites explained in part the faster rate of LTL shortening observed among African Americans. These findings underscore the complexity of leukocyte telomere dynamics in vivo and suggest that determinants in addition to the \"end-replication problem\" contribute to telomere shortening in vivo.", "author" : [ { "dropping-particle" : "", "family" : "Aviv", "given" : "Abraham", "non-dropping-particle" : "", "parse-names" : false, "suffix" : "" }, { "dropping-particle" : "", "family" : "Chen", "given" : "Wei", "non-dropping-particle" : "", "parse-names" : false, "suffix" : "" }, { "dropping-particle" : "", "family" : "Gardner", "given" : "Jeffrey P.", "non-dropping-particle" : "", "parse-names" : false, "suffix" : "" }, { "dropping-particle" : "", "family" : "Kimura", "given" : "Masayuki", "non-dropping-particle" : "", "parse-names" : false, "suffix" : "" }, { "dropping-particle" : "", "family" : "Brimacombe", "given" : "Michael", "non-dropping-particle" : "", "parse-names" : false, "suffix" : "" }, { "dropping-particle" : "", "family" : "Cao", "given" : "Xiaojian", "non-dropping-particle" : "", "parse-names" : false, "suffix" : "" }, { "dropping-particle" : "", "family" : "Srinivasan", "given" : "Sathanur R.", "non-dropping-particle" : "", "parse-names" : false, "suffix" : "" }, { "dropping-particle" : "", "family" : "Berenson", "given" : "Gerald S.", "non-dropping-particle" : "", "parse-names" : false, "suffix" : "" } ], "container-title" : "American Journal of Epidemiology", "id" : "ITEM-2", "issue" : "3", "issued" : { "date-parts" : [ [ "2009" ] ] }, "page" : "323-329", "title" : "Leukocyte telomere dynamics: Longitudinal findings among young adults in the Bogalusa Heart Study", "type" : "article-journal", "volume" : "169" }, "uris" : [ "http://www.mendeley.com/documents/?uuid=a707a143-d52e-4799-a64c-be7a59de1589" ] } ], "mendeley" : { "formattedCitation" : "(Aviv et al., 2009; Nordfj\u00e4ll et al., 2009)", "plainTextFormattedCitation" : "(Aviv et al., 2009; Nordfj\u00e4ll et al., 2009)", "previouslyFormattedCitation" : "(Aviv et al., 2009; Nordfj\u00e4ll et al., 2009)" }, "properties" : {  }, "schema" : "https://github.com/citation-style-language/schema/raw/master/csl-citation.json" }</w:instrText>
      </w:r>
      <w:r w:rsidR="007378C8">
        <w:fldChar w:fldCharType="separate"/>
      </w:r>
      <w:r w:rsidR="007378C8" w:rsidRPr="00481B22">
        <w:rPr>
          <w:noProof/>
        </w:rPr>
        <w:t>(Aviv et al., 2009; Nordfjäll et al., 2009)</w:t>
      </w:r>
      <w:r w:rsidR="007378C8">
        <w:fldChar w:fldCharType="end"/>
      </w:r>
      <w:r w:rsidR="007378C8">
        <w:t xml:space="preserve">. </w:t>
      </w:r>
      <w:r w:rsidR="00250B78">
        <w:t xml:space="preserve">It is possible that in our study, women who had longer telomeres at </w:t>
      </w:r>
      <w:r w:rsidR="000935A8">
        <w:t>blood</w:t>
      </w:r>
      <w:r w:rsidR="00780F4B">
        <w:t xml:space="preserve"> draw</w:t>
      </w:r>
      <w:r w:rsidR="000935A8">
        <w:t xml:space="preserve"> </w:t>
      </w:r>
      <w:r w:rsidR="00A449F9">
        <w:t>progressed to</w:t>
      </w:r>
      <w:r w:rsidR="00250B78">
        <w:t xml:space="preserve"> shorter telomeres</w:t>
      </w:r>
      <w:r w:rsidR="000935A8">
        <w:t xml:space="preserve"> during older age: </w:t>
      </w:r>
      <w:r w:rsidR="00250B78">
        <w:t>a period of hig</w:t>
      </w:r>
      <w:r w:rsidR="00D97BDD">
        <w:t>h</w:t>
      </w:r>
      <w:r w:rsidR="00250B78">
        <w:t xml:space="preserve"> incidence of breast cancer. S</w:t>
      </w:r>
      <w:r w:rsidR="004B44D3">
        <w:t>horter telo</w:t>
      </w:r>
      <w:r w:rsidR="0090020F">
        <w:t>meres</w:t>
      </w:r>
      <w:r w:rsidR="00250B78">
        <w:t xml:space="preserve"> </w:t>
      </w:r>
      <w:r w:rsidR="00D97BDD">
        <w:t xml:space="preserve">in senescent tissues </w:t>
      </w:r>
      <w:r w:rsidR="00ED0DCA">
        <w:t xml:space="preserve">could </w:t>
      </w:r>
      <w:r w:rsidR="0090020F">
        <w:t xml:space="preserve">result in unstable genomic structure, which </w:t>
      </w:r>
      <w:r w:rsidR="00ED0DCA">
        <w:t xml:space="preserve">eventually </w:t>
      </w:r>
      <w:r w:rsidR="00F45DC7">
        <w:t>lead</w:t>
      </w:r>
      <w:r w:rsidR="001862A2">
        <w:t>s</w:t>
      </w:r>
      <w:r w:rsidR="004C3698">
        <w:t xml:space="preserve"> to genetic mutations</w:t>
      </w:r>
      <w:r w:rsidR="00250B78">
        <w:t xml:space="preserve"> and cancer</w:t>
      </w:r>
      <w:r w:rsidR="004C3698">
        <w:t xml:space="preserve">. </w:t>
      </w:r>
    </w:p>
    <w:p w:rsidR="00A449F9" w:rsidRDefault="00D459BF" w:rsidP="000935A8">
      <w:pPr>
        <w:spacing w:line="360" w:lineRule="auto"/>
      </w:pPr>
      <w:r>
        <w:t>Our study</w:t>
      </w:r>
      <w:r w:rsidR="008D70DC">
        <w:t xml:space="preserve"> measured telomere length</w:t>
      </w:r>
      <w:r w:rsidR="00B9540E">
        <w:t xml:space="preserve"> in peripheral blood </w:t>
      </w:r>
      <w:r w:rsidR="0013088B">
        <w:t>leukocytes</w:t>
      </w:r>
      <w:r w:rsidR="008D70DC">
        <w:t xml:space="preserve"> instead of telomere length in breast tissue. </w:t>
      </w:r>
      <w:r w:rsidR="000C3C48">
        <w:t xml:space="preserve">Telomeres in leukocytes are less than synovial, fibroblast and buccal tissues due to a higher rate of proliferation. However, many studies have demonstrated </w:t>
      </w:r>
      <w:r w:rsidR="00EF06ED">
        <w:t xml:space="preserve">significant </w:t>
      </w:r>
      <w:r w:rsidR="000C3C48">
        <w:t xml:space="preserve">correlations </w:t>
      </w:r>
      <w:r w:rsidR="003825AC">
        <w:t>of telomere lengths</w:t>
      </w:r>
      <w:r w:rsidR="000C3C48">
        <w:t xml:space="preserve"> </w:t>
      </w:r>
      <w:r w:rsidR="00EF06ED">
        <w:t xml:space="preserve">between peripheral blood </w:t>
      </w:r>
      <w:r w:rsidR="004B52BA">
        <w:t>leukocytes</w:t>
      </w:r>
      <w:r w:rsidR="00EF06ED">
        <w:t xml:space="preserve"> and fibroblast (r</w:t>
      </w:r>
      <w:r w:rsidR="00EF06ED">
        <w:rPr>
          <w:vertAlign w:val="superscript"/>
        </w:rPr>
        <w:t>2</w:t>
      </w:r>
      <w:r w:rsidR="00EF06ED">
        <w:t xml:space="preserve"> = 0.80) </w:t>
      </w:r>
      <w:r w:rsidR="00EF06ED">
        <w:fldChar w:fldCharType="begin" w:fldLock="1"/>
      </w:r>
      <w:r w:rsidR="00EF06ED">
        <w:instrText>ADDIN CSL_CITATION { "citationItems" : [ { "id" : "ITEM-1", "itemData" : { "DOI" : "10.1016/S0047-6374(00)00173-1", "ISBN" : "0047-6374 (Print)\\r0047-6374 (Linking)", "ISSN" : "00476374", "PMID" : "11080530", "abstract" : "Telomeres are supposed to play a role in cellular aging and might contribute to the genetic background of human aging and longevity. During the past few years telomere length has been measured in various human tissues. However, very little is known about the individual telomere loss in different tissues from the same donor. Therefore we have measured telomere restriction fragment (TRF) length in three unrelated tissues (leukocytes, skin and synovial tissue) of nine elderly patients (age range 73\u201395 years old). Dependent on the tissue specific proliferation rate we have found significantly shorter telomeres (6546\u00b1519 bp, mean\u00b1S.D.) in leukocytes compared to skin (7792\u00b1596 bp, P&lt;0.01) and synovial tissue (7910\u00b1420 bp, P&lt;0.001). In general, we have observed an inverse relationship between donor age and TRF length which becomes significant in leukocytes (P=0.04, R2=0.49) and skin specimens (P=0.006, R2=0.81). Interestingly, linear correlations (P values between 0.017 and 0.038, R2 values between 0.54 and 0.79) were also obtained on comparison of telomere length in each pair of two different tissues from the same donor without taking donor age into account. This suggests that genetic determination of the regulation of telomere length is tissue-independent. Furthermore, our results indicate that TRF measurement in easily accessible tissues such as blood could serve as a surrogate parameter for the relative telomere length in other tissues.", "author" : [ { "dropping-particle" : "", "family" : "Friedrich", "given" : "Ulrike", "non-dropping-particle" : "", "parse-names" : false, "suffix" : "" }, { "dropping-particle" : "", "family" : "Griese", "given" : "Ernst-Ulrich", "non-dropping-particle" : "", "parse-names" : false, "suffix" : "" }, { "dropping-particle" : "", "family" : "Schwab", "given" : "Matthias", "non-dropping-particle" : "", "parse-names" : false, "suffix" : "" }, { "dropping-particle" : "", "family" : "Fritz", "given" : "Peter", "non-dropping-particle" : "", "parse-names" : false, "suffix" : "" }, { "dropping-particle" : "", "family" : "Thon", "given" : "Klaus-Peter", "non-dropping-particle" : "", "parse-names" : false, "suffix" : "" }, { "dropping-particle" : "", "family" : "Klotz", "given" : "Ulrich", "non-dropping-particle" : "", "parse-names" : false, "suffix" : "" } ], "container-title" : "Mechanisms of Ageing and Development", "id" : "ITEM-1", "issue" : "3", "issued" : { "date-parts" : [ [ "2000" ] ] }, "page" : "89-99", "title" : "Telomere length in different tissues of elderly patients", "type" : "article-journal", "volume" : "119" }, "uris" : [ "http://www.mendeley.com/documents/?uuid=f439eeee-37dd-4ebd-8039-dafb4112a219" ] } ], "mendeley" : { "formattedCitation" : "(Friedrich et al., 2000)", "plainTextFormattedCitation" : "(Friedrich et al., 2000)", "previouslyFormattedCitation" : "(Friedrich et al., 2000)" }, "properties" : {  }, "schema" : "https://github.com/citation-style-language/schema/raw/master/csl-citation.json" }</w:instrText>
      </w:r>
      <w:r w:rsidR="00EF06ED">
        <w:fldChar w:fldCharType="separate"/>
      </w:r>
      <w:r w:rsidR="00EF06ED" w:rsidRPr="00EF06ED">
        <w:rPr>
          <w:noProof/>
        </w:rPr>
        <w:t>(Friedrich et al., 2000)</w:t>
      </w:r>
      <w:r w:rsidR="00EF06ED">
        <w:fldChar w:fldCharType="end"/>
      </w:r>
      <w:r w:rsidR="00EF06ED">
        <w:t xml:space="preserve">, buccal cells (r = 0.74) </w:t>
      </w:r>
      <w:r w:rsidR="00EF06ED">
        <w:fldChar w:fldCharType="begin" w:fldLock="1"/>
      </w:r>
      <w:r w:rsidR="00EF06ED">
        <w:instrText>ADDIN CSL_CITATION { "citationItems" : [ { "id" : "ITEM-1", "itemData" : { "DOI" : "10.18632/aging.100235", "ISBN" : "1945-4589", "ISSN" : "1945-4589", "PMID" : "21113082", "abstract" : "Telomeres, the nucleotide repeats and protein complex at chromosome ends, are required for chromosomal stability and are important markers of aging. Patients with dyskeratosis congenita (DC), an inherited bone marrow failure syndrome (IBMFS), have mutations in telomere biology genes, and very short telomeres. There are limited data on intra-individual telomere length (TL) variability in DC and related disorders. We measured relative TL by quantitative-PCR in blood, buccal cells, and fibroblasts from 21 patients with an IBMFS (5 Diamond-Blackfan anemia, 6 DC, 6 Fanconi anemia, and 4 Shwachman-Diamond syndrome). As expected, TL in patients with DC was significantly (p&lt;0.01) shorter in all tissues compared with other IBMFS. In all disorders combined, the median Q-PCR TL was longer in fibroblast and buccal cells than in blood (overall T/S ratio=1.42 and 1.16 vs. 1.05, p=0.001, 0.006, respectively). Although the absolute values varied, statistically significant intra-individual correlations in TL were present in IBMFS patients: blood and fibroblast (r=0.66, p=0.002), blood and buccal cells (r=0.74, p&lt;0.0001), and fibroblast and buccal cells (r=0.65, p=0.004). These data suggest that relative TL is tissue-independent in DC and possibly in the other IBMFS", "author" : [ { "dropping-particle" : "", "family" : "Gadalla", "given" : "Shahinaz M.", "non-dropping-particle" : "", "parse-names" : false, "suffix" : "" }, { "dropping-particle" : "", "family" : "Cawthon", "given" : "Richard", "non-dropping-particle" : "", "parse-names" : false, "suffix" : "" }, { "dropping-particle" : "", "family" : "Giri", "given" : "Neelam", "non-dropping-particle" : "", "parse-names" : false, "suffix" : "" }, { "dropping-particle" : "", "family" : "Alter", "given" : "Blanche P.", "non-dropping-particle" : "", "parse-names" : false, "suffix" : "" }, { "dropping-particle" : "", "family" : "Savage", "given" : "Sharon A.", "non-dropping-particle" : "", "parse-names" : false, "suffix" : "" } ], "container-title" : "Aging (Albany.NY)", "id" : "ITEM-1", "issue" : "11", "issued" : { "date-parts" : [ [ "2010" ] ] }, "page" : "867-874", "title" : "Telomere length in blood, buccal cells, and fibroblasts from patients with inherited bone marrow failure syndromes", "type" : "article-journal", "volume" : "2" }, "uris" : [ "http://www.mendeley.com/documents/?uuid=3da20f6b-adba-43c3-8594-4939e39d2971" ] } ], "mendeley" : { "formattedCitation" : "(Gadalla, Cawthon, Giri, Alter, &amp; Savage, 2010)", "plainTextFormattedCitation" : "(Gadalla, Cawthon, Giri, Alter, &amp; Savage, 2010)", "previouslyFormattedCitation" : "(Gadalla, Cawthon, Giri, Alter, &amp; Savage, 2010)" }, "properties" : {  }, "schema" : "https://github.com/citation-style-language/schema/raw/master/csl-citation.json" }</w:instrText>
      </w:r>
      <w:r w:rsidR="00EF06ED">
        <w:fldChar w:fldCharType="separate"/>
      </w:r>
      <w:r w:rsidR="00EF06ED" w:rsidRPr="00EF06ED">
        <w:rPr>
          <w:noProof/>
        </w:rPr>
        <w:t>(Gadalla, Cawthon, Giri, Alter, &amp; Savage, 2010)</w:t>
      </w:r>
      <w:r w:rsidR="00EF06ED">
        <w:fldChar w:fldCharType="end"/>
      </w:r>
      <w:r w:rsidR="00EF06ED">
        <w:t>, and skin (</w:t>
      </w:r>
      <w:r w:rsidR="003825AC">
        <w:t>r</w:t>
      </w:r>
      <w:r w:rsidR="003825AC">
        <w:rPr>
          <w:vertAlign w:val="superscript"/>
        </w:rPr>
        <w:t>2</w:t>
      </w:r>
      <w:r w:rsidR="003825AC">
        <w:t xml:space="preserve"> = 0.71</w:t>
      </w:r>
      <w:r w:rsidR="00EF06ED">
        <w:t>)</w:t>
      </w:r>
      <w:r w:rsidR="00472DC8">
        <w:t xml:space="preserve"> </w:t>
      </w:r>
      <w:r w:rsidR="004B52BA">
        <w:fldChar w:fldCharType="begin" w:fldLock="1"/>
      </w:r>
      <w:r w:rsidR="004B52BA">
        <w:instrText>ADDIN CSL_CITATION { "citationItems" : [ { "id" : "ITEM-1", "itemData" : { "DOI" : "10.1016/S0047-6374(00)00173-1", "ISBN" : "0047-6374 (Print)\\r0047-6374 (Linking)", "ISSN" : "00476374", "PMID" : "11080530", "abstract" : "Telomeres are supposed to play a role in cellular aging and might contribute to the genetic background of human aging and longevity. During the past few years telomere length has been measured in various human tissues. However, very little is known about the individual telomere loss in different tissues from the same donor. Therefore we have measured telomere restriction fragment (TRF) length in three unrelated tissues (leukocytes, skin and synovial tissue) of nine elderly patients (age range 73\u201395 years old). Dependent on the tissue specific proliferation rate we have found significantly shorter telomeres (6546\u00b1519 bp, mean\u00b1S.D.) in leukocytes compared to skin (7792\u00b1596 bp, P&lt;0.01) and synovial tissue (7910\u00b1420 bp, P&lt;0.001). In general, we have observed an inverse relationship between donor age and TRF length which becomes significant in leukocytes (P=0.04, R2=0.49) and skin specimens (P=0.006, R2=0.81). Interestingly, linear correlations (P values between 0.017 and 0.038, R2 values between 0.54 and 0.79) were also obtained on comparison of telomere length in each pair of two different tissues from the same donor without taking donor age into account. This suggests that genetic determination of the regulation of telomere length is tissue-independent. Furthermore, our results indicate that TRF measurement in easily accessible tissues such as blood could serve as a surrogate parameter for the relative telomere length in other tissues.", "author" : [ { "dropping-particle" : "", "family" : "Friedrich", "given" : "Ulrike", "non-dropping-particle" : "", "parse-names" : false, "suffix" : "" }, { "dropping-particle" : "", "family" : "Griese", "given" : "Ernst-Ulrich", "non-dropping-particle" : "", "parse-names" : false, "suffix" : "" }, { "dropping-particle" : "", "family" : "Schwab", "given" : "Matthias", "non-dropping-particle" : "", "parse-names" : false, "suffix" : "" }, { "dropping-particle" : "", "family" : "Fritz", "given" : "Peter", "non-dropping-particle" : "", "parse-names" : false, "suffix" : "" }, { "dropping-particle" : "", "family" : "Thon", "given" : "Klaus-Peter", "non-dropping-particle" : "", "parse-names" : false, "suffix" : "" }, { "dropping-particle" : "", "family" : "Klotz", "given" : "Ulrich", "non-dropping-particle" : "", "parse-names" : false, "suffix" : "" } ], "container-title" : "Mechanisms of Ageing and Development", "id" : "ITEM-1", "issue" : "3", "issued" : { "date-parts" : [ [ "2000" ] ] }, "page" : "89-99", "title" : "Telomere length in different tissues of elderly patients", "type" : "article-journal", "volume" : "119" }, "uris" : [ "http://www.mendeley.com/documents/?uuid=f439eeee-37dd-4ebd-8039-dafb4112a219" ] } ], "mendeley" : { "formattedCitation" : "(Friedrich et al., 2000)", "plainTextFormattedCitation" : "(Friedrich et al., 2000)", "previouslyFormattedCitation" : "(Friedrich et al., 2000)" }, "properties" : {  }, "schema" : "https://github.com/citation-style-language/schema/raw/master/csl-citation.json" }</w:instrText>
      </w:r>
      <w:r w:rsidR="004B52BA">
        <w:fldChar w:fldCharType="separate"/>
      </w:r>
      <w:r w:rsidR="004B52BA" w:rsidRPr="004B52BA">
        <w:rPr>
          <w:noProof/>
        </w:rPr>
        <w:t>(Friedrich et al., 2000)</w:t>
      </w:r>
      <w:r w:rsidR="004B52BA">
        <w:fldChar w:fldCharType="end"/>
      </w:r>
      <w:r w:rsidR="004B52BA">
        <w:t>. Alt</w:t>
      </w:r>
      <w:r w:rsidR="008C6BD7">
        <w:t>hough the</w:t>
      </w:r>
      <w:r w:rsidR="004B52BA">
        <w:t xml:space="preserve"> relationship between telomeres in blood cells and breast tissues</w:t>
      </w:r>
      <w:r w:rsidR="008C6BD7">
        <w:t xml:space="preserve"> has not been revealed</w:t>
      </w:r>
      <w:r w:rsidR="004B52BA">
        <w:t xml:space="preserve">, the </w:t>
      </w:r>
      <w:r w:rsidR="00A23877">
        <w:t xml:space="preserve">existing </w:t>
      </w:r>
      <w:r w:rsidR="004B52BA">
        <w:t xml:space="preserve">findings </w:t>
      </w:r>
      <w:r w:rsidR="00A23877">
        <w:t xml:space="preserve">so far </w:t>
      </w:r>
      <w:r w:rsidR="004B52BA">
        <w:t xml:space="preserve">provide evidence for taking </w:t>
      </w:r>
      <w:r w:rsidR="00DE4393">
        <w:t xml:space="preserve">blood cells as surrogates for </w:t>
      </w:r>
      <w:r w:rsidR="00693FEB">
        <w:t>breast tissues in the measurement of telomere length</w:t>
      </w:r>
      <w:r w:rsidR="00DE4393">
        <w:t xml:space="preserve">. </w:t>
      </w:r>
    </w:p>
    <w:p w:rsidR="00E370EC" w:rsidRDefault="004E3743" w:rsidP="00A91F5E">
      <w:pPr>
        <w:spacing w:line="360" w:lineRule="auto"/>
      </w:pPr>
      <w:r>
        <w:t>Our study found that a</w:t>
      </w:r>
      <w:r w:rsidR="009E3A2B">
        <w:t xml:space="preserve"> </w:t>
      </w:r>
      <w:r w:rsidR="000C70B9">
        <w:t xml:space="preserve">positive </w:t>
      </w:r>
      <w:r w:rsidR="009E3A2B">
        <w:t xml:space="preserve">association </w:t>
      </w:r>
      <w:r w:rsidR="000C70B9">
        <w:t xml:space="preserve">between telomere length </w:t>
      </w:r>
      <w:r w:rsidR="00625ED2">
        <w:t xml:space="preserve">in peripheral blood </w:t>
      </w:r>
      <w:r w:rsidR="0085707A">
        <w:t xml:space="preserve">cells </w:t>
      </w:r>
      <w:r w:rsidR="000C70B9">
        <w:t xml:space="preserve">and </w:t>
      </w:r>
      <w:r w:rsidR="0085707A">
        <w:t>risk of breast cancer</w:t>
      </w:r>
      <w:r w:rsidR="000C70B9">
        <w:t xml:space="preserve"> </w:t>
      </w:r>
      <w:r w:rsidR="00625ED2">
        <w:t>was only</w:t>
      </w:r>
      <w:r w:rsidR="009E3A2B">
        <w:t xml:space="preserve"> significant in w</w:t>
      </w:r>
      <w:r w:rsidR="001C195B">
        <w:t>omen</w:t>
      </w:r>
      <w:r w:rsidR="00625ED2">
        <w:t xml:space="preserve"> who</w:t>
      </w:r>
      <w:r w:rsidR="001C195B">
        <w:t xml:space="preserve"> were overweight/obese</w:t>
      </w:r>
      <w:r w:rsidR="00625ED2">
        <w:t>;</w:t>
      </w:r>
      <w:r w:rsidR="009E3A2B">
        <w:t xml:space="preserve"> had </w:t>
      </w:r>
      <w:r w:rsidR="00625ED2">
        <w:t>menarche less than 14 years old;</w:t>
      </w:r>
      <w:r w:rsidR="009E3A2B">
        <w:t xml:space="preserve"> gave first live birth </w:t>
      </w:r>
      <w:r w:rsidR="00625ED2">
        <w:t>at or above</w:t>
      </w:r>
      <w:r w:rsidR="0064374D">
        <w:t xml:space="preserve"> </w:t>
      </w:r>
      <w:r w:rsidR="009E3A2B">
        <w:t xml:space="preserve">26 years </w:t>
      </w:r>
      <w:r w:rsidR="0064374D">
        <w:t>old</w:t>
      </w:r>
      <w:r w:rsidR="00625ED2">
        <w:t>;</w:t>
      </w:r>
      <w:r w:rsidR="0064374D">
        <w:t xml:space="preserve"> </w:t>
      </w:r>
      <w:r w:rsidR="009E3A2B">
        <w:t xml:space="preserve">and </w:t>
      </w:r>
      <w:r w:rsidR="00625ED2">
        <w:t>those</w:t>
      </w:r>
      <w:r w:rsidR="009E3A2B">
        <w:t xml:space="preserve"> who had 3 or more children. </w:t>
      </w:r>
      <w:r w:rsidR="00F81FB9">
        <w:t xml:space="preserve">This might </w:t>
      </w:r>
      <w:r w:rsidR="00625ED2">
        <w:t xml:space="preserve">be </w:t>
      </w:r>
      <w:r w:rsidR="00F81FB9">
        <w:t xml:space="preserve">due to a relatively lower number of cases in </w:t>
      </w:r>
      <w:r w:rsidR="006F28A7">
        <w:t xml:space="preserve">the stratified </w:t>
      </w:r>
      <w:r w:rsidR="00CE61B3">
        <w:t>g</w:t>
      </w:r>
      <w:r w:rsidR="00A91F5E">
        <w:t xml:space="preserve">roups. </w:t>
      </w:r>
      <w:r w:rsidR="00A449F9">
        <w:t>H</w:t>
      </w:r>
      <w:r w:rsidR="00FC40D9">
        <w:t>igher</w:t>
      </w:r>
      <w:r w:rsidR="006F28A7">
        <w:t xml:space="preserve"> BMI </w:t>
      </w:r>
      <w:r w:rsidR="000D0A1B">
        <w:t xml:space="preserve">in adulthood </w:t>
      </w:r>
      <w:r w:rsidR="00625ED2">
        <w:t xml:space="preserve">has been </w:t>
      </w:r>
      <w:r w:rsidR="006F28A7">
        <w:t xml:space="preserve">found to be </w:t>
      </w:r>
      <w:r w:rsidR="00CE61B3">
        <w:t xml:space="preserve">associated with </w:t>
      </w:r>
      <w:r w:rsidR="00A449F9">
        <w:t xml:space="preserve">a </w:t>
      </w:r>
      <w:r w:rsidR="00FC40D9">
        <w:t>larger decrease in telomere length</w:t>
      </w:r>
      <w:r w:rsidR="000D0A1B">
        <w:t xml:space="preserve"> later</w:t>
      </w:r>
      <w:r w:rsidR="00BA540D">
        <w:t xml:space="preserve"> </w:t>
      </w:r>
      <w:r w:rsidR="00625ED2">
        <w:t xml:space="preserve">in life </w:t>
      </w:r>
      <w:r w:rsidR="00715C62">
        <w:fldChar w:fldCharType="begin" w:fldLock="1"/>
      </w:r>
      <w:r w:rsidR="00715C62">
        <w:instrText>ADDIN CSL_CITATION { "citationItems" : [ { "id" : "ITEM-1", "itemData" : { "DOI" : "10.1158/1055-9965.EPI-08-0935.Obesity", "ISBN" : "1055-9965", "ISSN" : "1055-9965", "PMID" : "19273484", "abstract" : "Obesity and weight gain in adulthood are associated with an increased risk of several cancers. Telomeres play a critical role in maintaining genomic integrity and may be involved in carcinogenesis. Using data from 647 women ages 35 to 74 years in the United States and Puerto Rico (2003-2004), we examined the association between current and past anthropometric characteristics and telomere length in blood. In a multivariate linear regression model, higher current body mass index (BMI) and hip circumference were inversely associated with telomere length. Higher BMI in the 30s was associated with shorter telomere length among women ages&gt;or=40 years (Ptrend&lt;0.01). Weight gain since the age 30s (Ptrend=0.07) and weight cycling (Ptrend=0.04) were also inversely associated with telomere length. When current BMI and BMI at ages 30 to 39 years were considered together, the most marked decrease in telomere length was found for women who had overweight or obese BMI at both time points (mean telomere repeat copy number to single-copy gene copy number ratio=1.26; 95% confidence interval, 1.21-1.30) compared with women who had normal BMI at both times (mean telomere repeat copy number to single-copy gene copy number ratio=1.33; 95% confidence interval, 1.30-1.36). These findings support the hypothesis that obesity may accelerate aging, and highlight the importance of maintaining a desirable weight in adulthood.", "author" : [ { "dropping-particle" : "", "family" : "Kim", "given" : "Sangmi", "non-dropping-particle" : "", "parse-names" : false, "suffix" : "" }, { "dropping-particle" : "", "family" : "Parks", "given" : "Cg Christine G", "non-dropping-particle" : "", "parse-names" : false, "suffix" : "" }, { "dropping-particle" : "La", "family" : "DeRoo", "given" : "Lisa a", "non-dropping-particle" : "", "parse-names" : false, "suffix" : "" }, { "dropping-particle" : "", "family" : "Chen", "given" : "Honglei", "non-dropping-particle" : "", "parse-names" : false, "suffix" : "" }, { "dropping-particle" : "", "family" : "Taylor", "given" : "Jack a", "non-dropping-particle" : "", "parse-names" : false, "suffix" : "" }, { "dropping-particle" : "", "family" : "Cawthon", "given" : "Richard M", "non-dropping-particle" : "", "parse-names" : false, "suffix" : "" }, { "dropping-particle" : "", "family" : "Sandler", "given" : "Dale P", "non-dropping-particle" : "", "parse-names" : false, "suffix" : "" } ], "container-title" : "\u2026 Biomarkers &amp; Prevention", "id" : "ITEM-1", "issue" : "March", "issued" : { "date-parts" : [ [ "2009" ] ] }, "page" : "1-9", "title" : "Obesity and weight gain in adulthood and telomere length", "type" : "article-journal", "volume" : "18" }, "uris" : [ "http://www.mendeley.com/documents/?uuid=686212a3-c10e-4abf-b994-709e1fd11ac8" ] } ], "mendeley" : { "formattedCitation" : "(Kim et al., 2009)", "plainTextFormattedCitation" : "(Kim et al., 2009)", "previouslyFormattedCitation" : "(Kim et al., 2009)" }, "properties" : {  }, "schema" : "https://github.com/citation-style-language/schema/raw/master/csl-citation.json" }</w:instrText>
      </w:r>
      <w:r w:rsidR="00715C62">
        <w:fldChar w:fldCharType="separate"/>
      </w:r>
      <w:r w:rsidR="00715C62" w:rsidRPr="00715C62">
        <w:rPr>
          <w:noProof/>
        </w:rPr>
        <w:t>(Kim et al., 2009)</w:t>
      </w:r>
      <w:r w:rsidR="00715C62">
        <w:fldChar w:fldCharType="end"/>
      </w:r>
      <w:r w:rsidR="00FC40D9">
        <w:t>.</w:t>
      </w:r>
      <w:r w:rsidR="00CE61B3">
        <w:t xml:space="preserve"> </w:t>
      </w:r>
      <w:r w:rsidR="001B44F2">
        <w:t xml:space="preserve">In this situation, </w:t>
      </w:r>
      <w:r w:rsidR="00E6470E">
        <w:t xml:space="preserve">larger </w:t>
      </w:r>
      <w:r w:rsidR="001B44F2">
        <w:t xml:space="preserve">BMI and </w:t>
      </w:r>
      <w:r w:rsidR="00E6470E">
        <w:t xml:space="preserve">longer </w:t>
      </w:r>
      <w:r w:rsidR="001B44F2">
        <w:t xml:space="preserve">telomere length </w:t>
      </w:r>
      <w:r w:rsidR="00934A0A">
        <w:t xml:space="preserve">at baseline </w:t>
      </w:r>
      <w:r w:rsidR="001B44F2">
        <w:t xml:space="preserve">could </w:t>
      </w:r>
      <w:r w:rsidR="00EF5E8C">
        <w:t xml:space="preserve">act together to accelerate the telomere attrition, </w:t>
      </w:r>
      <w:r w:rsidR="00BA540D">
        <w:t xml:space="preserve">suggesting </w:t>
      </w:r>
      <w:r w:rsidR="00D61AC6">
        <w:t xml:space="preserve">that </w:t>
      </w:r>
      <w:r w:rsidR="00EF5E8C">
        <w:t xml:space="preserve">they </w:t>
      </w:r>
      <w:r w:rsidR="00BA540D">
        <w:t xml:space="preserve">may </w:t>
      </w:r>
      <w:r w:rsidR="00625ED2">
        <w:t>have a synergistic</w:t>
      </w:r>
      <w:r w:rsidR="001B44F2">
        <w:t xml:space="preserve"> effect on breast cancer development</w:t>
      </w:r>
      <w:r w:rsidR="00EF5E8C">
        <w:t xml:space="preserve">. </w:t>
      </w:r>
      <w:r w:rsidR="00FC40D9">
        <w:t xml:space="preserve">Thus, </w:t>
      </w:r>
      <w:r w:rsidR="00CE61B3">
        <w:t xml:space="preserve">for women </w:t>
      </w:r>
      <w:r w:rsidR="007244E6">
        <w:t xml:space="preserve">who </w:t>
      </w:r>
      <w:r w:rsidR="00CE61B3">
        <w:t>had higher BMI, the</w:t>
      </w:r>
      <w:r w:rsidR="00FC40D9">
        <w:t xml:space="preserve"> </w:t>
      </w:r>
      <w:r w:rsidR="00696BEF">
        <w:t>association</w:t>
      </w:r>
      <w:r w:rsidR="00FC40D9">
        <w:t xml:space="preserve"> between telomere length and breast cancer </w:t>
      </w:r>
      <w:r w:rsidR="00696BEF">
        <w:t xml:space="preserve">risk </w:t>
      </w:r>
      <w:r w:rsidR="00FC40D9">
        <w:t xml:space="preserve">is stronger than women </w:t>
      </w:r>
      <w:r w:rsidR="00D61AC6">
        <w:t xml:space="preserve">who </w:t>
      </w:r>
      <w:r w:rsidR="00FC40D9">
        <w:t>had lower BMI</w:t>
      </w:r>
      <w:r w:rsidR="00CE61B3">
        <w:t xml:space="preserve">. </w:t>
      </w:r>
      <w:r w:rsidR="00BA540D">
        <w:t>In addition</w:t>
      </w:r>
      <w:r w:rsidR="00DF7106">
        <w:t>, t</w:t>
      </w:r>
      <w:r w:rsidR="00097D7B">
        <w:t xml:space="preserve">elomere length </w:t>
      </w:r>
      <w:r w:rsidR="001E3818">
        <w:t xml:space="preserve">shortening </w:t>
      </w:r>
      <w:r w:rsidR="00715C62">
        <w:t xml:space="preserve">is affected by oxidative </w:t>
      </w:r>
      <w:r w:rsidR="00CE165C">
        <w:t xml:space="preserve">stress, </w:t>
      </w:r>
      <w:r w:rsidR="00EA0421">
        <w:t>which</w:t>
      </w:r>
      <w:r w:rsidR="00D358E6">
        <w:t xml:space="preserve"> could be </w:t>
      </w:r>
      <w:r w:rsidR="00130482">
        <w:t>attenuated</w:t>
      </w:r>
      <w:r w:rsidR="00D358E6">
        <w:t xml:space="preserve"> by </w:t>
      </w:r>
      <w:r w:rsidR="00E74962">
        <w:t>the antioxidant effect</w:t>
      </w:r>
      <w:r w:rsidR="00D358E6">
        <w:t xml:space="preserve"> of estrogen</w:t>
      </w:r>
      <w:r w:rsidR="00BD350C">
        <w:t xml:space="preserve"> </w:t>
      </w:r>
      <w:r w:rsidR="00A04083">
        <w:fldChar w:fldCharType="begin" w:fldLock="1"/>
      </w:r>
      <w:r w:rsidR="00A04083">
        <w:instrText>ADDIN CSL_CITATION { "citationItems" : [ { "id" : "ITEM-1", "itemData" : { "DOI" : "10.1007/s00109-002-0377-8", "ISBN" : "1973972557", "ISSN" : "09462716", "abstract" : "By undergoing erosion with each replicative cycle, telomeres chronicle the replicative history of human somatic cells in vitro and in vivo. In human beings the telomere is relatively short, inversely correlated with age, highly heritable, and longer in women than men. However, it is not established whether the dynamics of telomere attrition in vivo has a role in the biology of human aging. Telomere attrition may be modified by reactive oxygen species, the biology of which is governed by processes that are influenced by sex. Indices of cardiovascular aging in humans are correlated with telomere length and this relationship is characterized by sexual dimorphism. In the final analysis, the biology of reactive oxygen species may offer a common explanation for some interindividual variation in cardiovascular aging and age-dependent telomere attrition in humans.", "author" : [ { "dropping-particle" : "", "family" : "Aviv", "given" : "Abraham", "non-dropping-particle" : "", "parse-names" : false, "suffix" : "" } ], "container-title" : "Journal of Molecular Medicine", "id" : "ITEM-1", "issue" : "11", "issued" : { "date-parts" : [ [ "2002" ] ] }, "page" : "689-695", "title" : "Telomeres, sex, reactive oxygen species, and human cardiovascular aging", "type" : "article", "volume" : "80" }, "uris" : [ "http://www.mendeley.com/documents/?uuid=aca8bd26-ad06-4c36-9935-ef5eacb8cf74" ] } ], "mendeley" : { "formattedCitation" : "(Aviv, 2002)", "plainTextFormattedCitation" : "(Aviv, 2002)", "previouslyFormattedCitation" : "(Aviv, 2002)" }, "properties" : {  }, "schema" : "https://github.com/citation-style-language/schema/raw/master/csl-citation.json" }</w:instrText>
      </w:r>
      <w:r w:rsidR="00A04083">
        <w:fldChar w:fldCharType="separate"/>
      </w:r>
      <w:r w:rsidR="00A04083" w:rsidRPr="00A04083">
        <w:rPr>
          <w:noProof/>
        </w:rPr>
        <w:t>(Aviv, 2002)</w:t>
      </w:r>
      <w:r w:rsidR="00A04083">
        <w:fldChar w:fldCharType="end"/>
      </w:r>
      <w:r w:rsidR="00D358E6">
        <w:t>.</w:t>
      </w:r>
      <w:r w:rsidR="00E74962">
        <w:t xml:space="preserve"> </w:t>
      </w:r>
      <w:r w:rsidR="00F4613C">
        <w:t>Therefore, l</w:t>
      </w:r>
      <w:r w:rsidR="00EA0421">
        <w:t>onger estrogen exposure</w:t>
      </w:r>
      <w:r w:rsidR="00AE21B0">
        <w:t xml:space="preserve"> due to a younger ag</w:t>
      </w:r>
      <w:r w:rsidR="00D61AC6">
        <w:t>e at menarche or an older age at</w:t>
      </w:r>
      <w:r w:rsidR="00AE21B0">
        <w:t xml:space="preserve"> first live birth </w:t>
      </w:r>
      <w:r w:rsidR="00D61AC6">
        <w:t xml:space="preserve">can </w:t>
      </w:r>
      <w:r w:rsidR="00EA0421">
        <w:t>be a protective factor for telomere attrition</w:t>
      </w:r>
      <w:r w:rsidR="00F4613C">
        <w:t>, and s</w:t>
      </w:r>
      <w:r w:rsidR="00BD350C">
        <w:t>ubsequently result in</w:t>
      </w:r>
      <w:r w:rsidR="00F4613C">
        <w:t xml:space="preserve"> </w:t>
      </w:r>
      <w:r w:rsidR="00540609">
        <w:t>longer telomere length</w:t>
      </w:r>
      <w:r w:rsidR="00BD350C">
        <w:t>s</w:t>
      </w:r>
      <w:r w:rsidR="00540609">
        <w:t xml:space="preserve">. This </w:t>
      </w:r>
      <w:r w:rsidR="00D61AC6">
        <w:t xml:space="preserve">notion is </w:t>
      </w:r>
      <w:r w:rsidR="00540609">
        <w:t xml:space="preserve">also consistent with our </w:t>
      </w:r>
      <w:r w:rsidR="00942875">
        <w:t xml:space="preserve">results of </w:t>
      </w:r>
      <w:r w:rsidR="00540609">
        <w:t xml:space="preserve">factors related to telomere length. </w:t>
      </w:r>
      <w:r w:rsidR="00D61AC6">
        <w:t xml:space="preserve">Moreover, longer exposure to </w:t>
      </w:r>
      <w:r w:rsidR="00A04083">
        <w:t xml:space="preserve">estrogen is also </w:t>
      </w:r>
      <w:r w:rsidR="00DA57D2">
        <w:t>related to</w:t>
      </w:r>
      <w:r w:rsidR="00A04083">
        <w:t xml:space="preserve"> a higher risk of breast cancer</w:t>
      </w:r>
      <w:r w:rsidR="00D61AC6">
        <w:t xml:space="preserve"> </w:t>
      </w:r>
      <w:r w:rsidR="00A04083">
        <w:fldChar w:fldCharType="begin" w:fldLock="1"/>
      </w:r>
      <w:r w:rsidR="00A04083">
        <w:instrText>ADDIN CSL_CITATION { "citationItems" : [ { "id" : "ITEM-1", "itemData" : { "DOI" : "10.1634/theoncologist.11-5-435", "ISBN" : "9789162888589", "ISSN" : "00284793", "PMID" : "11027744", "abstract" : "Benign breast diseases constitute a heterogeneous group of lesions including developmental abnormalities, inflammatory lesions, epithelial and stromal proliferations, and neoplasms. In this review, common benign lesions are summarized and their relationship to the development of subsequent breast cancer is emphasized.", "author" : [ { "dropping-particle" : "", "family" : "Clemons", "given" : "M", "non-dropping-particle" : "", "parse-names" : false, "suffix" : "" }, { "dropping-particle" : "", "family" : "Goss", "given" : "P", "non-dropping-particle" : "", "parse-names" : false, "suffix" : "" } ], "container-title" : "The New England Journal of Medicine", "id" : "ITEM-1", "issued" : { "date-parts" : [ [ "2001" ] ] }, "page" : "276-285", "title" : "Estrogen and the risk of breast cancer", "type" : "article-journal", "volume" : "344" }, "uris" : [ "http://www.mendeley.com/documents/?uuid=1e91bbf5-aef2-480e-af67-5f2ea678d0e0" ] } ], "mendeley" : { "formattedCitation" : "(Clemons &amp; Goss, 2001)", "plainTextFormattedCitation" : "(Clemons &amp; Goss, 2001)", "previouslyFormattedCitation" : "(Clemons &amp; Goss, 2001)" }, "properties" : {  }, "schema" : "https://github.com/citation-style-language/schema/raw/master/csl-citation.json" }</w:instrText>
      </w:r>
      <w:r w:rsidR="00A04083">
        <w:fldChar w:fldCharType="separate"/>
      </w:r>
      <w:r w:rsidR="00A04083" w:rsidRPr="00A04083">
        <w:rPr>
          <w:noProof/>
        </w:rPr>
        <w:t>(Clemons &amp; Goss, 2001)</w:t>
      </w:r>
      <w:r w:rsidR="00A04083">
        <w:fldChar w:fldCharType="end"/>
      </w:r>
      <w:r w:rsidR="00D61AC6">
        <w:t xml:space="preserve">. There can </w:t>
      </w:r>
      <w:r w:rsidR="00A04083">
        <w:t>be a combined effect of endogenous hormone</w:t>
      </w:r>
      <w:r w:rsidR="00BD350C">
        <w:t>s</w:t>
      </w:r>
      <w:r w:rsidR="00A04083">
        <w:t xml:space="preserve"> and telomere length on </w:t>
      </w:r>
      <w:r w:rsidR="00696BEF">
        <w:t>risk of breast cancer</w:t>
      </w:r>
      <w:r w:rsidR="00A04083">
        <w:t xml:space="preserve">. </w:t>
      </w:r>
    </w:p>
    <w:p w:rsidR="0091008E" w:rsidRDefault="0091008E" w:rsidP="008971F0">
      <w:pPr>
        <w:spacing w:line="360" w:lineRule="auto"/>
      </w:pPr>
      <w:r>
        <w:t>Th</w:t>
      </w:r>
      <w:r w:rsidR="00E01AE9">
        <w:t>e</w:t>
      </w:r>
      <w:r w:rsidR="00766402">
        <w:t xml:space="preserve"> major strength</w:t>
      </w:r>
      <w:r w:rsidR="00BD350C">
        <w:t>s</w:t>
      </w:r>
      <w:r w:rsidR="00D61AC6">
        <w:t xml:space="preserve"> of</w:t>
      </w:r>
      <w:r w:rsidR="00832076">
        <w:t xml:space="preserve"> our study were </w:t>
      </w:r>
      <w:r>
        <w:t xml:space="preserve">the prospective cohort </w:t>
      </w:r>
      <w:r w:rsidR="000679D9">
        <w:t xml:space="preserve">study </w:t>
      </w:r>
      <w:r>
        <w:t xml:space="preserve">design and </w:t>
      </w:r>
      <w:r w:rsidR="00A01A1D">
        <w:t>relative</w:t>
      </w:r>
      <w:r w:rsidR="00A91959">
        <w:t>ly</w:t>
      </w:r>
      <w:r w:rsidR="00A01A1D">
        <w:t xml:space="preserve"> </w:t>
      </w:r>
      <w:r>
        <w:t xml:space="preserve">large </w:t>
      </w:r>
      <w:r w:rsidR="006F6BC4">
        <w:t xml:space="preserve">samples. </w:t>
      </w:r>
      <w:r w:rsidR="00D61AC6">
        <w:t>Since</w:t>
      </w:r>
      <w:r>
        <w:t xml:space="preserve"> telomer</w:t>
      </w:r>
      <w:r w:rsidR="00C30DBD">
        <w:t>e length was measured before</w:t>
      </w:r>
      <w:r>
        <w:t xml:space="preserve"> cancer diagnosis, potential bias caused </w:t>
      </w:r>
      <w:r>
        <w:lastRenderedPageBreak/>
        <w:t xml:space="preserve">by breast cancer treatment and cancer progression should </w:t>
      </w:r>
      <w:r w:rsidR="00D61AC6">
        <w:t xml:space="preserve">have </w:t>
      </w:r>
      <w:r>
        <w:t>be</w:t>
      </w:r>
      <w:r w:rsidR="00D61AC6">
        <w:t>en at</w:t>
      </w:r>
      <w:r>
        <w:t xml:space="preserve"> minimal. </w:t>
      </w:r>
      <w:r w:rsidR="00930423" w:rsidRPr="008D70DC">
        <w:t xml:space="preserve">In addition, </w:t>
      </w:r>
      <w:r w:rsidR="00882711" w:rsidRPr="008D70DC">
        <w:t xml:space="preserve">the </w:t>
      </w:r>
      <w:r w:rsidR="00930423" w:rsidRPr="008D70DC">
        <w:t>l</w:t>
      </w:r>
      <w:r w:rsidRPr="008D70DC">
        <w:t>arge sample size</w:t>
      </w:r>
      <w:r w:rsidR="006F6BC4">
        <w:t xml:space="preserve"> (14,306 subjects)</w:t>
      </w:r>
      <w:r w:rsidRPr="008D70DC">
        <w:t xml:space="preserve"> and adjustment for multiple related variables increased the </w:t>
      </w:r>
      <w:r w:rsidR="008D70DC">
        <w:t>reliability of the results</w:t>
      </w:r>
      <w:r w:rsidRPr="008D70DC">
        <w:t>.</w:t>
      </w:r>
      <w:r>
        <w:t xml:space="preserve"> However, </w:t>
      </w:r>
      <w:r w:rsidR="00D760D8">
        <w:t xml:space="preserve">several </w:t>
      </w:r>
      <w:r w:rsidR="0000770B">
        <w:t xml:space="preserve">limitations </w:t>
      </w:r>
      <w:r w:rsidR="00D760D8">
        <w:t xml:space="preserve">also exist in this study. First, </w:t>
      </w:r>
      <w:r w:rsidR="00131ED6">
        <w:t>our study only i</w:t>
      </w:r>
      <w:r w:rsidR="00882711">
        <w:t>ncluded data up to Dec 31, 2008. U</w:t>
      </w:r>
      <w:r w:rsidR="00131ED6">
        <w:t xml:space="preserve">pdated data on this cohort is needed </w:t>
      </w:r>
      <w:r w:rsidR="00D61AC6">
        <w:t>to validate these findings</w:t>
      </w:r>
      <w:r w:rsidR="00131ED6">
        <w:t>. A</w:t>
      </w:r>
      <w:r w:rsidR="00D760D8">
        <w:t xml:space="preserve">s some of the cancer diagnoses were close to the time of blood </w:t>
      </w:r>
      <w:r w:rsidR="000F5095">
        <w:t>draw,</w:t>
      </w:r>
      <w:r w:rsidR="00D760D8">
        <w:t xml:space="preserve"> the </w:t>
      </w:r>
      <w:r w:rsidR="004D1792">
        <w:t>causal relationship can</w:t>
      </w:r>
      <w:r w:rsidR="00C4426A">
        <w:t xml:space="preserve">not be established convincingly. </w:t>
      </w:r>
      <w:r w:rsidR="00FF19C3">
        <w:t xml:space="preserve">Second, telomere length </w:t>
      </w:r>
      <w:r w:rsidR="000F5095">
        <w:t>was measured through</w:t>
      </w:r>
      <w:r w:rsidR="00FF19C3">
        <w:t xml:space="preserve"> peripheral blood </w:t>
      </w:r>
      <w:r w:rsidR="000F5095">
        <w:t xml:space="preserve">cells </w:t>
      </w:r>
      <w:r w:rsidR="00FF19C3">
        <w:t>instead of breast tissues</w:t>
      </w:r>
      <w:r w:rsidR="000F5095">
        <w:t xml:space="preserve"> in our study</w:t>
      </w:r>
      <w:r w:rsidR="00FF19C3">
        <w:t xml:space="preserve">. Although </w:t>
      </w:r>
      <w:r w:rsidR="00C82EA3">
        <w:t xml:space="preserve">previous </w:t>
      </w:r>
      <w:r w:rsidR="007B6072">
        <w:t xml:space="preserve">studies have demonstrated a correlation between telomere length in peripheral blood </w:t>
      </w:r>
      <w:r w:rsidR="00C82EA3">
        <w:t xml:space="preserve">cells </w:t>
      </w:r>
      <w:r w:rsidR="007B6072">
        <w:t>and somatic tissues including muscle, fat and skin</w:t>
      </w:r>
      <w:r w:rsidR="004D1792">
        <w:t xml:space="preserve"> </w:t>
      </w:r>
      <w:r w:rsidR="00E76F54">
        <w:fldChar w:fldCharType="begin" w:fldLock="1"/>
      </w:r>
      <w:r w:rsidR="00E76F54">
        <w:instrText>ADDIN CSL_CITATION { "citationItems" : [ { "id" : "ITEM-1", "itemData" : { "DOI" : "10.1038/ncomms2602", "ISBN" : "2041-1723 (Electronic)\\r2041-1723 (Linking)", "ISSN" : "20411723", "PMID" : "23511462", "abstract" : "Telomere shortening in somatic tissues largely reflects stem cell replication. Previous human studies of telomere attrition were predominantly conducted on leukocytes. However, findings in leukocytes cannot be generalized to other tissues. Here we measure telomere length in leukocytes, skeletal muscle, skin and subcutaneous fat of 87 adults (aged 19-77 years). Telomeres are longest in muscle and shortest in leukocytes, yet are strongly correlated between tissues. Notably, the rates of telomere shortening are similar in the four tissues. We infer from these findings that differences in telomere length between proliferative (blood and skin) and minimally proliferative tissues (muscle and fat) are established during early life, and that in adulthood, stem cells of the four tissues replicate at a similar rate.", "author" : [ { "dropping-particle" : "", "family" : "Daniali", "given" : "Lily", "non-dropping-particle" : "", "parse-names" : false, "suffix" : "" }, { "dropping-particle" : "", "family" : "Benetos", "given" : "Athanase", "non-dropping-particle" : "", "parse-names" : false, "suffix" : "" }, { "dropping-particle" : "", "family" : "Susser", "given" : "Ezra", "non-dropping-particle" : "", "parse-names" : false, "suffix" : "" }, { "dropping-particle" : "", "family" : "Kark", "given" : "Jeremy D.", "non-dropping-particle" : "", "parse-names" : false, "suffix" : "" }, { "dropping-particle" : "", "family" : "Labat", "given" : "Carlos", "non-dropping-particle" : "", "parse-names" : false, "suffix" : "" }, { "dropping-particle" : "", "family" : "Kimura", "given" : "Masayuki", "non-dropping-particle" : "", "parse-names" : false, "suffix" : "" }, { "dropping-particle" : "", "family" : "Desai", "given" : "Kunji", "non-dropping-particle" : "", "parse-names" : false, "suffix" : "" }, { "dropping-particle" : "", "family" : "Granick", "given" : "Mark", "non-dropping-particle" : "", "parse-names" : false, "suffix" : "" }, { "dropping-particle" : "", "family" : "Aviv", "given" : "Abraham", "non-dropping-particle" : "", "parse-names" : false, "suffix" : "" } ], "container-title" : "Nature Communications", "id" : "ITEM-1", "issued" : { "date-parts" : [ [ "2013" ] ] }, "title" : "Telomeres shorten at equivalent rates in somatic tissues of adults", "type" : "article-journal", "volume" : "4" }, "uris" : [ "http://www.mendeley.com/documents/?uuid=f318d111-5390-4c07-9b49-e67143340adc" ] } ], "mendeley" : { "formattedCitation" : "(Daniali et al., 2013)", "plainTextFormattedCitation" : "(Daniali et al., 2013)", "previouslyFormattedCitation" : "(Daniali et al., 2013)" }, "properties" : {  }, "schema" : "https://github.com/citation-style-language/schema/raw/master/csl-citation.json" }</w:instrText>
      </w:r>
      <w:r w:rsidR="00E76F54">
        <w:fldChar w:fldCharType="separate"/>
      </w:r>
      <w:r w:rsidR="00E76F54" w:rsidRPr="00E76F54">
        <w:rPr>
          <w:noProof/>
        </w:rPr>
        <w:t>(Daniali et al., 2013)</w:t>
      </w:r>
      <w:r w:rsidR="00E76F54">
        <w:fldChar w:fldCharType="end"/>
      </w:r>
      <w:r w:rsidR="007B6072">
        <w:t xml:space="preserve">, </w:t>
      </w:r>
      <w:r w:rsidR="00E76F54">
        <w:t>there could be potential bias when using</w:t>
      </w:r>
      <w:r w:rsidR="00453412">
        <w:t xml:space="preserve"> telomere length in peripheral blood for analysis. </w:t>
      </w:r>
      <w:r w:rsidR="001B6379">
        <w:t>Third,</w:t>
      </w:r>
      <w:r w:rsidR="00BE258C">
        <w:t xml:space="preserve"> </w:t>
      </w:r>
      <w:r w:rsidR="001B6379">
        <w:t>even though</w:t>
      </w:r>
      <w:r w:rsidR="00E17857">
        <w:t xml:space="preserve"> multiple variables were controlled for in the </w:t>
      </w:r>
      <w:r w:rsidR="00623DEF">
        <w:t>models</w:t>
      </w:r>
      <w:r w:rsidR="00E17857">
        <w:t xml:space="preserve">, </w:t>
      </w:r>
      <w:r w:rsidR="00BE258C">
        <w:t xml:space="preserve">unmeasured or residual confounding factors could </w:t>
      </w:r>
      <w:r w:rsidR="00E17857">
        <w:t xml:space="preserve">still </w:t>
      </w:r>
      <w:r w:rsidR="00BE258C">
        <w:t xml:space="preserve">exist. </w:t>
      </w:r>
    </w:p>
    <w:p w:rsidR="001B6379" w:rsidRDefault="001B6379" w:rsidP="008971F0">
      <w:pPr>
        <w:spacing w:line="360" w:lineRule="auto"/>
      </w:pPr>
      <w:r>
        <w:t xml:space="preserve">In conclusion, </w:t>
      </w:r>
      <w:r w:rsidR="001F3236">
        <w:t>our study showed</w:t>
      </w:r>
      <w:r w:rsidR="009C21BC">
        <w:t xml:space="preserve"> that longer telomere length is</w:t>
      </w:r>
      <w:r>
        <w:t xml:space="preserve"> signi</w:t>
      </w:r>
      <w:r w:rsidR="009C21BC">
        <w:t>ficant</w:t>
      </w:r>
      <w:r w:rsidR="00882711">
        <w:t>ly</w:t>
      </w:r>
      <w:r w:rsidR="009C21BC">
        <w:t xml:space="preserve"> associated with higher risk of breast cancer</w:t>
      </w:r>
      <w:r w:rsidR="00882711">
        <w:t xml:space="preserve"> in </w:t>
      </w:r>
      <w:r w:rsidR="000C2C8A">
        <w:t>certain groups of</w:t>
      </w:r>
      <w:r w:rsidR="00882711">
        <w:t xml:space="preserve"> </w:t>
      </w:r>
      <w:r w:rsidR="000C2C8A">
        <w:t xml:space="preserve">Asian </w:t>
      </w:r>
      <w:r w:rsidR="003B4E31">
        <w:t>wome</w:t>
      </w:r>
      <w:r w:rsidR="00882711">
        <w:t>n</w:t>
      </w:r>
      <w:r w:rsidR="009C21BC">
        <w:t xml:space="preserve">. </w:t>
      </w:r>
      <w:r w:rsidR="00BF1681">
        <w:t xml:space="preserve">This finding </w:t>
      </w:r>
      <w:r w:rsidR="00EE38F1">
        <w:t>has</w:t>
      </w:r>
      <w:r w:rsidR="00BF1681">
        <w:t xml:space="preserve"> </w:t>
      </w:r>
      <w:r w:rsidR="00EE38F1">
        <w:t xml:space="preserve">public health </w:t>
      </w:r>
      <w:bookmarkStart w:id="43" w:name="OLE_LINK11"/>
      <w:bookmarkStart w:id="44" w:name="OLE_LINK12"/>
      <w:r w:rsidR="001862A2">
        <w:t>significance</w:t>
      </w:r>
      <w:r w:rsidR="00EE38F1">
        <w:t xml:space="preserve"> because it provides </w:t>
      </w:r>
      <w:r w:rsidR="004D1792">
        <w:t xml:space="preserve">supportive </w:t>
      </w:r>
      <w:r w:rsidR="00BF1681">
        <w:t xml:space="preserve">evidence for </w:t>
      </w:r>
      <w:r w:rsidR="004D1792">
        <w:t>utilizing</w:t>
      </w:r>
      <w:r w:rsidR="00BF1681">
        <w:t xml:space="preserve"> telomere length as a biomarker </w:t>
      </w:r>
      <w:bookmarkEnd w:id="43"/>
      <w:bookmarkEnd w:id="44"/>
      <w:r w:rsidR="004D1792">
        <w:t>for</w:t>
      </w:r>
      <w:r w:rsidR="001145E6">
        <w:t xml:space="preserve"> prevention and development</w:t>
      </w:r>
      <w:r w:rsidR="00D4262C">
        <w:t xml:space="preserve"> of breast cancer</w:t>
      </w:r>
      <w:r w:rsidR="001145E6">
        <w:t xml:space="preserve">. Additional studies </w:t>
      </w:r>
      <w:r w:rsidR="00A84F24">
        <w:t xml:space="preserve">are needed to explore the effect of hormone factors on the relationship between telomere length and risk of breast cancer. </w:t>
      </w:r>
    </w:p>
    <w:p w:rsidR="007B256E" w:rsidRPr="00B54933" w:rsidRDefault="007B256E" w:rsidP="008971F0">
      <w:pPr>
        <w:spacing w:line="360" w:lineRule="auto"/>
      </w:pPr>
    </w:p>
    <w:p w:rsidR="00DA5BA8" w:rsidRDefault="00DA5BA8" w:rsidP="00DA5BA8">
      <w:pPr>
        <w:pStyle w:val="Heading"/>
      </w:pPr>
      <w:bookmarkStart w:id="45" w:name="_Toc114179903"/>
      <w:bookmarkStart w:id="46" w:name="_Toc509180575"/>
      <w:bookmarkEnd w:id="45"/>
      <w:r>
        <w:lastRenderedPageBreak/>
        <w:t>bibliography</w:t>
      </w:r>
      <w:bookmarkEnd w:id="46"/>
    </w:p>
    <w:p w:rsidR="004B52BA" w:rsidRPr="004B52BA" w:rsidRDefault="00B9459A" w:rsidP="004B52BA">
      <w:pPr>
        <w:widowControl w:val="0"/>
        <w:autoSpaceDE w:val="0"/>
        <w:autoSpaceDN w:val="0"/>
        <w:adjustRightInd w:val="0"/>
        <w:spacing w:line="240" w:lineRule="auto"/>
        <w:ind w:left="480" w:hanging="480"/>
        <w:rPr>
          <w:noProof/>
        </w:rPr>
      </w:pPr>
      <w:r w:rsidRPr="007C47BF">
        <w:rPr>
          <w:noProof/>
        </w:rPr>
        <w:fldChar w:fldCharType="begin" w:fldLock="1"/>
      </w:r>
      <w:r w:rsidRPr="007C47BF">
        <w:rPr>
          <w:noProof/>
        </w:rPr>
        <w:instrText xml:space="preserve">ADDIN Mendeley Bibliography CSL_BIBLIOGRAPHY </w:instrText>
      </w:r>
      <w:r w:rsidRPr="007C47BF">
        <w:rPr>
          <w:noProof/>
        </w:rPr>
        <w:fldChar w:fldCharType="separate"/>
      </w:r>
      <w:r w:rsidR="004B52BA" w:rsidRPr="004B52BA">
        <w:rPr>
          <w:noProof/>
        </w:rPr>
        <w:t xml:space="preserve">American Cancer Society. (2017). </w:t>
      </w:r>
      <w:r w:rsidR="004B52BA" w:rsidRPr="004B52BA">
        <w:rPr>
          <w:i/>
          <w:iCs/>
          <w:noProof/>
        </w:rPr>
        <w:t>Breast Cancer Facts and Figures 2017-2018</w:t>
      </w:r>
      <w:r w:rsidR="004B52BA" w:rsidRPr="004B52BA">
        <w:rPr>
          <w:noProof/>
        </w:rPr>
        <w:t xml:space="preserve">. </w:t>
      </w:r>
      <w:r w:rsidR="004B52BA" w:rsidRPr="004B52BA">
        <w:rPr>
          <w:i/>
          <w:iCs/>
          <w:noProof/>
        </w:rPr>
        <w:t>Breast Cancer Facts &amp; Figures</w:t>
      </w:r>
      <w:r w:rsidR="004B52BA" w:rsidRPr="004B52BA">
        <w:rPr>
          <w:noProof/>
        </w:rPr>
        <w:t>. Atlanta. https://doi.org/10.1007/s10549-012-2018-4.Mesothelin</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Aubert, G., &amp; Lansdorp, P. M. (2008). Telomeres and Aging. </w:t>
      </w:r>
      <w:r w:rsidRPr="004B52BA">
        <w:rPr>
          <w:i/>
          <w:iCs/>
          <w:noProof/>
        </w:rPr>
        <w:t>Physiological Reviews</w:t>
      </w:r>
      <w:r w:rsidRPr="004B52BA">
        <w:rPr>
          <w:noProof/>
        </w:rPr>
        <w:t xml:space="preserve">, </w:t>
      </w:r>
      <w:r w:rsidRPr="004B52BA">
        <w:rPr>
          <w:i/>
          <w:iCs/>
          <w:noProof/>
        </w:rPr>
        <w:t>88</w:t>
      </w:r>
      <w:r w:rsidRPr="004B52BA">
        <w:rPr>
          <w:noProof/>
        </w:rPr>
        <w:t>(2), 557–579. https://doi.org/10.1152/physrev.00026.2007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Aviv, A. (2002). Telomeres, sex, reactive oxygen species, and human cardiovascular aging. </w:t>
      </w:r>
      <w:r w:rsidRPr="004B52BA">
        <w:rPr>
          <w:i/>
          <w:iCs/>
          <w:noProof/>
        </w:rPr>
        <w:t>Journal of Molecular Medicine</w:t>
      </w:r>
      <w:r w:rsidRPr="004B52BA">
        <w:rPr>
          <w:noProof/>
        </w:rPr>
        <w:t>. https://doi.org/10.1007/s00109-002-0377-8</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Aviv, A., Chen, W., Gardner, J. P., Kimura, M., Brimacombe, M., Cao, X., … Berenson, G. S. (2009). Leukocyte telomere dynamics: Longitudinal findings among young adults in the Bogalusa Heart Study. </w:t>
      </w:r>
      <w:r w:rsidRPr="004B52BA">
        <w:rPr>
          <w:i/>
          <w:iCs/>
          <w:noProof/>
        </w:rPr>
        <w:t>American Journal of Epidemiology</w:t>
      </w:r>
      <w:r w:rsidRPr="004B52BA">
        <w:rPr>
          <w:noProof/>
        </w:rPr>
        <w:t xml:space="preserve">, </w:t>
      </w:r>
      <w:r w:rsidRPr="004B52BA">
        <w:rPr>
          <w:i/>
          <w:iCs/>
          <w:noProof/>
        </w:rPr>
        <w:t>169</w:t>
      </w:r>
      <w:r w:rsidRPr="004B52BA">
        <w:rPr>
          <w:noProof/>
        </w:rPr>
        <w:t>(3), 323–329. https://doi.org/10.1093/aje/kwn338</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Barba, C., Cavalli-Sforza, T., Cutter, J., Darnton-Hill, I., Deurenberg, P., Deurenberg-Yap, M., … Nishida, C. (2004). Appropriate body-mass index for Asian populations and its implications for policy and intervention strategies. </w:t>
      </w:r>
      <w:r w:rsidRPr="004B52BA">
        <w:rPr>
          <w:i/>
          <w:iCs/>
          <w:noProof/>
        </w:rPr>
        <w:t>Lancet</w:t>
      </w:r>
      <w:r w:rsidRPr="004B52BA">
        <w:rPr>
          <w:noProof/>
        </w:rPr>
        <w:t xml:space="preserve">, </w:t>
      </w:r>
      <w:r w:rsidRPr="004B52BA">
        <w:rPr>
          <w:i/>
          <w:iCs/>
          <w:noProof/>
        </w:rPr>
        <w:t>363</w:t>
      </w:r>
      <w:r w:rsidRPr="004B52BA">
        <w:rPr>
          <w:noProof/>
        </w:rPr>
        <w:t>(9403), 157–163. https://doi.org/10.1016/S0140-6736(03)15268-3</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Barwell, J., Pangon, L., Georgiou, A., Docherty, Z., Kesterton, I., Ball, J., … Hodgson, S. (2007). Is telomere length in peripheral blood lymphocytes correlated with cancer susceptibility or radiosensitivity? </w:t>
      </w:r>
      <w:r w:rsidRPr="004B52BA">
        <w:rPr>
          <w:i/>
          <w:iCs/>
          <w:noProof/>
        </w:rPr>
        <w:t>British Journal of Cancer</w:t>
      </w:r>
      <w:r w:rsidRPr="004B52BA">
        <w:rPr>
          <w:noProof/>
        </w:rPr>
        <w:t xml:space="preserve">, </w:t>
      </w:r>
      <w:r w:rsidRPr="004B52BA">
        <w:rPr>
          <w:i/>
          <w:iCs/>
          <w:noProof/>
        </w:rPr>
        <w:t>97</w:t>
      </w:r>
      <w:r w:rsidRPr="004B52BA">
        <w:rPr>
          <w:noProof/>
        </w:rPr>
        <w:t>(12), 1696–1700. https://doi.org/10.1038/sj.bjc.6604085</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Beral, V., Bull, D., Doll, R., Peto, R., &amp; Reeves, G. (2002). Breast cancer and breastfeeding: Collaborative reanalysis of individual data from 47 epidemiological studies in 30 countries, including 50 302 women with breast cancer and 96 973 women without the disease. </w:t>
      </w:r>
      <w:r w:rsidRPr="004B52BA">
        <w:rPr>
          <w:i/>
          <w:iCs/>
          <w:noProof/>
        </w:rPr>
        <w:t>Lancet</w:t>
      </w:r>
      <w:r w:rsidRPr="004B52BA">
        <w:rPr>
          <w:noProof/>
        </w:rPr>
        <w:t xml:space="preserve">, </w:t>
      </w:r>
      <w:r w:rsidRPr="004B52BA">
        <w:rPr>
          <w:i/>
          <w:iCs/>
          <w:noProof/>
        </w:rPr>
        <w:t>360</w:t>
      </w:r>
      <w:r w:rsidRPr="004B52BA">
        <w:rPr>
          <w:noProof/>
        </w:rPr>
        <w:t>(9328), 187–195. https://doi.org/10.1016/S0140-6736(02)09454-0</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Blasco, M. A. (2005). Telomeres and human disease: Ageing, cancer and beyond. </w:t>
      </w:r>
      <w:r w:rsidRPr="004B52BA">
        <w:rPr>
          <w:i/>
          <w:iCs/>
          <w:noProof/>
        </w:rPr>
        <w:t>Nature Reviews Genetics</w:t>
      </w:r>
      <w:r w:rsidRPr="004B52BA">
        <w:rPr>
          <w:noProof/>
        </w:rPr>
        <w:t>. https://doi.org/10.1038/nrg1656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Campisi, J. (2001). Cellular senescence as a tumor-suppressor mechanism. </w:t>
      </w:r>
      <w:r w:rsidRPr="004B52BA">
        <w:rPr>
          <w:i/>
          <w:iCs/>
          <w:noProof/>
        </w:rPr>
        <w:t>Trends in Cell Biology</w:t>
      </w:r>
      <w:r w:rsidRPr="004B52BA">
        <w:rPr>
          <w:noProof/>
        </w:rPr>
        <w:t>. https://doi.org/10.1016/S0962-8924(01)02151-1</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Cawthon, R. M. (2009). Telomere length measurement by a novel monochrome multiplex quantitative PCR method. </w:t>
      </w:r>
      <w:r w:rsidRPr="004B52BA">
        <w:rPr>
          <w:i/>
          <w:iCs/>
          <w:noProof/>
        </w:rPr>
        <w:t>Nucleic Acids Research</w:t>
      </w:r>
      <w:r w:rsidRPr="004B52BA">
        <w:rPr>
          <w:noProof/>
        </w:rPr>
        <w:t xml:space="preserve">, </w:t>
      </w:r>
      <w:r w:rsidRPr="004B52BA">
        <w:rPr>
          <w:i/>
          <w:iCs/>
          <w:noProof/>
        </w:rPr>
        <w:t>37</w:t>
      </w:r>
      <w:r w:rsidRPr="004B52BA">
        <w:rPr>
          <w:noProof/>
        </w:rPr>
        <w:t>(3). https://doi.org/10.1093/nar/gkn1027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Chen, J. J., Silver, D., Cantor, S., Livingston, D. M., &amp; Scully, R. (1999). BRCA1, BRCA2, and Rad51 operate in a common DNA damage response pathway. In </w:t>
      </w:r>
      <w:r w:rsidRPr="004B52BA">
        <w:rPr>
          <w:i/>
          <w:iCs/>
          <w:noProof/>
        </w:rPr>
        <w:t>Cancer Research</w:t>
      </w:r>
      <w:r w:rsidRPr="004B52BA">
        <w:rPr>
          <w:noProof/>
        </w:rPr>
        <w:t xml:space="preserve"> (Vol. 59).</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Chia, K. S. (2011). Cancer survival in Singapore, 1993-1997. In </w:t>
      </w:r>
      <w:r w:rsidRPr="004B52BA">
        <w:rPr>
          <w:i/>
          <w:iCs/>
          <w:noProof/>
        </w:rPr>
        <w:t>IARC scientific publications</w:t>
      </w:r>
      <w:r w:rsidRPr="004B52BA">
        <w:rPr>
          <w:noProof/>
        </w:rPr>
        <w:t xml:space="preserve"> (pp. 183–198). Retrieved from http://survcan.iarc.fr</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Clemons, M., &amp; Goss, P. (2001). Estrogen and the risk of breast cancer. </w:t>
      </w:r>
      <w:r w:rsidRPr="004B52BA">
        <w:rPr>
          <w:i/>
          <w:iCs/>
          <w:noProof/>
        </w:rPr>
        <w:t>The New England Journal of Medicine</w:t>
      </w:r>
      <w:r w:rsidRPr="004B52BA">
        <w:rPr>
          <w:noProof/>
        </w:rPr>
        <w:t xml:space="preserve">, </w:t>
      </w:r>
      <w:r w:rsidRPr="004B52BA">
        <w:rPr>
          <w:i/>
          <w:iCs/>
          <w:noProof/>
        </w:rPr>
        <w:t>344</w:t>
      </w:r>
      <w:r w:rsidRPr="004B52BA">
        <w:rPr>
          <w:noProof/>
        </w:rPr>
        <w:t>, 276–285. https://doi.org/10.1634/theoncologist.11-5-435</w:t>
      </w:r>
    </w:p>
    <w:p w:rsidR="004B52BA" w:rsidRDefault="004B52BA" w:rsidP="004B52BA">
      <w:pPr>
        <w:widowControl w:val="0"/>
        <w:autoSpaceDE w:val="0"/>
        <w:autoSpaceDN w:val="0"/>
        <w:adjustRightInd w:val="0"/>
        <w:spacing w:line="240" w:lineRule="auto"/>
        <w:ind w:left="480" w:hanging="480"/>
        <w:rPr>
          <w:noProof/>
        </w:rPr>
      </w:pPr>
      <w:r w:rsidRPr="004B52BA">
        <w:rPr>
          <w:noProof/>
        </w:rPr>
        <w:t xml:space="preserve">Collaborative Group on Hormonal Factors in Breast Cancer. (1997a). Breast cancer and hormonal contraceptives: collaborative reanalysis of individual data on 53297 women with breast cancer and 100239 women without breast cancer from 54 epidemiologic studies. </w:t>
      </w:r>
      <w:r w:rsidRPr="004B52BA">
        <w:rPr>
          <w:i/>
          <w:iCs/>
          <w:noProof/>
        </w:rPr>
        <w:t>Lancet</w:t>
      </w:r>
      <w:r w:rsidRPr="004B52BA">
        <w:rPr>
          <w:noProof/>
        </w:rPr>
        <w:t xml:space="preserve">, </w:t>
      </w:r>
      <w:r w:rsidRPr="004B52BA">
        <w:rPr>
          <w:i/>
          <w:iCs/>
          <w:noProof/>
        </w:rPr>
        <w:t>350</w:t>
      </w:r>
      <w:r w:rsidRPr="004B52BA">
        <w:rPr>
          <w:noProof/>
        </w:rPr>
        <w:t>(9084), 1047–1059. https://doi.org/10.1016/S0140-6736(97)08233-0</w:t>
      </w:r>
    </w:p>
    <w:p w:rsidR="00054738" w:rsidRDefault="00054738" w:rsidP="004B52BA">
      <w:pPr>
        <w:widowControl w:val="0"/>
        <w:autoSpaceDE w:val="0"/>
        <w:autoSpaceDN w:val="0"/>
        <w:adjustRightInd w:val="0"/>
        <w:spacing w:line="240" w:lineRule="auto"/>
        <w:ind w:left="480" w:hanging="480"/>
        <w:rPr>
          <w:noProof/>
        </w:rPr>
      </w:pPr>
    </w:p>
    <w:p w:rsidR="00054738" w:rsidRDefault="00054738" w:rsidP="004B52BA">
      <w:pPr>
        <w:widowControl w:val="0"/>
        <w:autoSpaceDE w:val="0"/>
        <w:autoSpaceDN w:val="0"/>
        <w:adjustRightInd w:val="0"/>
        <w:spacing w:line="240" w:lineRule="auto"/>
        <w:ind w:left="480" w:hanging="480"/>
        <w:rPr>
          <w:noProof/>
        </w:rPr>
      </w:pPr>
    </w:p>
    <w:p w:rsidR="00054738" w:rsidRPr="004B52BA" w:rsidRDefault="00054738" w:rsidP="004B52BA">
      <w:pPr>
        <w:widowControl w:val="0"/>
        <w:autoSpaceDE w:val="0"/>
        <w:autoSpaceDN w:val="0"/>
        <w:adjustRightInd w:val="0"/>
        <w:spacing w:line="240" w:lineRule="auto"/>
        <w:ind w:left="480" w:hanging="480"/>
        <w:rPr>
          <w:noProof/>
        </w:rPr>
      </w:pP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lastRenderedPageBreak/>
        <w:t>Collaborative Group on Hormonal Factors in Breast Cancer. (1997b). Breast cancer and hormone replacement therapy: collaborative reanalysis of data from 51 epidemiological studies of 52</w:t>
      </w:r>
      <w:r w:rsidR="00054738">
        <w:rPr>
          <w:noProof/>
        </w:rPr>
        <w:t>,</w:t>
      </w:r>
      <w:r w:rsidRPr="004B52BA">
        <w:rPr>
          <w:noProof/>
        </w:rPr>
        <w:t xml:space="preserve"> 705 women with breast cancer and 108 411 women without breast cancer. </w:t>
      </w:r>
      <w:r w:rsidRPr="004B52BA">
        <w:rPr>
          <w:i/>
          <w:iCs/>
          <w:noProof/>
        </w:rPr>
        <w:t>The Lancet</w:t>
      </w:r>
      <w:r w:rsidRPr="004B52BA">
        <w:rPr>
          <w:noProof/>
        </w:rPr>
        <w:t xml:space="preserve">, </w:t>
      </w:r>
      <w:r w:rsidRPr="004B52BA">
        <w:rPr>
          <w:i/>
          <w:iCs/>
          <w:noProof/>
        </w:rPr>
        <w:t>350</w:t>
      </w:r>
      <w:r w:rsidRPr="004B52BA">
        <w:rPr>
          <w:noProof/>
        </w:rPr>
        <w:t>(9084), 1047–1059. https://doi.org/10.1016/S0140-6736(97)08233-0</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Collaborative Group on Hormonal Factors in Breast Cancer. (2002). Alcohol, tobacco and breast cancer - Collaborative reanalysis of individual data from 53 epidemiological studies, including 58 515 women with breast cancer and 95 067 women without the disease. </w:t>
      </w:r>
      <w:r w:rsidRPr="004B52BA">
        <w:rPr>
          <w:i/>
          <w:iCs/>
          <w:noProof/>
        </w:rPr>
        <w:t>British Journal of Cancer</w:t>
      </w:r>
      <w:r w:rsidRPr="004B52BA">
        <w:rPr>
          <w:noProof/>
        </w:rPr>
        <w:t xml:space="preserve">, </w:t>
      </w:r>
      <w:r w:rsidRPr="004B52BA">
        <w:rPr>
          <w:i/>
          <w:iCs/>
          <w:noProof/>
        </w:rPr>
        <w:t>87</w:t>
      </w:r>
      <w:r w:rsidRPr="004B52BA">
        <w:rPr>
          <w:noProof/>
        </w:rPr>
        <w:t>(11), 1234–1245. https://doi.org/10.1038/sj.bjc.6600596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Daniali, L., Benetos, A., Susser, E., Kark, J. D., Labat, C., Kimura, M., … Aviv, A. (2013). Telomeres shorten at equivalent rates in somatic tissues of adults. </w:t>
      </w:r>
      <w:r w:rsidRPr="004B52BA">
        <w:rPr>
          <w:i/>
          <w:iCs/>
          <w:noProof/>
        </w:rPr>
        <w:t>Nature Communications</w:t>
      </w:r>
      <w:r w:rsidRPr="004B52BA">
        <w:rPr>
          <w:noProof/>
        </w:rPr>
        <w:t xml:space="preserve">, </w:t>
      </w:r>
      <w:r w:rsidRPr="004B52BA">
        <w:rPr>
          <w:i/>
          <w:iCs/>
          <w:noProof/>
        </w:rPr>
        <w:t>4</w:t>
      </w:r>
      <w:r w:rsidRPr="004B52BA">
        <w:rPr>
          <w:noProof/>
        </w:rPr>
        <w:t>. https://doi.org/10.1038/ncomms2602</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De Vivo, I., Prescott, J., Wong, J. Y. Y., Kraft, P., Hankinson, S. E., &amp; Hunter, D. J. (2009). A prospective study of relative telomere length and postmenopausal breast cancer risk. </w:t>
      </w:r>
      <w:r w:rsidRPr="004B52BA">
        <w:rPr>
          <w:i/>
          <w:iCs/>
          <w:noProof/>
        </w:rPr>
        <w:t>Cancer Epidemiology, Biomarkers &amp; Prevention : A Publication of the American Association for Cancer Research, Cosponsored by the American Society of Preventive Oncology</w:t>
      </w:r>
      <w:r w:rsidRPr="004B52BA">
        <w:rPr>
          <w:noProof/>
        </w:rPr>
        <w:t xml:space="preserve">, </w:t>
      </w:r>
      <w:r w:rsidRPr="004B52BA">
        <w:rPr>
          <w:i/>
          <w:iCs/>
          <w:noProof/>
        </w:rPr>
        <w:t>18</w:t>
      </w:r>
      <w:r w:rsidRPr="004B52BA">
        <w:rPr>
          <w:noProof/>
        </w:rPr>
        <w:t>(4), 1152–1156. https://doi.org/10.1158/1055-9965.EPI-08-0998</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Endogenous Hormones Breast Cancer Collaborative Group. (2003). Body Mass Index, Serum Sex Hormones, and Breast Cancer Risk in Postmenopausal Women. </w:t>
      </w:r>
      <w:r w:rsidRPr="004B52BA">
        <w:rPr>
          <w:i/>
          <w:iCs/>
          <w:noProof/>
        </w:rPr>
        <w:t>JNCI Journal of the National Cancer Institute</w:t>
      </w:r>
      <w:r w:rsidRPr="004B52BA">
        <w:rPr>
          <w:noProof/>
        </w:rPr>
        <w:t xml:space="preserve">, </w:t>
      </w:r>
      <w:r w:rsidRPr="004B52BA">
        <w:rPr>
          <w:i/>
          <w:iCs/>
          <w:noProof/>
        </w:rPr>
        <w:t>95</w:t>
      </w:r>
      <w:r w:rsidRPr="004B52BA">
        <w:rPr>
          <w:noProof/>
        </w:rPr>
        <w:t>(16), 1218–1226. https://doi.org/10.1093/jnci/djg022</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Ewertz, M., Duffy, S. W., Adami, H. </w:t>
      </w:r>
      <w:r w:rsidRPr="004B52BA">
        <w:rPr>
          <w:rFonts w:ascii="Cambria Math" w:hAnsi="Cambria Math" w:cs="Cambria Math"/>
          <w:noProof/>
        </w:rPr>
        <w:t>‐</w:t>
      </w:r>
      <w:r w:rsidRPr="004B52BA">
        <w:rPr>
          <w:noProof/>
        </w:rPr>
        <w:t>O, Kvåle, G., Lund, E., Meirik, O., … Tulinius, H. (1990). Age at first birth, parity and risk of breast cancer: A meta</w:t>
      </w:r>
      <w:r w:rsidRPr="004B52BA">
        <w:rPr>
          <w:rFonts w:ascii="Cambria Math" w:hAnsi="Cambria Math" w:cs="Cambria Math"/>
          <w:noProof/>
        </w:rPr>
        <w:t>‐</w:t>
      </w:r>
      <w:r w:rsidRPr="004B52BA">
        <w:rPr>
          <w:noProof/>
        </w:rPr>
        <w:t xml:space="preserve">analysis of 8 studies from the nordic countries. </w:t>
      </w:r>
      <w:r w:rsidRPr="004B52BA">
        <w:rPr>
          <w:i/>
          <w:iCs/>
          <w:noProof/>
        </w:rPr>
        <w:t>International Journal of Cancer</w:t>
      </w:r>
      <w:r w:rsidRPr="004B52BA">
        <w:rPr>
          <w:noProof/>
        </w:rPr>
        <w:t xml:space="preserve">, </w:t>
      </w:r>
      <w:r w:rsidRPr="004B52BA">
        <w:rPr>
          <w:i/>
          <w:iCs/>
          <w:noProof/>
        </w:rPr>
        <w:t>46</w:t>
      </w:r>
      <w:r w:rsidRPr="004B52BA">
        <w:rPr>
          <w:noProof/>
        </w:rPr>
        <w:t>(4), 597–603. https://doi.org/10.1002/ijc.2910460408</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Fitzmaurice, C., Allen, C., Barber, R. M., Barregard, L., Bhutta, Z. A., Brenner, H., … Naghavi, M. (2017). Global, regional, and national cancer incidence, mortality, years of life lost, years lived with disability, and disability-adjusted life-years for 32 cancer groups, 1990 to 2015: A Systematic Analysis for the Global Burden of Disease Study Global Burden . </w:t>
      </w:r>
      <w:r w:rsidRPr="004B52BA">
        <w:rPr>
          <w:i/>
          <w:iCs/>
          <w:noProof/>
        </w:rPr>
        <w:t>JAMA Oncology</w:t>
      </w:r>
      <w:r w:rsidRPr="004B52BA">
        <w:rPr>
          <w:noProof/>
        </w:rPr>
        <w:t>. https://doi.org/10.1001/jamaoncol.2016.5688</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Friedrich, U., Griese, E.-U., Schwab, M., Fritz, P., Thon, K.-P., &amp; Klotz, U. (2000). Telomere length in different tissues of elderly patients. </w:t>
      </w:r>
      <w:r w:rsidRPr="004B52BA">
        <w:rPr>
          <w:i/>
          <w:iCs/>
          <w:noProof/>
        </w:rPr>
        <w:t>Mechanisms of Ageing and Development</w:t>
      </w:r>
      <w:r w:rsidRPr="004B52BA">
        <w:rPr>
          <w:noProof/>
        </w:rPr>
        <w:t xml:space="preserve">, </w:t>
      </w:r>
      <w:r w:rsidRPr="004B52BA">
        <w:rPr>
          <w:i/>
          <w:iCs/>
          <w:noProof/>
        </w:rPr>
        <w:t>119</w:t>
      </w:r>
      <w:r w:rsidRPr="004B52BA">
        <w:rPr>
          <w:noProof/>
        </w:rPr>
        <w:t>(3), 89–99. https://doi.org/10.1016/S0047-6374(00)00173-1</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Gadalla, S. M., Cawthon, R., Giri, N., Alter, B. P., &amp; Savage, S. A. (2010). Telomere length in blood, buccal cells, and fibroblasts from patients with inherited bone marrow failure syndromes. </w:t>
      </w:r>
      <w:r w:rsidRPr="004B52BA">
        <w:rPr>
          <w:i/>
          <w:iCs/>
          <w:noProof/>
        </w:rPr>
        <w:t>Aging (Albany.NY)</w:t>
      </w:r>
      <w:r w:rsidRPr="004B52BA">
        <w:rPr>
          <w:noProof/>
        </w:rPr>
        <w:t xml:space="preserve">, </w:t>
      </w:r>
      <w:r w:rsidRPr="004B52BA">
        <w:rPr>
          <w:i/>
          <w:iCs/>
          <w:noProof/>
        </w:rPr>
        <w:t>2</w:t>
      </w:r>
      <w:r w:rsidRPr="004B52BA">
        <w:rPr>
          <w:noProof/>
        </w:rPr>
        <w:t>(11), 867–874. https://doi.org/10.18632/aging.100235</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Gramatges, M. M., Telli, M. L., Balise, R., &amp; Ford, J. M. (2010). Longer relative telomere length in blood from women with sporadic and familial breast cancer compared with healthy controls. </w:t>
      </w:r>
      <w:r w:rsidRPr="004B52BA">
        <w:rPr>
          <w:i/>
          <w:iCs/>
          <w:noProof/>
        </w:rPr>
        <w:t>Cancer Epidemiology, Biomarkers &amp; Prevention : A Publication of the American Association for Cancer Research, Cosponsored by the American Society of Preventive Oncology</w:t>
      </w:r>
      <w:r w:rsidRPr="004B52BA">
        <w:rPr>
          <w:noProof/>
        </w:rPr>
        <w:t xml:space="preserve">, </w:t>
      </w:r>
      <w:r w:rsidRPr="004B52BA">
        <w:rPr>
          <w:i/>
          <w:iCs/>
          <w:noProof/>
        </w:rPr>
        <w:t>19</w:t>
      </w:r>
      <w:r w:rsidRPr="004B52BA">
        <w:rPr>
          <w:noProof/>
        </w:rPr>
        <w:t>(2), 605–613. https://doi.org/10.1158/1055-9965.EPI-09-0896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Hankin, J. H., Stram, D. O., Arakawa, K., Park, S., Low, S. H., Lee, H. P., &amp; Yu, M. C. (2001). Singapore Chinese Health Study: development, validation, and calibration of the quantitative food frequency questionnaire. </w:t>
      </w:r>
      <w:r w:rsidRPr="004B52BA">
        <w:rPr>
          <w:i/>
          <w:iCs/>
          <w:noProof/>
        </w:rPr>
        <w:t>Nutrition and Cancer</w:t>
      </w:r>
      <w:r w:rsidRPr="004B52BA">
        <w:rPr>
          <w:noProof/>
        </w:rPr>
        <w:t xml:space="preserve">, </w:t>
      </w:r>
      <w:r w:rsidRPr="004B52BA">
        <w:rPr>
          <w:i/>
          <w:iCs/>
          <w:noProof/>
        </w:rPr>
        <w:t>39</w:t>
      </w:r>
      <w:r w:rsidRPr="004B52BA">
        <w:rPr>
          <w:noProof/>
        </w:rPr>
        <w:t>(2), 187–195. https://doi.org/10.1207/S15327914nc392_5</w:t>
      </w:r>
    </w:p>
    <w:p w:rsidR="004B52BA" w:rsidRDefault="004B52BA" w:rsidP="004B52BA">
      <w:pPr>
        <w:widowControl w:val="0"/>
        <w:autoSpaceDE w:val="0"/>
        <w:autoSpaceDN w:val="0"/>
        <w:adjustRightInd w:val="0"/>
        <w:spacing w:line="240" w:lineRule="auto"/>
        <w:ind w:left="480" w:hanging="480"/>
        <w:rPr>
          <w:noProof/>
        </w:rPr>
      </w:pPr>
      <w:r w:rsidRPr="004B52BA">
        <w:rPr>
          <w:noProof/>
        </w:rPr>
        <w:t>Howlader, N., Noone, A., Krapcho, M., Miller, D., Bishop, K., Kosary, C., … Cronin, K. (2016). Cancer Statistics Review, 1975-2014 - SEER Statistics, National Cancer Institute.</w:t>
      </w:r>
    </w:p>
    <w:p w:rsidR="00054738" w:rsidRDefault="00054738" w:rsidP="004B52BA">
      <w:pPr>
        <w:widowControl w:val="0"/>
        <w:autoSpaceDE w:val="0"/>
        <w:autoSpaceDN w:val="0"/>
        <w:adjustRightInd w:val="0"/>
        <w:spacing w:line="240" w:lineRule="auto"/>
        <w:ind w:left="480" w:hanging="480"/>
        <w:rPr>
          <w:noProof/>
        </w:rPr>
      </w:pPr>
    </w:p>
    <w:p w:rsidR="00054738" w:rsidRPr="004B52BA" w:rsidRDefault="00054738" w:rsidP="004B52BA">
      <w:pPr>
        <w:widowControl w:val="0"/>
        <w:autoSpaceDE w:val="0"/>
        <w:autoSpaceDN w:val="0"/>
        <w:adjustRightInd w:val="0"/>
        <w:spacing w:line="240" w:lineRule="auto"/>
        <w:ind w:left="480" w:hanging="480"/>
        <w:rPr>
          <w:noProof/>
        </w:rPr>
      </w:pP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lastRenderedPageBreak/>
        <w:t xml:space="preserve">Hunter, D. J., Spiegelman, D., Adami, H. O., van den Brandt, P. a, Folsom,  a R., Goldbohm, R. a, … Yaun, S. S. (1997). Non-dietary factors as risk factors for breast cancer, and as effect modifiers of the association of fat intake and risk of breast cancer. </w:t>
      </w:r>
      <w:r w:rsidRPr="004B52BA">
        <w:rPr>
          <w:i/>
          <w:iCs/>
          <w:noProof/>
        </w:rPr>
        <w:t>Cancer Causes &amp; Control : CCC</w:t>
      </w:r>
      <w:r w:rsidRPr="004B52BA">
        <w:rPr>
          <w:noProof/>
        </w:rPr>
        <w:t xml:space="preserve">, </w:t>
      </w:r>
      <w:r w:rsidRPr="004B52BA">
        <w:rPr>
          <w:i/>
          <w:iCs/>
          <w:noProof/>
        </w:rPr>
        <w:t>8</w:t>
      </w:r>
      <w:r w:rsidRPr="004B52BA">
        <w:rPr>
          <w:noProof/>
        </w:rPr>
        <w:t>(1), 49–56. https://doi.org/10.1023/A:1018431104786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Kelsey, J. L., Gammon, M. D., &amp; John, E. M. (1993). Reproductive factors and breast cancer. </w:t>
      </w:r>
      <w:r w:rsidRPr="004B52BA">
        <w:rPr>
          <w:i/>
          <w:iCs/>
          <w:noProof/>
        </w:rPr>
        <w:t>Epidemiologic Reviews</w:t>
      </w:r>
      <w:r w:rsidRPr="004B52BA">
        <w:rPr>
          <w:noProof/>
        </w:rPr>
        <w:t xml:space="preserve">, </w:t>
      </w:r>
      <w:r w:rsidRPr="004B52BA">
        <w:rPr>
          <w:i/>
          <w:iCs/>
          <w:noProof/>
        </w:rPr>
        <w:t>15</w:t>
      </w:r>
      <w:r w:rsidRPr="004B52BA">
        <w:rPr>
          <w:noProof/>
        </w:rPr>
        <w:t>(1), 36–47. https://doi.org/10.1016/S0378-5122(12)70032-4</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Kim, S., Parks, C. C. G., DeRoo, L. a La, Chen, H., Taylor, J. a, Cawthon, R. M., &amp; Sandler, D. P. (2009). Obesity and weight gain in adulthood and telomere length. </w:t>
      </w:r>
      <w:r w:rsidRPr="004B52BA">
        <w:rPr>
          <w:i/>
          <w:iCs/>
          <w:noProof/>
        </w:rPr>
        <w:t>… Biomarkers &amp; Prevention</w:t>
      </w:r>
      <w:r w:rsidRPr="004B52BA">
        <w:rPr>
          <w:noProof/>
        </w:rPr>
        <w:t xml:space="preserve">, </w:t>
      </w:r>
      <w:r w:rsidRPr="004B52BA">
        <w:rPr>
          <w:i/>
          <w:iCs/>
          <w:noProof/>
        </w:rPr>
        <w:t>18</w:t>
      </w:r>
      <w:r w:rsidRPr="004B52BA">
        <w:rPr>
          <w:noProof/>
        </w:rPr>
        <w:t>(March), 1–9. https://doi.org/10.1158/1055-9965.EPI-08-0935.Obesity</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Kim, S., Sandler, D. P., Carswell, G., De Roo, L. A., Parks, C. G., Cawthon, R., … Taylor, J. A. (2011). Telomere length in peripheral blood and breast cancer risk in a prospective case-cohort analysis: Results from the Sister Study. </w:t>
      </w:r>
      <w:r w:rsidRPr="004B52BA">
        <w:rPr>
          <w:i/>
          <w:iCs/>
          <w:noProof/>
        </w:rPr>
        <w:t>Cancer Causes and Control</w:t>
      </w:r>
      <w:r w:rsidRPr="004B52BA">
        <w:rPr>
          <w:noProof/>
        </w:rPr>
        <w:t xml:space="preserve">, </w:t>
      </w:r>
      <w:r w:rsidRPr="004B52BA">
        <w:rPr>
          <w:i/>
          <w:iCs/>
          <w:noProof/>
        </w:rPr>
        <w:t>22</w:t>
      </w:r>
      <w:r w:rsidRPr="004B52BA">
        <w:rPr>
          <w:noProof/>
        </w:rPr>
        <w:t>(7), 1061–1066. https://doi.org/10.1007/s10552-011-9778-8</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Lee, S. A., Ross, R. K., &amp; Pike, M. C. (2005). An overview of menopausal oestrogen-progestin hormone therapy and breast cancer risk. </w:t>
      </w:r>
      <w:r w:rsidRPr="004B52BA">
        <w:rPr>
          <w:i/>
          <w:iCs/>
          <w:noProof/>
        </w:rPr>
        <w:t>British Journal of Cancer</w:t>
      </w:r>
      <w:r w:rsidRPr="004B52BA">
        <w:rPr>
          <w:noProof/>
        </w:rPr>
        <w:t>. https://doi.org/10.1038/sj.bjc.6602617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Levy, T., Agoulnik, I., Atkinson, E. N., Tong, X. W., Gause, H. M., Hasenburg, A., … Kieback, D. G. (1998). Telomere length in human white blood cells remains constant with age and is shorter in breast cancer patients. </w:t>
      </w:r>
      <w:r w:rsidRPr="004B52BA">
        <w:rPr>
          <w:i/>
          <w:iCs/>
          <w:noProof/>
        </w:rPr>
        <w:t>Anticancer Research</w:t>
      </w:r>
      <w:r w:rsidRPr="004B52BA">
        <w:rPr>
          <w:noProof/>
        </w:rPr>
        <w:t xml:space="preserve">, </w:t>
      </w:r>
      <w:r w:rsidRPr="004B52BA">
        <w:rPr>
          <w:i/>
          <w:iCs/>
          <w:noProof/>
        </w:rPr>
        <w:t>18</w:t>
      </w:r>
      <w:r w:rsidRPr="004B52BA">
        <w:rPr>
          <w:noProof/>
        </w:rPr>
        <w:t>(3 A), 1345–1349.</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López-Otín, C., Blasco, M. A., Partridge, L., Serrano, M., &amp; Kroemer, G. (2013). The hallmarks of aging. </w:t>
      </w:r>
      <w:r w:rsidRPr="004B52BA">
        <w:rPr>
          <w:i/>
          <w:iCs/>
          <w:noProof/>
        </w:rPr>
        <w:t>Cell</w:t>
      </w:r>
      <w:r w:rsidRPr="004B52BA">
        <w:rPr>
          <w:noProof/>
        </w:rPr>
        <w:t>. https://doi.org/10.1016/j.cell.2013.05.039</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Marchbanks, P. A., McDonald, J. A., Wilson, H. G., Folger, S. G., Mandel, M. G., Daling, J. R., … Weiss, L. K. (2002). Oral Contraceptives and the Risk of Breast Cancer. </w:t>
      </w:r>
      <w:r w:rsidRPr="004B52BA">
        <w:rPr>
          <w:i/>
          <w:iCs/>
          <w:noProof/>
        </w:rPr>
        <w:t>New England Journal of Medicine</w:t>
      </w:r>
      <w:r w:rsidRPr="004B52BA">
        <w:rPr>
          <w:noProof/>
        </w:rPr>
        <w:t xml:space="preserve">, </w:t>
      </w:r>
      <w:r w:rsidRPr="004B52BA">
        <w:rPr>
          <w:i/>
          <w:iCs/>
          <w:noProof/>
        </w:rPr>
        <w:t>346</w:t>
      </w:r>
      <w:r w:rsidRPr="004B52BA">
        <w:rPr>
          <w:noProof/>
        </w:rPr>
        <w:t>(26), 2025–2032. https://doi.org/10.1056/NEJMoa013202</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Mina, L. A., Storniolo, A. M., Kipfer, H. D., Hunter, C., &amp; Ludwig, K. K. (2016). </w:t>
      </w:r>
      <w:r w:rsidRPr="004B52BA">
        <w:rPr>
          <w:i/>
          <w:iCs/>
          <w:noProof/>
        </w:rPr>
        <w:t>Breast Cancer Prevention and Treatment</w:t>
      </w:r>
      <w:r w:rsidRPr="004B52BA">
        <w:rPr>
          <w:noProof/>
        </w:rPr>
        <w:t>. https://doi.org/10.1007/978-3-319-19437-0</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Montaruli, A., Patrini, P., Roveda, E., &amp; Carandente, F. (2012). Physical activity and breast cancer. </w:t>
      </w:r>
      <w:r w:rsidRPr="004B52BA">
        <w:rPr>
          <w:i/>
          <w:iCs/>
          <w:noProof/>
        </w:rPr>
        <w:t>Sport Sciences for Health</w:t>
      </w:r>
      <w:r w:rsidRPr="004B52BA">
        <w:rPr>
          <w:noProof/>
        </w:rPr>
        <w:t>. https://doi.org/10.1007/s11332-012-0125-6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Montpetit, A. et al. (2015). Telomere length: a review of methods for measurement. </w:t>
      </w:r>
      <w:r w:rsidRPr="004B52BA">
        <w:rPr>
          <w:i/>
          <w:iCs/>
          <w:noProof/>
        </w:rPr>
        <w:t>Nursing Research</w:t>
      </w:r>
      <w:r w:rsidRPr="004B52BA">
        <w:rPr>
          <w:noProof/>
        </w:rPr>
        <w:t xml:space="preserve">, </w:t>
      </w:r>
      <w:r w:rsidRPr="004B52BA">
        <w:rPr>
          <w:i/>
          <w:iCs/>
          <w:noProof/>
        </w:rPr>
        <w:t>63</w:t>
      </w:r>
      <w:r w:rsidRPr="004B52BA">
        <w:rPr>
          <w:noProof/>
        </w:rPr>
        <w:t>(4), 289–299. https://doi.org/10.1097/NNR.0000000000000037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Muraki, K., Nyhan, K., Han, L., &amp; Murnane, J. P. (2012). Mechanisms of telomere loss and their consequences for chromosome instability. </w:t>
      </w:r>
      <w:r w:rsidRPr="004B52BA">
        <w:rPr>
          <w:i/>
          <w:iCs/>
          <w:noProof/>
        </w:rPr>
        <w:t>Frontiers in Oncology</w:t>
      </w:r>
      <w:r w:rsidRPr="004B52BA">
        <w:rPr>
          <w:noProof/>
        </w:rPr>
        <w:t xml:space="preserve">, </w:t>
      </w:r>
      <w:r w:rsidRPr="004B52BA">
        <w:rPr>
          <w:i/>
          <w:iCs/>
          <w:noProof/>
        </w:rPr>
        <w:t>2</w:t>
      </w:r>
      <w:r w:rsidRPr="004B52BA">
        <w:rPr>
          <w:noProof/>
        </w:rPr>
        <w:t>. https://doi.org/10.3389/fonc.2012.00135</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Nordfjäll, K., Svenson, U., Norrback, K. F., Adolfsson, R., Lenner, P., &amp; Roos, G. (2009). The individual blood cell telomere attrition rate is telomere length dependent. </w:t>
      </w:r>
      <w:r w:rsidRPr="004B52BA">
        <w:rPr>
          <w:i/>
          <w:iCs/>
          <w:noProof/>
        </w:rPr>
        <w:t>PLoS Genetics</w:t>
      </w:r>
      <w:r w:rsidRPr="004B52BA">
        <w:rPr>
          <w:noProof/>
        </w:rPr>
        <w:t xml:space="preserve">, </w:t>
      </w:r>
      <w:r w:rsidRPr="004B52BA">
        <w:rPr>
          <w:i/>
          <w:iCs/>
          <w:noProof/>
        </w:rPr>
        <w:t>5</w:t>
      </w:r>
      <w:r w:rsidRPr="004B52BA">
        <w:rPr>
          <w:noProof/>
        </w:rPr>
        <w:t>(2). https://doi.org/10.1371/journal.pgen.1000375</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Pharoah, P. D., Day, N. E., Duffy, S., Easton, D. F., &amp; Ponder, B. A. (1997). Family history and the risk of breast cancer: a systematic review and meta-analysis. </w:t>
      </w:r>
      <w:r w:rsidRPr="004B52BA">
        <w:rPr>
          <w:i/>
          <w:iCs/>
          <w:noProof/>
        </w:rPr>
        <w:t>International Journal of Cancer</w:t>
      </w:r>
      <w:r w:rsidRPr="004B52BA">
        <w:rPr>
          <w:noProof/>
        </w:rPr>
        <w:t xml:space="preserve">, </w:t>
      </w:r>
      <w:r w:rsidRPr="004B52BA">
        <w:rPr>
          <w:i/>
          <w:iCs/>
          <w:noProof/>
        </w:rPr>
        <w:t>71</w:t>
      </w:r>
      <w:r w:rsidRPr="004B52BA">
        <w:rPr>
          <w:noProof/>
        </w:rPr>
        <w:t>(5), 800–809. https://doi.org/10.1002/(SICI)1097-0215(19970529)71:5&lt;800::AID-IJC18&gt;3.0.CO;2-B</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Pooley, K. A., Sandhu, M. S., Tyrer, J., Shah, M., Driver, K. E., Luben, R. N., … Dunning, A. M. (2010). Telomere length in prospective and retrospective cancer case-control studies. </w:t>
      </w:r>
      <w:r w:rsidRPr="004B52BA">
        <w:rPr>
          <w:i/>
          <w:iCs/>
          <w:noProof/>
        </w:rPr>
        <w:t>Cancer Research</w:t>
      </w:r>
      <w:r w:rsidRPr="004B52BA">
        <w:rPr>
          <w:noProof/>
        </w:rPr>
        <w:t xml:space="preserve">, </w:t>
      </w:r>
      <w:r w:rsidRPr="004B52BA">
        <w:rPr>
          <w:i/>
          <w:iCs/>
          <w:noProof/>
        </w:rPr>
        <w:t>70</w:t>
      </w:r>
      <w:r w:rsidRPr="004B52BA">
        <w:rPr>
          <w:noProof/>
        </w:rPr>
        <w:t>(8), 3170–3176. https://doi.org/10.1158/0008-5472.CAN-09-4595</w:t>
      </w:r>
    </w:p>
    <w:p w:rsidR="004B52BA" w:rsidRDefault="004B52BA" w:rsidP="004B52BA">
      <w:pPr>
        <w:widowControl w:val="0"/>
        <w:autoSpaceDE w:val="0"/>
        <w:autoSpaceDN w:val="0"/>
        <w:adjustRightInd w:val="0"/>
        <w:spacing w:line="240" w:lineRule="auto"/>
        <w:ind w:left="480" w:hanging="480"/>
        <w:rPr>
          <w:noProof/>
        </w:rPr>
      </w:pPr>
      <w:r w:rsidRPr="004B52BA">
        <w:rPr>
          <w:noProof/>
        </w:rPr>
        <w:t xml:space="preserve">Qu, S., Wen, W., Shu, X. O., Chow, W. H., Xiang, Y. B., Wu, J., … Zheng, W. (2013). Association of leukocyte telomere length with breast cancer RISK: Nested case-control findings from the Shanghai Women’s Health Study. </w:t>
      </w:r>
      <w:r w:rsidRPr="004B52BA">
        <w:rPr>
          <w:i/>
          <w:iCs/>
          <w:noProof/>
        </w:rPr>
        <w:t>American Journal of Epidemiology</w:t>
      </w:r>
      <w:r w:rsidRPr="004B52BA">
        <w:rPr>
          <w:noProof/>
        </w:rPr>
        <w:t xml:space="preserve">, </w:t>
      </w:r>
      <w:r w:rsidRPr="004B52BA">
        <w:rPr>
          <w:i/>
          <w:iCs/>
          <w:noProof/>
        </w:rPr>
        <w:t>177</w:t>
      </w:r>
      <w:r w:rsidRPr="004B52BA">
        <w:rPr>
          <w:noProof/>
        </w:rPr>
        <w:t>(7), 617–624. https://doi.org/10.1093/aje/kws291</w:t>
      </w:r>
    </w:p>
    <w:p w:rsidR="00054738" w:rsidRPr="004B52BA" w:rsidRDefault="00054738" w:rsidP="004B52BA">
      <w:pPr>
        <w:widowControl w:val="0"/>
        <w:autoSpaceDE w:val="0"/>
        <w:autoSpaceDN w:val="0"/>
        <w:adjustRightInd w:val="0"/>
        <w:spacing w:line="240" w:lineRule="auto"/>
        <w:ind w:left="480" w:hanging="480"/>
        <w:rPr>
          <w:noProof/>
        </w:rPr>
      </w:pP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lastRenderedPageBreak/>
        <w:t xml:space="preserve">Raafat, A. M., Hofseth, L. J., &amp; Haslam, S. Z. (2001). Proliferative effects of combination estrogen and progesterone replacement therapy on the normal postmenopausal mammary gland in a murine model. </w:t>
      </w:r>
      <w:r w:rsidRPr="004B52BA">
        <w:rPr>
          <w:i/>
          <w:iCs/>
          <w:noProof/>
        </w:rPr>
        <w:t>American Journal of Obstetrics and Gynecology</w:t>
      </w:r>
      <w:r w:rsidRPr="004B52BA">
        <w:rPr>
          <w:noProof/>
        </w:rPr>
        <w:t xml:space="preserve">, </w:t>
      </w:r>
      <w:r w:rsidRPr="004B52BA">
        <w:rPr>
          <w:i/>
          <w:iCs/>
          <w:noProof/>
        </w:rPr>
        <w:t>184</w:t>
      </w:r>
      <w:r w:rsidRPr="004B52BA">
        <w:rPr>
          <w:noProof/>
        </w:rPr>
        <w:t>(3), 340–349. https://doi.org/10.1067/mob.2001.110447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Reynolds, P. (2013). Smoking and breast cancer. </w:t>
      </w:r>
      <w:r w:rsidRPr="004B52BA">
        <w:rPr>
          <w:i/>
          <w:iCs/>
          <w:noProof/>
        </w:rPr>
        <w:t>Journal of Mammary Gland Biology and Neoplasia</w:t>
      </w:r>
      <w:r w:rsidRPr="004B52BA">
        <w:rPr>
          <w:noProof/>
        </w:rPr>
        <w:t>. https://doi.org/10.1007/s10911-012-9269-x</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Shen, J., Gammon, M. D., Terry, M. B., Wang, Q., Bradshaw, P., Teitelbaum, S. L., … Santella, R. M. (2009). Telomere length, oxidative damage, antioxidants and breast cancer risk. </w:t>
      </w:r>
      <w:r w:rsidRPr="004B52BA">
        <w:rPr>
          <w:i/>
          <w:iCs/>
          <w:noProof/>
        </w:rPr>
        <w:t>International Journal of Cancer. Journal International Du Cancer</w:t>
      </w:r>
      <w:r w:rsidRPr="004B52BA">
        <w:rPr>
          <w:noProof/>
        </w:rPr>
        <w:t xml:space="preserve">, </w:t>
      </w:r>
      <w:r w:rsidRPr="004B52BA">
        <w:rPr>
          <w:i/>
          <w:iCs/>
          <w:noProof/>
        </w:rPr>
        <w:t>124</w:t>
      </w:r>
      <w:r w:rsidRPr="004B52BA">
        <w:rPr>
          <w:noProof/>
        </w:rPr>
        <w:t>(7), 1637–1643. https://doi.org/10.1002/ijc.24105</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Shen, J., Terry, M. B., Gurvich, I., Liao, Y., Senie, R. T., &amp; Santella, R. M. (2007). Short telomere length and breast cancer risk: A study in sister sets. </w:t>
      </w:r>
      <w:r w:rsidRPr="004B52BA">
        <w:rPr>
          <w:i/>
          <w:iCs/>
          <w:noProof/>
        </w:rPr>
        <w:t>Cancer Research</w:t>
      </w:r>
      <w:r w:rsidRPr="004B52BA">
        <w:rPr>
          <w:noProof/>
        </w:rPr>
        <w:t xml:space="preserve">, </w:t>
      </w:r>
      <w:r w:rsidRPr="004B52BA">
        <w:rPr>
          <w:i/>
          <w:iCs/>
          <w:noProof/>
        </w:rPr>
        <w:t>67</w:t>
      </w:r>
      <w:r w:rsidRPr="004B52BA">
        <w:rPr>
          <w:noProof/>
        </w:rPr>
        <w:t>(11), 5538–5544. https://doi.org/10.1158/0008-5472.CAN-06-3490</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Siegel, R. L., Miller, K. D., &amp; Jemal, A. (2018). Cancer statistics, 2018. </w:t>
      </w:r>
      <w:r w:rsidRPr="004B52BA">
        <w:rPr>
          <w:i/>
          <w:iCs/>
          <w:noProof/>
        </w:rPr>
        <w:t>CA: A Cancer Journal for Clinicians</w:t>
      </w:r>
      <w:r w:rsidRPr="004B52BA">
        <w:rPr>
          <w:noProof/>
        </w:rPr>
        <w:t xml:space="preserve">, </w:t>
      </w:r>
      <w:r w:rsidRPr="004B52BA">
        <w:rPr>
          <w:i/>
          <w:iCs/>
          <w:noProof/>
        </w:rPr>
        <w:t>68</w:t>
      </w:r>
      <w:r w:rsidRPr="004B52BA">
        <w:rPr>
          <w:noProof/>
        </w:rPr>
        <w:t>(1), 7–30. https://doi.org/10.3322/caac.21442</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Svenson, U., Nordfjäll, K., Stegmayr, B., Manjer, J., Nilsson, P., Tavelin, B., … Roos, G. (2008). Breast cancer survival is associated with telomere length in peripheral blood cells. </w:t>
      </w:r>
      <w:r w:rsidRPr="004B52BA">
        <w:rPr>
          <w:i/>
          <w:iCs/>
          <w:noProof/>
        </w:rPr>
        <w:t>Cancer Research</w:t>
      </w:r>
      <w:r w:rsidRPr="004B52BA">
        <w:rPr>
          <w:noProof/>
        </w:rPr>
        <w:t xml:space="preserve">, </w:t>
      </w:r>
      <w:r w:rsidRPr="004B52BA">
        <w:rPr>
          <w:i/>
          <w:iCs/>
          <w:noProof/>
        </w:rPr>
        <w:t>68</w:t>
      </w:r>
      <w:r w:rsidRPr="004B52BA">
        <w:rPr>
          <w:noProof/>
        </w:rPr>
        <w:t>(10), 3618–3623. https://doi.org/10.1158/0008-5472.CAN-07-6497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Terry, P. D., &amp; Rohan, T. E. (2002). Cigarette Smoking and the Risk of Breast Cancer in Women: a Review of the Literature. </w:t>
      </w:r>
      <w:r w:rsidRPr="004B52BA">
        <w:rPr>
          <w:i/>
          <w:iCs/>
          <w:noProof/>
        </w:rPr>
        <w:t>Cancer Epidemiology, Biomarkers &amp; Prevention : A Publication of the American Association for Cancer Research, Cosponsored by the American Society of Preventive Oncology</w:t>
      </w:r>
      <w:r w:rsidRPr="004B52BA">
        <w:rPr>
          <w:noProof/>
        </w:rPr>
        <w:t xml:space="preserve">, </w:t>
      </w:r>
      <w:r w:rsidRPr="004B52BA">
        <w:rPr>
          <w:i/>
          <w:iCs/>
          <w:noProof/>
        </w:rPr>
        <w:t>11</w:t>
      </w:r>
      <w:r w:rsidRPr="004B52BA">
        <w:rPr>
          <w:noProof/>
        </w:rPr>
        <w:t>(10 Pt 1), 953–971. Retrieved from http://www.ncbi.nlm.nih.gov/pubmed/12376493</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Trichopoulos, D., MacMahon, B., &amp; Cole, P. (1972). Menopause and breast cancer risk. </w:t>
      </w:r>
      <w:r w:rsidRPr="004B52BA">
        <w:rPr>
          <w:i/>
          <w:iCs/>
          <w:noProof/>
        </w:rPr>
        <w:t>Journal of the National Cancer Institute</w:t>
      </w:r>
      <w:r w:rsidRPr="004B52BA">
        <w:rPr>
          <w:noProof/>
        </w:rPr>
        <w:t xml:space="preserve">, </w:t>
      </w:r>
      <w:r w:rsidRPr="004B52BA">
        <w:rPr>
          <w:i/>
          <w:iCs/>
          <w:noProof/>
        </w:rPr>
        <w:t>48</w:t>
      </w:r>
      <w:r w:rsidRPr="004B52BA">
        <w:rPr>
          <w:noProof/>
        </w:rPr>
        <w:t>(3), 605–613. Retrieved from http://www.ncbi.nlm.nih.gov/pubmed/5058966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van den Brandt, P. A., Spiegelman, D., Yaun, S. S., Adami, H. O., Beeson, L., Folsom, A. R., … Hunter, D. J. (2000). Pooled analysis of prospective cohort studies on height, weight, and breast cancer risk. </w:t>
      </w:r>
      <w:r w:rsidRPr="004B52BA">
        <w:rPr>
          <w:i/>
          <w:iCs/>
          <w:noProof/>
        </w:rPr>
        <w:t>American Journal of Epidemiology</w:t>
      </w:r>
      <w:r w:rsidRPr="004B52BA">
        <w:rPr>
          <w:noProof/>
        </w:rPr>
        <w:t xml:space="preserve">, </w:t>
      </w:r>
      <w:r w:rsidRPr="004B52BA">
        <w:rPr>
          <w:i/>
          <w:iCs/>
          <w:noProof/>
        </w:rPr>
        <w:t>152</w:t>
      </w:r>
      <w:r w:rsidRPr="004B52BA">
        <w:rPr>
          <w:noProof/>
        </w:rPr>
        <w:t>(6), 514–527. https://doi.org/10.1093/aje/152.6.514</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Weischer, M., Nordestgaard, B. G., Cawthon, R. M., Freiberg, J. J., Tybjærg-Hansen, A., &amp; Bojesen, S. E. (2013). Short telomere length, cancer survival, and cancer risk in 47102 individuals. </w:t>
      </w:r>
      <w:r w:rsidRPr="004B52BA">
        <w:rPr>
          <w:i/>
          <w:iCs/>
          <w:noProof/>
        </w:rPr>
        <w:t>Journal of the National Cancer Institute</w:t>
      </w:r>
      <w:r w:rsidRPr="004B52BA">
        <w:rPr>
          <w:noProof/>
        </w:rPr>
        <w:t xml:space="preserve">, </w:t>
      </w:r>
      <w:r w:rsidRPr="004B52BA">
        <w:rPr>
          <w:i/>
          <w:iCs/>
          <w:noProof/>
        </w:rPr>
        <w:t>105</w:t>
      </w:r>
      <w:r w:rsidRPr="004B52BA">
        <w:rPr>
          <w:noProof/>
        </w:rPr>
        <w:t>(7), 459–468. https://doi.org/10.1093/jnci/djt016</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Willeit, P., Willeit, J., Mayr, A., Weger, S., Oberhollenzer, F., Brandstätter, A., … Kiechl, S. (2010). </w:t>
      </w:r>
      <w:bookmarkStart w:id="47" w:name="OLE_LINK9"/>
      <w:bookmarkStart w:id="48" w:name="OLE_LINK10"/>
      <w:r w:rsidRPr="004B52BA">
        <w:rPr>
          <w:noProof/>
        </w:rPr>
        <w:t>Telomere length and risk of incident cancer and cancer mortality</w:t>
      </w:r>
      <w:bookmarkEnd w:id="47"/>
      <w:bookmarkEnd w:id="48"/>
      <w:r w:rsidRPr="004B52BA">
        <w:rPr>
          <w:noProof/>
        </w:rPr>
        <w:t xml:space="preserve">. </w:t>
      </w:r>
      <w:r w:rsidRPr="004B52BA">
        <w:rPr>
          <w:i/>
          <w:iCs/>
          <w:noProof/>
        </w:rPr>
        <w:t>JAMA: The Journal of the American Medical Association</w:t>
      </w:r>
      <w:r w:rsidRPr="004B52BA">
        <w:rPr>
          <w:noProof/>
        </w:rPr>
        <w:t xml:space="preserve">, </w:t>
      </w:r>
      <w:r w:rsidRPr="004B52BA">
        <w:rPr>
          <w:i/>
          <w:iCs/>
          <w:noProof/>
        </w:rPr>
        <w:t>304</w:t>
      </w:r>
      <w:r w:rsidRPr="004B52BA">
        <w:rPr>
          <w:noProof/>
        </w:rPr>
        <w:t>(1), 69–75. https://doi.org/10.1001/jama.2010.897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Wu, Y., Zhang, D., &amp; Kang, S. (2013). Physical activity and risk of breast cancer: A meta-analysis of prospective studies. </w:t>
      </w:r>
      <w:r w:rsidRPr="004B52BA">
        <w:rPr>
          <w:i/>
          <w:iCs/>
          <w:noProof/>
        </w:rPr>
        <w:t>Breast Cancer Research and Treatment</w:t>
      </w:r>
      <w:r w:rsidRPr="004B52BA">
        <w:rPr>
          <w:noProof/>
        </w:rPr>
        <w:t xml:space="preserve">, </w:t>
      </w:r>
      <w:r w:rsidRPr="004B52BA">
        <w:rPr>
          <w:i/>
          <w:iCs/>
          <w:noProof/>
        </w:rPr>
        <w:t>137</w:t>
      </w:r>
      <w:r w:rsidRPr="004B52BA">
        <w:rPr>
          <w:noProof/>
        </w:rPr>
        <w:t>(3), 869–882. https://doi.org/10.1007/s10549-012-2396-7</w:t>
      </w:r>
    </w:p>
    <w:p w:rsidR="004B52BA" w:rsidRPr="004B52BA" w:rsidRDefault="004B52BA" w:rsidP="004B52BA">
      <w:pPr>
        <w:widowControl w:val="0"/>
        <w:autoSpaceDE w:val="0"/>
        <w:autoSpaceDN w:val="0"/>
        <w:adjustRightInd w:val="0"/>
        <w:spacing w:line="240" w:lineRule="auto"/>
        <w:ind w:left="480" w:hanging="480"/>
        <w:rPr>
          <w:noProof/>
        </w:rPr>
      </w:pPr>
      <w:r w:rsidRPr="004B52BA">
        <w:rPr>
          <w:noProof/>
        </w:rPr>
        <w:t xml:space="preserve">Zheng, Y.-L., Ambrosone, C., Byrne, C., Davis, W., Nesline, M., &amp; McCann, S. E. (2010). Telomere length in blood cells and breast cancer risk: investigations in two case-control studies. </w:t>
      </w:r>
      <w:r w:rsidRPr="004B52BA">
        <w:rPr>
          <w:i/>
          <w:iCs/>
          <w:noProof/>
        </w:rPr>
        <w:t>Breast Cancer Research and Treatment</w:t>
      </w:r>
      <w:r w:rsidRPr="004B52BA">
        <w:rPr>
          <w:noProof/>
        </w:rPr>
        <w:t xml:space="preserve">, </w:t>
      </w:r>
      <w:r w:rsidRPr="004B52BA">
        <w:rPr>
          <w:i/>
          <w:iCs/>
          <w:noProof/>
        </w:rPr>
        <w:t>120</w:t>
      </w:r>
      <w:r w:rsidRPr="004B52BA">
        <w:rPr>
          <w:noProof/>
        </w:rPr>
        <w:t>(3), 769–775. https://doi.org/10.1007/s10549-009-0440-z</w:t>
      </w:r>
    </w:p>
    <w:p w:rsidR="00DA5BA8" w:rsidRDefault="00B9459A" w:rsidP="004B52BA">
      <w:pPr>
        <w:widowControl w:val="0"/>
        <w:autoSpaceDE w:val="0"/>
        <w:autoSpaceDN w:val="0"/>
        <w:adjustRightInd w:val="0"/>
        <w:spacing w:line="240" w:lineRule="auto"/>
        <w:ind w:left="480" w:hanging="480"/>
      </w:pPr>
      <w:r w:rsidRPr="007C47BF">
        <w:rPr>
          <w:noProof/>
        </w:rPr>
        <w:fldChar w:fldCharType="end"/>
      </w:r>
    </w:p>
    <w:sectPr w:rsidR="00DA5BA8" w:rsidSect="003E4F53">
      <w:pgSz w:w="12240" w:h="15840"/>
      <w:pgMar w:top="1152"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7D" w:rsidRDefault="0015147D">
      <w:r>
        <w:separator/>
      </w:r>
    </w:p>
  </w:endnote>
  <w:endnote w:type="continuationSeparator" w:id="0">
    <w:p w:rsidR="0015147D" w:rsidRDefault="0015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notTrueType/>
    <w:pitch w:val="variable"/>
    <w:sig w:usb0="00000000"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7D" w:rsidRDefault="0015147D" w:rsidP="005B64F7">
    <w:pPr>
      <w:tabs>
        <w:tab w:val="center" w:pos="4680"/>
      </w:tabs>
      <w:ind w:firstLine="0"/>
      <w:jc w:val="center"/>
    </w:pPr>
    <w:r>
      <w:fldChar w:fldCharType="begin"/>
    </w:r>
    <w:r>
      <w:instrText xml:space="preserve"> PAGE </w:instrText>
    </w:r>
    <w:r>
      <w:fldChar w:fldCharType="separate"/>
    </w:r>
    <w:r w:rsidR="00A243C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7D" w:rsidRDefault="0015147D">
      <w:r>
        <w:separator/>
      </w:r>
    </w:p>
  </w:footnote>
  <w:footnote w:type="continuationSeparator" w:id="0">
    <w:p w:rsidR="0015147D" w:rsidRDefault="0015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793A4D0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1817556A"/>
    <w:multiLevelType w:val="hybridMultilevel"/>
    <w:tmpl w:val="57B0973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A7D1F"/>
    <w:multiLevelType w:val="hybridMultilevel"/>
    <w:tmpl w:val="E120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238A"/>
    <w:multiLevelType w:val="hybridMultilevel"/>
    <w:tmpl w:val="2808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1"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2BF4D17"/>
    <w:multiLevelType w:val="hybridMultilevel"/>
    <w:tmpl w:val="CA966228"/>
    <w:lvl w:ilvl="0" w:tplc="A81CC7C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6"/>
  </w:num>
  <w:num w:numId="4">
    <w:abstractNumId w:val="10"/>
  </w:num>
  <w:num w:numId="5">
    <w:abstractNumId w:val="10"/>
  </w:num>
  <w:num w:numId="6">
    <w:abstractNumId w:val="10"/>
  </w:num>
  <w:num w:numId="7">
    <w:abstractNumId w:val="10"/>
  </w:num>
  <w:num w:numId="8">
    <w:abstractNumId w:val="16"/>
  </w:num>
  <w:num w:numId="9">
    <w:abstractNumId w:val="16"/>
  </w:num>
  <w:num w:numId="10">
    <w:abstractNumId w:val="16"/>
  </w:num>
  <w:num w:numId="11">
    <w:abstractNumId w:val="10"/>
  </w:num>
  <w:num w:numId="12">
    <w:abstractNumId w:val="10"/>
  </w:num>
  <w:num w:numId="13">
    <w:abstractNumId w:val="10"/>
  </w:num>
  <w:num w:numId="14">
    <w:abstractNumId w:val="10"/>
  </w:num>
  <w:num w:numId="15">
    <w:abstractNumId w:val="20"/>
  </w:num>
  <w:num w:numId="16">
    <w:abstractNumId w:val="16"/>
  </w:num>
  <w:num w:numId="17">
    <w:abstractNumId w:val="16"/>
  </w:num>
  <w:num w:numId="18">
    <w:abstractNumId w:val="16"/>
  </w:num>
  <w:num w:numId="19">
    <w:abstractNumId w:val="10"/>
  </w:num>
  <w:num w:numId="20">
    <w:abstractNumId w:val="10"/>
  </w:num>
  <w:num w:numId="21">
    <w:abstractNumId w:val="10"/>
  </w:num>
  <w:num w:numId="22">
    <w:abstractNumId w:val="10"/>
  </w:num>
  <w:num w:numId="23">
    <w:abstractNumId w:val="16"/>
  </w:num>
  <w:num w:numId="24">
    <w:abstractNumId w:val="16"/>
  </w:num>
  <w:num w:numId="25">
    <w:abstractNumId w:val="16"/>
  </w:num>
  <w:num w:numId="26">
    <w:abstractNumId w:val="10"/>
  </w:num>
  <w:num w:numId="27">
    <w:abstractNumId w:val="10"/>
  </w:num>
  <w:num w:numId="28">
    <w:abstractNumId w:val="10"/>
  </w:num>
  <w:num w:numId="29">
    <w:abstractNumId w:val="10"/>
  </w:num>
  <w:num w:numId="30">
    <w:abstractNumId w:val="21"/>
  </w:num>
  <w:num w:numId="31">
    <w:abstractNumId w:val="19"/>
  </w:num>
  <w:num w:numId="32">
    <w:abstractNumId w:val="18"/>
  </w:num>
  <w:num w:numId="33">
    <w:abstractNumId w:val="17"/>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5"/>
  </w:num>
  <w:num w:numId="46">
    <w:abstractNumId w:val="14"/>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1054"/>
    <w:rsid w:val="00003D4C"/>
    <w:rsid w:val="00006F40"/>
    <w:rsid w:val="0000770B"/>
    <w:rsid w:val="0001259A"/>
    <w:rsid w:val="000142C6"/>
    <w:rsid w:val="000209C2"/>
    <w:rsid w:val="000252D9"/>
    <w:rsid w:val="00026512"/>
    <w:rsid w:val="00026820"/>
    <w:rsid w:val="00030D3B"/>
    <w:rsid w:val="00033747"/>
    <w:rsid w:val="00035D1E"/>
    <w:rsid w:val="00037260"/>
    <w:rsid w:val="00037CEE"/>
    <w:rsid w:val="00041CA1"/>
    <w:rsid w:val="000421AA"/>
    <w:rsid w:val="000447FA"/>
    <w:rsid w:val="00054738"/>
    <w:rsid w:val="000617DA"/>
    <w:rsid w:val="00062806"/>
    <w:rsid w:val="0006424C"/>
    <w:rsid w:val="00065B84"/>
    <w:rsid w:val="000679D9"/>
    <w:rsid w:val="0007302A"/>
    <w:rsid w:val="000740D8"/>
    <w:rsid w:val="000769B7"/>
    <w:rsid w:val="000778B1"/>
    <w:rsid w:val="00081BD2"/>
    <w:rsid w:val="0008552C"/>
    <w:rsid w:val="00085E97"/>
    <w:rsid w:val="00086D80"/>
    <w:rsid w:val="000935A8"/>
    <w:rsid w:val="00097D7B"/>
    <w:rsid w:val="000A047A"/>
    <w:rsid w:val="000A2550"/>
    <w:rsid w:val="000B0512"/>
    <w:rsid w:val="000B0716"/>
    <w:rsid w:val="000B2345"/>
    <w:rsid w:val="000B440E"/>
    <w:rsid w:val="000B6700"/>
    <w:rsid w:val="000B7B58"/>
    <w:rsid w:val="000C2C8A"/>
    <w:rsid w:val="000C3C48"/>
    <w:rsid w:val="000C70B9"/>
    <w:rsid w:val="000D0A1B"/>
    <w:rsid w:val="000D18E3"/>
    <w:rsid w:val="000D40FB"/>
    <w:rsid w:val="000E1A72"/>
    <w:rsid w:val="000E723F"/>
    <w:rsid w:val="000F5095"/>
    <w:rsid w:val="000F7C82"/>
    <w:rsid w:val="00110146"/>
    <w:rsid w:val="00110CF8"/>
    <w:rsid w:val="00111CCA"/>
    <w:rsid w:val="00112931"/>
    <w:rsid w:val="001145E6"/>
    <w:rsid w:val="00123C97"/>
    <w:rsid w:val="001254AD"/>
    <w:rsid w:val="0012771F"/>
    <w:rsid w:val="00130389"/>
    <w:rsid w:val="00130482"/>
    <w:rsid w:val="0013088B"/>
    <w:rsid w:val="00131ED6"/>
    <w:rsid w:val="00134778"/>
    <w:rsid w:val="00135FDD"/>
    <w:rsid w:val="00136925"/>
    <w:rsid w:val="001448DA"/>
    <w:rsid w:val="001454F7"/>
    <w:rsid w:val="00146044"/>
    <w:rsid w:val="001461FC"/>
    <w:rsid w:val="00150EF7"/>
    <w:rsid w:val="001511EA"/>
    <w:rsid w:val="0015147D"/>
    <w:rsid w:val="0015479D"/>
    <w:rsid w:val="00155FB5"/>
    <w:rsid w:val="00160101"/>
    <w:rsid w:val="00162FC4"/>
    <w:rsid w:val="00166765"/>
    <w:rsid w:val="001758B2"/>
    <w:rsid w:val="001826FE"/>
    <w:rsid w:val="00183837"/>
    <w:rsid w:val="001856AC"/>
    <w:rsid w:val="00186090"/>
    <w:rsid w:val="001862A2"/>
    <w:rsid w:val="00190FA7"/>
    <w:rsid w:val="00191BA5"/>
    <w:rsid w:val="00193643"/>
    <w:rsid w:val="00193962"/>
    <w:rsid w:val="00194A30"/>
    <w:rsid w:val="001A26BF"/>
    <w:rsid w:val="001A647C"/>
    <w:rsid w:val="001A715A"/>
    <w:rsid w:val="001B135A"/>
    <w:rsid w:val="001B1421"/>
    <w:rsid w:val="001B31A7"/>
    <w:rsid w:val="001B44F2"/>
    <w:rsid w:val="001B6379"/>
    <w:rsid w:val="001B6F3C"/>
    <w:rsid w:val="001C195B"/>
    <w:rsid w:val="001C54CB"/>
    <w:rsid w:val="001C5A3F"/>
    <w:rsid w:val="001C7CDC"/>
    <w:rsid w:val="001D0BB5"/>
    <w:rsid w:val="001D185B"/>
    <w:rsid w:val="001D1988"/>
    <w:rsid w:val="001D300E"/>
    <w:rsid w:val="001D4B1A"/>
    <w:rsid w:val="001D4D00"/>
    <w:rsid w:val="001D5063"/>
    <w:rsid w:val="001E3818"/>
    <w:rsid w:val="001E70BB"/>
    <w:rsid w:val="001F1627"/>
    <w:rsid w:val="001F3236"/>
    <w:rsid w:val="001F411C"/>
    <w:rsid w:val="001F5639"/>
    <w:rsid w:val="002002AB"/>
    <w:rsid w:val="00200B2E"/>
    <w:rsid w:val="00202AA9"/>
    <w:rsid w:val="00204C88"/>
    <w:rsid w:val="00206897"/>
    <w:rsid w:val="00206F0E"/>
    <w:rsid w:val="00207AC5"/>
    <w:rsid w:val="00207B2F"/>
    <w:rsid w:val="002102E6"/>
    <w:rsid w:val="00211E3D"/>
    <w:rsid w:val="002126AD"/>
    <w:rsid w:val="00213A78"/>
    <w:rsid w:val="00213F02"/>
    <w:rsid w:val="00220EB3"/>
    <w:rsid w:val="00221660"/>
    <w:rsid w:val="00223840"/>
    <w:rsid w:val="002315D1"/>
    <w:rsid w:val="002329A9"/>
    <w:rsid w:val="00235431"/>
    <w:rsid w:val="0024001E"/>
    <w:rsid w:val="00250B78"/>
    <w:rsid w:val="00253E9E"/>
    <w:rsid w:val="002547C9"/>
    <w:rsid w:val="00256CE7"/>
    <w:rsid w:val="00260AFD"/>
    <w:rsid w:val="00265773"/>
    <w:rsid w:val="00266AB1"/>
    <w:rsid w:val="002701F6"/>
    <w:rsid w:val="002705F2"/>
    <w:rsid w:val="002706BA"/>
    <w:rsid w:val="002728D5"/>
    <w:rsid w:val="00276E7E"/>
    <w:rsid w:val="00285648"/>
    <w:rsid w:val="00287735"/>
    <w:rsid w:val="0028782F"/>
    <w:rsid w:val="0028784B"/>
    <w:rsid w:val="002A20EA"/>
    <w:rsid w:val="002A2497"/>
    <w:rsid w:val="002A2AFC"/>
    <w:rsid w:val="002A4B93"/>
    <w:rsid w:val="002A553B"/>
    <w:rsid w:val="002C10E0"/>
    <w:rsid w:val="002D01B1"/>
    <w:rsid w:val="002D11E0"/>
    <w:rsid w:val="002D1BFD"/>
    <w:rsid w:val="002D334A"/>
    <w:rsid w:val="002D6264"/>
    <w:rsid w:val="002D7A02"/>
    <w:rsid w:val="002E05EB"/>
    <w:rsid w:val="002E1A83"/>
    <w:rsid w:val="002E1B20"/>
    <w:rsid w:val="002F039E"/>
    <w:rsid w:val="002F2806"/>
    <w:rsid w:val="002F3F00"/>
    <w:rsid w:val="002F4A41"/>
    <w:rsid w:val="002F7810"/>
    <w:rsid w:val="00301410"/>
    <w:rsid w:val="00301A95"/>
    <w:rsid w:val="003038CE"/>
    <w:rsid w:val="00305AC6"/>
    <w:rsid w:val="003100C6"/>
    <w:rsid w:val="0031030C"/>
    <w:rsid w:val="00311100"/>
    <w:rsid w:val="00311F51"/>
    <w:rsid w:val="0032029C"/>
    <w:rsid w:val="00323E5F"/>
    <w:rsid w:val="00324A4C"/>
    <w:rsid w:val="00327685"/>
    <w:rsid w:val="003330D3"/>
    <w:rsid w:val="0033580D"/>
    <w:rsid w:val="00335F48"/>
    <w:rsid w:val="00336C1D"/>
    <w:rsid w:val="00337CC7"/>
    <w:rsid w:val="00337E86"/>
    <w:rsid w:val="00343574"/>
    <w:rsid w:val="00347102"/>
    <w:rsid w:val="0035281E"/>
    <w:rsid w:val="00363299"/>
    <w:rsid w:val="003636DC"/>
    <w:rsid w:val="00364E72"/>
    <w:rsid w:val="003663A5"/>
    <w:rsid w:val="00367476"/>
    <w:rsid w:val="00370075"/>
    <w:rsid w:val="00371232"/>
    <w:rsid w:val="003758DE"/>
    <w:rsid w:val="003762EB"/>
    <w:rsid w:val="0037705A"/>
    <w:rsid w:val="0038194B"/>
    <w:rsid w:val="003825AC"/>
    <w:rsid w:val="00385492"/>
    <w:rsid w:val="00392CEF"/>
    <w:rsid w:val="003A7B7B"/>
    <w:rsid w:val="003A7E66"/>
    <w:rsid w:val="003B2999"/>
    <w:rsid w:val="003B3DA2"/>
    <w:rsid w:val="003B4E31"/>
    <w:rsid w:val="003B56FA"/>
    <w:rsid w:val="003B728F"/>
    <w:rsid w:val="003C3E9D"/>
    <w:rsid w:val="003D0476"/>
    <w:rsid w:val="003D1123"/>
    <w:rsid w:val="003D642D"/>
    <w:rsid w:val="003D77EF"/>
    <w:rsid w:val="003E4905"/>
    <w:rsid w:val="003E4F53"/>
    <w:rsid w:val="003E68F8"/>
    <w:rsid w:val="003E7394"/>
    <w:rsid w:val="003F0DCA"/>
    <w:rsid w:val="003F2CFA"/>
    <w:rsid w:val="003F3F78"/>
    <w:rsid w:val="0040048F"/>
    <w:rsid w:val="004036CA"/>
    <w:rsid w:val="00411012"/>
    <w:rsid w:val="004152D0"/>
    <w:rsid w:val="004167E9"/>
    <w:rsid w:val="00420AB4"/>
    <w:rsid w:val="00422867"/>
    <w:rsid w:val="00426F96"/>
    <w:rsid w:val="004323F7"/>
    <w:rsid w:val="00441932"/>
    <w:rsid w:val="004427D6"/>
    <w:rsid w:val="00446192"/>
    <w:rsid w:val="00451A80"/>
    <w:rsid w:val="00452F5F"/>
    <w:rsid w:val="00453412"/>
    <w:rsid w:val="0045751B"/>
    <w:rsid w:val="00457CA4"/>
    <w:rsid w:val="004601F3"/>
    <w:rsid w:val="00461D26"/>
    <w:rsid w:val="0046374C"/>
    <w:rsid w:val="0047125F"/>
    <w:rsid w:val="00471663"/>
    <w:rsid w:val="00472698"/>
    <w:rsid w:val="00472997"/>
    <w:rsid w:val="00472DC8"/>
    <w:rsid w:val="00474EE6"/>
    <w:rsid w:val="00475237"/>
    <w:rsid w:val="00481B22"/>
    <w:rsid w:val="00483386"/>
    <w:rsid w:val="00485979"/>
    <w:rsid w:val="00491987"/>
    <w:rsid w:val="00493E8A"/>
    <w:rsid w:val="004946A0"/>
    <w:rsid w:val="00495667"/>
    <w:rsid w:val="00496571"/>
    <w:rsid w:val="004A0195"/>
    <w:rsid w:val="004A0B69"/>
    <w:rsid w:val="004A0BD1"/>
    <w:rsid w:val="004A1D3E"/>
    <w:rsid w:val="004A3DB2"/>
    <w:rsid w:val="004A3DB8"/>
    <w:rsid w:val="004A7592"/>
    <w:rsid w:val="004A7EBD"/>
    <w:rsid w:val="004B199F"/>
    <w:rsid w:val="004B27E1"/>
    <w:rsid w:val="004B37BB"/>
    <w:rsid w:val="004B44D3"/>
    <w:rsid w:val="004B52BA"/>
    <w:rsid w:val="004B72F9"/>
    <w:rsid w:val="004B74B8"/>
    <w:rsid w:val="004B7B28"/>
    <w:rsid w:val="004C3698"/>
    <w:rsid w:val="004C438D"/>
    <w:rsid w:val="004C4A17"/>
    <w:rsid w:val="004D1792"/>
    <w:rsid w:val="004D7AA4"/>
    <w:rsid w:val="004E30A0"/>
    <w:rsid w:val="004E3743"/>
    <w:rsid w:val="004E3B59"/>
    <w:rsid w:val="004E5326"/>
    <w:rsid w:val="004F2705"/>
    <w:rsid w:val="004F5751"/>
    <w:rsid w:val="004F6779"/>
    <w:rsid w:val="0050119B"/>
    <w:rsid w:val="00507C3F"/>
    <w:rsid w:val="00513CD8"/>
    <w:rsid w:val="00516FFC"/>
    <w:rsid w:val="00521C7C"/>
    <w:rsid w:val="005327C4"/>
    <w:rsid w:val="00536110"/>
    <w:rsid w:val="005374FB"/>
    <w:rsid w:val="005400CF"/>
    <w:rsid w:val="00540609"/>
    <w:rsid w:val="0054665E"/>
    <w:rsid w:val="0055560F"/>
    <w:rsid w:val="00556939"/>
    <w:rsid w:val="00557AB2"/>
    <w:rsid w:val="005637D4"/>
    <w:rsid w:val="00563C1B"/>
    <w:rsid w:val="00563ECB"/>
    <w:rsid w:val="00567B2D"/>
    <w:rsid w:val="005716C4"/>
    <w:rsid w:val="00573DC3"/>
    <w:rsid w:val="00574ECF"/>
    <w:rsid w:val="00580EDE"/>
    <w:rsid w:val="00581742"/>
    <w:rsid w:val="00581818"/>
    <w:rsid w:val="00585D34"/>
    <w:rsid w:val="00586BC7"/>
    <w:rsid w:val="005928B0"/>
    <w:rsid w:val="0059580B"/>
    <w:rsid w:val="00596371"/>
    <w:rsid w:val="00597D2E"/>
    <w:rsid w:val="005A184B"/>
    <w:rsid w:val="005A1E5B"/>
    <w:rsid w:val="005A257C"/>
    <w:rsid w:val="005A57EA"/>
    <w:rsid w:val="005A5D20"/>
    <w:rsid w:val="005B0BA5"/>
    <w:rsid w:val="005B15F1"/>
    <w:rsid w:val="005B64F7"/>
    <w:rsid w:val="005C399E"/>
    <w:rsid w:val="005C528F"/>
    <w:rsid w:val="005D0135"/>
    <w:rsid w:val="005D44CC"/>
    <w:rsid w:val="005E2C2D"/>
    <w:rsid w:val="005F0DCD"/>
    <w:rsid w:val="005F1BB6"/>
    <w:rsid w:val="005F2D86"/>
    <w:rsid w:val="005F75F3"/>
    <w:rsid w:val="006006EE"/>
    <w:rsid w:val="00601410"/>
    <w:rsid w:val="00601479"/>
    <w:rsid w:val="00602748"/>
    <w:rsid w:val="00602A8C"/>
    <w:rsid w:val="00605087"/>
    <w:rsid w:val="0061737F"/>
    <w:rsid w:val="0062292C"/>
    <w:rsid w:val="006238EC"/>
    <w:rsid w:val="00623B45"/>
    <w:rsid w:val="00623DEF"/>
    <w:rsid w:val="0062470C"/>
    <w:rsid w:val="006257B3"/>
    <w:rsid w:val="00625ED2"/>
    <w:rsid w:val="00626F06"/>
    <w:rsid w:val="00627B78"/>
    <w:rsid w:val="00627DB2"/>
    <w:rsid w:val="00627F01"/>
    <w:rsid w:val="00632E74"/>
    <w:rsid w:val="0063369F"/>
    <w:rsid w:val="00636C11"/>
    <w:rsid w:val="006407D9"/>
    <w:rsid w:val="006425BF"/>
    <w:rsid w:val="0064374D"/>
    <w:rsid w:val="00650CD4"/>
    <w:rsid w:val="00652454"/>
    <w:rsid w:val="00652D2B"/>
    <w:rsid w:val="006543C0"/>
    <w:rsid w:val="006565DE"/>
    <w:rsid w:val="00656EE6"/>
    <w:rsid w:val="00665271"/>
    <w:rsid w:val="00666480"/>
    <w:rsid w:val="0067235D"/>
    <w:rsid w:val="00672E53"/>
    <w:rsid w:val="00680197"/>
    <w:rsid w:val="0068091D"/>
    <w:rsid w:val="006837C7"/>
    <w:rsid w:val="0068556E"/>
    <w:rsid w:val="006927ED"/>
    <w:rsid w:val="00692A07"/>
    <w:rsid w:val="006935B5"/>
    <w:rsid w:val="00693FEB"/>
    <w:rsid w:val="00695B28"/>
    <w:rsid w:val="00696BEF"/>
    <w:rsid w:val="00697684"/>
    <w:rsid w:val="006A5780"/>
    <w:rsid w:val="006A5A5A"/>
    <w:rsid w:val="006A7235"/>
    <w:rsid w:val="006B1124"/>
    <w:rsid w:val="006B2198"/>
    <w:rsid w:val="006B550D"/>
    <w:rsid w:val="006B7DA6"/>
    <w:rsid w:val="006C1840"/>
    <w:rsid w:val="006C2C56"/>
    <w:rsid w:val="006C44BE"/>
    <w:rsid w:val="006C4B13"/>
    <w:rsid w:val="006C59AE"/>
    <w:rsid w:val="006C6BFE"/>
    <w:rsid w:val="006D12EB"/>
    <w:rsid w:val="006D31C8"/>
    <w:rsid w:val="006E3735"/>
    <w:rsid w:val="006F043E"/>
    <w:rsid w:val="006F1BD7"/>
    <w:rsid w:val="006F28A7"/>
    <w:rsid w:val="006F6B3A"/>
    <w:rsid w:val="006F6BC4"/>
    <w:rsid w:val="006F73FF"/>
    <w:rsid w:val="00701927"/>
    <w:rsid w:val="0070467B"/>
    <w:rsid w:val="00704F61"/>
    <w:rsid w:val="00711955"/>
    <w:rsid w:val="007125B6"/>
    <w:rsid w:val="007150B8"/>
    <w:rsid w:val="00715C62"/>
    <w:rsid w:val="00716DC5"/>
    <w:rsid w:val="00717A64"/>
    <w:rsid w:val="007244E6"/>
    <w:rsid w:val="007378C8"/>
    <w:rsid w:val="00742456"/>
    <w:rsid w:val="00760870"/>
    <w:rsid w:val="00763DC6"/>
    <w:rsid w:val="00766402"/>
    <w:rsid w:val="007666E2"/>
    <w:rsid w:val="00772AF3"/>
    <w:rsid w:val="0077430B"/>
    <w:rsid w:val="00775294"/>
    <w:rsid w:val="00780F4B"/>
    <w:rsid w:val="00782853"/>
    <w:rsid w:val="007A1E55"/>
    <w:rsid w:val="007B256E"/>
    <w:rsid w:val="007B2795"/>
    <w:rsid w:val="007B3848"/>
    <w:rsid w:val="007B6072"/>
    <w:rsid w:val="007C2A4D"/>
    <w:rsid w:val="007C7016"/>
    <w:rsid w:val="007D3D25"/>
    <w:rsid w:val="007D6C24"/>
    <w:rsid w:val="007E586A"/>
    <w:rsid w:val="007E63F7"/>
    <w:rsid w:val="007F38C9"/>
    <w:rsid w:val="007F67C5"/>
    <w:rsid w:val="007F763B"/>
    <w:rsid w:val="00803079"/>
    <w:rsid w:val="0081215F"/>
    <w:rsid w:val="008242E6"/>
    <w:rsid w:val="0082460A"/>
    <w:rsid w:val="00832076"/>
    <w:rsid w:val="00834193"/>
    <w:rsid w:val="00837039"/>
    <w:rsid w:val="008461DD"/>
    <w:rsid w:val="00850FB2"/>
    <w:rsid w:val="008525A1"/>
    <w:rsid w:val="0085707A"/>
    <w:rsid w:val="00857319"/>
    <w:rsid w:val="0085794A"/>
    <w:rsid w:val="00863D37"/>
    <w:rsid w:val="008650E7"/>
    <w:rsid w:val="00874367"/>
    <w:rsid w:val="00882711"/>
    <w:rsid w:val="0088380E"/>
    <w:rsid w:val="00884E1F"/>
    <w:rsid w:val="00892A42"/>
    <w:rsid w:val="008970C0"/>
    <w:rsid w:val="008971F0"/>
    <w:rsid w:val="008A0EF8"/>
    <w:rsid w:val="008A110F"/>
    <w:rsid w:val="008A1C0F"/>
    <w:rsid w:val="008A2DEB"/>
    <w:rsid w:val="008A32F7"/>
    <w:rsid w:val="008A41F4"/>
    <w:rsid w:val="008A4541"/>
    <w:rsid w:val="008A5279"/>
    <w:rsid w:val="008A53E9"/>
    <w:rsid w:val="008A6D8C"/>
    <w:rsid w:val="008B13C8"/>
    <w:rsid w:val="008B449C"/>
    <w:rsid w:val="008B5DA8"/>
    <w:rsid w:val="008B7B5E"/>
    <w:rsid w:val="008C51AC"/>
    <w:rsid w:val="008C6ACA"/>
    <w:rsid w:val="008C6BD7"/>
    <w:rsid w:val="008C71D0"/>
    <w:rsid w:val="008D03CB"/>
    <w:rsid w:val="008D1960"/>
    <w:rsid w:val="008D33D5"/>
    <w:rsid w:val="008D70DC"/>
    <w:rsid w:val="008E2E54"/>
    <w:rsid w:val="008E4F1B"/>
    <w:rsid w:val="008E6448"/>
    <w:rsid w:val="008F3084"/>
    <w:rsid w:val="0090020F"/>
    <w:rsid w:val="0090094F"/>
    <w:rsid w:val="00900FE4"/>
    <w:rsid w:val="00901CC9"/>
    <w:rsid w:val="00901D27"/>
    <w:rsid w:val="00904BBC"/>
    <w:rsid w:val="00905526"/>
    <w:rsid w:val="00905B83"/>
    <w:rsid w:val="009068E2"/>
    <w:rsid w:val="0091008E"/>
    <w:rsid w:val="00912CB4"/>
    <w:rsid w:val="00913B55"/>
    <w:rsid w:val="00913D22"/>
    <w:rsid w:val="0091668D"/>
    <w:rsid w:val="00923007"/>
    <w:rsid w:val="00924E7A"/>
    <w:rsid w:val="00927AC2"/>
    <w:rsid w:val="00930423"/>
    <w:rsid w:val="009337D0"/>
    <w:rsid w:val="00934A0A"/>
    <w:rsid w:val="00935E4C"/>
    <w:rsid w:val="00936D40"/>
    <w:rsid w:val="00937132"/>
    <w:rsid w:val="009376B8"/>
    <w:rsid w:val="00937751"/>
    <w:rsid w:val="00942679"/>
    <w:rsid w:val="00942875"/>
    <w:rsid w:val="009429F9"/>
    <w:rsid w:val="00943D71"/>
    <w:rsid w:val="00944E79"/>
    <w:rsid w:val="00952497"/>
    <w:rsid w:val="00954B60"/>
    <w:rsid w:val="00955D33"/>
    <w:rsid w:val="00955E73"/>
    <w:rsid w:val="00960442"/>
    <w:rsid w:val="009649DB"/>
    <w:rsid w:val="009665B9"/>
    <w:rsid w:val="0096697B"/>
    <w:rsid w:val="0096743C"/>
    <w:rsid w:val="00967BB3"/>
    <w:rsid w:val="00971FB8"/>
    <w:rsid w:val="009845EA"/>
    <w:rsid w:val="00985B34"/>
    <w:rsid w:val="0099116F"/>
    <w:rsid w:val="00991DA0"/>
    <w:rsid w:val="0099364B"/>
    <w:rsid w:val="009941BC"/>
    <w:rsid w:val="0099539E"/>
    <w:rsid w:val="009962F6"/>
    <w:rsid w:val="009A3F5D"/>
    <w:rsid w:val="009A5924"/>
    <w:rsid w:val="009A61AF"/>
    <w:rsid w:val="009B05A7"/>
    <w:rsid w:val="009B2414"/>
    <w:rsid w:val="009B5DCC"/>
    <w:rsid w:val="009C21BC"/>
    <w:rsid w:val="009C476A"/>
    <w:rsid w:val="009C5BEC"/>
    <w:rsid w:val="009C7E59"/>
    <w:rsid w:val="009D1D0B"/>
    <w:rsid w:val="009D213B"/>
    <w:rsid w:val="009D34E6"/>
    <w:rsid w:val="009D4C83"/>
    <w:rsid w:val="009D5255"/>
    <w:rsid w:val="009D56EC"/>
    <w:rsid w:val="009D5834"/>
    <w:rsid w:val="009E3A2B"/>
    <w:rsid w:val="009E5A3D"/>
    <w:rsid w:val="009E6C11"/>
    <w:rsid w:val="009F2DD5"/>
    <w:rsid w:val="009F3D41"/>
    <w:rsid w:val="009F47AB"/>
    <w:rsid w:val="00A018FF"/>
    <w:rsid w:val="00A01A1D"/>
    <w:rsid w:val="00A0270A"/>
    <w:rsid w:val="00A04083"/>
    <w:rsid w:val="00A10A12"/>
    <w:rsid w:val="00A161F9"/>
    <w:rsid w:val="00A17618"/>
    <w:rsid w:val="00A178D6"/>
    <w:rsid w:val="00A20585"/>
    <w:rsid w:val="00A208D2"/>
    <w:rsid w:val="00A23877"/>
    <w:rsid w:val="00A243C2"/>
    <w:rsid w:val="00A25F52"/>
    <w:rsid w:val="00A308C1"/>
    <w:rsid w:val="00A3261B"/>
    <w:rsid w:val="00A3281F"/>
    <w:rsid w:val="00A32934"/>
    <w:rsid w:val="00A32E36"/>
    <w:rsid w:val="00A344B0"/>
    <w:rsid w:val="00A35269"/>
    <w:rsid w:val="00A357DE"/>
    <w:rsid w:val="00A41410"/>
    <w:rsid w:val="00A4495A"/>
    <w:rsid w:val="00A449F9"/>
    <w:rsid w:val="00A45F73"/>
    <w:rsid w:val="00A4752A"/>
    <w:rsid w:val="00A57717"/>
    <w:rsid w:val="00A57EE2"/>
    <w:rsid w:val="00A6142C"/>
    <w:rsid w:val="00A63E53"/>
    <w:rsid w:val="00A64931"/>
    <w:rsid w:val="00A65DAE"/>
    <w:rsid w:val="00A67D18"/>
    <w:rsid w:val="00A729DA"/>
    <w:rsid w:val="00A73BC4"/>
    <w:rsid w:val="00A74F75"/>
    <w:rsid w:val="00A77BD6"/>
    <w:rsid w:val="00A80DB9"/>
    <w:rsid w:val="00A82A65"/>
    <w:rsid w:val="00A84C80"/>
    <w:rsid w:val="00A84F24"/>
    <w:rsid w:val="00A85028"/>
    <w:rsid w:val="00A85068"/>
    <w:rsid w:val="00A85719"/>
    <w:rsid w:val="00A8584D"/>
    <w:rsid w:val="00A85B85"/>
    <w:rsid w:val="00A9066B"/>
    <w:rsid w:val="00A91959"/>
    <w:rsid w:val="00A91F5E"/>
    <w:rsid w:val="00A94C2F"/>
    <w:rsid w:val="00AA2C6A"/>
    <w:rsid w:val="00AA3CBD"/>
    <w:rsid w:val="00AA3E52"/>
    <w:rsid w:val="00AA3F2A"/>
    <w:rsid w:val="00AB08F3"/>
    <w:rsid w:val="00AB1ACB"/>
    <w:rsid w:val="00AB2EAA"/>
    <w:rsid w:val="00AC0E20"/>
    <w:rsid w:val="00AC28DD"/>
    <w:rsid w:val="00AC4CF3"/>
    <w:rsid w:val="00AC5251"/>
    <w:rsid w:val="00AD2E16"/>
    <w:rsid w:val="00AE21B0"/>
    <w:rsid w:val="00AF28F1"/>
    <w:rsid w:val="00AF2F02"/>
    <w:rsid w:val="00AF340B"/>
    <w:rsid w:val="00AF38EB"/>
    <w:rsid w:val="00AF41E7"/>
    <w:rsid w:val="00AF6F1B"/>
    <w:rsid w:val="00AF7754"/>
    <w:rsid w:val="00B01182"/>
    <w:rsid w:val="00B038C8"/>
    <w:rsid w:val="00B0532F"/>
    <w:rsid w:val="00B149D9"/>
    <w:rsid w:val="00B15C42"/>
    <w:rsid w:val="00B1749A"/>
    <w:rsid w:val="00B24382"/>
    <w:rsid w:val="00B27FC2"/>
    <w:rsid w:val="00B30BC0"/>
    <w:rsid w:val="00B32E7E"/>
    <w:rsid w:val="00B33801"/>
    <w:rsid w:val="00B33C7E"/>
    <w:rsid w:val="00B41127"/>
    <w:rsid w:val="00B424B6"/>
    <w:rsid w:val="00B42812"/>
    <w:rsid w:val="00B42C94"/>
    <w:rsid w:val="00B45468"/>
    <w:rsid w:val="00B52D83"/>
    <w:rsid w:val="00B54306"/>
    <w:rsid w:val="00B5459B"/>
    <w:rsid w:val="00B54933"/>
    <w:rsid w:val="00B56F3C"/>
    <w:rsid w:val="00B57D32"/>
    <w:rsid w:val="00B57E9B"/>
    <w:rsid w:val="00B6000B"/>
    <w:rsid w:val="00B614F2"/>
    <w:rsid w:val="00B6357E"/>
    <w:rsid w:val="00B6631C"/>
    <w:rsid w:val="00B67E51"/>
    <w:rsid w:val="00B70260"/>
    <w:rsid w:val="00B75005"/>
    <w:rsid w:val="00B82875"/>
    <w:rsid w:val="00B84B97"/>
    <w:rsid w:val="00B85B0E"/>
    <w:rsid w:val="00B90A33"/>
    <w:rsid w:val="00B917F0"/>
    <w:rsid w:val="00B91B21"/>
    <w:rsid w:val="00B91B49"/>
    <w:rsid w:val="00B92ACF"/>
    <w:rsid w:val="00B92EC8"/>
    <w:rsid w:val="00B9445C"/>
    <w:rsid w:val="00B9459A"/>
    <w:rsid w:val="00B9540E"/>
    <w:rsid w:val="00B972E3"/>
    <w:rsid w:val="00BA01A3"/>
    <w:rsid w:val="00BA05D9"/>
    <w:rsid w:val="00BA2176"/>
    <w:rsid w:val="00BA326A"/>
    <w:rsid w:val="00BA33D4"/>
    <w:rsid w:val="00BA3615"/>
    <w:rsid w:val="00BA3BD6"/>
    <w:rsid w:val="00BA475A"/>
    <w:rsid w:val="00BA540D"/>
    <w:rsid w:val="00BA6344"/>
    <w:rsid w:val="00BB1354"/>
    <w:rsid w:val="00BB3195"/>
    <w:rsid w:val="00BB37E7"/>
    <w:rsid w:val="00BC0F08"/>
    <w:rsid w:val="00BC1E50"/>
    <w:rsid w:val="00BC2C25"/>
    <w:rsid w:val="00BC39EA"/>
    <w:rsid w:val="00BC5E25"/>
    <w:rsid w:val="00BC61E4"/>
    <w:rsid w:val="00BD0A70"/>
    <w:rsid w:val="00BD1612"/>
    <w:rsid w:val="00BD350C"/>
    <w:rsid w:val="00BD6C5B"/>
    <w:rsid w:val="00BE258C"/>
    <w:rsid w:val="00BE2EB7"/>
    <w:rsid w:val="00BE4C65"/>
    <w:rsid w:val="00BE4F39"/>
    <w:rsid w:val="00BF1681"/>
    <w:rsid w:val="00BF2B29"/>
    <w:rsid w:val="00BF43A8"/>
    <w:rsid w:val="00C00BAC"/>
    <w:rsid w:val="00C00D25"/>
    <w:rsid w:val="00C05790"/>
    <w:rsid w:val="00C05F89"/>
    <w:rsid w:val="00C06C8C"/>
    <w:rsid w:val="00C137F1"/>
    <w:rsid w:val="00C138FE"/>
    <w:rsid w:val="00C17C66"/>
    <w:rsid w:val="00C21008"/>
    <w:rsid w:val="00C25423"/>
    <w:rsid w:val="00C30240"/>
    <w:rsid w:val="00C30DBD"/>
    <w:rsid w:val="00C33E74"/>
    <w:rsid w:val="00C33F47"/>
    <w:rsid w:val="00C40D61"/>
    <w:rsid w:val="00C43878"/>
    <w:rsid w:val="00C4426A"/>
    <w:rsid w:val="00C4578E"/>
    <w:rsid w:val="00C46933"/>
    <w:rsid w:val="00C46C02"/>
    <w:rsid w:val="00C474B8"/>
    <w:rsid w:val="00C5033E"/>
    <w:rsid w:val="00C5112B"/>
    <w:rsid w:val="00C52E04"/>
    <w:rsid w:val="00C5515F"/>
    <w:rsid w:val="00C57F42"/>
    <w:rsid w:val="00C63880"/>
    <w:rsid w:val="00C65975"/>
    <w:rsid w:val="00C67210"/>
    <w:rsid w:val="00C72E1D"/>
    <w:rsid w:val="00C7325C"/>
    <w:rsid w:val="00C765A8"/>
    <w:rsid w:val="00C769B5"/>
    <w:rsid w:val="00C8044E"/>
    <w:rsid w:val="00C82EA3"/>
    <w:rsid w:val="00C830DB"/>
    <w:rsid w:val="00C83FE5"/>
    <w:rsid w:val="00C8403F"/>
    <w:rsid w:val="00C85352"/>
    <w:rsid w:val="00C85AAA"/>
    <w:rsid w:val="00C86603"/>
    <w:rsid w:val="00C86886"/>
    <w:rsid w:val="00C906A4"/>
    <w:rsid w:val="00C9228E"/>
    <w:rsid w:val="00C957A0"/>
    <w:rsid w:val="00CA5A62"/>
    <w:rsid w:val="00CB03F9"/>
    <w:rsid w:val="00CB0A41"/>
    <w:rsid w:val="00CB0F43"/>
    <w:rsid w:val="00CB16AF"/>
    <w:rsid w:val="00CB2A38"/>
    <w:rsid w:val="00CB6934"/>
    <w:rsid w:val="00CB6DFF"/>
    <w:rsid w:val="00CB7A48"/>
    <w:rsid w:val="00CC2293"/>
    <w:rsid w:val="00CC5968"/>
    <w:rsid w:val="00CC6348"/>
    <w:rsid w:val="00CC68C6"/>
    <w:rsid w:val="00CD3DE9"/>
    <w:rsid w:val="00CE165C"/>
    <w:rsid w:val="00CE2FA5"/>
    <w:rsid w:val="00CE39C7"/>
    <w:rsid w:val="00CE519B"/>
    <w:rsid w:val="00CE61B3"/>
    <w:rsid w:val="00CE7959"/>
    <w:rsid w:val="00CF237B"/>
    <w:rsid w:val="00CF4F77"/>
    <w:rsid w:val="00CF5246"/>
    <w:rsid w:val="00CF6E2E"/>
    <w:rsid w:val="00D012A4"/>
    <w:rsid w:val="00D01BB0"/>
    <w:rsid w:val="00D01F73"/>
    <w:rsid w:val="00D03FFC"/>
    <w:rsid w:val="00D110CF"/>
    <w:rsid w:val="00D13A45"/>
    <w:rsid w:val="00D1693B"/>
    <w:rsid w:val="00D17546"/>
    <w:rsid w:val="00D2033D"/>
    <w:rsid w:val="00D2773B"/>
    <w:rsid w:val="00D32DAF"/>
    <w:rsid w:val="00D3515A"/>
    <w:rsid w:val="00D358E6"/>
    <w:rsid w:val="00D36DC4"/>
    <w:rsid w:val="00D4262C"/>
    <w:rsid w:val="00D427DC"/>
    <w:rsid w:val="00D43515"/>
    <w:rsid w:val="00D44A01"/>
    <w:rsid w:val="00D459BF"/>
    <w:rsid w:val="00D51840"/>
    <w:rsid w:val="00D530BC"/>
    <w:rsid w:val="00D575EA"/>
    <w:rsid w:val="00D57830"/>
    <w:rsid w:val="00D609A3"/>
    <w:rsid w:val="00D61AC6"/>
    <w:rsid w:val="00D63177"/>
    <w:rsid w:val="00D63947"/>
    <w:rsid w:val="00D63AE9"/>
    <w:rsid w:val="00D653B8"/>
    <w:rsid w:val="00D660D1"/>
    <w:rsid w:val="00D71470"/>
    <w:rsid w:val="00D72141"/>
    <w:rsid w:val="00D73312"/>
    <w:rsid w:val="00D760D8"/>
    <w:rsid w:val="00D76EB6"/>
    <w:rsid w:val="00D85969"/>
    <w:rsid w:val="00D91302"/>
    <w:rsid w:val="00D91CC5"/>
    <w:rsid w:val="00D92499"/>
    <w:rsid w:val="00D94015"/>
    <w:rsid w:val="00D96661"/>
    <w:rsid w:val="00D976C2"/>
    <w:rsid w:val="00D97BDD"/>
    <w:rsid w:val="00DA0130"/>
    <w:rsid w:val="00DA2F4D"/>
    <w:rsid w:val="00DA4991"/>
    <w:rsid w:val="00DA57D2"/>
    <w:rsid w:val="00DA5BA8"/>
    <w:rsid w:val="00DB1A60"/>
    <w:rsid w:val="00DB1EC8"/>
    <w:rsid w:val="00DB23DD"/>
    <w:rsid w:val="00DB4496"/>
    <w:rsid w:val="00DC33E8"/>
    <w:rsid w:val="00DC7659"/>
    <w:rsid w:val="00DD01A5"/>
    <w:rsid w:val="00DD0754"/>
    <w:rsid w:val="00DD0F64"/>
    <w:rsid w:val="00DD27B3"/>
    <w:rsid w:val="00DD73C1"/>
    <w:rsid w:val="00DE11E0"/>
    <w:rsid w:val="00DE2979"/>
    <w:rsid w:val="00DE4393"/>
    <w:rsid w:val="00DE735F"/>
    <w:rsid w:val="00DF6400"/>
    <w:rsid w:val="00DF7106"/>
    <w:rsid w:val="00DF7C91"/>
    <w:rsid w:val="00E01AE9"/>
    <w:rsid w:val="00E055F1"/>
    <w:rsid w:val="00E16B2E"/>
    <w:rsid w:val="00E17857"/>
    <w:rsid w:val="00E2129D"/>
    <w:rsid w:val="00E24805"/>
    <w:rsid w:val="00E269AD"/>
    <w:rsid w:val="00E271AB"/>
    <w:rsid w:val="00E35361"/>
    <w:rsid w:val="00E35CDD"/>
    <w:rsid w:val="00E35F9F"/>
    <w:rsid w:val="00E36565"/>
    <w:rsid w:val="00E370EC"/>
    <w:rsid w:val="00E43630"/>
    <w:rsid w:val="00E443AF"/>
    <w:rsid w:val="00E456F4"/>
    <w:rsid w:val="00E51D05"/>
    <w:rsid w:val="00E54822"/>
    <w:rsid w:val="00E620C9"/>
    <w:rsid w:val="00E6315B"/>
    <w:rsid w:val="00E6470E"/>
    <w:rsid w:val="00E658A9"/>
    <w:rsid w:val="00E7007E"/>
    <w:rsid w:val="00E70E73"/>
    <w:rsid w:val="00E714FF"/>
    <w:rsid w:val="00E74962"/>
    <w:rsid w:val="00E766CE"/>
    <w:rsid w:val="00E76F54"/>
    <w:rsid w:val="00E779AC"/>
    <w:rsid w:val="00E83BE5"/>
    <w:rsid w:val="00E86EE6"/>
    <w:rsid w:val="00E91D02"/>
    <w:rsid w:val="00E92CF1"/>
    <w:rsid w:val="00E9303C"/>
    <w:rsid w:val="00E96860"/>
    <w:rsid w:val="00E97347"/>
    <w:rsid w:val="00EA0421"/>
    <w:rsid w:val="00EA1A0F"/>
    <w:rsid w:val="00EA1B4A"/>
    <w:rsid w:val="00EA2FA8"/>
    <w:rsid w:val="00EA4279"/>
    <w:rsid w:val="00EA6E20"/>
    <w:rsid w:val="00EB09E4"/>
    <w:rsid w:val="00EB16C8"/>
    <w:rsid w:val="00EB1EFF"/>
    <w:rsid w:val="00EB4658"/>
    <w:rsid w:val="00EB564A"/>
    <w:rsid w:val="00EB591E"/>
    <w:rsid w:val="00EB5B98"/>
    <w:rsid w:val="00EC3871"/>
    <w:rsid w:val="00ED0DCA"/>
    <w:rsid w:val="00ED39F4"/>
    <w:rsid w:val="00EE38F1"/>
    <w:rsid w:val="00EE6CF3"/>
    <w:rsid w:val="00EF06ED"/>
    <w:rsid w:val="00EF1DEC"/>
    <w:rsid w:val="00EF523A"/>
    <w:rsid w:val="00EF5E8C"/>
    <w:rsid w:val="00EF7E93"/>
    <w:rsid w:val="00F02620"/>
    <w:rsid w:val="00F031E0"/>
    <w:rsid w:val="00F0330D"/>
    <w:rsid w:val="00F03F27"/>
    <w:rsid w:val="00F05A65"/>
    <w:rsid w:val="00F062F2"/>
    <w:rsid w:val="00F13013"/>
    <w:rsid w:val="00F13469"/>
    <w:rsid w:val="00F158C8"/>
    <w:rsid w:val="00F23071"/>
    <w:rsid w:val="00F25527"/>
    <w:rsid w:val="00F25E73"/>
    <w:rsid w:val="00F338EA"/>
    <w:rsid w:val="00F34251"/>
    <w:rsid w:val="00F37232"/>
    <w:rsid w:val="00F45DC7"/>
    <w:rsid w:val="00F4613C"/>
    <w:rsid w:val="00F46A24"/>
    <w:rsid w:val="00F5201B"/>
    <w:rsid w:val="00F53671"/>
    <w:rsid w:val="00F56B64"/>
    <w:rsid w:val="00F57840"/>
    <w:rsid w:val="00F60005"/>
    <w:rsid w:val="00F639C0"/>
    <w:rsid w:val="00F7016B"/>
    <w:rsid w:val="00F727BC"/>
    <w:rsid w:val="00F75397"/>
    <w:rsid w:val="00F773C7"/>
    <w:rsid w:val="00F818A4"/>
    <w:rsid w:val="00F81FB9"/>
    <w:rsid w:val="00F91BDB"/>
    <w:rsid w:val="00F96FF7"/>
    <w:rsid w:val="00FA6BEE"/>
    <w:rsid w:val="00FB109D"/>
    <w:rsid w:val="00FB5799"/>
    <w:rsid w:val="00FB6D80"/>
    <w:rsid w:val="00FB7FB2"/>
    <w:rsid w:val="00FC40D9"/>
    <w:rsid w:val="00FC426B"/>
    <w:rsid w:val="00FC4ABF"/>
    <w:rsid w:val="00FC5B0F"/>
    <w:rsid w:val="00FF19C3"/>
    <w:rsid w:val="00FF1F20"/>
    <w:rsid w:val="00FF2943"/>
    <w:rsid w:val="00FF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D327F"/>
  <w15:chartTrackingRefBased/>
  <w15:docId w15:val="{CB481945-0A54-694D-9DE0-4CD33F25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4D"/>
    <w:pPr>
      <w:spacing w:line="480" w:lineRule="auto"/>
      <w:ind w:firstLine="720"/>
      <w:jc w:val="both"/>
    </w:pPr>
    <w:rPr>
      <w:sz w:val="24"/>
      <w:szCs w:val="24"/>
      <w:lang w:eastAsia="en-US"/>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Body">
    <w:name w:val="Body"/>
    <w:rsid w:val="00F23071"/>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0">
    <w:name w:val="Hyperlink.0"/>
    <w:rsid w:val="00F23071"/>
    <w:rPr>
      <w:color w:val="000000"/>
      <w:u w:color="000000"/>
    </w:rPr>
  </w:style>
  <w:style w:type="character" w:customStyle="1" w:styleId="None">
    <w:name w:val="None"/>
    <w:rsid w:val="00F23071"/>
  </w:style>
  <w:style w:type="character" w:styleId="PlaceholderText">
    <w:name w:val="Placeholder Text"/>
    <w:basedOn w:val="DefaultParagraphFont"/>
    <w:uiPriority w:val="99"/>
    <w:semiHidden/>
    <w:rsid w:val="008525A1"/>
    <w:rPr>
      <w:color w:val="808080"/>
    </w:rPr>
  </w:style>
  <w:style w:type="table" w:customStyle="1" w:styleId="TableGrid1">
    <w:name w:val="Table Grid1"/>
    <w:basedOn w:val="TableNormal"/>
    <w:next w:val="TableGrid"/>
    <w:uiPriority w:val="59"/>
    <w:rsid w:val="004110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BD6"/>
    <w:pPr>
      <w:ind w:left="720"/>
      <w:contextualSpacing/>
    </w:pPr>
  </w:style>
  <w:style w:type="character" w:customStyle="1" w:styleId="UnresolvedMention">
    <w:name w:val="Unresolved Mention"/>
    <w:basedOn w:val="DefaultParagraphFont"/>
    <w:uiPriority w:val="99"/>
    <w:semiHidden/>
    <w:unhideWhenUsed/>
    <w:rsid w:val="00256CE7"/>
    <w:rPr>
      <w:color w:val="808080"/>
      <w:shd w:val="clear" w:color="auto" w:fill="E6E6E6"/>
    </w:rPr>
  </w:style>
  <w:style w:type="character" w:styleId="FollowedHyperlink">
    <w:name w:val="FollowedHyperlink"/>
    <w:basedOn w:val="DefaultParagraphFont"/>
    <w:rsid w:val="00256CE7"/>
    <w:rPr>
      <w:color w:val="954F72" w:themeColor="followedHyperlink"/>
      <w:u w:val="single"/>
    </w:rPr>
  </w:style>
  <w:style w:type="character" w:customStyle="1" w:styleId="FooterChar">
    <w:name w:val="Footer Char"/>
    <w:basedOn w:val="DefaultParagraphFont"/>
    <w:link w:val="Footer"/>
    <w:uiPriority w:val="99"/>
    <w:rsid w:val="006C6BFE"/>
    <w:rPr>
      <w:sz w:val="24"/>
      <w:szCs w:val="24"/>
      <w:lang w:eastAsia="en-US"/>
    </w:rPr>
  </w:style>
  <w:style w:type="character" w:styleId="SubtleReference">
    <w:name w:val="Subtle Reference"/>
    <w:basedOn w:val="DefaultParagraphFont"/>
    <w:uiPriority w:val="31"/>
    <w:qFormat/>
    <w:rsid w:val="003B56FA"/>
    <w:rPr>
      <w:smallCaps/>
      <w:color w:val="5A5A5A" w:themeColor="text1" w:themeTint="A5"/>
    </w:rPr>
  </w:style>
  <w:style w:type="paragraph" w:styleId="TOCHeading">
    <w:name w:val="TOC Heading"/>
    <w:basedOn w:val="Heading1"/>
    <w:next w:val="Normal"/>
    <w:uiPriority w:val="39"/>
    <w:unhideWhenUsed/>
    <w:qFormat/>
    <w:rsid w:val="00D57830"/>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2F5496" w:themeColor="accent1" w:themeShade="BF"/>
      <w:sz w:val="28"/>
      <w:szCs w:val="28"/>
    </w:rPr>
  </w:style>
  <w:style w:type="paragraph" w:styleId="BalloonText">
    <w:name w:val="Balloon Text"/>
    <w:basedOn w:val="Normal"/>
    <w:link w:val="BalloonTextChar"/>
    <w:rsid w:val="001454F7"/>
    <w:pPr>
      <w:spacing w:line="240" w:lineRule="auto"/>
    </w:pPr>
    <w:rPr>
      <w:sz w:val="18"/>
      <w:szCs w:val="18"/>
    </w:rPr>
  </w:style>
  <w:style w:type="character" w:customStyle="1" w:styleId="BalloonTextChar">
    <w:name w:val="Balloon Text Char"/>
    <w:basedOn w:val="DefaultParagraphFont"/>
    <w:link w:val="BalloonText"/>
    <w:rsid w:val="001454F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7840">
      <w:bodyDiv w:val="1"/>
      <w:marLeft w:val="0"/>
      <w:marRight w:val="0"/>
      <w:marTop w:val="0"/>
      <w:marBottom w:val="0"/>
      <w:divBdr>
        <w:top w:val="none" w:sz="0" w:space="0" w:color="auto"/>
        <w:left w:val="none" w:sz="0" w:space="0" w:color="auto"/>
        <w:bottom w:val="none" w:sz="0" w:space="0" w:color="auto"/>
        <w:right w:val="none" w:sz="0" w:space="0" w:color="auto"/>
      </w:divBdr>
    </w:div>
    <w:div w:id="836723282">
      <w:bodyDiv w:val="1"/>
      <w:marLeft w:val="0"/>
      <w:marRight w:val="0"/>
      <w:marTop w:val="0"/>
      <w:marBottom w:val="0"/>
      <w:divBdr>
        <w:top w:val="none" w:sz="0" w:space="0" w:color="auto"/>
        <w:left w:val="none" w:sz="0" w:space="0" w:color="auto"/>
        <w:bottom w:val="none" w:sz="0" w:space="0" w:color="auto"/>
        <w:right w:val="none" w:sz="0" w:space="0" w:color="auto"/>
      </w:divBdr>
    </w:div>
    <w:div w:id="1054543133">
      <w:bodyDiv w:val="1"/>
      <w:marLeft w:val="0"/>
      <w:marRight w:val="0"/>
      <w:marTop w:val="0"/>
      <w:marBottom w:val="0"/>
      <w:divBdr>
        <w:top w:val="none" w:sz="0" w:space="0" w:color="auto"/>
        <w:left w:val="none" w:sz="0" w:space="0" w:color="auto"/>
        <w:bottom w:val="none" w:sz="0" w:space="0" w:color="auto"/>
        <w:right w:val="none" w:sz="0" w:space="0" w:color="auto"/>
      </w:divBdr>
    </w:div>
    <w:div w:id="17720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731E-A3EE-4561-AD7D-1867BB17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30</TotalTime>
  <Pages>37</Pages>
  <Words>8958</Words>
  <Characters>313418</Characters>
  <Application>Microsoft Office Word</Application>
  <DocSecurity>0</DocSecurity>
  <Lines>2611</Lines>
  <Paragraphs>643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321733</CharactersWithSpaces>
  <SharedDoc>false</SharedDoc>
  <HLinks>
    <vt:vector size="120" baseType="variant">
      <vt:variant>
        <vt:i4>5701651</vt:i4>
      </vt:variant>
      <vt:variant>
        <vt:i4>279</vt:i4>
      </vt:variant>
      <vt:variant>
        <vt:i4>0</vt:i4>
      </vt:variant>
      <vt:variant>
        <vt:i4>5</vt:i4>
      </vt:variant>
      <vt:variant>
        <vt:lpwstr/>
      </vt:variant>
      <vt:variant>
        <vt:lpwstr>Ref508503718</vt:lpwstr>
      </vt:variant>
      <vt:variant>
        <vt:i4>6094869</vt:i4>
      </vt:variant>
      <vt:variant>
        <vt:i4>240</vt:i4>
      </vt:variant>
      <vt:variant>
        <vt:i4>0</vt:i4>
      </vt:variant>
      <vt:variant>
        <vt:i4>5</vt:i4>
      </vt:variant>
      <vt:variant>
        <vt:lpwstr/>
      </vt:variant>
      <vt:variant>
        <vt:lpwstr>Ref508503673</vt:lpwstr>
      </vt:variant>
      <vt:variant>
        <vt:i4>5832721</vt:i4>
      </vt:variant>
      <vt:variant>
        <vt:i4>237</vt:i4>
      </vt:variant>
      <vt:variant>
        <vt:i4>0</vt:i4>
      </vt:variant>
      <vt:variant>
        <vt:i4>5</vt:i4>
      </vt:variant>
      <vt:variant>
        <vt:lpwstr/>
      </vt:variant>
      <vt:variant>
        <vt:lpwstr>Ref508504544</vt:lpwstr>
      </vt:variant>
      <vt:variant>
        <vt:i4>5963793</vt:i4>
      </vt:variant>
      <vt:variant>
        <vt:i4>234</vt:i4>
      </vt:variant>
      <vt:variant>
        <vt:i4>0</vt:i4>
      </vt:variant>
      <vt:variant>
        <vt:i4>5</vt:i4>
      </vt:variant>
      <vt:variant>
        <vt:lpwstr/>
      </vt:variant>
      <vt:variant>
        <vt:lpwstr>Ref508503635</vt:lpwstr>
      </vt:variant>
      <vt:variant>
        <vt:i4>5898262</vt:i4>
      </vt:variant>
      <vt:variant>
        <vt:i4>228</vt:i4>
      </vt:variant>
      <vt:variant>
        <vt:i4>0</vt:i4>
      </vt:variant>
      <vt:variant>
        <vt:i4>5</vt:i4>
      </vt:variant>
      <vt:variant>
        <vt:lpwstr/>
      </vt:variant>
      <vt:variant>
        <vt:lpwstr>Ref508503446</vt:lpwstr>
      </vt: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12</cp:revision>
  <cp:lastPrinted>2018-03-18T18:36:00Z</cp:lastPrinted>
  <dcterms:created xsi:type="dcterms:W3CDTF">2018-04-20T20:27:00Z</dcterms:created>
  <dcterms:modified xsi:type="dcterms:W3CDTF">2018-04-20T21:08:00Z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b4d49efb-c68f-3ac9-a343-c056b6021cd8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