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3B59" w:rsidRDefault="00F85DEE" w:rsidP="00D74CB6">
      <w:pPr>
        <w:ind w:firstLine="0"/>
      </w:pPr>
      <w:r>
        <w:rPr>
          <w:noProof/>
        </w:rPr>
        <mc:AlternateContent>
          <mc:Choice Requires="wps">
            <w:drawing>
              <wp:inline distT="0" distB="0" distL="0" distR="0">
                <wp:extent cx="5943600" cy="8343900"/>
                <wp:effectExtent l="0" t="0" r="0" b="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8FD" w:rsidRPr="00451363" w:rsidRDefault="007A28FD" w:rsidP="00536110">
                            <w:pPr>
                              <w:spacing w:line="240" w:lineRule="auto"/>
                              <w:ind w:firstLine="0"/>
                              <w:jc w:val="center"/>
                              <w:rPr>
                                <w:b/>
                              </w:rPr>
                            </w:pPr>
                            <w:r w:rsidRPr="00451363">
                              <w:rPr>
                                <w:b/>
                              </w:rPr>
                              <w:t>RURAL VERSUS URBAN DIFFERENCES IN HEALTHCARE UTILIZATION AND LONG-TERM OUTCOMES IN ADULTS WITH PEDIATRIC-ONSET SPINAL CORD INJURY</w:t>
                            </w: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B57E9B">
                            <w:pPr>
                              <w:ind w:firstLine="0"/>
                              <w:jc w:val="center"/>
                            </w:pPr>
                            <w:proofErr w:type="gramStart"/>
                            <w:r>
                              <w:t>by</w:t>
                            </w:r>
                            <w:proofErr w:type="gramEnd"/>
                          </w:p>
                          <w:p w:rsidR="007A28FD" w:rsidRPr="00440D75" w:rsidRDefault="007A28FD" w:rsidP="00B57E9B">
                            <w:pPr>
                              <w:ind w:firstLine="0"/>
                              <w:jc w:val="center"/>
                              <w:rPr>
                                <w:b/>
                              </w:rPr>
                            </w:pPr>
                            <w:r w:rsidRPr="00440D75">
                              <w:rPr>
                                <w:b/>
                              </w:rPr>
                              <w:t xml:space="preserve">Nikhil </w:t>
                            </w:r>
                            <w:proofErr w:type="spellStart"/>
                            <w:r w:rsidRPr="00440D75">
                              <w:rPr>
                                <w:b/>
                              </w:rPr>
                              <w:t>Kurapati</w:t>
                            </w:r>
                            <w:proofErr w:type="spellEnd"/>
                          </w:p>
                          <w:p w:rsidR="007A28FD" w:rsidRDefault="007A28FD" w:rsidP="00B57E9B">
                            <w:pPr>
                              <w:ind w:firstLine="0"/>
                              <w:jc w:val="center"/>
                            </w:pPr>
                            <w:r>
                              <w:t>BS, University of Michigan, 2009</w:t>
                            </w:r>
                          </w:p>
                          <w:p w:rsidR="007A28FD" w:rsidRDefault="007A28FD" w:rsidP="00536110">
                            <w:pPr>
                              <w:spacing w:line="240" w:lineRule="auto"/>
                              <w:ind w:firstLine="0"/>
                              <w:jc w:val="center"/>
                            </w:pPr>
                            <w:r>
                              <w:t>MD, University of Pittsburgh, 2015</w:t>
                            </w:r>
                          </w:p>
                          <w:p w:rsidR="007A28FD" w:rsidRPr="00834193" w:rsidRDefault="007A28FD" w:rsidP="00536110">
                            <w:pPr>
                              <w:spacing w:line="240" w:lineRule="auto"/>
                              <w:ind w:firstLine="0"/>
                              <w:jc w:val="center"/>
                              <w:rPr>
                                <w:noProof/>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B57E9B">
                            <w:pPr>
                              <w:ind w:firstLine="0"/>
                              <w:jc w:val="center"/>
                            </w:pPr>
                            <w:r>
                              <w:t>Submitted to the Graduate Faculty of</w:t>
                            </w:r>
                          </w:p>
                          <w:p w:rsidR="007A28FD" w:rsidRDefault="007A28FD" w:rsidP="00B57E9B">
                            <w:pPr>
                              <w:ind w:firstLine="0"/>
                              <w:jc w:val="center"/>
                            </w:pPr>
                            <w:proofErr w:type="gramStart"/>
                            <w:r>
                              <w:t>the</w:t>
                            </w:r>
                            <w:proofErr w:type="gramEnd"/>
                            <w:r>
                              <w:t xml:space="preserve"> Multidisciplinary MPH Program</w:t>
                            </w:r>
                          </w:p>
                          <w:p w:rsidR="007A28FD" w:rsidRDefault="007A28FD" w:rsidP="00B57E9B">
                            <w:pPr>
                              <w:ind w:firstLine="0"/>
                              <w:jc w:val="center"/>
                            </w:pPr>
                            <w:r>
                              <w:t xml:space="preserve">Graduate School of Public Health in partial fulfillment </w:t>
                            </w:r>
                          </w:p>
                          <w:p w:rsidR="007A28FD" w:rsidRDefault="007A28FD" w:rsidP="00B57E9B">
                            <w:pPr>
                              <w:ind w:firstLine="0"/>
                              <w:jc w:val="center"/>
                            </w:pPr>
                            <w:proofErr w:type="gramStart"/>
                            <w:r>
                              <w:t>of</w:t>
                            </w:r>
                            <w:proofErr w:type="gramEnd"/>
                            <w:r>
                              <w:t xml:space="preserve"> the requirements for the degree of </w:t>
                            </w:r>
                          </w:p>
                          <w:p w:rsidR="007A28FD" w:rsidRDefault="007A28FD" w:rsidP="00B57E9B">
                            <w:pPr>
                              <w:ind w:firstLine="0"/>
                              <w:jc w:val="center"/>
                            </w:pPr>
                            <w:r>
                              <w:t>Master of Public Health</w:t>
                            </w:r>
                          </w:p>
                          <w:p w:rsidR="007A28FD" w:rsidRDefault="007A28FD" w:rsidP="00536110">
                            <w:pPr>
                              <w:spacing w:line="240" w:lineRule="auto"/>
                              <w:ind w:firstLine="0"/>
                              <w:jc w:val="center"/>
                            </w:pPr>
                          </w:p>
                          <w:p w:rsidR="007A28FD" w:rsidRDefault="007A28FD" w:rsidP="00536110">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Pr="00AB08F3" w:rsidRDefault="007A28FD" w:rsidP="00337CC7">
                            <w:pPr>
                              <w:ind w:firstLine="0"/>
                              <w:jc w:val="center"/>
                            </w:pPr>
                            <w:smartTag w:uri="urn:schemas-microsoft-com:office:smarttags" w:element="PlaceType">
                              <w:r w:rsidRPr="00AB08F3">
                                <w:t>University</w:t>
                              </w:r>
                            </w:smartTag>
                            <w:r w:rsidRPr="00AB08F3">
                              <w:t xml:space="preserve"> of Pittsburg</w:t>
                            </w:r>
                            <w:r>
                              <w:t>h</w:t>
                            </w:r>
                          </w:p>
                          <w:p w:rsidR="007A28FD" w:rsidRPr="00AB08F3" w:rsidRDefault="007A28FD" w:rsidP="00B57E9B">
                            <w:pPr>
                              <w:ind w:firstLine="0"/>
                              <w:jc w:val="center"/>
                              <w:rPr>
                                <w:noProof/>
                              </w:rPr>
                            </w:pPr>
                            <w:r>
                              <w:t>2018</w:t>
                            </w:r>
                          </w:p>
                          <w:p w:rsidR="007A28FD" w:rsidRPr="004E3B59" w:rsidRDefault="007A28FD" w:rsidP="006B1124">
                            <w:pPr>
                              <w:ind w:firstLine="0"/>
                              <w:jc w:val="center"/>
                              <w:rPr>
                                <w:b/>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68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P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" stroked="f">
                <v:textbox inset="0,0,0,0">
                  <w:txbxContent>
                    <w:p w:rsidR="007A28FD" w:rsidRPr="00451363" w:rsidRDefault="007A28FD" w:rsidP="00536110">
                      <w:pPr>
                        <w:spacing w:line="240" w:lineRule="auto"/>
                        <w:ind w:firstLine="0"/>
                        <w:jc w:val="center"/>
                        <w:rPr>
                          <w:b/>
                        </w:rPr>
                      </w:pPr>
                      <w:r w:rsidRPr="00451363">
                        <w:rPr>
                          <w:b/>
                        </w:rPr>
                        <w:t>RURAL VERSUS URBAN DIFFERENCES IN HEALTHCARE UTILIZATION AND LONG-TERM OUTCOMES IN ADULTS WITH PEDIATRIC-ONSET SPINAL CORD INJURY</w:t>
                      </w: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B57E9B">
                      <w:pPr>
                        <w:ind w:firstLine="0"/>
                        <w:jc w:val="center"/>
                      </w:pPr>
                      <w:proofErr w:type="gramStart"/>
                      <w:r>
                        <w:t>by</w:t>
                      </w:r>
                      <w:proofErr w:type="gramEnd"/>
                    </w:p>
                    <w:p w:rsidR="007A28FD" w:rsidRPr="00440D75" w:rsidRDefault="007A28FD" w:rsidP="00B57E9B">
                      <w:pPr>
                        <w:ind w:firstLine="0"/>
                        <w:jc w:val="center"/>
                        <w:rPr>
                          <w:b/>
                        </w:rPr>
                      </w:pPr>
                      <w:r w:rsidRPr="00440D75">
                        <w:rPr>
                          <w:b/>
                        </w:rPr>
                        <w:t xml:space="preserve">Nikhil </w:t>
                      </w:r>
                      <w:proofErr w:type="spellStart"/>
                      <w:r w:rsidRPr="00440D75">
                        <w:rPr>
                          <w:b/>
                        </w:rPr>
                        <w:t>Kurapati</w:t>
                      </w:r>
                      <w:proofErr w:type="spellEnd"/>
                    </w:p>
                    <w:p w:rsidR="007A28FD" w:rsidRDefault="007A28FD" w:rsidP="00B57E9B">
                      <w:pPr>
                        <w:ind w:firstLine="0"/>
                        <w:jc w:val="center"/>
                      </w:pPr>
                      <w:r>
                        <w:t>BS, University of Michigan, 2009</w:t>
                      </w:r>
                    </w:p>
                    <w:p w:rsidR="007A28FD" w:rsidRDefault="007A28FD" w:rsidP="00536110">
                      <w:pPr>
                        <w:spacing w:line="240" w:lineRule="auto"/>
                        <w:ind w:firstLine="0"/>
                        <w:jc w:val="center"/>
                      </w:pPr>
                      <w:r>
                        <w:t>MD, University of Pittsburgh, 2015</w:t>
                      </w:r>
                    </w:p>
                    <w:p w:rsidR="007A28FD" w:rsidRPr="00834193" w:rsidRDefault="007A28FD" w:rsidP="00536110">
                      <w:pPr>
                        <w:spacing w:line="240" w:lineRule="auto"/>
                        <w:ind w:firstLine="0"/>
                        <w:jc w:val="center"/>
                        <w:rPr>
                          <w:noProof/>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536110">
                      <w:pPr>
                        <w:spacing w:line="240" w:lineRule="auto"/>
                        <w:ind w:firstLine="0"/>
                        <w:jc w:val="center"/>
                        <w:rPr>
                          <w:b/>
                        </w:rPr>
                      </w:pPr>
                    </w:p>
                    <w:p w:rsidR="007A28FD" w:rsidRDefault="007A28FD" w:rsidP="00B57E9B">
                      <w:pPr>
                        <w:ind w:firstLine="0"/>
                        <w:jc w:val="center"/>
                      </w:pPr>
                      <w:r>
                        <w:t>Submitted to the Graduate Faculty of</w:t>
                      </w:r>
                    </w:p>
                    <w:p w:rsidR="007A28FD" w:rsidRDefault="007A28FD" w:rsidP="00B57E9B">
                      <w:pPr>
                        <w:ind w:firstLine="0"/>
                        <w:jc w:val="center"/>
                      </w:pPr>
                      <w:proofErr w:type="gramStart"/>
                      <w:r>
                        <w:t>the</w:t>
                      </w:r>
                      <w:proofErr w:type="gramEnd"/>
                      <w:r>
                        <w:t xml:space="preserve"> Multidisciplinary MPH Program</w:t>
                      </w:r>
                    </w:p>
                    <w:p w:rsidR="007A28FD" w:rsidRDefault="007A28FD" w:rsidP="00B57E9B">
                      <w:pPr>
                        <w:ind w:firstLine="0"/>
                        <w:jc w:val="center"/>
                      </w:pPr>
                      <w:r>
                        <w:t xml:space="preserve">Graduate School of Public Health in partial fulfillment </w:t>
                      </w:r>
                    </w:p>
                    <w:p w:rsidR="007A28FD" w:rsidRDefault="007A28FD" w:rsidP="00B57E9B">
                      <w:pPr>
                        <w:ind w:firstLine="0"/>
                        <w:jc w:val="center"/>
                      </w:pPr>
                      <w:proofErr w:type="gramStart"/>
                      <w:r>
                        <w:t>of</w:t>
                      </w:r>
                      <w:proofErr w:type="gramEnd"/>
                      <w:r>
                        <w:t xml:space="preserve"> the requirements for the degree of </w:t>
                      </w:r>
                    </w:p>
                    <w:p w:rsidR="007A28FD" w:rsidRDefault="007A28FD" w:rsidP="00B57E9B">
                      <w:pPr>
                        <w:ind w:firstLine="0"/>
                        <w:jc w:val="center"/>
                      </w:pPr>
                      <w:r>
                        <w:t>Master of Public Health</w:t>
                      </w:r>
                    </w:p>
                    <w:p w:rsidR="007A28FD" w:rsidRDefault="007A28FD" w:rsidP="00536110">
                      <w:pPr>
                        <w:spacing w:line="240" w:lineRule="auto"/>
                        <w:ind w:firstLine="0"/>
                        <w:jc w:val="center"/>
                      </w:pPr>
                    </w:p>
                    <w:p w:rsidR="007A28FD" w:rsidRDefault="007A28FD" w:rsidP="00536110">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Default="007A28FD" w:rsidP="00B57E9B">
                      <w:pPr>
                        <w:spacing w:line="240" w:lineRule="auto"/>
                        <w:ind w:firstLine="0"/>
                        <w:jc w:val="center"/>
                      </w:pPr>
                    </w:p>
                    <w:p w:rsidR="007A28FD" w:rsidRPr="00AB08F3" w:rsidRDefault="007A28FD" w:rsidP="00337CC7">
                      <w:pPr>
                        <w:ind w:firstLine="0"/>
                        <w:jc w:val="center"/>
                      </w:pPr>
                      <w:smartTag w:uri="urn:schemas-microsoft-com:office:smarttags" w:element="PlaceType">
                        <w:r w:rsidRPr="00AB08F3">
                          <w:t>University</w:t>
                        </w:r>
                      </w:smartTag>
                      <w:r w:rsidRPr="00AB08F3">
                        <w:t xml:space="preserve"> of Pittsburg</w:t>
                      </w:r>
                      <w:r>
                        <w:t>h</w:t>
                      </w:r>
                    </w:p>
                    <w:p w:rsidR="007A28FD" w:rsidRPr="00AB08F3" w:rsidRDefault="007A28FD" w:rsidP="00B57E9B">
                      <w:pPr>
                        <w:ind w:firstLine="0"/>
                        <w:jc w:val="center"/>
                        <w:rPr>
                          <w:noProof/>
                        </w:rPr>
                      </w:pPr>
                      <w:r>
                        <w:t>2018</w:t>
                      </w:r>
                    </w:p>
                    <w:p w:rsidR="007A28FD" w:rsidRPr="004E3B59" w:rsidRDefault="007A28FD" w:rsidP="006B1124">
                      <w:pPr>
                        <w:ind w:firstLine="0"/>
                        <w:jc w:val="center"/>
                        <w:rPr>
                          <w:b/>
                        </w:rPr>
                      </w:pPr>
                    </w:p>
                  </w:txbxContent>
                </v:textbox>
                <w10:anchorlock/>
              </v:shape>
            </w:pict>
          </mc:Fallback>
        </mc:AlternateContent>
      </w:r>
    </w:p>
    <w:p w:rsidR="0028782F" w:rsidRPr="002D01B1" w:rsidRDefault="00F85DEE" w:rsidP="002D01B1">
      <w:pPr>
        <w:pStyle w:val="Noindent"/>
      </w:pPr>
      <w:r>
        <w:rPr>
          <w:noProof/>
        </w:rPr>
        <w:lastRenderedPageBreak/>
        <mc:AlternateContent>
          <mc:Choice Requires="wps">
            <w:drawing>
              <wp:inline distT="0" distB="0" distL="0" distR="0">
                <wp:extent cx="5943600" cy="7242175"/>
                <wp:effectExtent l="0" t="0" r="0" b="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8FD" w:rsidRDefault="007A28FD"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7A28FD" w:rsidRDefault="007A28FD" w:rsidP="00536110">
                            <w:pPr>
                              <w:spacing w:line="240" w:lineRule="auto"/>
                              <w:ind w:firstLine="0"/>
                              <w:jc w:val="center"/>
                            </w:pPr>
                            <w:r>
                              <w:t>Graduate School of Public Health</w:t>
                            </w:r>
                          </w:p>
                          <w:p w:rsidR="007A28FD" w:rsidRDefault="007A28FD" w:rsidP="00572FBD">
                            <w:pPr>
                              <w:spacing w:line="240" w:lineRule="auto"/>
                              <w:ind w:firstLine="0"/>
                            </w:pPr>
                          </w:p>
                          <w:p w:rsidR="007A28FD" w:rsidRDefault="007A28FD" w:rsidP="00536110">
                            <w:pPr>
                              <w:spacing w:line="240" w:lineRule="auto"/>
                              <w:ind w:firstLine="0"/>
                              <w:jc w:val="center"/>
                            </w:pPr>
                          </w:p>
                          <w:p w:rsidR="007A28FD" w:rsidRDefault="007A28FD" w:rsidP="006A5780">
                            <w:pPr>
                              <w:ind w:firstLine="0"/>
                              <w:jc w:val="center"/>
                            </w:pPr>
                            <w:r>
                              <w:t>This essay is submitted</w:t>
                            </w:r>
                          </w:p>
                          <w:p w:rsidR="007A28FD" w:rsidRDefault="007A28FD" w:rsidP="006A5780">
                            <w:pPr>
                              <w:spacing w:line="240" w:lineRule="auto"/>
                              <w:ind w:firstLine="0"/>
                              <w:jc w:val="center"/>
                            </w:pPr>
                          </w:p>
                          <w:p w:rsidR="007A28FD" w:rsidRDefault="007A28FD" w:rsidP="006B1124">
                            <w:pPr>
                              <w:ind w:firstLine="0"/>
                              <w:jc w:val="center"/>
                            </w:pPr>
                            <w:proofErr w:type="gramStart"/>
                            <w:r>
                              <w:t>by</w:t>
                            </w:r>
                            <w:proofErr w:type="gramEnd"/>
                          </w:p>
                          <w:p w:rsidR="007A28FD" w:rsidRDefault="007A28FD" w:rsidP="006A5780">
                            <w:pPr>
                              <w:spacing w:line="240" w:lineRule="auto"/>
                              <w:ind w:firstLine="0"/>
                              <w:jc w:val="center"/>
                            </w:pPr>
                          </w:p>
                          <w:p w:rsidR="007A28FD" w:rsidRPr="00440D75" w:rsidRDefault="007A28FD" w:rsidP="006A5780">
                            <w:pPr>
                              <w:spacing w:line="240" w:lineRule="auto"/>
                              <w:ind w:firstLine="0"/>
                              <w:jc w:val="center"/>
                              <w:rPr>
                                <w:b/>
                              </w:rPr>
                            </w:pPr>
                            <w:r w:rsidRPr="00440D75">
                              <w:rPr>
                                <w:b/>
                              </w:rPr>
                              <w:t xml:space="preserve">Nikhil </w:t>
                            </w:r>
                            <w:proofErr w:type="spellStart"/>
                            <w:r w:rsidRPr="00440D75">
                              <w:rPr>
                                <w:b/>
                              </w:rPr>
                              <w:t>Kurapati</w:t>
                            </w:r>
                            <w:proofErr w:type="spellEnd"/>
                          </w:p>
                          <w:p w:rsidR="007A28FD" w:rsidRDefault="007A28FD" w:rsidP="006A5780">
                            <w:pPr>
                              <w:spacing w:line="240" w:lineRule="auto"/>
                              <w:ind w:firstLine="0"/>
                              <w:jc w:val="center"/>
                            </w:pPr>
                          </w:p>
                          <w:p w:rsidR="007A28FD" w:rsidRDefault="007A28FD" w:rsidP="006A5780">
                            <w:pPr>
                              <w:spacing w:line="240" w:lineRule="auto"/>
                              <w:ind w:firstLine="0"/>
                              <w:jc w:val="center"/>
                            </w:pPr>
                          </w:p>
                          <w:p w:rsidR="007A28FD" w:rsidRDefault="007A28FD" w:rsidP="006A5780">
                            <w:pPr>
                              <w:spacing w:line="240" w:lineRule="auto"/>
                              <w:ind w:firstLine="0"/>
                              <w:jc w:val="center"/>
                            </w:pPr>
                          </w:p>
                          <w:p w:rsidR="007A28FD" w:rsidRDefault="007A28FD" w:rsidP="006A5780">
                            <w:pPr>
                              <w:ind w:firstLine="0"/>
                              <w:jc w:val="center"/>
                            </w:pPr>
                            <w:proofErr w:type="gramStart"/>
                            <w:r>
                              <w:t>on</w:t>
                            </w:r>
                            <w:proofErr w:type="gramEnd"/>
                          </w:p>
                          <w:p w:rsidR="007A28FD" w:rsidRDefault="007A28FD" w:rsidP="006A5780">
                            <w:pPr>
                              <w:ind w:firstLine="0"/>
                              <w:jc w:val="center"/>
                            </w:pPr>
                            <w:r>
                              <w:t>April 23, 2018</w:t>
                            </w:r>
                          </w:p>
                          <w:p w:rsidR="007A28FD" w:rsidRDefault="007A28FD" w:rsidP="006A5780">
                            <w:pPr>
                              <w:ind w:firstLine="0"/>
                              <w:jc w:val="center"/>
                            </w:pPr>
                            <w:proofErr w:type="gramStart"/>
                            <w:r>
                              <w:t>and</w:t>
                            </w:r>
                            <w:proofErr w:type="gramEnd"/>
                            <w:r>
                              <w:t xml:space="preserve"> approved by</w:t>
                            </w:r>
                          </w:p>
                          <w:p w:rsidR="007A28FD" w:rsidRDefault="007A28FD" w:rsidP="006A5780">
                            <w:pPr>
                              <w:ind w:firstLine="0"/>
                              <w:jc w:val="center"/>
                            </w:pPr>
                          </w:p>
                          <w:p w:rsidR="007A28FD" w:rsidRDefault="007A28FD" w:rsidP="00451363">
                            <w:pPr>
                              <w:spacing w:line="240" w:lineRule="auto"/>
                              <w:ind w:firstLine="0"/>
                              <w:jc w:val="left"/>
                            </w:pPr>
                            <w:r>
                              <w:t>Essay Advisor:</w:t>
                            </w:r>
                          </w:p>
                          <w:p w:rsidR="007A28FD" w:rsidRDefault="007A28FD" w:rsidP="00451363">
                            <w:pPr>
                              <w:spacing w:line="240" w:lineRule="auto"/>
                              <w:ind w:firstLine="0"/>
                              <w:jc w:val="left"/>
                            </w:pPr>
                            <w:r>
                              <w:t>David Finegold, MD</w:t>
                            </w:r>
                            <w:r>
                              <w:tab/>
                            </w:r>
                            <w:r>
                              <w:tab/>
                            </w:r>
                            <w:r>
                              <w:tab/>
                            </w:r>
                            <w:r>
                              <w:tab/>
                            </w:r>
                            <w:r>
                              <w:tab/>
                              <w:t>_________________________________</w:t>
                            </w:r>
                          </w:p>
                          <w:p w:rsidR="007A28FD" w:rsidRDefault="007A28FD" w:rsidP="00451363">
                            <w:pPr>
                              <w:spacing w:line="240" w:lineRule="auto"/>
                              <w:ind w:firstLine="0"/>
                              <w:jc w:val="left"/>
                            </w:pPr>
                            <w:r>
                              <w:t>Professor, Human Genetics</w:t>
                            </w:r>
                          </w:p>
                          <w:p w:rsidR="007A28FD" w:rsidRDefault="007A28FD" w:rsidP="00451363">
                            <w:pPr>
                              <w:spacing w:line="240" w:lineRule="auto"/>
                              <w:ind w:firstLine="0"/>
                              <w:jc w:val="left"/>
                            </w:pPr>
                            <w:r>
                              <w:t>Director, Multidisciplinary MPH Program</w:t>
                            </w:r>
                          </w:p>
                          <w:p w:rsidR="007A28FD" w:rsidRDefault="007A28FD" w:rsidP="00451363">
                            <w:pPr>
                              <w:spacing w:line="240" w:lineRule="auto"/>
                              <w:ind w:firstLine="0"/>
                              <w:jc w:val="left"/>
                            </w:pPr>
                            <w:r>
                              <w:t>Graduate School of Public Health</w:t>
                            </w:r>
                          </w:p>
                          <w:p w:rsidR="007A28FD" w:rsidRDefault="007A28FD" w:rsidP="00451363">
                            <w:pPr>
                              <w:spacing w:line="240" w:lineRule="auto"/>
                              <w:ind w:firstLine="0"/>
                              <w:jc w:val="left"/>
                            </w:pPr>
                            <w:r>
                              <w:t>University of Pittsburgh</w:t>
                            </w:r>
                          </w:p>
                          <w:p w:rsidR="007A28FD" w:rsidRDefault="007A28FD" w:rsidP="00451363">
                            <w:pPr>
                              <w:spacing w:line="240" w:lineRule="auto"/>
                              <w:ind w:firstLine="0"/>
                              <w:jc w:val="left"/>
                            </w:pPr>
                          </w:p>
                          <w:p w:rsidR="007A28FD" w:rsidRDefault="007A28FD" w:rsidP="00451363">
                            <w:pPr>
                              <w:spacing w:line="240" w:lineRule="auto"/>
                              <w:ind w:firstLine="0"/>
                              <w:jc w:val="left"/>
                            </w:pPr>
                            <w:r>
                              <w:t xml:space="preserve">Essay </w:t>
                            </w:r>
                            <w:proofErr w:type="spellStart"/>
                            <w:r>
                              <w:t>Readaer</w:t>
                            </w:r>
                            <w:proofErr w:type="spellEnd"/>
                            <w:r>
                              <w:t>:</w:t>
                            </w:r>
                          </w:p>
                          <w:p w:rsidR="007A28FD" w:rsidRDefault="007A28FD" w:rsidP="00451363">
                            <w:pPr>
                              <w:spacing w:line="240" w:lineRule="auto"/>
                              <w:ind w:firstLine="0"/>
                              <w:jc w:val="left"/>
                            </w:pPr>
                            <w:r>
                              <w:t xml:space="preserve">Elizabeth M. Felter, </w:t>
                            </w:r>
                            <w:proofErr w:type="spellStart"/>
                            <w:r>
                              <w:t>DrPH</w:t>
                            </w:r>
                            <w:proofErr w:type="spellEnd"/>
                            <w:r>
                              <w:tab/>
                            </w:r>
                            <w:r>
                              <w:tab/>
                            </w:r>
                            <w:r>
                              <w:tab/>
                            </w:r>
                            <w:r>
                              <w:tab/>
                              <w:t>_________________________________</w:t>
                            </w:r>
                          </w:p>
                          <w:p w:rsidR="007A28FD" w:rsidRDefault="007A28FD" w:rsidP="00451363">
                            <w:pPr>
                              <w:spacing w:line="240" w:lineRule="auto"/>
                              <w:ind w:firstLine="0"/>
                              <w:jc w:val="left"/>
                            </w:pPr>
                            <w:r>
                              <w:t>Assistant Professor, Behavioral and Community Health Sciences</w:t>
                            </w:r>
                          </w:p>
                          <w:p w:rsidR="007A28FD" w:rsidRDefault="007A28FD" w:rsidP="00451363">
                            <w:pPr>
                              <w:spacing w:line="240" w:lineRule="auto"/>
                              <w:ind w:firstLine="0"/>
                              <w:jc w:val="left"/>
                            </w:pPr>
                            <w:r>
                              <w:t>Graduate School of Public Health</w:t>
                            </w:r>
                          </w:p>
                          <w:p w:rsidR="007A28FD" w:rsidRDefault="007A28FD" w:rsidP="00451363">
                            <w:pPr>
                              <w:spacing w:line="240" w:lineRule="auto"/>
                              <w:ind w:firstLine="0"/>
                              <w:jc w:val="left"/>
                            </w:pPr>
                            <w:r>
                              <w:t>University of Pittsburgh</w:t>
                            </w:r>
                          </w:p>
                          <w:p w:rsidR="007A28FD" w:rsidRDefault="007A28FD" w:rsidP="00451363">
                            <w:pPr>
                              <w:ind w:firstLine="0"/>
                            </w:pPr>
                            <w:r>
                              <w:br/>
                            </w:r>
                          </w:p>
                          <w:p w:rsidR="007A28FD" w:rsidRPr="00936D40" w:rsidRDefault="007A28FD" w:rsidP="006B1124">
                            <w:pPr>
                              <w:ind w:firstLine="0"/>
                              <w:jc w:val="center"/>
                            </w:pPr>
                          </w:p>
                        </w:txbxContent>
                      </wps:txbx>
                      <wps:bodyPr rot="0" vert="horz" wrap="square" lIns="91440" tIns="45720" rIns="91440" bIns="45720" anchor="t" anchorCtr="0" upright="1">
                        <a:noAutofit/>
                      </wps:bodyPr>
                    </wps:wsp>
                  </a:graphicData>
                </a:graphic>
              </wp:inline>
            </w:drawing>
          </mc:Choice>
          <mc:Fallback>
            <w:pict>
              <v:shape id="Text Box 26" o:spid="_x0000_s1027" type="#_x0000_t202" style="width:468pt;height:5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Oy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" stroked="f">
                <v:textbox>
                  <w:txbxContent>
                    <w:p w:rsidR="007A28FD" w:rsidRDefault="007A28FD"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7A28FD" w:rsidRDefault="007A28FD" w:rsidP="00536110">
                      <w:pPr>
                        <w:spacing w:line="240" w:lineRule="auto"/>
                        <w:ind w:firstLine="0"/>
                        <w:jc w:val="center"/>
                      </w:pPr>
                      <w:r>
                        <w:t>Graduate School of Public Health</w:t>
                      </w:r>
                    </w:p>
                    <w:p w:rsidR="007A28FD" w:rsidRDefault="007A28FD" w:rsidP="00572FBD">
                      <w:pPr>
                        <w:spacing w:line="240" w:lineRule="auto"/>
                        <w:ind w:firstLine="0"/>
                      </w:pPr>
                    </w:p>
                    <w:p w:rsidR="007A28FD" w:rsidRDefault="007A28FD" w:rsidP="00536110">
                      <w:pPr>
                        <w:spacing w:line="240" w:lineRule="auto"/>
                        <w:ind w:firstLine="0"/>
                        <w:jc w:val="center"/>
                      </w:pPr>
                    </w:p>
                    <w:p w:rsidR="007A28FD" w:rsidRDefault="007A28FD" w:rsidP="006A5780">
                      <w:pPr>
                        <w:ind w:firstLine="0"/>
                        <w:jc w:val="center"/>
                      </w:pPr>
                      <w:r>
                        <w:t>This essay is submitted</w:t>
                      </w:r>
                    </w:p>
                    <w:p w:rsidR="007A28FD" w:rsidRDefault="007A28FD" w:rsidP="006A5780">
                      <w:pPr>
                        <w:spacing w:line="240" w:lineRule="auto"/>
                        <w:ind w:firstLine="0"/>
                        <w:jc w:val="center"/>
                      </w:pPr>
                    </w:p>
                    <w:p w:rsidR="007A28FD" w:rsidRDefault="007A28FD" w:rsidP="006B1124">
                      <w:pPr>
                        <w:ind w:firstLine="0"/>
                        <w:jc w:val="center"/>
                      </w:pPr>
                      <w:proofErr w:type="gramStart"/>
                      <w:r>
                        <w:t>by</w:t>
                      </w:r>
                      <w:proofErr w:type="gramEnd"/>
                    </w:p>
                    <w:p w:rsidR="007A28FD" w:rsidRDefault="007A28FD" w:rsidP="006A5780">
                      <w:pPr>
                        <w:spacing w:line="240" w:lineRule="auto"/>
                        <w:ind w:firstLine="0"/>
                        <w:jc w:val="center"/>
                      </w:pPr>
                    </w:p>
                    <w:p w:rsidR="007A28FD" w:rsidRPr="00440D75" w:rsidRDefault="007A28FD" w:rsidP="006A5780">
                      <w:pPr>
                        <w:spacing w:line="240" w:lineRule="auto"/>
                        <w:ind w:firstLine="0"/>
                        <w:jc w:val="center"/>
                        <w:rPr>
                          <w:b/>
                        </w:rPr>
                      </w:pPr>
                      <w:r w:rsidRPr="00440D75">
                        <w:rPr>
                          <w:b/>
                        </w:rPr>
                        <w:t xml:space="preserve">Nikhil </w:t>
                      </w:r>
                      <w:proofErr w:type="spellStart"/>
                      <w:r w:rsidRPr="00440D75">
                        <w:rPr>
                          <w:b/>
                        </w:rPr>
                        <w:t>Kurapati</w:t>
                      </w:r>
                      <w:proofErr w:type="spellEnd"/>
                    </w:p>
                    <w:p w:rsidR="007A28FD" w:rsidRDefault="007A28FD" w:rsidP="006A5780">
                      <w:pPr>
                        <w:spacing w:line="240" w:lineRule="auto"/>
                        <w:ind w:firstLine="0"/>
                        <w:jc w:val="center"/>
                      </w:pPr>
                    </w:p>
                    <w:p w:rsidR="007A28FD" w:rsidRDefault="007A28FD" w:rsidP="006A5780">
                      <w:pPr>
                        <w:spacing w:line="240" w:lineRule="auto"/>
                        <w:ind w:firstLine="0"/>
                        <w:jc w:val="center"/>
                      </w:pPr>
                    </w:p>
                    <w:p w:rsidR="007A28FD" w:rsidRDefault="007A28FD" w:rsidP="006A5780">
                      <w:pPr>
                        <w:spacing w:line="240" w:lineRule="auto"/>
                        <w:ind w:firstLine="0"/>
                        <w:jc w:val="center"/>
                      </w:pPr>
                    </w:p>
                    <w:p w:rsidR="007A28FD" w:rsidRDefault="007A28FD" w:rsidP="006A5780">
                      <w:pPr>
                        <w:ind w:firstLine="0"/>
                        <w:jc w:val="center"/>
                      </w:pPr>
                      <w:proofErr w:type="gramStart"/>
                      <w:r>
                        <w:t>on</w:t>
                      </w:r>
                      <w:proofErr w:type="gramEnd"/>
                    </w:p>
                    <w:p w:rsidR="007A28FD" w:rsidRDefault="007A28FD" w:rsidP="006A5780">
                      <w:pPr>
                        <w:ind w:firstLine="0"/>
                        <w:jc w:val="center"/>
                      </w:pPr>
                      <w:r>
                        <w:t>April 23, 2018</w:t>
                      </w:r>
                    </w:p>
                    <w:p w:rsidR="007A28FD" w:rsidRDefault="007A28FD" w:rsidP="006A5780">
                      <w:pPr>
                        <w:ind w:firstLine="0"/>
                        <w:jc w:val="center"/>
                      </w:pPr>
                      <w:proofErr w:type="gramStart"/>
                      <w:r>
                        <w:t>and</w:t>
                      </w:r>
                      <w:proofErr w:type="gramEnd"/>
                      <w:r>
                        <w:t xml:space="preserve"> approved by</w:t>
                      </w:r>
                    </w:p>
                    <w:p w:rsidR="007A28FD" w:rsidRDefault="007A28FD" w:rsidP="006A5780">
                      <w:pPr>
                        <w:ind w:firstLine="0"/>
                        <w:jc w:val="center"/>
                      </w:pPr>
                    </w:p>
                    <w:p w:rsidR="007A28FD" w:rsidRDefault="007A28FD" w:rsidP="00451363">
                      <w:pPr>
                        <w:spacing w:line="240" w:lineRule="auto"/>
                        <w:ind w:firstLine="0"/>
                        <w:jc w:val="left"/>
                      </w:pPr>
                      <w:r>
                        <w:t>Essay Advisor:</w:t>
                      </w:r>
                    </w:p>
                    <w:p w:rsidR="007A28FD" w:rsidRDefault="007A28FD" w:rsidP="00451363">
                      <w:pPr>
                        <w:spacing w:line="240" w:lineRule="auto"/>
                        <w:ind w:firstLine="0"/>
                        <w:jc w:val="left"/>
                      </w:pPr>
                      <w:r>
                        <w:t>David Finegold, MD</w:t>
                      </w:r>
                      <w:r>
                        <w:tab/>
                      </w:r>
                      <w:r>
                        <w:tab/>
                      </w:r>
                      <w:r>
                        <w:tab/>
                      </w:r>
                      <w:r>
                        <w:tab/>
                      </w:r>
                      <w:r>
                        <w:tab/>
                        <w:t>_________________________________</w:t>
                      </w:r>
                    </w:p>
                    <w:p w:rsidR="007A28FD" w:rsidRDefault="007A28FD" w:rsidP="00451363">
                      <w:pPr>
                        <w:spacing w:line="240" w:lineRule="auto"/>
                        <w:ind w:firstLine="0"/>
                        <w:jc w:val="left"/>
                      </w:pPr>
                      <w:r>
                        <w:t>Professor, Human Genetics</w:t>
                      </w:r>
                    </w:p>
                    <w:p w:rsidR="007A28FD" w:rsidRDefault="007A28FD" w:rsidP="00451363">
                      <w:pPr>
                        <w:spacing w:line="240" w:lineRule="auto"/>
                        <w:ind w:firstLine="0"/>
                        <w:jc w:val="left"/>
                      </w:pPr>
                      <w:r>
                        <w:t>Director, Multidisciplinary MPH Program</w:t>
                      </w:r>
                    </w:p>
                    <w:p w:rsidR="007A28FD" w:rsidRDefault="007A28FD" w:rsidP="00451363">
                      <w:pPr>
                        <w:spacing w:line="240" w:lineRule="auto"/>
                        <w:ind w:firstLine="0"/>
                        <w:jc w:val="left"/>
                      </w:pPr>
                      <w:r>
                        <w:t>Graduate School of Public Health</w:t>
                      </w:r>
                    </w:p>
                    <w:p w:rsidR="007A28FD" w:rsidRDefault="007A28FD" w:rsidP="00451363">
                      <w:pPr>
                        <w:spacing w:line="240" w:lineRule="auto"/>
                        <w:ind w:firstLine="0"/>
                        <w:jc w:val="left"/>
                      </w:pPr>
                      <w:r>
                        <w:t>University of Pittsburgh</w:t>
                      </w:r>
                    </w:p>
                    <w:p w:rsidR="007A28FD" w:rsidRDefault="007A28FD" w:rsidP="00451363">
                      <w:pPr>
                        <w:spacing w:line="240" w:lineRule="auto"/>
                        <w:ind w:firstLine="0"/>
                        <w:jc w:val="left"/>
                      </w:pPr>
                    </w:p>
                    <w:p w:rsidR="007A28FD" w:rsidRDefault="007A28FD" w:rsidP="00451363">
                      <w:pPr>
                        <w:spacing w:line="240" w:lineRule="auto"/>
                        <w:ind w:firstLine="0"/>
                        <w:jc w:val="left"/>
                      </w:pPr>
                      <w:r>
                        <w:t xml:space="preserve">Essay </w:t>
                      </w:r>
                      <w:proofErr w:type="spellStart"/>
                      <w:r>
                        <w:t>Readaer</w:t>
                      </w:r>
                      <w:proofErr w:type="spellEnd"/>
                      <w:r>
                        <w:t>:</w:t>
                      </w:r>
                    </w:p>
                    <w:p w:rsidR="007A28FD" w:rsidRDefault="007A28FD" w:rsidP="00451363">
                      <w:pPr>
                        <w:spacing w:line="240" w:lineRule="auto"/>
                        <w:ind w:firstLine="0"/>
                        <w:jc w:val="left"/>
                      </w:pPr>
                      <w:r>
                        <w:t xml:space="preserve">Elizabeth M. Felter, </w:t>
                      </w:r>
                      <w:proofErr w:type="spellStart"/>
                      <w:r>
                        <w:t>DrPH</w:t>
                      </w:r>
                      <w:proofErr w:type="spellEnd"/>
                      <w:r>
                        <w:tab/>
                      </w:r>
                      <w:r>
                        <w:tab/>
                      </w:r>
                      <w:r>
                        <w:tab/>
                      </w:r>
                      <w:r>
                        <w:tab/>
                        <w:t>_________________________________</w:t>
                      </w:r>
                    </w:p>
                    <w:p w:rsidR="007A28FD" w:rsidRDefault="007A28FD" w:rsidP="00451363">
                      <w:pPr>
                        <w:spacing w:line="240" w:lineRule="auto"/>
                        <w:ind w:firstLine="0"/>
                        <w:jc w:val="left"/>
                      </w:pPr>
                      <w:r>
                        <w:t>Assistant Professor, Behavioral and Community Health Sciences</w:t>
                      </w:r>
                    </w:p>
                    <w:p w:rsidR="007A28FD" w:rsidRDefault="007A28FD" w:rsidP="00451363">
                      <w:pPr>
                        <w:spacing w:line="240" w:lineRule="auto"/>
                        <w:ind w:firstLine="0"/>
                        <w:jc w:val="left"/>
                      </w:pPr>
                      <w:r>
                        <w:t>Graduate School of Public Health</w:t>
                      </w:r>
                    </w:p>
                    <w:p w:rsidR="007A28FD" w:rsidRDefault="007A28FD" w:rsidP="00451363">
                      <w:pPr>
                        <w:spacing w:line="240" w:lineRule="auto"/>
                        <w:ind w:firstLine="0"/>
                        <w:jc w:val="left"/>
                      </w:pPr>
                      <w:r>
                        <w:t>University of Pittsburgh</w:t>
                      </w:r>
                    </w:p>
                    <w:p w:rsidR="007A28FD" w:rsidRDefault="007A28FD" w:rsidP="00451363">
                      <w:pPr>
                        <w:ind w:firstLine="0"/>
                      </w:pPr>
                      <w:r>
                        <w:br/>
                      </w:r>
                    </w:p>
                    <w:p w:rsidR="007A28FD" w:rsidRPr="00936D40" w:rsidRDefault="007A28FD" w:rsidP="006B1124">
                      <w:pPr>
                        <w:ind w:firstLine="0"/>
                        <w:jc w:val="center"/>
                      </w:pPr>
                    </w:p>
                  </w:txbxContent>
                </v:textbox>
                <w10:anchorlock/>
              </v:shape>
            </w:pict>
          </mc:Fallback>
        </mc:AlternateContent>
      </w:r>
      <w:r w:rsidR="00834193">
        <w:br w:type="page"/>
      </w:r>
      <w:r>
        <w:rPr>
          <w:noProof/>
        </w:rPr>
        <w:lastRenderedPageBreak/>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8FD" w:rsidRDefault="007A28FD" w:rsidP="006B1124">
                            <w:pPr>
                              <w:ind w:firstLine="0"/>
                              <w:jc w:val="center"/>
                            </w:pPr>
                            <w:r>
                              <w:t xml:space="preserve">Copyright © by Nikhil </w:t>
                            </w:r>
                            <w:proofErr w:type="spellStart"/>
                            <w:r>
                              <w:t>Kurapati</w:t>
                            </w:r>
                            <w:proofErr w:type="spellEnd"/>
                          </w:p>
                          <w:p w:rsidR="007A28FD" w:rsidRDefault="007A28FD"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366pt;width:468pt;height:8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QT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" stroked="f">
                <v:textbox>
                  <w:txbxContent>
                    <w:p w:rsidR="007A28FD" w:rsidRDefault="007A28FD" w:rsidP="006B1124">
                      <w:pPr>
                        <w:ind w:firstLine="0"/>
                        <w:jc w:val="center"/>
                      </w:pPr>
                      <w:r>
                        <w:t xml:space="preserve">Copyright © by Nikhil </w:t>
                      </w:r>
                      <w:proofErr w:type="spellStart"/>
                      <w:r>
                        <w:t>Kurapati</w:t>
                      </w:r>
                      <w:proofErr w:type="spellEnd"/>
                    </w:p>
                    <w:p w:rsidR="007A28FD" w:rsidRDefault="007A28FD" w:rsidP="006B1124">
                      <w:pPr>
                        <w:ind w:firstLine="0"/>
                        <w:jc w:val="center"/>
                      </w:pPr>
                      <w:r>
                        <w:t>2018</w:t>
                      </w:r>
                    </w:p>
                  </w:txbxContent>
                </v:textbox>
                <w10:wrap type="square" anchorx="page" anchory="page"/>
              </v:shape>
            </w:pict>
          </mc:Fallback>
        </mc:AlternateContent>
      </w:r>
      <w:r w:rsidR="002D01B1">
        <w:br w:type="page"/>
      </w:r>
      <w:r>
        <w:rPr>
          <w:noProof/>
        </w:rPr>
        <w:lastRenderedPageBreak/>
        <mc:AlternateContent>
          <mc:Choice Requires="wps">
            <w:drawing>
              <wp:inline distT="0" distB="0" distL="0" distR="0">
                <wp:extent cx="5943600" cy="1790700"/>
                <wp:effectExtent l="0" t="0" r="0" b="0"/>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8FD" w:rsidRDefault="007A28FD" w:rsidP="00440D75">
                            <w:pPr>
                              <w:spacing w:line="240" w:lineRule="auto"/>
                              <w:ind w:firstLine="0"/>
                              <w:jc w:val="right"/>
                              <w:rPr>
                                <w:b/>
                              </w:rPr>
                            </w:pPr>
                            <w:r>
                              <w:t>David Finegold, MD</w:t>
                            </w:r>
                          </w:p>
                          <w:p w:rsidR="007A28FD" w:rsidRDefault="007A28FD" w:rsidP="00451363">
                            <w:pPr>
                              <w:spacing w:line="240" w:lineRule="auto"/>
                              <w:ind w:firstLine="0"/>
                              <w:jc w:val="center"/>
                              <w:rPr>
                                <w:b/>
                              </w:rPr>
                            </w:pPr>
                          </w:p>
                          <w:p w:rsidR="007A28FD" w:rsidRDefault="007A28FD" w:rsidP="00451363">
                            <w:pPr>
                              <w:spacing w:line="240" w:lineRule="auto"/>
                              <w:ind w:firstLine="0"/>
                              <w:jc w:val="center"/>
                              <w:rPr>
                                <w:b/>
                              </w:rPr>
                            </w:pPr>
                            <w:r w:rsidRPr="00451363">
                              <w:rPr>
                                <w:b/>
                              </w:rPr>
                              <w:t>RURAL VERSUS URBAN DIFFERENCES IN HEALTHCARE UTILIZATION AND LONG-TERM OUTCOMES IN ADULTS WITH PEDIATRIC-ONSET SPINAL CORD INJURY</w:t>
                            </w:r>
                          </w:p>
                          <w:p w:rsidR="007A28FD" w:rsidRPr="00451363" w:rsidRDefault="007A28FD" w:rsidP="00451363">
                            <w:pPr>
                              <w:spacing w:line="240" w:lineRule="auto"/>
                              <w:ind w:firstLine="0"/>
                              <w:jc w:val="center"/>
                              <w:rPr>
                                <w:b/>
                              </w:rPr>
                            </w:pPr>
                          </w:p>
                          <w:p w:rsidR="007A28FD" w:rsidRDefault="007A28FD" w:rsidP="00451363">
                            <w:pPr>
                              <w:ind w:firstLine="0"/>
                              <w:jc w:val="center"/>
                            </w:pPr>
                            <w:r>
                              <w:t xml:space="preserve">Nikhil </w:t>
                            </w:r>
                            <w:proofErr w:type="spellStart"/>
                            <w:r>
                              <w:t>Kurapati</w:t>
                            </w:r>
                            <w:proofErr w:type="spellEnd"/>
                            <w:r>
                              <w:t>, MPH</w:t>
                            </w:r>
                          </w:p>
                          <w:p w:rsidR="007A28FD" w:rsidRDefault="007A28FD" w:rsidP="006B1124">
                            <w:pPr>
                              <w:ind w:firstLine="0"/>
                              <w:jc w:val="center"/>
                            </w:pPr>
                            <w:r>
                              <w:t>University of Pittsburgh, 2018</w:t>
                            </w:r>
                          </w:p>
                          <w:p w:rsidR="007A28FD" w:rsidRDefault="007A28FD" w:rsidP="006B1124">
                            <w:pPr>
                              <w:ind w:firstLine="0"/>
                              <w:jc w:val="center"/>
                            </w:pPr>
                            <w:r>
                              <w:br w:type="page"/>
                            </w:r>
                          </w:p>
                        </w:txbxContent>
                      </wps:txbx>
                      <wps:bodyPr rot="0" vert="horz" wrap="none" lIns="91440" tIns="45720" rIns="91440" bIns="45720" anchor="t" anchorCtr="0" upright="1">
                        <a:noAutofit/>
                      </wps:bodyPr>
                    </wps:wsp>
                  </a:graphicData>
                </a:graphic>
              </wp:inline>
            </w:drawing>
          </mc:Choice>
          <mc:Fallback>
            <w:pict>
              <v:shape id="Text Box 33" o:spid="_x0000_s1029" type="#_x0000_t202" style="width:468pt;height:14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" filled="f" stroked="f">
                <v:textbox>
                  <w:txbxContent>
                    <w:p w:rsidR="007A28FD" w:rsidRDefault="007A28FD" w:rsidP="00440D75">
                      <w:pPr>
                        <w:spacing w:line="240" w:lineRule="auto"/>
                        <w:ind w:firstLine="0"/>
                        <w:jc w:val="right"/>
                        <w:rPr>
                          <w:b/>
                        </w:rPr>
                      </w:pPr>
                      <w:r>
                        <w:t>David Finegold, MD</w:t>
                      </w:r>
                    </w:p>
                    <w:p w:rsidR="007A28FD" w:rsidRDefault="007A28FD" w:rsidP="00451363">
                      <w:pPr>
                        <w:spacing w:line="240" w:lineRule="auto"/>
                        <w:ind w:firstLine="0"/>
                        <w:jc w:val="center"/>
                        <w:rPr>
                          <w:b/>
                        </w:rPr>
                      </w:pPr>
                    </w:p>
                    <w:p w:rsidR="007A28FD" w:rsidRDefault="007A28FD" w:rsidP="00451363">
                      <w:pPr>
                        <w:spacing w:line="240" w:lineRule="auto"/>
                        <w:ind w:firstLine="0"/>
                        <w:jc w:val="center"/>
                        <w:rPr>
                          <w:b/>
                        </w:rPr>
                      </w:pPr>
                      <w:r w:rsidRPr="00451363">
                        <w:rPr>
                          <w:b/>
                        </w:rPr>
                        <w:t>RURAL VERSUS URBAN DIFFERENCES IN HEALTHCARE UTILIZATION AND LONG-TERM OUTCOMES IN ADULTS WITH PEDIATRIC-ONSET SPINAL CORD INJURY</w:t>
                      </w:r>
                    </w:p>
                    <w:p w:rsidR="007A28FD" w:rsidRPr="00451363" w:rsidRDefault="007A28FD" w:rsidP="00451363">
                      <w:pPr>
                        <w:spacing w:line="240" w:lineRule="auto"/>
                        <w:ind w:firstLine="0"/>
                        <w:jc w:val="center"/>
                        <w:rPr>
                          <w:b/>
                        </w:rPr>
                      </w:pPr>
                    </w:p>
                    <w:p w:rsidR="007A28FD" w:rsidRDefault="007A28FD" w:rsidP="00451363">
                      <w:pPr>
                        <w:ind w:firstLine="0"/>
                        <w:jc w:val="center"/>
                      </w:pPr>
                      <w:r>
                        <w:t xml:space="preserve">Nikhil </w:t>
                      </w:r>
                      <w:proofErr w:type="spellStart"/>
                      <w:r>
                        <w:t>Kurapati</w:t>
                      </w:r>
                      <w:proofErr w:type="spellEnd"/>
                      <w:r>
                        <w:t>, MPH</w:t>
                      </w:r>
                    </w:p>
                    <w:p w:rsidR="007A28FD" w:rsidRDefault="007A28FD" w:rsidP="006B1124">
                      <w:pPr>
                        <w:ind w:firstLine="0"/>
                        <w:jc w:val="center"/>
                      </w:pPr>
                      <w:r>
                        <w:t>University of Pittsburgh, 2018</w:t>
                      </w:r>
                    </w:p>
                    <w:p w:rsidR="007A28FD" w:rsidRDefault="007A28FD" w:rsidP="006B1124">
                      <w:pPr>
                        <w:ind w:firstLine="0"/>
                        <w:jc w:val="center"/>
                      </w:pPr>
                      <w:r>
                        <w:br w:type="page"/>
                      </w:r>
                    </w:p>
                  </w:txbxContent>
                </v:textbox>
                <w10:anchorlock/>
              </v:shape>
            </w:pict>
          </mc:Fallback>
        </mc:AlternateContent>
      </w:r>
    </w:p>
    <w:p w:rsidR="001368A2" w:rsidRPr="00440D75" w:rsidRDefault="001368A2" w:rsidP="001368A2">
      <w:pPr>
        <w:ind w:firstLine="0"/>
        <w:rPr>
          <w:b/>
        </w:rPr>
      </w:pPr>
      <w:r w:rsidRPr="00440D75">
        <w:rPr>
          <w:b/>
        </w:rPr>
        <w:t>ABSTRACT</w:t>
      </w:r>
    </w:p>
    <w:p w:rsidR="00FB26E7" w:rsidRPr="00FB26E7" w:rsidRDefault="00FB26E7" w:rsidP="00FB26E7">
      <w:r>
        <w:t>Individuals with pediatric-onset spinal cord injury (SCI) require long-term care and have a high risk of secondary health conditions.  Individuals who live in rural areas potentially have unmet medical needs due to insufficiency of medical infrastructure and medical providers</w:t>
      </w:r>
      <w:r w:rsidR="005F21A5">
        <w:t>, illustrating a significant issue to public health.</w:t>
      </w:r>
      <w:r>
        <w:t xml:space="preserve">  </w:t>
      </w:r>
      <w:r w:rsidR="005F21A5">
        <w:t>We studied</w:t>
      </w:r>
      <w:r>
        <w:t xml:space="preserve"> how factors affecting health usage differed between rural versus urban-living participants with pediatric-onset SCI including patient independence, employment, income, and access to private insurance.  In addition, we examined differences in healthcare outcomes such as hospitalizations, paid expenses, urinary tract infections (UTIs), and pressure ulcers.</w:t>
      </w:r>
    </w:p>
    <w:p w:rsidR="00FB26E7" w:rsidRDefault="00FB26E7" w:rsidP="00FB26E7">
      <w:r w:rsidRPr="00A25213">
        <w:t>This study was part of a larger longitudinal study on long-term outcomes of adults with pediatric-onset SCI</w:t>
      </w:r>
      <w:r>
        <w:t xml:space="preserve">. Participants (N=471) reported on sociodemographic and injury characteristics and medical outcomes.  Participant zip codes were identified as rural or urban using the </w:t>
      </w:r>
      <w:proofErr w:type="spellStart"/>
      <w:r>
        <w:t>ProximityOne</w:t>
      </w:r>
      <w:proofErr w:type="spellEnd"/>
      <w:r>
        <w:t xml:space="preserve"> database based on the </w:t>
      </w:r>
      <w:r w:rsidRPr="00A25213">
        <w:t>ZIP Code Tabulation Areas</w:t>
      </w:r>
      <w:r>
        <w:t xml:space="preserve"> from the 2010 census.</w:t>
      </w:r>
    </w:p>
    <w:p w:rsidR="00AA2C6A" w:rsidRPr="00AA2C6A" w:rsidRDefault="00FB26E7" w:rsidP="00AA2C6A">
      <w:r w:rsidRPr="00A25213">
        <w:t xml:space="preserve">Those living in rural areas </w:t>
      </w:r>
      <w:r>
        <w:t xml:space="preserve">have decreased income, decreased access to private health insurance, fewer hours of paid personal care assistance, and increased incidence of pressure ulcers.  There were no differences with respect to incidence of UTIs, hospitalizations or psychosocial functioning.  Rural-living individuals with pediatric-onset SCI experience economic barriers to </w:t>
      </w:r>
      <w:r>
        <w:lastRenderedPageBreak/>
        <w:t>healthcare, but differences in secondary health conditions were limited to increased</w:t>
      </w:r>
      <w:r w:rsidR="001368A2">
        <w:t xml:space="preserve"> incidence in pressure ulcers.</w:t>
      </w:r>
    </w:p>
    <w:p w:rsidR="008A110F" w:rsidRDefault="008A110F" w:rsidP="00656EE6">
      <w:pPr>
        <w:pStyle w:val="Preliminary"/>
      </w:pPr>
      <w:bookmarkStart w:id="1" w:name="_Toc106717784"/>
      <w:bookmarkStart w:id="2" w:name="_Toc511655569"/>
      <w:r w:rsidRPr="00E36565">
        <w:lastRenderedPageBreak/>
        <w:t>TABLE</w:t>
      </w:r>
      <w:r>
        <w:t xml:space="preserve"> OF CONTENTS</w:t>
      </w:r>
      <w:bookmarkEnd w:id="1"/>
      <w:bookmarkEnd w:id="2"/>
    </w:p>
    <w:sdt>
      <w:sdtPr>
        <w:rPr>
          <w:rFonts w:ascii="Times New Roman" w:eastAsia="Times New Roman" w:hAnsi="Times New Roman" w:cs="Times New Roman"/>
          <w:color w:val="auto"/>
          <w:sz w:val="24"/>
          <w:szCs w:val="24"/>
        </w:rPr>
        <w:id w:val="-327983210"/>
        <w:docPartObj>
          <w:docPartGallery w:val="Table of Contents"/>
          <w:docPartUnique/>
        </w:docPartObj>
      </w:sdtPr>
      <w:sdtEndPr>
        <w:rPr>
          <w:b/>
          <w:bCs/>
          <w:noProof/>
        </w:rPr>
      </w:sdtEndPr>
      <w:sdtContent>
        <w:p w:rsidR="00ED5613" w:rsidRPr="00440D75" w:rsidRDefault="00ED5613">
          <w:pPr>
            <w:pStyle w:val="TOCHeading"/>
            <w:rPr>
              <w:rFonts w:ascii="Times New Roman" w:hAnsi="Times New Roman" w:cs="Times New Roman"/>
              <w:color w:val="auto"/>
            </w:rPr>
          </w:pPr>
        </w:p>
        <w:p w:rsidR="00B8007E" w:rsidRDefault="00B8007E">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"1-3" \h \z \t "Appendix,1" </w:instrText>
          </w:r>
          <w:r>
            <w:fldChar w:fldCharType="separate"/>
          </w:r>
          <w:hyperlink w:anchor="_Toc511655571" w:history="1">
            <w:r w:rsidRPr="004F1335">
              <w:rPr>
                <w:rStyle w:val="Hyperlink"/>
                <w:noProof/>
              </w:rPr>
              <w:t>preface</w:t>
            </w:r>
            <w:r>
              <w:rPr>
                <w:noProof/>
                <w:webHidden/>
              </w:rPr>
              <w:tab/>
            </w:r>
            <w:r>
              <w:rPr>
                <w:noProof/>
                <w:webHidden/>
              </w:rPr>
              <w:fldChar w:fldCharType="begin"/>
            </w:r>
            <w:r>
              <w:rPr>
                <w:noProof/>
                <w:webHidden/>
              </w:rPr>
              <w:instrText xml:space="preserve"> PAGEREF _Toc511655571 \h </w:instrText>
            </w:r>
            <w:r>
              <w:rPr>
                <w:noProof/>
                <w:webHidden/>
              </w:rPr>
            </w:r>
            <w:r>
              <w:rPr>
                <w:noProof/>
                <w:webHidden/>
              </w:rPr>
              <w:fldChar w:fldCharType="separate"/>
            </w:r>
            <w:r w:rsidR="00BB5D94">
              <w:rPr>
                <w:noProof/>
                <w:webHidden/>
              </w:rPr>
              <w:t>ix</w:t>
            </w:r>
            <w:r>
              <w:rPr>
                <w:noProof/>
                <w:webHidden/>
              </w:rPr>
              <w:fldChar w:fldCharType="end"/>
            </w:r>
          </w:hyperlink>
        </w:p>
        <w:p w:rsidR="00B8007E" w:rsidRDefault="00EE481E">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1655572" w:history="1">
            <w:r w:rsidR="00B8007E" w:rsidRPr="004F1335">
              <w:rPr>
                <w:rStyle w:val="Hyperlink"/>
                <w:noProof/>
              </w:rPr>
              <w:t>1.0</w:t>
            </w:r>
            <w:r w:rsidR="00B8007E">
              <w:rPr>
                <w:rFonts w:asciiTheme="minorHAnsi" w:eastAsiaTheme="minorEastAsia" w:hAnsiTheme="minorHAnsi" w:cstheme="minorBidi"/>
                <w:b w:val="0"/>
                <w:caps w:val="0"/>
                <w:noProof/>
                <w:sz w:val="22"/>
                <w:szCs w:val="22"/>
              </w:rPr>
              <w:tab/>
            </w:r>
            <w:r w:rsidR="00B8007E" w:rsidRPr="004F1335">
              <w:rPr>
                <w:rStyle w:val="Hyperlink"/>
                <w:noProof/>
              </w:rPr>
              <w:t>Introduction</w:t>
            </w:r>
            <w:r w:rsidR="00B8007E">
              <w:rPr>
                <w:noProof/>
                <w:webHidden/>
              </w:rPr>
              <w:tab/>
            </w:r>
            <w:r w:rsidR="00B8007E">
              <w:rPr>
                <w:noProof/>
                <w:webHidden/>
              </w:rPr>
              <w:fldChar w:fldCharType="begin"/>
            </w:r>
            <w:r w:rsidR="00B8007E">
              <w:rPr>
                <w:noProof/>
                <w:webHidden/>
              </w:rPr>
              <w:instrText xml:space="preserve"> PAGEREF _Toc511655572 \h </w:instrText>
            </w:r>
            <w:r w:rsidR="00B8007E">
              <w:rPr>
                <w:noProof/>
                <w:webHidden/>
              </w:rPr>
            </w:r>
            <w:r w:rsidR="00B8007E">
              <w:rPr>
                <w:noProof/>
                <w:webHidden/>
              </w:rPr>
              <w:fldChar w:fldCharType="separate"/>
            </w:r>
            <w:r w:rsidR="00BB5D94">
              <w:rPr>
                <w:noProof/>
                <w:webHidden/>
              </w:rPr>
              <w:t>1</w:t>
            </w:r>
            <w:r w:rsidR="00B8007E">
              <w:rPr>
                <w:noProof/>
                <w:webHidden/>
              </w:rPr>
              <w:fldChar w:fldCharType="end"/>
            </w:r>
          </w:hyperlink>
        </w:p>
        <w:p w:rsidR="00B8007E" w:rsidRDefault="00EE481E">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1655573" w:history="1">
            <w:r w:rsidR="00B8007E" w:rsidRPr="004F1335">
              <w:rPr>
                <w:rStyle w:val="Hyperlink"/>
                <w:noProof/>
              </w:rPr>
              <w:t>1.1</w:t>
            </w:r>
            <w:r w:rsidR="00B8007E">
              <w:rPr>
                <w:rFonts w:asciiTheme="minorHAnsi" w:eastAsiaTheme="minorEastAsia" w:hAnsiTheme="minorHAnsi" w:cstheme="minorBidi"/>
                <w:b w:val="0"/>
                <w:caps w:val="0"/>
                <w:noProof/>
                <w:sz w:val="22"/>
                <w:szCs w:val="22"/>
              </w:rPr>
              <w:tab/>
            </w:r>
            <w:r w:rsidR="00B8007E" w:rsidRPr="004F1335">
              <w:rPr>
                <w:rStyle w:val="Hyperlink"/>
                <w:noProof/>
              </w:rPr>
              <w:t>METHODS</w:t>
            </w:r>
            <w:r w:rsidR="00B8007E">
              <w:rPr>
                <w:noProof/>
                <w:webHidden/>
              </w:rPr>
              <w:tab/>
            </w:r>
            <w:r w:rsidR="00B8007E">
              <w:rPr>
                <w:noProof/>
                <w:webHidden/>
              </w:rPr>
              <w:fldChar w:fldCharType="begin"/>
            </w:r>
            <w:r w:rsidR="00B8007E">
              <w:rPr>
                <w:noProof/>
                <w:webHidden/>
              </w:rPr>
              <w:instrText xml:space="preserve"> PAGEREF _Toc511655573 \h </w:instrText>
            </w:r>
            <w:r w:rsidR="00B8007E">
              <w:rPr>
                <w:noProof/>
                <w:webHidden/>
              </w:rPr>
            </w:r>
            <w:r w:rsidR="00B8007E">
              <w:rPr>
                <w:noProof/>
                <w:webHidden/>
              </w:rPr>
              <w:fldChar w:fldCharType="separate"/>
            </w:r>
            <w:r w:rsidR="00BB5D94">
              <w:rPr>
                <w:noProof/>
                <w:webHidden/>
              </w:rPr>
              <w:t>8</w:t>
            </w:r>
            <w:r w:rsidR="00B8007E">
              <w:rPr>
                <w:noProof/>
                <w:webHidden/>
              </w:rPr>
              <w:fldChar w:fldCharType="end"/>
            </w:r>
          </w:hyperlink>
        </w:p>
        <w:p w:rsidR="00B8007E" w:rsidRDefault="00EE481E">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1655574" w:history="1">
            <w:r w:rsidR="00B8007E" w:rsidRPr="004F1335">
              <w:rPr>
                <w:rStyle w:val="Hyperlink"/>
                <w:noProof/>
              </w:rPr>
              <w:t>1.2</w:t>
            </w:r>
            <w:r w:rsidR="00B8007E">
              <w:rPr>
                <w:rFonts w:asciiTheme="minorHAnsi" w:eastAsiaTheme="minorEastAsia" w:hAnsiTheme="minorHAnsi" w:cstheme="minorBidi"/>
                <w:b w:val="0"/>
                <w:caps w:val="0"/>
                <w:noProof/>
                <w:sz w:val="22"/>
                <w:szCs w:val="22"/>
              </w:rPr>
              <w:tab/>
            </w:r>
            <w:r w:rsidR="00B8007E" w:rsidRPr="004F1335">
              <w:rPr>
                <w:rStyle w:val="Hyperlink"/>
                <w:noProof/>
              </w:rPr>
              <w:t>aNALYSES</w:t>
            </w:r>
            <w:r w:rsidR="00B8007E">
              <w:rPr>
                <w:noProof/>
                <w:webHidden/>
              </w:rPr>
              <w:tab/>
            </w:r>
            <w:r w:rsidR="00B8007E">
              <w:rPr>
                <w:noProof/>
                <w:webHidden/>
              </w:rPr>
              <w:fldChar w:fldCharType="begin"/>
            </w:r>
            <w:r w:rsidR="00B8007E">
              <w:rPr>
                <w:noProof/>
                <w:webHidden/>
              </w:rPr>
              <w:instrText xml:space="preserve"> PAGEREF _Toc511655574 \h </w:instrText>
            </w:r>
            <w:r w:rsidR="00B8007E">
              <w:rPr>
                <w:noProof/>
                <w:webHidden/>
              </w:rPr>
            </w:r>
            <w:r w:rsidR="00B8007E">
              <w:rPr>
                <w:noProof/>
                <w:webHidden/>
              </w:rPr>
              <w:fldChar w:fldCharType="separate"/>
            </w:r>
            <w:r w:rsidR="00BB5D94">
              <w:rPr>
                <w:noProof/>
                <w:webHidden/>
              </w:rPr>
              <w:t>10</w:t>
            </w:r>
            <w:r w:rsidR="00B8007E">
              <w:rPr>
                <w:noProof/>
                <w:webHidden/>
              </w:rPr>
              <w:fldChar w:fldCharType="end"/>
            </w:r>
          </w:hyperlink>
        </w:p>
        <w:p w:rsidR="00B8007E" w:rsidRDefault="00EE481E">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1655575" w:history="1">
            <w:r w:rsidR="00B8007E" w:rsidRPr="004F1335">
              <w:rPr>
                <w:rStyle w:val="Hyperlink"/>
                <w:noProof/>
              </w:rPr>
              <w:t>2.0</w:t>
            </w:r>
            <w:r w:rsidR="00B8007E">
              <w:rPr>
                <w:rFonts w:asciiTheme="minorHAnsi" w:eastAsiaTheme="minorEastAsia" w:hAnsiTheme="minorHAnsi" w:cstheme="minorBidi"/>
                <w:b w:val="0"/>
                <w:caps w:val="0"/>
                <w:noProof/>
                <w:sz w:val="22"/>
                <w:szCs w:val="22"/>
              </w:rPr>
              <w:tab/>
            </w:r>
            <w:r w:rsidR="00B8007E" w:rsidRPr="004F1335">
              <w:rPr>
                <w:rStyle w:val="Hyperlink"/>
                <w:noProof/>
              </w:rPr>
              <w:t>results</w:t>
            </w:r>
            <w:r w:rsidR="00B8007E">
              <w:rPr>
                <w:noProof/>
                <w:webHidden/>
              </w:rPr>
              <w:tab/>
            </w:r>
            <w:r w:rsidR="00B8007E">
              <w:rPr>
                <w:noProof/>
                <w:webHidden/>
              </w:rPr>
              <w:fldChar w:fldCharType="begin"/>
            </w:r>
            <w:r w:rsidR="00B8007E">
              <w:rPr>
                <w:noProof/>
                <w:webHidden/>
              </w:rPr>
              <w:instrText xml:space="preserve"> PAGEREF _Toc511655575 \h </w:instrText>
            </w:r>
            <w:r w:rsidR="00B8007E">
              <w:rPr>
                <w:noProof/>
                <w:webHidden/>
              </w:rPr>
            </w:r>
            <w:r w:rsidR="00B8007E">
              <w:rPr>
                <w:noProof/>
                <w:webHidden/>
              </w:rPr>
              <w:fldChar w:fldCharType="separate"/>
            </w:r>
            <w:r w:rsidR="00BB5D94">
              <w:rPr>
                <w:noProof/>
                <w:webHidden/>
              </w:rPr>
              <w:t>12</w:t>
            </w:r>
            <w:r w:rsidR="00B8007E">
              <w:rPr>
                <w:noProof/>
                <w:webHidden/>
              </w:rPr>
              <w:fldChar w:fldCharType="end"/>
            </w:r>
          </w:hyperlink>
        </w:p>
        <w:p w:rsidR="00B8007E" w:rsidRDefault="00EE481E">
          <w:pPr>
            <w:pStyle w:val="TOC3"/>
            <w:tabs>
              <w:tab w:val="left" w:pos="1760"/>
              <w:tab w:val="right" w:leader="dot" w:pos="9350"/>
            </w:tabs>
            <w:rPr>
              <w:rFonts w:asciiTheme="minorHAnsi" w:eastAsiaTheme="minorEastAsia" w:hAnsiTheme="minorHAnsi" w:cstheme="minorBidi"/>
              <w:b w:val="0"/>
              <w:noProof/>
              <w:sz w:val="22"/>
              <w:szCs w:val="22"/>
            </w:rPr>
          </w:pPr>
          <w:hyperlink w:anchor="_Toc511655576" w:history="1">
            <w:r w:rsidR="00B8007E" w:rsidRPr="004F1335">
              <w:rPr>
                <w:rStyle w:val="Hyperlink"/>
                <w:noProof/>
              </w:rPr>
              <w:t>2.1.1</w:t>
            </w:r>
            <w:r w:rsidR="00B8007E">
              <w:rPr>
                <w:rFonts w:asciiTheme="minorHAnsi" w:eastAsiaTheme="minorEastAsia" w:hAnsiTheme="minorHAnsi" w:cstheme="minorBidi"/>
                <w:b w:val="0"/>
                <w:noProof/>
                <w:sz w:val="22"/>
                <w:szCs w:val="22"/>
              </w:rPr>
              <w:tab/>
            </w:r>
            <w:r w:rsidR="00B8007E" w:rsidRPr="004F1335">
              <w:rPr>
                <w:rStyle w:val="Hyperlink"/>
                <w:noProof/>
              </w:rPr>
              <w:t>Participant Characteristics</w:t>
            </w:r>
            <w:r w:rsidR="00B8007E">
              <w:rPr>
                <w:noProof/>
                <w:webHidden/>
              </w:rPr>
              <w:tab/>
            </w:r>
            <w:r w:rsidR="00B8007E">
              <w:rPr>
                <w:noProof/>
                <w:webHidden/>
              </w:rPr>
              <w:fldChar w:fldCharType="begin"/>
            </w:r>
            <w:r w:rsidR="00B8007E">
              <w:rPr>
                <w:noProof/>
                <w:webHidden/>
              </w:rPr>
              <w:instrText xml:space="preserve"> PAGEREF _Toc511655576 \h </w:instrText>
            </w:r>
            <w:r w:rsidR="00B8007E">
              <w:rPr>
                <w:noProof/>
                <w:webHidden/>
              </w:rPr>
            </w:r>
            <w:r w:rsidR="00B8007E">
              <w:rPr>
                <w:noProof/>
                <w:webHidden/>
              </w:rPr>
              <w:fldChar w:fldCharType="separate"/>
            </w:r>
            <w:r w:rsidR="00BB5D94">
              <w:rPr>
                <w:noProof/>
                <w:webHidden/>
              </w:rPr>
              <w:t>12</w:t>
            </w:r>
            <w:r w:rsidR="00B8007E">
              <w:rPr>
                <w:noProof/>
                <w:webHidden/>
              </w:rPr>
              <w:fldChar w:fldCharType="end"/>
            </w:r>
          </w:hyperlink>
        </w:p>
        <w:p w:rsidR="00B8007E" w:rsidRDefault="00EE481E">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1655577" w:history="1">
            <w:r w:rsidR="00B8007E" w:rsidRPr="004F1335">
              <w:rPr>
                <w:rStyle w:val="Hyperlink"/>
                <w:noProof/>
              </w:rPr>
              <w:t>2.2</w:t>
            </w:r>
            <w:r w:rsidR="00B8007E">
              <w:rPr>
                <w:rFonts w:asciiTheme="minorHAnsi" w:eastAsiaTheme="minorEastAsia" w:hAnsiTheme="minorHAnsi" w:cstheme="minorBidi"/>
                <w:b w:val="0"/>
                <w:caps w:val="0"/>
                <w:noProof/>
                <w:sz w:val="22"/>
                <w:szCs w:val="22"/>
              </w:rPr>
              <w:tab/>
            </w:r>
            <w:r w:rsidR="00B8007E" w:rsidRPr="004F1335">
              <w:rPr>
                <w:rStyle w:val="Hyperlink"/>
                <w:noProof/>
              </w:rPr>
              <w:t>dISCUSSION</w:t>
            </w:r>
            <w:r w:rsidR="00B8007E">
              <w:rPr>
                <w:noProof/>
                <w:webHidden/>
              </w:rPr>
              <w:tab/>
            </w:r>
            <w:r w:rsidR="00B8007E">
              <w:rPr>
                <w:noProof/>
                <w:webHidden/>
              </w:rPr>
              <w:fldChar w:fldCharType="begin"/>
            </w:r>
            <w:r w:rsidR="00B8007E">
              <w:rPr>
                <w:noProof/>
                <w:webHidden/>
              </w:rPr>
              <w:instrText xml:space="preserve"> PAGEREF _Toc511655577 \h </w:instrText>
            </w:r>
            <w:r w:rsidR="00B8007E">
              <w:rPr>
                <w:noProof/>
                <w:webHidden/>
              </w:rPr>
            </w:r>
            <w:r w:rsidR="00B8007E">
              <w:rPr>
                <w:noProof/>
                <w:webHidden/>
              </w:rPr>
              <w:fldChar w:fldCharType="separate"/>
            </w:r>
            <w:r w:rsidR="00BB5D94">
              <w:rPr>
                <w:noProof/>
                <w:webHidden/>
              </w:rPr>
              <w:t>13</w:t>
            </w:r>
            <w:r w:rsidR="00B8007E">
              <w:rPr>
                <w:noProof/>
                <w:webHidden/>
              </w:rPr>
              <w:fldChar w:fldCharType="end"/>
            </w:r>
          </w:hyperlink>
        </w:p>
        <w:p w:rsidR="00B8007E" w:rsidRDefault="00EE481E">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1655578" w:history="1">
            <w:r w:rsidR="00B8007E" w:rsidRPr="004F1335">
              <w:rPr>
                <w:rStyle w:val="Hyperlink"/>
                <w:noProof/>
              </w:rPr>
              <w:t>3.0</w:t>
            </w:r>
            <w:r w:rsidR="00B8007E">
              <w:rPr>
                <w:rFonts w:asciiTheme="minorHAnsi" w:eastAsiaTheme="minorEastAsia" w:hAnsiTheme="minorHAnsi" w:cstheme="minorBidi"/>
                <w:b w:val="0"/>
                <w:caps w:val="0"/>
                <w:noProof/>
                <w:sz w:val="22"/>
                <w:szCs w:val="22"/>
              </w:rPr>
              <w:tab/>
            </w:r>
            <w:r w:rsidR="00B8007E" w:rsidRPr="004F1335">
              <w:rPr>
                <w:rStyle w:val="Hyperlink"/>
                <w:noProof/>
              </w:rPr>
              <w:t>Conclusions:</w:t>
            </w:r>
            <w:r w:rsidR="00B8007E">
              <w:rPr>
                <w:noProof/>
                <w:webHidden/>
              </w:rPr>
              <w:tab/>
            </w:r>
            <w:r w:rsidR="00B8007E">
              <w:rPr>
                <w:noProof/>
                <w:webHidden/>
              </w:rPr>
              <w:fldChar w:fldCharType="begin"/>
            </w:r>
            <w:r w:rsidR="00B8007E">
              <w:rPr>
                <w:noProof/>
                <w:webHidden/>
              </w:rPr>
              <w:instrText xml:space="preserve"> PAGEREF _Toc511655578 \h </w:instrText>
            </w:r>
            <w:r w:rsidR="00B8007E">
              <w:rPr>
                <w:noProof/>
                <w:webHidden/>
              </w:rPr>
            </w:r>
            <w:r w:rsidR="00B8007E">
              <w:rPr>
                <w:noProof/>
                <w:webHidden/>
              </w:rPr>
              <w:fldChar w:fldCharType="separate"/>
            </w:r>
            <w:r w:rsidR="00BB5D94">
              <w:rPr>
                <w:noProof/>
                <w:webHidden/>
              </w:rPr>
              <w:t>15</w:t>
            </w:r>
            <w:r w:rsidR="00B8007E">
              <w:rPr>
                <w:noProof/>
                <w:webHidden/>
              </w:rPr>
              <w:fldChar w:fldCharType="end"/>
            </w:r>
          </w:hyperlink>
        </w:p>
        <w:p w:rsidR="00B8007E" w:rsidRDefault="00EE481E">
          <w:pPr>
            <w:pStyle w:val="TOC1"/>
            <w:tabs>
              <w:tab w:val="right" w:leader="dot" w:pos="9350"/>
            </w:tabs>
            <w:rPr>
              <w:rFonts w:asciiTheme="minorHAnsi" w:eastAsiaTheme="minorEastAsia" w:hAnsiTheme="minorHAnsi" w:cstheme="minorBidi"/>
              <w:b w:val="0"/>
              <w:caps w:val="0"/>
              <w:noProof/>
              <w:sz w:val="22"/>
              <w:szCs w:val="22"/>
            </w:rPr>
          </w:pPr>
          <w:hyperlink w:anchor="_Toc511655579" w:history="1">
            <w:r w:rsidR="00B8007E" w:rsidRPr="004F1335">
              <w:rPr>
                <w:rStyle w:val="Hyperlink"/>
                <w:noProof/>
              </w:rPr>
              <w:t>APPENDIX: TABLES</w:t>
            </w:r>
            <w:r w:rsidR="00B8007E">
              <w:rPr>
                <w:noProof/>
                <w:webHidden/>
              </w:rPr>
              <w:tab/>
            </w:r>
            <w:r w:rsidR="00B8007E">
              <w:rPr>
                <w:noProof/>
                <w:webHidden/>
              </w:rPr>
              <w:fldChar w:fldCharType="begin"/>
            </w:r>
            <w:r w:rsidR="00B8007E">
              <w:rPr>
                <w:noProof/>
                <w:webHidden/>
              </w:rPr>
              <w:instrText xml:space="preserve"> PAGEREF _Toc511655579 \h </w:instrText>
            </w:r>
            <w:r w:rsidR="00B8007E">
              <w:rPr>
                <w:noProof/>
                <w:webHidden/>
              </w:rPr>
            </w:r>
            <w:r w:rsidR="00B8007E">
              <w:rPr>
                <w:noProof/>
                <w:webHidden/>
              </w:rPr>
              <w:fldChar w:fldCharType="separate"/>
            </w:r>
            <w:r w:rsidR="00BB5D94">
              <w:rPr>
                <w:noProof/>
                <w:webHidden/>
              </w:rPr>
              <w:t>16</w:t>
            </w:r>
            <w:r w:rsidR="00B8007E">
              <w:rPr>
                <w:noProof/>
                <w:webHidden/>
              </w:rPr>
              <w:fldChar w:fldCharType="end"/>
            </w:r>
          </w:hyperlink>
        </w:p>
        <w:p w:rsidR="00B8007E" w:rsidRDefault="00EE481E">
          <w:pPr>
            <w:pStyle w:val="TOC1"/>
            <w:tabs>
              <w:tab w:val="right" w:leader="dot" w:pos="9350"/>
            </w:tabs>
            <w:rPr>
              <w:rFonts w:asciiTheme="minorHAnsi" w:eastAsiaTheme="minorEastAsia" w:hAnsiTheme="minorHAnsi" w:cstheme="minorBidi"/>
              <w:b w:val="0"/>
              <w:caps w:val="0"/>
              <w:noProof/>
              <w:sz w:val="22"/>
              <w:szCs w:val="22"/>
            </w:rPr>
          </w:pPr>
          <w:hyperlink w:anchor="_Toc511655580" w:history="1">
            <w:r w:rsidR="00B8007E" w:rsidRPr="004F1335">
              <w:rPr>
                <w:rStyle w:val="Hyperlink"/>
                <w:noProof/>
              </w:rPr>
              <w:t>bibliography</w:t>
            </w:r>
            <w:r w:rsidR="00B8007E">
              <w:rPr>
                <w:noProof/>
                <w:webHidden/>
              </w:rPr>
              <w:tab/>
            </w:r>
            <w:r w:rsidR="00B8007E">
              <w:rPr>
                <w:noProof/>
                <w:webHidden/>
              </w:rPr>
              <w:fldChar w:fldCharType="begin"/>
            </w:r>
            <w:r w:rsidR="00B8007E">
              <w:rPr>
                <w:noProof/>
                <w:webHidden/>
              </w:rPr>
              <w:instrText xml:space="preserve"> PAGEREF _Toc511655580 \h </w:instrText>
            </w:r>
            <w:r w:rsidR="00B8007E">
              <w:rPr>
                <w:noProof/>
                <w:webHidden/>
              </w:rPr>
            </w:r>
            <w:r w:rsidR="00B8007E">
              <w:rPr>
                <w:noProof/>
                <w:webHidden/>
              </w:rPr>
              <w:fldChar w:fldCharType="separate"/>
            </w:r>
            <w:r w:rsidR="00BB5D94">
              <w:rPr>
                <w:noProof/>
                <w:webHidden/>
              </w:rPr>
              <w:t>20</w:t>
            </w:r>
            <w:r w:rsidR="00B8007E">
              <w:rPr>
                <w:noProof/>
                <w:webHidden/>
              </w:rPr>
              <w:fldChar w:fldCharType="end"/>
            </w:r>
          </w:hyperlink>
        </w:p>
        <w:p w:rsidR="00ED5613" w:rsidRDefault="00B8007E">
          <w:r>
            <w:fldChar w:fldCharType="end"/>
          </w:r>
        </w:p>
      </w:sdtContent>
    </w:sdt>
    <w:p w:rsidR="00CB03F9" w:rsidRDefault="00CB03F9" w:rsidP="00035D1E">
      <w:pPr>
        <w:pStyle w:val="Preliminary"/>
      </w:pPr>
      <w:bookmarkStart w:id="3" w:name="_Toc511655570"/>
      <w:r>
        <w:lastRenderedPageBreak/>
        <w:t xml:space="preserve">List of </w:t>
      </w:r>
      <w:r w:rsidRPr="00B424B6">
        <w:t>tables</w:t>
      </w:r>
      <w:bookmarkEnd w:id="3"/>
    </w:p>
    <w:p w:rsidR="00CA13BD" w:rsidRDefault="005C5C73">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11655203" w:history="1">
        <w:r w:rsidR="00CA13BD" w:rsidRPr="00ED091E">
          <w:rPr>
            <w:rStyle w:val="Hyperlink"/>
            <w:noProof/>
          </w:rPr>
          <w:t>Table 1: Participant Demographics</w:t>
        </w:r>
        <w:r w:rsidR="00CA13BD">
          <w:rPr>
            <w:noProof/>
            <w:webHidden/>
          </w:rPr>
          <w:tab/>
        </w:r>
        <w:r w:rsidR="00CA13BD">
          <w:rPr>
            <w:noProof/>
            <w:webHidden/>
          </w:rPr>
          <w:fldChar w:fldCharType="begin"/>
        </w:r>
        <w:r w:rsidR="00CA13BD">
          <w:rPr>
            <w:noProof/>
            <w:webHidden/>
          </w:rPr>
          <w:instrText xml:space="preserve"> PAGEREF _Toc511655203 \h </w:instrText>
        </w:r>
        <w:r w:rsidR="00CA13BD">
          <w:rPr>
            <w:noProof/>
            <w:webHidden/>
          </w:rPr>
        </w:r>
        <w:r w:rsidR="00CA13BD">
          <w:rPr>
            <w:noProof/>
            <w:webHidden/>
          </w:rPr>
          <w:fldChar w:fldCharType="separate"/>
        </w:r>
        <w:r w:rsidR="00BB5D94">
          <w:rPr>
            <w:noProof/>
            <w:webHidden/>
          </w:rPr>
          <w:t>16</w:t>
        </w:r>
        <w:r w:rsidR="00CA13BD">
          <w:rPr>
            <w:noProof/>
            <w:webHidden/>
          </w:rPr>
          <w:fldChar w:fldCharType="end"/>
        </w:r>
      </w:hyperlink>
    </w:p>
    <w:p w:rsidR="00CA13BD" w:rsidRDefault="00EE481E">
      <w:pPr>
        <w:pStyle w:val="TableofFigures"/>
        <w:tabs>
          <w:tab w:val="right" w:leader="dot" w:pos="9350"/>
        </w:tabs>
        <w:rPr>
          <w:rFonts w:asciiTheme="minorHAnsi" w:eastAsiaTheme="minorEastAsia" w:hAnsiTheme="minorHAnsi" w:cstheme="minorBidi"/>
          <w:noProof/>
          <w:sz w:val="22"/>
          <w:szCs w:val="22"/>
        </w:rPr>
      </w:pPr>
      <w:hyperlink w:anchor="_Toc511655204" w:history="1">
        <w:r w:rsidR="00CA13BD" w:rsidRPr="00ED091E">
          <w:rPr>
            <w:rStyle w:val="Hyperlink"/>
            <w:noProof/>
          </w:rPr>
          <w:t>Table 2: Secondary Health Outcomes and Psychosocial Functioning</w:t>
        </w:r>
        <w:r w:rsidR="00CA13BD">
          <w:rPr>
            <w:noProof/>
            <w:webHidden/>
          </w:rPr>
          <w:tab/>
        </w:r>
        <w:r w:rsidR="00CA13BD">
          <w:rPr>
            <w:noProof/>
            <w:webHidden/>
          </w:rPr>
          <w:fldChar w:fldCharType="begin"/>
        </w:r>
        <w:r w:rsidR="00CA13BD">
          <w:rPr>
            <w:noProof/>
            <w:webHidden/>
          </w:rPr>
          <w:instrText xml:space="preserve"> PAGEREF _Toc511655204 \h </w:instrText>
        </w:r>
        <w:r w:rsidR="00CA13BD">
          <w:rPr>
            <w:noProof/>
            <w:webHidden/>
          </w:rPr>
        </w:r>
        <w:r w:rsidR="00CA13BD">
          <w:rPr>
            <w:noProof/>
            <w:webHidden/>
          </w:rPr>
          <w:fldChar w:fldCharType="separate"/>
        </w:r>
        <w:r w:rsidR="00BB5D94">
          <w:rPr>
            <w:noProof/>
            <w:webHidden/>
          </w:rPr>
          <w:t>18</w:t>
        </w:r>
        <w:r w:rsidR="00CA13BD">
          <w:rPr>
            <w:noProof/>
            <w:webHidden/>
          </w:rPr>
          <w:fldChar w:fldCharType="end"/>
        </w:r>
      </w:hyperlink>
    </w:p>
    <w:p w:rsidR="00CA13BD" w:rsidRDefault="00EE481E">
      <w:pPr>
        <w:pStyle w:val="TableofFigures"/>
        <w:tabs>
          <w:tab w:val="right" w:leader="dot" w:pos="9350"/>
        </w:tabs>
        <w:rPr>
          <w:rFonts w:asciiTheme="minorHAnsi" w:eastAsiaTheme="minorEastAsia" w:hAnsiTheme="minorHAnsi" w:cstheme="minorBidi"/>
          <w:noProof/>
          <w:sz w:val="22"/>
          <w:szCs w:val="22"/>
        </w:rPr>
      </w:pPr>
      <w:hyperlink w:anchor="_Toc511655205" w:history="1">
        <w:r w:rsidR="00CA13BD" w:rsidRPr="00ED091E">
          <w:rPr>
            <w:rStyle w:val="Hyperlink"/>
            <w:noProof/>
          </w:rPr>
          <w:t>Table 3: Logistic Regression - UTI and Pressure Ulcer</w:t>
        </w:r>
        <w:r w:rsidR="00CA13BD">
          <w:rPr>
            <w:noProof/>
            <w:webHidden/>
          </w:rPr>
          <w:tab/>
        </w:r>
        <w:r w:rsidR="00CA13BD">
          <w:rPr>
            <w:noProof/>
            <w:webHidden/>
          </w:rPr>
          <w:fldChar w:fldCharType="begin"/>
        </w:r>
        <w:r w:rsidR="00CA13BD">
          <w:rPr>
            <w:noProof/>
            <w:webHidden/>
          </w:rPr>
          <w:instrText xml:space="preserve"> PAGEREF _Toc511655205 \h </w:instrText>
        </w:r>
        <w:r w:rsidR="00CA13BD">
          <w:rPr>
            <w:noProof/>
            <w:webHidden/>
          </w:rPr>
        </w:r>
        <w:r w:rsidR="00CA13BD">
          <w:rPr>
            <w:noProof/>
            <w:webHidden/>
          </w:rPr>
          <w:fldChar w:fldCharType="separate"/>
        </w:r>
        <w:r w:rsidR="00BB5D94">
          <w:rPr>
            <w:noProof/>
            <w:webHidden/>
          </w:rPr>
          <w:t>19</w:t>
        </w:r>
        <w:r w:rsidR="00CA13BD">
          <w:rPr>
            <w:noProof/>
            <w:webHidden/>
          </w:rPr>
          <w:fldChar w:fldCharType="end"/>
        </w:r>
      </w:hyperlink>
    </w:p>
    <w:p w:rsidR="00CA13BD" w:rsidRDefault="00EE481E">
      <w:pPr>
        <w:pStyle w:val="TableofFigures"/>
        <w:tabs>
          <w:tab w:val="right" w:leader="dot" w:pos="9350"/>
        </w:tabs>
        <w:rPr>
          <w:rFonts w:asciiTheme="minorHAnsi" w:eastAsiaTheme="minorEastAsia" w:hAnsiTheme="minorHAnsi" w:cstheme="minorBidi"/>
          <w:noProof/>
          <w:sz w:val="22"/>
          <w:szCs w:val="22"/>
        </w:rPr>
      </w:pPr>
      <w:hyperlink w:anchor="_Toc511655206" w:history="1">
        <w:r w:rsidR="00CA13BD" w:rsidRPr="00ED091E">
          <w:rPr>
            <w:rStyle w:val="Hyperlink"/>
            <w:noProof/>
          </w:rPr>
          <w:t>Table 4: Logistic Regression - Different Models for Pressure Ulcers</w:t>
        </w:r>
        <w:r w:rsidR="00CA13BD">
          <w:rPr>
            <w:noProof/>
            <w:webHidden/>
          </w:rPr>
          <w:tab/>
        </w:r>
        <w:r w:rsidR="00CA13BD">
          <w:rPr>
            <w:noProof/>
            <w:webHidden/>
          </w:rPr>
          <w:fldChar w:fldCharType="begin"/>
        </w:r>
        <w:r w:rsidR="00CA13BD">
          <w:rPr>
            <w:noProof/>
            <w:webHidden/>
          </w:rPr>
          <w:instrText xml:space="preserve"> PAGEREF _Toc511655206 \h </w:instrText>
        </w:r>
        <w:r w:rsidR="00CA13BD">
          <w:rPr>
            <w:noProof/>
            <w:webHidden/>
          </w:rPr>
        </w:r>
        <w:r w:rsidR="00CA13BD">
          <w:rPr>
            <w:noProof/>
            <w:webHidden/>
          </w:rPr>
          <w:fldChar w:fldCharType="separate"/>
        </w:r>
        <w:r w:rsidR="00BB5D94">
          <w:rPr>
            <w:noProof/>
            <w:webHidden/>
          </w:rPr>
          <w:t>19</w:t>
        </w:r>
        <w:r w:rsidR="00CA13BD">
          <w:rPr>
            <w:noProof/>
            <w:webHidden/>
          </w:rPr>
          <w:fldChar w:fldCharType="end"/>
        </w:r>
      </w:hyperlink>
    </w:p>
    <w:p w:rsidR="00CA13BD" w:rsidRDefault="005C5C73" w:rsidP="00CA13BD">
      <w:pPr>
        <w:pStyle w:val="Noindent"/>
      </w:pPr>
      <w:r>
        <w:fldChar w:fldCharType="end"/>
      </w:r>
      <w:bookmarkStart w:id="4" w:name="_Toc114179893"/>
    </w:p>
    <w:p w:rsidR="00B424B6" w:rsidRDefault="00AA2C6A" w:rsidP="00F863F2">
      <w:pPr>
        <w:pStyle w:val="Heading"/>
      </w:pPr>
      <w:bookmarkStart w:id="5" w:name="_Toc511655571"/>
      <w:r>
        <w:lastRenderedPageBreak/>
        <w:t>preface</w:t>
      </w:r>
      <w:bookmarkEnd w:id="4"/>
      <w:bookmarkEnd w:id="5"/>
    </w:p>
    <w:p w:rsidR="00AA2C6A" w:rsidRDefault="00537146" w:rsidP="00AA2C6A">
      <w:pPr>
        <w:pStyle w:val="Noindent"/>
      </w:pPr>
      <w:r>
        <w:t>Acknowledgements</w:t>
      </w:r>
    </w:p>
    <w:p w:rsidR="00537146" w:rsidRDefault="00537146" w:rsidP="00B2415B">
      <w:pPr>
        <w:spacing w:before="240"/>
        <w:jc w:val="left"/>
      </w:pPr>
      <w:r>
        <w:t xml:space="preserve">I would like </w:t>
      </w:r>
      <w:r w:rsidR="00B2415B">
        <w:t>to express</w:t>
      </w:r>
      <w:r>
        <w:t xml:space="preserve"> my si</w:t>
      </w:r>
      <w:r w:rsidR="00B2415B">
        <w:t xml:space="preserve">ncere thanks to Dr. David Finegold </w:t>
      </w:r>
      <w:r>
        <w:t xml:space="preserve">who </w:t>
      </w:r>
      <w:r w:rsidR="00B2415B">
        <w:t xml:space="preserve">has provided so much support and encouragement throughout my studies at the University of Pittsburgh.  </w:t>
      </w:r>
      <w:r>
        <w:t xml:space="preserve">Secondly, I wish to thank </w:t>
      </w:r>
      <w:r w:rsidR="00B2415B">
        <w:t xml:space="preserve">Dr. Elizabeth Felter; she has been a great source of support and has taught me so much in the many classes that I have had with her. </w:t>
      </w:r>
      <w:r>
        <w:t xml:space="preserve"> </w:t>
      </w:r>
      <w:r w:rsidR="00B2415B">
        <w:t>I want to also thank Drs</w:t>
      </w:r>
      <w:r w:rsidR="00A3565E">
        <w:t xml:space="preserve">. Kathy </w:t>
      </w:r>
      <w:proofErr w:type="spellStart"/>
      <w:r w:rsidR="00A3565E">
        <w:t>Zebracki</w:t>
      </w:r>
      <w:proofErr w:type="spellEnd"/>
      <w:r w:rsidR="00A3565E">
        <w:t>, Miriam Hw</w:t>
      </w:r>
      <w:r w:rsidR="00B2415B">
        <w:t xml:space="preserve">ang and </w:t>
      </w:r>
      <w:proofErr w:type="spellStart"/>
      <w:r w:rsidR="00B2415B">
        <w:t>Lawerence</w:t>
      </w:r>
      <w:proofErr w:type="spellEnd"/>
      <w:r w:rsidR="00B2415B">
        <w:t xml:space="preserve"> Vogel for their support on this project and their advocacy toward pursuing my MPH.  Finally</w:t>
      </w:r>
      <w:r>
        <w:t>, I would like to thank my mom, dad and sister who, without them, my life would not seem complete.</w:t>
      </w:r>
    </w:p>
    <w:p w:rsidR="00AA2C6A" w:rsidRDefault="00AA2C6A" w:rsidP="00B2415B">
      <w:pPr>
        <w:jc w:val="left"/>
      </w:pPr>
    </w:p>
    <w:p w:rsidR="00AA2C6A" w:rsidRPr="00AA2C6A" w:rsidRDefault="00AA2C6A" w:rsidP="00B2415B">
      <w:pPr>
        <w:jc w:val="left"/>
      </w:pPr>
    </w:p>
    <w:p w:rsidR="00AA2C6A" w:rsidRDefault="00AA2C6A" w:rsidP="00B2415B">
      <w:pPr>
        <w:ind w:firstLine="0"/>
        <w:jc w:val="left"/>
      </w:pPr>
    </w:p>
    <w:p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rsidR="006B1124" w:rsidRDefault="006B1124" w:rsidP="006B1124">
      <w:pPr>
        <w:pStyle w:val="Heading1"/>
      </w:pPr>
      <w:bookmarkStart w:id="6" w:name="_Toc106513527"/>
      <w:bookmarkStart w:id="7" w:name="_Toc106717785"/>
      <w:bookmarkStart w:id="8" w:name="_Toc114179894"/>
      <w:bookmarkStart w:id="9" w:name="_Toc511655572"/>
      <w:r>
        <w:lastRenderedPageBreak/>
        <w:t>Introduction</w:t>
      </w:r>
      <w:bookmarkEnd w:id="6"/>
      <w:bookmarkEnd w:id="7"/>
      <w:bookmarkEnd w:id="8"/>
      <w:bookmarkEnd w:id="9"/>
    </w:p>
    <w:p w:rsidR="006F4175" w:rsidRPr="00410882" w:rsidRDefault="006F4175" w:rsidP="00F863F2">
      <w:pPr>
        <w:jc w:val="left"/>
      </w:pPr>
      <w:bookmarkStart w:id="10" w:name="_Toc106513528"/>
      <w:bookmarkStart w:id="11" w:name="_Toc106717786"/>
      <w:bookmarkStart w:id="12" w:name="_Toc114179895"/>
      <w:r w:rsidRPr="00410882">
        <w:t>Challenges to accessing timely and comprehensive healthcare can have far reaching implications on health outcomes for all patient populations and particularly those with chronic health conditions. According to the National Spinal Cord Injury Statistical Center, nearly 275,000 individuals in the U.S. live with SCI, with an incidence of 12,000 per year.</w:t>
      </w:r>
      <w:r w:rsidRPr="00410882">
        <w:fldChar w:fldCharType="begin" w:fldLock="1"/>
      </w:r>
      <w:r w:rsidRPr="00410882">
        <w:instrText>ADDIN CSL_CITATION { "citationItems" : [ { "id" : "ITEM-1", "itemData" : { "DOI" : "10.1038/sc.2011.178", "ISBN" : "1476-5624 (Electronic)\\r1362-4393 (Linking)", "ISSN" : "13624393", "PMID" : "22270188", "abstract" : "STUDY DESIGN: Review supplemented by inception cohort. OBJECTIVES: To review trends in the incidence, prevalence, demographic characteristics, etiology, injury severity and selected treatment outcomes of traumatic spinal cord injury (SCI). SETTING: International review and US model systems cohort. METHODS: An extensive literature review was conducted to identify all relevant studies of descriptive epidemiology of traumatic SCI. This review was supplemented by analyses of trends in US SCI epidemiology that are reflected in the National Spinal Cord Injury Statistical Center and Shriners Hospital Spinal Cord Injury databases. RESULTS: Incidence and prevalence of traumatic SCI in the United States are higher than in the rest of the world. Average age at injury is increasing in accordance with an aging general population at risk. The proportion of cervical injuries is increasing, whereas the proportion of neurologically complete injuries is decreasing. Injuries due to falls are increasing. Recent gains in general population life expectancy are not reflected in the SCI population. Treatment outcomes are changing as a result of increasing age and changes in US health care delivery. CONCLUSION: Within the prevalent population, the percentage of elderly persons will not increase meaningfully until the high mortality rates observed among older persons significantly improve. Those who reach older ages will typically have incomplete and/or lower level injuries, and will have relatively high degrees of independence and overall good health.", "author" : [ { "dropping-particle" : "", "family" : "Devivo", "given" : "M. J.", "non-dropping-particle" : "", "parse-names" : false, "suffix" : "" } ], "container-title" : "Spinal Cord", "id" : "ITEM-1", "issue" : "5", "issued" : { "date-parts" : [ [ "2012" ] ] }, "page" : "365-372", "title" : "Epidemiology of traumatic spinal cord injury: Trends and future implications", "type" : "paper-conference", "volume" : "50" }, "uris" : [ "http://www.mendeley.com/documents/?uuid=eb4209fa-c8c5-48ed-9eb5-1bdb62175a64" ] } ], "mendeley" : { "formattedCitation" : "(Devivo, 2012)", "plainTextFormattedCitation" : "(Devivo, 2012)", "previouslyFormattedCitation" : "(Devivo, 2012)" }, "properties" : {  }, "schema" : "https://github.com/citation-style-language/schema/raw/master/csl-citation.json" }</w:instrText>
      </w:r>
      <w:r w:rsidRPr="00410882">
        <w:fldChar w:fldCharType="separate"/>
      </w:r>
      <w:r w:rsidRPr="00410882">
        <w:rPr>
          <w:noProof/>
        </w:rPr>
        <w:t>(Devivo, 2012)</w:t>
      </w:r>
      <w:r w:rsidRPr="00410882">
        <w:fldChar w:fldCharType="end"/>
      </w:r>
      <w:r w:rsidRPr="00410882">
        <w:t xml:space="preserve"> Spinal cord injury is a sudden and debilitating injury that results in paralysis, sensory deficits and drastically altered function and quality of life. </w:t>
      </w:r>
      <w:r w:rsidRPr="00410882">
        <w:fldChar w:fldCharType="begin" w:fldLock="1"/>
      </w:r>
      <w:r w:rsidRPr="00410882">
        <w:instrText>ADDIN CSL_CITATION { "citationItems" : [ { "id" : "ITEM-1", "itemData" : { "DOI" : "10.1682/JRRD.2004.08.0100", "ISBN" : "0748-7711 (Print) 0748-7711 (Linking)", "ISSN" : "0748-7711", "PMID" : "16195966", "abstract" : "Quality of life (QoL) is increasingly becoming a key concept in research and clinical services. However, no agreement exists on what QoL is and how it is to be measured. This paper reviews three different yet linked approaches to QoL conceptualization: QoL as subjective well-being; QoL as achievement; and QoL as utility. People with spinal cord injury (SCI) tend to report fewer feelings of well-being, on average, than nondisabled persons; score lower on physical, mental, and social health and in other domains of life that people consider important to life quality; and have a health state that is preferred much less than that of the average person. Many QoL instruments used in SCI research have not been validated for this group, or have questionable assumptions, and clinical applications of QoL measures still have many problems. Much SCI QoL research tends to be atheoretical.", "author" : [ { "dropping-particle" : "", "family" : "Dijkers", "given" : "Marcel P. J. M.", "non-dropping-particle" : "", "parse-names" : false, "suffix" : "" } ], "container-title" : "The Journal of Rehabilitation Research and Development", "id" : "ITEM-1", "issue" : "3sup1", "issued" : { "date-parts" : [ [ "2004" ] ] }, "page" : "87", "title" : "Quality of life of individuals with spinal cord injury: A review of conceptualization, measurement, and research findings", "type" : "article-journal", "volume" : "42" }, "uris" : [ "http://www.mendeley.com/documents/?uuid=6382096a-1b59-4aeb-972c-99043c1b2075" ] } ], "mendeley" : { "formattedCitation" : "(Dijkers, 2004)", "plainTextFormattedCitation" : "(Dijkers, 2004)", "previouslyFormattedCitation" : "(Dijkers, 2004)" }, "properties" : {  }, "schema" : "https://github.com/citation-style-language/schema/raw/master/csl-citation.json" }</w:instrText>
      </w:r>
      <w:r w:rsidRPr="00410882">
        <w:fldChar w:fldCharType="separate"/>
      </w:r>
      <w:r w:rsidRPr="00410882">
        <w:rPr>
          <w:noProof/>
        </w:rPr>
        <w:t>(Dijkers, 2004)</w:t>
      </w:r>
      <w:r w:rsidRPr="00410882">
        <w:fldChar w:fldCharType="end"/>
      </w:r>
      <w:r w:rsidRPr="00410882">
        <w:t xml:space="preserve">  SCI is also extremely costly, with personal costs ranging from $40,589 to $177,808 in years following injury.(NSCISC, 2013)  More than half of all individuals with SCI do not have private health insurance(James S. Krause, Saladin, &amp; Adkins, 2009), thus costs associated with SCI greatly affect their lives as well as the public support system. Individuals with </w:t>
      </w:r>
      <w:r w:rsidRPr="00410882">
        <w:rPr>
          <w:noProof/>
        </w:rPr>
        <w:t>pediatric-onset</w:t>
      </w:r>
      <w:r w:rsidRPr="00410882">
        <w:t xml:space="preserve"> spinal cord injury (SCI) represent one such patient subgroup that is at great risk when access to healthcare is frequently compromised. </w:t>
      </w:r>
    </w:p>
    <w:p w:rsidR="006F4175" w:rsidRPr="00410882" w:rsidRDefault="006F4175" w:rsidP="00F863F2">
      <w:pPr>
        <w:jc w:val="left"/>
      </w:pPr>
      <w:r w:rsidRPr="00410882">
        <w:t xml:space="preserve">Individuals with SCI individuals require long-term follow-up and healthcare due to secondary health conditions such as neurogenic bowel and bladder, pressure ulcers, autonomic </w:t>
      </w:r>
      <w:proofErr w:type="spellStart"/>
      <w:r w:rsidRPr="00410882">
        <w:t>dysreflexia</w:t>
      </w:r>
      <w:proofErr w:type="spellEnd"/>
      <w:r w:rsidRPr="00410882">
        <w:t>, pain, urinary tract disorders, and sexual dysfunction.</w:t>
      </w:r>
      <w:r w:rsidRPr="00410882">
        <w:fldChar w:fldCharType="begin" w:fldLock="1"/>
      </w:r>
      <w:r w:rsidRPr="00410882">
        <w:instrText>ADDIN CSL_CITATION { "citationItems" : [ { "id" : "ITEM-1", "itemData" : { "DOI" : "10.3109/09638288.2014.972593", "ISSN" : "1464-5165", "PMID" : "25332089", "abstract" : "Abstract Purpose: To examine the perspectives of persons living with traumatic spinal cord injuries (tSCI) on their access to health and support services. The specific aims were to identify the perceived gaps in access, classify the nature of the perceived gaps and compare differences in perceptions of access between urban and rural participants. Method: Using a descriptive, qualitative approach, semi-structured interviews were conducted with 23 adults living with tSCI, 13 of whom had paraplegia. Ten participants resided in rural areas and 16 were male. Thematic analysis allowed for the identification of patterns, which were then categorized according to the dimensions of access. Results: Opportunities to engage in health-promoting activities through a broad range of health and support services were at times limited, particularly by issues of affordability. In addition to core healthcare services, participants reported the need for complementary therapies, sports and leisure, peer support, equipment and mobility related services. Availability and accessibility of services was limited in some cases for rural participants, although rural residence conferred other valued benefits. Narratives of \"not being heard\" by providers were common. Conclusions: Maintaining health and well-being in people with tSCI demands access to both conventional health care and support services. Implications for Rehabilitation Access to both health and support services are important to maintaining the health and wellness of people with spinal cord injury. People with spinal cord injuries take an active role in coordinating their health, at times assuming various roles to compensate for perceived shortcomings of health care providers. Negotiating balances of power with gatekeepers in the health and insurance sectors was a key function of the coordinating role assumed by people with spinal cord injury. In order to effectively address the needs of this population, a coordinated interdisciplinary out-reach service, which includes peer support, must cross boundaries to engage sectors beyond traditional health care services, such as insurers and wellness providers.", "author" : [ { "dropping-particle" : "", "family" : "Goodridge", "given" : "Donna", "non-dropping-particle" : "", "parse-names" : false, "suffix" : "" }, { "dropping-particle" : "", "family" : "Rogers", "given" : "Marla", "non-dropping-particle" : "", "parse-names" : false, "suffix" : "" }, { "dropping-particle" : "", "family" : "Klassen", "given" : "Laura", "non-dropping-particle" : "", "parse-names" : false, "suffix" : "" }, { "dropping-particle" : "", "family" : "Jeffery", "given" : "Bonnie", "non-dropping-particle" : "", "parse-names" : false, "suffix" : "" }, { "dropping-particle" : "", "family" : "Knox", "given" : "Katherine", "non-dropping-particle" : "", "parse-names" : false, "suffix" : "" }, { "dropping-particle" : "", "family" : "Rohatinsky", "given" : "Noelle", "non-dropping-particle" : "", "parse-names" : false, "suffix" : "" }, { "dropping-particle" : "", "family" : "Linassi", "given" : "Gary", "non-dropping-particle" : "", "parse-names" : false, "suffix" : "" } ], "container-title" : "Disability and Rehabilitation", "id" : "ITEM-1", "issue" : "October", "issued" : { "date-parts" : [ [ "2014" ] ] }, "page" : "1-10", "title" : "Access to health and support services: perspectives of people living with a long-term traumatic spinal cord injury in rural and urban areas.", "type" : "article-journal", "volume" : "8288" }, "uris" : [ "http://www.mendeley.com/documents/?uuid=8ba14522-0255-4878-9068-7c4e27c4db69" ] }, { "id" : "ITEM-2", "itemData" : { "DOI" : "10.1038/sc.2012.8", "ISSN" : "1476-5624", "PMID" : "22370762", "abstract" : "STUDY DESIGN Cross-sectional survey. OBJECTIVES To assess the prevalence of substance use in young adults with pediatric-onset spinal cord injury (SCI) and its relationship with demographic factors, and medical and psychosocial outcomes. SETTING Young adults living in the United States who received pediatric SCI care at one of three SCI programs at the Shriners Hospitals for Children. METHODS Individuals aged 21-25 years who had sustained SCI before the age of 19 were interviewed with a structured questionnaire including standardized outcome measures: FIM, satisfaction with life scale (SWLS), short-form 12 health survey (SF-12), patient health questionnaire-9 (PHQ-9) depression scale, and Craig handicap assessment and recording technique (CHART). RESULTS Sample included 215 individuals with a mean age at interview of 23.3 (s.d.=0.9) years and mean age at injury of 13.2 (s.d.=4.9) years. In all, 24% had a college degree, 36% were employed and 12% were married. Regular substance use was reported by 28% for tobacco, 55% for alcohol and 11% for marijuana. Tobacco use was associated with depressive symptoms and unemployment; alcohol use was associated with having a college degree, single status and independent mobility; and marijuana use was associated with not having a college degree. There were no significant associations between substance use and injury-related factors or life satisfaction. CONCLUSION Substance use in young adults with pediatric-onset SCI was associated with factors such as education, employment, marital status and depressive symptoms. Clinicians caring for youth with SCI should counsel patients and caregivers regarding the use of substances and potential associations with outcomes in adulthood.", "author" : [ { "dropping-particle" : "", "family" : "Hwang", "given" : "M", "non-dropping-particle" : "", "parse-names" : false, "suffix" : "" }, { "dropping-particle" : "", "family" : "Chlan", "given" : "K M", "non-dropping-particle" : "", "parse-names" : false, "suffix" : "" }, { "dropping-particle" : "", "family" : "Vogel", "given" : "L C", "non-dropping-particle" : "", "parse-names" : false, "suffix" : "" }, { "dropping-particle" : "", "family" : "Zebracki", "given" : "K", "non-dropping-particle" : "", "parse-names" : false, "suffix" : "" } ], "container-title" : "Spinal cord", "id" : "ITEM-2", "issue" : "7", "issued" : { "date-parts" : [ [ "2012", "7" ] ] }, "page" : "497-501", "publisher" : "Nature Publishing Group", "title" : "Substance use in young adults with pediatric-onset spinal cord injury.", "type" : "article-journal", "volume" : "50" }, "uris" : [ "http://www.mendeley.com/documents/?uuid=f728cf36-25bc-4a6e-9dc1-d625e833c545" ] }, { "id" : "ITEM-3", "itemData" : { "DOI" : "10.1310/sci1604-53", "ISBN" : "1082-0744", "ISSN" : "1082-0744", "PMID" : "2011224512", "abstract" : "The purpose of this study was to document causes and average costs of hospitalization among persons with spinal cord injury (SCI). Data were collected prospectively on 430 hospitalizations occurring among 206 persons. Urinary tract complications were the most frequent cause of hospitalization (29.5%), followed by skin conditions (16.5%). Mean charges per hospitalization in 2009 dollars were highest for skin conditions ($75,872) and lowest for endocrine and nutritional problems ($13,530). These data should be useful for life care planning as well as for setting priorities for research and education aimed at preventing unnecessary hospitalizations, reducing costs, and improving quality of life for persons with SCI. (copyright) 2011 Thomas Land Publishers, Inc.", "author" : [ { "dropping-particle" : "", "family" : "DeVivo", "given" : "Michael J.", "non-dropping-particle" : "", "parse-names" : false, "suffix" : "" }, { "dropping-particle" : "", "family" : "Farris", "given" : "Vicki", "non-dropping-particle" : "", "parse-names" : false, "suffix" : "" } ], "container-title" : "Topics in Spinal Cord Injury Rehabilitation", "id" : "ITEM-3", "issue" : "4", "issued" : { "date-parts" : [ [ "2011" ] ] }, "page" : "53-61", "title" : "Causes and Costs of Unplanned Hospitalizations Among Persons with Spinal Cord Injury", "type" : "article-journal", "volume" : "16" }, "uris" : [ "http://www.mendeley.com/documents/?uuid=899584ba-270e-4842-85f5-3d8869cd7f9d" ] } ], "mendeley" : { "formattedCitation" : "(DeVivo &amp; Farris, 2011; Goodridge et al., 2014; Hwang, Chlan, Vogel, &amp; Zebracki, 2012)", "plainTextFormattedCitation" : "(DeVivo &amp; Farris, 2011; Goodridge et al., 2014; Hwang, Chlan, Vogel, &amp; Zebracki, 2012)", "previouslyFormattedCitation" : "(DeVivo &amp; Farris, 2011; Goodridge et al., 2014; Hwang, Chlan, Vogel, &amp; Zebracki, 2012)" }, "properties" : {  }, "schema" : "https://github.com/citation-style-language/schema/raw/master/csl-citation.json" }</w:instrText>
      </w:r>
      <w:r w:rsidRPr="00410882">
        <w:fldChar w:fldCharType="separate"/>
      </w:r>
      <w:r w:rsidRPr="00410882">
        <w:rPr>
          <w:noProof/>
        </w:rPr>
        <w:t>(DeVivo &amp; Farris, 2011; Goodridge et al., 2014; Hwang, Chlan, Vogel, &amp; Zebracki, 2012)</w:t>
      </w:r>
      <w:r w:rsidRPr="00410882">
        <w:fldChar w:fldCharType="end"/>
      </w:r>
      <w:r w:rsidRPr="00410882">
        <w:t xml:space="preserve">  Individuals with SCI are more likely than their healthy counterparts to develop severe medical complications that lead to hospitalizations.</w:t>
      </w:r>
      <w:r w:rsidRPr="00410882">
        <w:fldChar w:fldCharType="begin" w:fldLock="1"/>
      </w:r>
      <w:r w:rsidRPr="00410882">
        <w:instrText>ADDIN CSL_CITATION { "citationItems" : [ { "id" : "ITEM-1", "itemData" : { "DOI" : "10.1016/j.apmr.2011.05.024", "ISBN" : "1532-821X", "ISSN" : "00039993", "PMID" : "22032212", "abstract" : "Objective: To evaluate the association of health status, secondary health conditions, hospitalizations, and risk of mortality and life expectancy (LE) after spinal cord injury (SCI). Design: Prospective cohort study. Setting: Preliminary data were collected from a specialty hospital in the Southeastern United States, with mortality follow-up and data analysis conducted at a medical university. Participants: Adults with traumatic SCI (N=1361), all at least 1-year postinjury at the time of assessment, were enrolled in the study. There were 325 deaths. After elimination of those with missing data on key variables, there were 267 deaths and 12,032 person-years. Interventions: None. Main Outcome Measures: The mortality status was determined by routine follow-up using the National Death Index through December 31, 2008. A logistic regression model was developed to estimate the probability of dying in any given year using person-years. Results: A history of chronic pressure ulcers, amputations, a depressive disorder, symptoms of infections, and being hospitalized within the past year were all predictive of mortality. LE estimates were generated using the example of a man with noncervical, nonambulatory SCI. Using 3 age examples (20, 40, 60y), the greatest estimated lost LE was associated with chronic pressure ulcers (50.3%), followed by amputations (35.4%), 1 or more recent hospitalizations (18.5%), and the diagnosis of probable major depression (18%). Symptoms of infections were associated with a 6.7% reduction in LE for a 1 SD increase in infectious symptoms. Conclusions: Several secondary health conditions represent risk factors for mortality and diminish LE after SCI. The presence of 1 or more of these factors should be taken as an indicator of the need for intervention. \u00a9 2011 American Congress of Rehabilitation Medicine.", "author" : [ { "dropping-particle" : "", "family" : "Krause", "given" : "James S.", "non-dropping-particle" : "", "parse-names" : false, "suffix" : "" }, { "dropping-particle" : "", "family" : "Saunders", "given" : "Lee L.", "non-dropping-particle" : "", "parse-names" : false, "suffix" : "" } ], "container-title" : "Archives of Physical Medicine and Rehabilitation", "id" : "ITEM-1", "issue" : "11", "issued" : { "date-parts" : [ [ "2011" ] ] }, "page" : "1770-1775", "title" : "Health, secondary conditions, and life expectancy after spinal cord injury", "type" : "article-journal", "volume" : "92" }, "uris" : [ "http://www.mendeley.com/documents/?uuid=2bf54ee9-1d8b-4d07-9c7d-cdafddfb9c96" ] } ], "mendeley" : { "formattedCitation" : "(James S. Krause &amp; Saunders, 2011)", "plainTextFormattedCitation" : "(James S. Krause &amp; Saunders, 2011)", "previouslyFormattedCitation" : "(James S. Krause &amp; Saunders, 2011)" }, "properties" : {  }, "schema" : "https://github.com/citation-style-language/schema/raw/master/csl-citation.json" }</w:instrText>
      </w:r>
      <w:r w:rsidRPr="00410882">
        <w:fldChar w:fldCharType="separate"/>
      </w:r>
      <w:r w:rsidRPr="00410882">
        <w:rPr>
          <w:noProof/>
        </w:rPr>
        <w:t>(James S. Krause &amp; Saunders, 2011)</w:t>
      </w:r>
      <w:r w:rsidRPr="00410882">
        <w:fldChar w:fldCharType="end"/>
      </w:r>
      <w:r w:rsidRPr="00410882">
        <w:t xml:space="preserve"> Additionally, over a 10-year period, 93% </w:t>
      </w:r>
      <w:r w:rsidRPr="00410882">
        <w:lastRenderedPageBreak/>
        <w:t>of patients with SCI experienced at least one adverse health condition requiring medical attention.</w:t>
      </w:r>
      <w:r w:rsidRPr="00410882">
        <w:fldChar w:fldCharType="begin" w:fldLock="1"/>
      </w:r>
      <w:r w:rsidRPr="00410882">
        <w:instrText>ADDIN CSL_CITATION { "citationItems" : [ { "id" : "ITEM-1", "itemData" : { "DOI" : "10.1080/10790268.2010.11689699", "ISBN" : "1079-0268 (Print)\\r1079-0268", "ISSN" : "10790268", "PMID" : "20737795", "abstract" : "BACKGROUND/OBJECTIVE: To report over a 10-year period the statewide prevalence and incidence of medically attended adverse health conditions in people with new traumatic spinal cord injury (TSCI). DESIGN: Retrospective cohort study. METHODS: (a) Identified all new TSCI cases discharged alive from statewide acute care hospitals, 1996 to 2000, using ICD-9-CM methodology. (b) Followed cases from 1996 to 2005 to quantify medically attended health conditions documented during emergency department visits, acute care hospitalizations, and outpatient hospital visits. (c) Used the life table method to calculate the prevalence and incidence of health conditions. (d) Examined Cox proportional hazard ratio of mortality by gender controlling for age and TSCI severity. RESULTS: Nine hundred eighty-eight residents (257 women, 731 men) with TSCI were alive 90 days after discharge from acute care hospitalization from 1996 to 2000. Nine hundred twenty-three (251 female, 672 male) (93.4%) residents had an observed medically attended adverse health condition in the 10-year followup period. The most prevalent classes of diseases and disorders were (a) muscle and connective tissue, (b) renal and urinary, (c) digestive, (d) circulatory, (e) respiratory, (f) endocrine/nutritional/metabolic, and (g) infectious. Incidence of new injury was 29.0% for males and 26.9% for females. During the follow-up period, 49 women (19%) and 104 men (14%) died. CONCLUSIONS: People with TSCI experience diverse adverse health conditions in the 10 years after initial injury. An interdisciplinary health care provider team approach to allocating resources and implementing countermeasures to prevent or limit occurrence of these conditions is vital to these patient's continuum of care.", "author" : [ { "dropping-particle" : "", "family" : "Pickelsimer", "given" : "Elisabeth", "non-dropping-particle" : "", "parse-names" : false, "suffix" : "" }, { "dropping-particle" : "", "family" : "Shiroma", "given" : "Eric J.", "non-dropping-particle" : "", "parse-names" : false, "suffix" : "" }, { "dropping-particle" : "", "family" : "Wilson", "given" : "Dulaney A.", "non-dropping-particle" : "", "parse-names" : false, "suffix" : "" } ], "container-title" : "Journal of Spinal Cord Medicine", "id" : "ITEM-1", "issue" : "3", "issued" : { "date-parts" : [ [ "2010" ] ] }, "page" : "221-231", "title" : "Statewide investigation of medically attended adverse health conditions of persons with spinal cord injury", "type" : "article-journal", "volume" : "33" }, "uris" : [ "http://www.mendeley.com/documents/?uuid=08a03c7d-8d5a-45b9-a43f-a57ac507f158" ] } ], "mendeley" : { "formattedCitation" : "(Pickelsimer, Shiroma, &amp; Wilson, 2010)", "plainTextFormattedCitation" : "(Pickelsimer, Shiroma, &amp; Wilson, 2010)", "previouslyFormattedCitation" : "(Pickelsimer, Shiroma, &amp; Wilson, 2010)" }, "properties" : {  }, "schema" : "https://github.com/citation-style-language/schema/raw/master/csl-citation.json" }</w:instrText>
      </w:r>
      <w:r w:rsidRPr="00410882">
        <w:fldChar w:fldCharType="separate"/>
      </w:r>
      <w:r w:rsidRPr="00410882">
        <w:rPr>
          <w:noProof/>
        </w:rPr>
        <w:t>(Pickelsimer, Shiroma, &amp; Wilson, 2010)</w:t>
      </w:r>
      <w:r w:rsidRPr="00410882">
        <w:fldChar w:fldCharType="end"/>
      </w:r>
      <w:r w:rsidRPr="00410882">
        <w:t xml:space="preserve">  Individuals are most frequently need to seek hospitalization due to respiratory complications and urinary tract infections.</w:t>
      </w:r>
      <w:r w:rsidRPr="00410882">
        <w:fldChar w:fldCharType="begin" w:fldLock="1"/>
      </w:r>
      <w:r w:rsidRPr="00410882">
        <w:instrText>ADDIN CSL_CITATION { "citationItems" : [ { "id" : "ITEM-1", "itemData" : { "DOI" : "10.1016/j.apmr.2004.03.016", "ISBN" : "0003-9993", "ISSN" : "00039993", "PMID" : "9915377", "abstract" : "Cardenas DD, Hoffman JM, Kirshblum S, McKinley W. Etiology and incidence of rehospitalization after traumatic spinal cord injury: a multicenter analysis. Arch Phys Med Rehabil 2004;85:1757-63. Objectives To examine the frequency and reasons for rehospitalization in persons with acute traumatic spinal cord injury (SCI) during follow-up years and to examine the association between rehospitalization and demographics, neurologic category, payer sources, length of stay (LOS), discharge motor FIM instrument score, and discharge residence. Design Survey design with analysis of cross-sectional data. Setting Model Spinal Cord Injury Systems (MSCIS) centers. Participants Data for 8668 persons with SCI from 16 MSCIS centers entered in the National Spinal Cord Injury Statistical Center database between 1995 and 2002. Interventions Not applicable. Main outcome measures MSCIS Forms I and II were used to identify the annual incidence, medical complications, and etiologies of rehospitalizations reported at 1-, 5-, 10-, 15-, and 20-year follow-ups. Results The leading cause of rehospitalization was diseases of the genitourinary system, including urinary tract infections (UTIs). Diseases of the respiratory system tended to be more likely in patients with tetraplegia (C1-8 American Spinal Injury Association [ASIA] grades A, B, C); whereas patients with paraplegia (T1-S5 ASIA grades A, B, C) were more likely to be rehospitalized for pressure ulcers. The rate of rehospitalization was significantly higher at year 1, 5, and 20 for those who were discharged to a skilled nursing facility after acute rehabilitation. Lower motor score using the FIM was predictive of rehospitalization (P=.000). The average LOS per rehospitalization at the year-5 follow-up was approximately 12 days, which is lower than in past MSCIS reports. Conclusions Despite improvements in SCI medical management, rehospitalization rates remain high, with an increased incidence in conditions associated with the genitourinary system (including UTIs), respiratory complications (including pneumonia), and diseases of the skin (including pressure ulcers). Acutely injured patients need close follow-up to reduce morbidity and rehospitalizations. \u00a9 2004 by the American Congress of Rehabilitation Medicine and the American Academy of Physical Medicine and Rehabilitation.", "author" : [ { "dropping-particle" : "", "family" : "Cardenas", "given" : "Diana D.", "non-dropping-particle" : "", "parse-names" : false, "suffix" : "" }, { "dropping-particle" : "", "family" : "Hoffman", "given" : "Jeanne M.", "non-dropping-particle" : "", "parse-names" : false, "suffix" : "" }, { "dropping-particle" : "", "family" : "Kirshblum", "given" : "Steven", "non-dropping-particle" : "", "parse-names" : false, "suffix" : "" }, { "dropping-particle" : "", "family" : "McKinley", "given" : "William", "non-dropping-particle" : "", "parse-names" : false, "suffix" : "" } ], "container-title" : "Archives of Physical Medicine and Rehabilitation", "id" : "ITEM-1", "issue" : "11", "issued" : { "date-parts" : [ [ "2004" ] ] }, "page" : "1757-1763", "title" : "Etiology and incidence of rehospitalization after traumatic spinal cord injury: A multicenter analysis", "type" : "article", "volume" : "85" }, "uris" : [ "http://www.mendeley.com/documents/?uuid=f41b5804-a6c3-49fd-950e-f31908ae332f" ] }, { "id" : "ITEM-2", "itemData" : { "ISBN" : "0003-9993", "ISSN" : "0003-9993 (Print)", "PMID" : "2932086", "abstract" : "A cross-sectional survey of 96 people living independently with spinal cord injuries (SCI) in Eastern Massachusetts shows that 57% had been hospitalized at least once in the year before the survey. Sample means were 1.0 admissions and 16.0 days/person/year. Eight percent of the sample (eight persons) accounted for 22% of admissions and 59% of total hospital days. For those hospitalized, the mean was 1.7 admissions and 45.1 days/person/year. Mean length-of-stay was 34.7 days/admission. Multiple regression analysis shows that three variables appear to be independently related to increased numbers of admissions: self-assessment of health; place of residence; and age (younger respondents at higher risk). One variable is independently associated with total days of hospitalization: leaving home at least once daily (as opposed to less frequently) is associated with lower risk. There were no statistically significant relationships between either numbers of hospitalizations or total days hospitalized and ADL or IADL status, education, employment, medical insurance, household composition, gender, age at onset of disability, time since onset of disability, substance use (alcohol, cannabis, or tobacco), level of SCI lesion, or social supports.", "author" : [ { "dropping-particle" : "", "family" : "Meyers", "given" : "A R", "non-dropping-particle" : "", "parse-names" : false, "suffix" : "" }, { "dropping-particle" : "", "family" : "Feltin", "given" : "M", "non-dropping-particle" : "", "parse-names" : false, "suffix" : "" }, { "dropping-particle" : "", "family" : "Master", "given" : "R J", "non-dropping-particle" : "", "parse-names" : false, "suffix" : "" }, { "dropping-particle" : "", "family" : "Nicastro", "given" : "D", "non-dropping-particle" : "", "parse-names" : false, "suffix" : "" }, { "dropping-particle" : "", "family" : "Cupples", "given" : "A", "non-dropping-particle" : "", "parse-names" : false, "suffix" : "" }, { "dropping-particle" : "", "family" : "Lederman", "given" : "R I", "non-dropping-particle" : "", "parse-names" : false, "suffix" : "" }, { "dropping-particle" : "", "family" : "Branch", "given" : "L G", "non-dropping-particle" : "", "parse-names" : false, "suffix" : "" } ], "container-title" : "Archives of physical medicine and rehabilitation", "id" : "ITEM-2", "issue" : "10", "issued" : { "date-parts" : [ [ "1985" ] ] }, "page" : "704-708", "title" : "Rehospitalization and spinal cord injury: cross-sectional survey of adults living independently.", "type" : "article-journal", "volume" : "66" }, "uris" : [ "http://www.mendeley.com/documents/?uuid=c70253aa-0683-48ec-9e05-729c5ceab411" ] } ], "mendeley" : { "formattedCitation" : "(Cardenas, Hoffman, Kirshblum, &amp; McKinley, 2004; A R Meyers et al., 1985)", "plainTextFormattedCitation" : "(Cardenas, Hoffman, Kirshblum, &amp; McKinley, 2004; A R Meyers et al., 1985)", "previouslyFormattedCitation" : "(Cardenas, Hoffman, Kirshblum, &amp; McKinley, 2004; A R Meyers et al., 1985)" }, "properties" : {  }, "schema" : "https://github.com/citation-style-language/schema/raw/master/csl-citation.json" }</w:instrText>
      </w:r>
      <w:r w:rsidRPr="00410882">
        <w:fldChar w:fldCharType="separate"/>
      </w:r>
      <w:r w:rsidRPr="00410882">
        <w:rPr>
          <w:noProof/>
        </w:rPr>
        <w:t>(Cardenas, Hoffman, Kirshblum, &amp; McKinley, 2004; A R Meyers et al., 1985)</w:t>
      </w:r>
      <w:r w:rsidRPr="00410882">
        <w:fldChar w:fldCharType="end"/>
      </w:r>
      <w:r w:rsidRPr="00410882">
        <w:t xml:space="preserve"> Preventable conditions such as pressure ulcers are also highly concerning as they lead to longer hospital stays.</w:t>
      </w:r>
      <w:r w:rsidRPr="00410882">
        <w:fldChar w:fldCharType="begin" w:fldLock="1"/>
      </w:r>
      <w:r w:rsidRPr="00410882">
        <w:instrText>ADDIN CSL_CITATION { "citationItems" : [ { "id" : "ITEM-1", "itemData" : { "DOI" : "10.1016/j.apmr.2004.12.023", "ISBN" : "0003-9993", "ISSN" : "00039993", "PMID" : "15954061", "abstract" : "Objective: To examine age-period-duration patterns of the prevalence of pressure ulcers in community-residing people with spinal cord injury (SCI). Design: Multicenter cohort study. Setting: Nine Model Spinal Cord Injury Systems throughout the United States. Participants: People with SCI (N=3361) injured between 1986 and 1995 and followed up thereafter on a yearly basis through 2002. Interventions: Not applicable. Main Outcome Measure: Physician-confirmed pressure ulcers of stage II or greater at the follow-up visits. Results: The multivariable generalized estimating equations model showed a significant trend toward increasing pressure ulcer prevalence in the recent years (1994-2002 vs 1984-1993: odds ratio=1.4; 95% confidence interval, 1.2-1.6) not explained by aging, years since injury, or demographic and clinical factors. The risk of pressure ulcers appeared to be steady during the first 10 years and increased 15 years postinjury. Pressure ulcers were more common among the elderly, men, African Americans, singles, subjects with education less than high school, unemployed, subjects with complete injury, and subjects with history of pressure ulcers, rehospitalization, nursing home stay, and other medical conditions. Injury cause and level had no significant effect. Conclusions: These results highlight the need for research into factors that contribute to the increasing pressure ulcer prevalence. \u00a9 2005 by American Congress of Rehabilitation Medicine and the American Academy of Physical Medicine and Rehabilitation.", "author" : [ { "dropping-particle" : "", "family" : "Chen", "given" : "Yuying", "non-dropping-particle" : "", "parse-names" : false, "suffix" : "" }, { "dropping-particle" : "", "family" : "DeVivo", "given" : "Michael J.", "non-dropping-particle" : "", "parse-names" : false, "suffix" : "" }, { "dropping-particle" : "", "family" : "Jackson", "given" : "Amie B.", "non-dropping-particle" : "", "parse-names" : false, "suffix" : "" } ], "container-title" : "Archives of Physical Medicine and Rehabilitation", "id" : "ITEM-1", "issue" : "6", "issued" : { "date-parts" : [ [ "2005" ] ] }, "page" : "1208-1213", "title" : "Pressure ulcer prevalence in people with spinal cord injury: Age-period-duration effects", "type" : "article-journal", "volume" : "86" }, "uris" : [ "http://www.mendeley.com/documents/?uuid=87c05d14-9554-4858-bee4-48ff3098847f" ] } ], "mendeley" : { "formattedCitation" : "(Chen, DeVivo, &amp; Jackson, 2005)", "plainTextFormattedCitation" : "(Chen, DeVivo, &amp; Jackson, 2005)", "previouslyFormattedCitation" : "(Chen, DeVivo, &amp; Jackson, 2005)" }, "properties" : {  }, "schema" : "https://github.com/citation-style-language/schema/raw/master/csl-citation.json" }</w:instrText>
      </w:r>
      <w:r w:rsidRPr="00410882">
        <w:fldChar w:fldCharType="separate"/>
      </w:r>
      <w:r w:rsidRPr="00410882">
        <w:rPr>
          <w:noProof/>
        </w:rPr>
        <w:t>(Chen, DeVivo, &amp; Jackson, 2005)</w:t>
      </w:r>
      <w:r w:rsidRPr="00410882">
        <w:fldChar w:fldCharType="end"/>
      </w:r>
      <w:r w:rsidRPr="00410882">
        <w:t xml:space="preserve"> Further, Young et al found pressure sores and other skin conditions to be the leading cause of hospitalization among persons with tetraplegia, followed by orthopedic and urologic conditions.</w:t>
      </w:r>
      <w:r w:rsidRPr="00410882">
        <w:fldChar w:fldCharType="begin" w:fldLock="1"/>
      </w:r>
      <w:r w:rsidRPr="00410882">
        <w:instrText>ADDIN CSL_CITATION { "citationItems" : [ { "id" : "ITEM-1", "itemData" : { "DOI" : "10.1038/sj.sc.3101858", "ISSN" : "13624393", "PMID" : "16304561", "abstract" : "DESIGN: Descriptive study. OBJECTIVES: To document the characteristics of rehospitalization following work-related tetraplegia, investigate risk factors for rehospitalization and identify opportunities for rehospitalization prevention. SETTING: Workers' compensation administrative database with national coverage. METHODS: The administrative database of a large workers' compensation provider was searched for work-related tetraplegia claims with dates of injury between 1 January 1989 and 31 December 1999. In all, 61 cases were identified where detailed rehospitalization information was available. Medical payment data were extracted, rehospitalization reasons were coded, and rates, costs and length of stay were calculated. RESULTS: In all, 62% of cases were rehospitalized at some time during the period for which data were available. The average number of days the study group spent rehospitalized per year was 9.2 and the average annual cost was 14,197 US dollars. The most common reasons for rehospitalization were dermatological (23%), orthopedic (18%) and urological (14%). It was found that as many as 74% of the total number of days persons spent rehospitalized, 64% of the monies spent on rehospitalization, and 47% of rehospitalizations could have been prevented. CONCLUSIONS: Consistent with earlier research, the ability to identify risk factors for rehospitalization was limited. However, the current study does highlight the extent to which rehospitalizations disrupt the lives of people with work-related tetraplegia and that a substantial proportion of rehospitalizations can be avoided. SPONSORSHIP: The research was supported, in part, by a grant from the National Institute on Disability and Rehabilitation Research National Model SCI Systems (Grant no. H133N00024).", "author" : [ { "dropping-particle" : "", "family" : "Young", "given" : "A.", "non-dropping-particle" : "", "parse-names" : false, "suffix" : "" }, { "dropping-particle" : "", "family" : "Webster", "given" : "B.", "non-dropping-particle" : "", "parse-names" : false, "suffix" : "" }, { "dropping-particle" : "", "family" : "Giunti", "given" : "G.", "non-dropping-particle" : "", "parse-names" : false, "suffix" : "" }, { "dropping-particle" : "", "family" : "Pransky", "given" : "G.", "non-dropping-particle" : "", "parse-names" : false, "suffix" : "" }, { "dropping-particle" : "", "family" : "Nesathurai", "given" : "S.", "non-dropping-particle" : "", "parse-names" : false, "suffix" : "" } ], "container-title" : "Spinal Cord", "id" : "ITEM-1", "issue" : "6", "issued" : { "date-parts" : [ [ "2006" ] ] }, "page" : "374-382", "title" : "Rehospitalization following compensable work-related tetraplegia", "type" : "article-journal", "volume" : "44" }, "uris" : [ "http://www.mendeley.com/documents/?uuid=abe3f415-e73d-4ebe-bfac-6bcddc42460b" ] } ], "mendeley" : { "formattedCitation" : "(Young, Webster, Giunti, Pransky, &amp; Nesathurai, 2006)", "plainTextFormattedCitation" : "(Young, Webster, Giunti, Pransky, &amp; Nesathurai, 2006)", "previouslyFormattedCitation" : "(Young, Webster, Giunti, Pransky, &amp; Nesathurai, 2006)" }, "properties" : {  }, "schema" : "https://github.com/citation-style-language/schema/raw/master/csl-citation.json" }</w:instrText>
      </w:r>
      <w:r w:rsidRPr="00410882">
        <w:fldChar w:fldCharType="separate"/>
      </w:r>
      <w:r w:rsidRPr="00410882">
        <w:rPr>
          <w:noProof/>
        </w:rPr>
        <w:t>(Young, Webster, Giunti, Pransky, &amp; Nesathurai, 2006)</w:t>
      </w:r>
      <w:r w:rsidRPr="00410882">
        <w:fldChar w:fldCharType="end"/>
      </w:r>
      <w:r w:rsidRPr="00410882">
        <w:t xml:space="preserve">  Hospitalizations leads to reduced odds of both job acquisition and job retention in adults with SCI </w:t>
      </w:r>
      <w:r w:rsidRPr="00410882">
        <w:fldChar w:fldCharType="begin" w:fldLock="1"/>
      </w:r>
      <w:r w:rsidRPr="00410882">
        <w:instrText>ADDIN CSL_CITATION { "citationItems" : [ { "id" : "ITEM-1", "itemData" : { "DOI" : "10.1016/j.apmr.2010.10.041", "ISBN" : "0003-9993", "ISSN" : "00039993", "PMID" : "21353825", "abstract" : "Objective To examine the associations of job acquisition and job retention to secondary conditions, hospitalizations, and nursing home stays for adults with spinal cord injury (SCI). Design Retrospective analysis of longitudinal data from multicenter study. Setting Community setting. Participants Two samples of adults participating in the SCI Model Systems; the first sample consisted of persons who reported being unemployed at follow-up (n=9501); the second sample consisted of those who reported working at follow-up (n=5,150). Interventions Not applicable. Main Outcome Measures Job acquisition (change from not working at 1 anniversary of injury to working at the following data collection) and job retention (maintenance of work between 2 assessment periods). Results Discrete time hazard modeling was used to assess how secondary conditions affect job acquisition. After controlling for the effects of demographic and injury characteristics, hospitalizations within the last 12 months were associated with decreased chance of having obtained employment. Hierarchic logistic regression analyses were used to examine job retention. Hospitalizations and the presence of PUs were associated with lower odds of job retention once demographic and injury characteristics were controlled. Secondary conditions from the previous assessment period were not significantly related to either job acquisition or job retention after the variance from demographic and injury characteristics and current secondary conditions were controlled. Conclusions Hospitalization, as well as a limited number of secondary conditions, were associated with reduced odds of both job acquisition and job retention among adults with SCI. Interventions that can prevent secondary conditions and reduce the need for hospitalizations may be beneficial in improving employment for this population. ?? 2011 American Congress of Rehabilitation Medicine.", "author" : [ { "dropping-particle" : "", "family" : "Meade", "given" : "Michelle A.", "non-dropping-particle" : "", "parse-names" : false, "suffix" : "" }, { "dropping-particle" : "", "family" : "Forchheimer", "given" : "Martin B.", "non-dropping-particle" : "", "parse-names" : false, "suffix" : "" }, { "dropping-particle" : "", "family" : "Krause", "given" : "James S.", "non-dropping-particle" : "", "parse-names" : false, "suffix" : "" }, { "dropping-particle" : "", "family" : "Charlifue", "given" : "Susan", "non-dropping-particle" : "", "parse-names" : false, "suffix" : "" } ], "container-title" : "Archives of Physical Medicine and Rehabilitation", "id" : "ITEM-1", "issue" : "3", "issued" : { "date-parts" : [ [ "2011" ] ] }, "page" : "425-432", "publisher" : "Elsevier Inc.", "title" : "The influence of secondary conditions on job acquisition and retention in adults with spinal cord injury", "type" : "article-journal", "volume" : "92" }, "uris" : [ "http://www.mendeley.com/documents/?uuid=0259ec7d-868c-40ad-b394-6193ef7d7ce5" ] } ], "mendeley" : { "formattedCitation" : "(Meade, Forchheimer, Krause, &amp; Charlifue, 2011a)", "plainTextFormattedCitation" : "(Meade, Forchheimer, Krause, &amp; Charlifue, 2011a)", "previouslyFormattedCitation" : "(Meade, Forchheimer, Krause, &amp; Charlifue, 2011a)" }, "properties" : {  }, "schema" : "https://github.com/citation-style-language/schema/raw/master/csl-citation.json" }</w:instrText>
      </w:r>
      <w:r w:rsidRPr="00410882">
        <w:fldChar w:fldCharType="separate"/>
      </w:r>
      <w:r w:rsidRPr="00410882">
        <w:rPr>
          <w:noProof/>
        </w:rPr>
        <w:t>(Meade, Forchheimer, Krause, &amp; Charlifue, 2011a)</w:t>
      </w:r>
      <w:r w:rsidRPr="00410882">
        <w:fldChar w:fldCharType="end"/>
      </w:r>
      <w:r w:rsidRPr="00410882">
        <w:t xml:space="preserve"> </w:t>
      </w:r>
    </w:p>
    <w:p w:rsidR="006F4175" w:rsidRPr="00410882" w:rsidRDefault="006F4175" w:rsidP="00F863F2">
      <w:pPr>
        <w:jc w:val="left"/>
      </w:pPr>
      <w:r w:rsidRPr="00410882">
        <w:t xml:space="preserve">In addition to physical symptoms, emotional </w:t>
      </w:r>
      <w:proofErr w:type="spellStart"/>
      <w:r w:rsidRPr="00410882">
        <w:t>sequalae</w:t>
      </w:r>
      <w:proofErr w:type="spellEnd"/>
      <w:r w:rsidRPr="00410882">
        <w:t xml:space="preserve"> of SCI include distress, role strain, anxiety, depression and substance abuse.</w:t>
      </w:r>
      <w:r w:rsidRPr="00410882">
        <w:fldChar w:fldCharType="begin" w:fldLock="1"/>
      </w:r>
      <w:r w:rsidRPr="00410882">
        <w:instrText>ADDIN CSL_CITATION { "citationItems" : [ { "id" : "ITEM-1", "itemData" : { "DOI" : "10.1038/sc.2008.115", "ISBN" : "1362-4393 (Print)\\n1362-4393 (Linking)", "ISSN" : "13624393", "PMID" : "18779835", "abstract" : "STUDY DESIGN: A systematic review of the literature concerning the nature of the psychological morbidity in people with spinal cord injury (SCI).\\n\\nOBJECTIVES: SCI is believed to place the individual at a high risk of psychological morbidity. The objective of this paper was to examine systematically the prevalence of negative psychological states in people with SCI, as well as to explore mediating and contextual factors.\\n\\nMETHODS: Search engines such as Medline and PsycInfo were systematically searched using specific key words, such as SCI, depression, anxiety and so on. Only studies that fulfilled certain criteria such as the use of valid measures in assessing psychological morbidity were used in the review process.\\n\\nRESULTS: The systematic review revealed that clarification is still needed concerning the psychological consequences of people with SCI. However, findings suggest that approximately 30% of people with SCI are at risk of having a depressive disorder although in rehabilitation, and approximately 27% are at risk of having raised depressive symptoms when living in the community. The review also established that people with SCI have higher comparative risks of anxiety disorder, elevated levels of anxiety, feelings of helplessness and poor quality of life (QOL).\\n\\nCONCLUSION: People with SCI have an increased risk of suffering debilitating levels of psychological morbidity. Future research needs to clarify the extent and nature of psychological morbidity following SCI by conducting prospective and comprehensive research in large heterogeneous samples of people with SCI during the rehabilitation phase and following reintegration into the community.", "author" : [ { "dropping-particle" : "", "family" : "Craig", "given" : "A.", "non-dropping-particle" : "", "parse-names" : false, "suffix" : "" }, { "dropping-particle" : "", "family" : "Tran", "given" : "Y.", "non-dropping-particle" : "", "parse-names" : false, "suffix" : "" }, { "dropping-particle" : "", "family" : "Middleton", "given" : "J.", "non-dropping-particle" : "", "parse-names" : false, "suffix" : "" } ], "container-title" : "Spinal Cord", "id" : "ITEM-1", "issue" : "2", "issued" : { "date-parts" : [ [ "2009" ] ] }, "page" : "108-114", "title" : "Psychological morbidity and spinal cord injury: A systematic review", "type" : "article-journal", "volume" : "47" }, "uris" : [ "http://www.mendeley.com/documents/?uuid=5af308e0-435d-43f9-9df9-a6a8f678c181" ] } ], "mendeley" : { "formattedCitation" : "(Craig, Tran, &amp; Middleton, 2009)", "plainTextFormattedCitation" : "(Craig, Tran, &amp; Middleton, 2009)", "previouslyFormattedCitation" : "(Craig, Tran, &amp; Middleton, 2009)" }, "properties" : {  }, "schema" : "https://github.com/citation-style-language/schema/raw/master/csl-citation.json" }</w:instrText>
      </w:r>
      <w:r w:rsidRPr="00410882">
        <w:fldChar w:fldCharType="separate"/>
      </w:r>
      <w:r w:rsidRPr="00410882">
        <w:rPr>
          <w:noProof/>
        </w:rPr>
        <w:t>(Craig, Tran, &amp; Middleton, 2009)</w:t>
      </w:r>
      <w:r w:rsidRPr="00410882">
        <w:fldChar w:fldCharType="end"/>
      </w:r>
      <w:r w:rsidRPr="00410882">
        <w:t xml:space="preserve"> Non-Hispanic black and Hispanic women with SCI have more depressive symptoms in comparison to non-Hispanic men and non-Hispanic white women and men.</w:t>
      </w:r>
      <w:r w:rsidRPr="00410882">
        <w:fldChar w:fldCharType="begin" w:fldLock="1"/>
      </w:r>
      <w:r w:rsidRPr="00410882">
        <w:instrText>ADDIN CSL_CITATION { "citationItems" : [ { "id" : "ITEM-1", "itemData" : { "DOI" : "10.1053/apmr.2000.7167", "ISBN" : "0003-9993", "ISSN" : "00039993", "PMID" : "10943762", "abstract" : "Objective: To investigate the relation among aging, gender, ethnicity, socioeconomic indicators, and depressive symptoms after spinal cord injury (SCI). Design: Survey was done to collect cross-sectional data. A mediational model was used to analyze the interrelationships between predictors and depressive outcome variables. Setting: A large Southeastern rehabilitation hospital. Participants: Participants, identified from outpatient records who met the following inclusion criteria: (1) traumatic SCI; (2) at least 18 years old at the time of study; and (3) injured for at least 1 year. There was an initial pool of 1923 potential participants in 1997, of whom 1391 (72%) participated. Main Outcome Measures: The Older Adult Health and Mood Questionnaire, a 22-item measure of depressive symptoms designed following Diagnostic and Statistical Manual of Mental Disorders (DSM III-R) criteria, was used to measure depression. It has been validated against clinical assessments by psychiatrists and psychologists. Results: Forty-eight percent of the participants reported clinically significant symptoms. Minority participants, particularly women, were at a substantially higher risk for depressive symptoms. This risk diminished but did not disappear after controlling for years of education and income, both of which were highly negatively correlated with depressive symptoms. Aging factors were modestly positively correlated with depression, although education or income did not mediate these associations. Conclusions: Symptoms of depression are highly prevalent after SCI and are related to aging, gender or ethnicity, and socioeconomic status indicators (education and income). (C) 2000 American Congress of Rehabilitation Medicine and the American Academy of Physical Medicine and Rehabilitation.", "author" : [ { "dropping-particle" : "", "family" : "Krause", "given" : "James S.", "non-dropping-particle" : "", "parse-names" : false, "suffix" : "" }, { "dropping-particle" : "", "family" : "Kemp", "given" : "Bryan", "non-dropping-particle" : "", "parse-names" : false, "suffix" : "" }, { "dropping-particle" : "", "family" : "Coker", "given" : "Jennifer", "non-dropping-particle" : "", "parse-names" : false, "suffix" : "" } ], "container-title" : "Archives of Physical Medicine and Rehabilitation", "id" : "ITEM-1", "issue" : "8", "issued" : { "date-parts" : [ [ "2000" ] ] }, "page" : "1099-1109", "title" : "Depression after spinal cord injury: Relation to gender, ethnicity, aging, and socioeconomic", "type" : "article-journal", "volume" : "81" }, "uris" : [ "http://www.mendeley.com/documents/?uuid=d8260f78-1bd9-4246-976d-0a7c69c9fdf3" ] }, { "id" : "ITEM-2", "itemData" : { "DOI" : "10.1080/096382899297666", "ISBN" : "0963-8288", "ISSN" : "09638288", "PMID" : "10381236", "abstract" : "PURPOSE AND BACKGROUND: Attention has recently begun to focus on the ageing of individuals with disability, not only as a long-term follow-up issue but as a unique developmental issue itself. The majority of individuals with an onset of disability before age 30 can now expect to live into their 60s, 70s and beyond. Most of the secondary medical conditions that foreshortened life expectancy have been controlled and improved rehabilitation techniques have evolved over the last 50 years. The average age of persons with post-polio in the United States is over 50 and the average age of persons with spinal cord injury is in the late 40s. New medical, functional and psychosocial problems have been discovered among persons ageing with these and other disabilities. Most of these problems lack sufficient scientific explanation, and therefore, clinical interventions. Quality of life (QOL) issues become involved as these changes occur. From a psychological perspective, QOL can be either positive, as reflected in high life satisfaction, or negative, as reflected in distress and depression. METHODS: This study reports on life satisfaction and depression in 360 persons, 121 with post-polio, 177 with SCI and 62 non-disabled age-matched comparisons. The Geriatric Depression Scale and the Older Adult Health and Mood Questionnaire assess depressive symptomatology and a 10-item life satisfaction scale with four-point ratings on each item used. RESULTS: Life satisfaction varied by the group, with the non-disabled group higher than one or both of the other two groups on all scales and the post-polio group higher than the SCI group on six scales. Satisfaction with health, finances, work and overall life were most different. 22% of the post-polio group, 41% of the SCI group and 15% of the non-disabled group had at least significant repressive symptomatology. CONCLUSION: The results for each group are discussed in terms of their relation to other coping variables that were assessed, particularly social support and coping methods.", "author" : [ { "dropping-particle" : "", "family" : "Kemp", "given" : "Bryan J.", "non-dropping-particle" : "", "parse-names" : false, "suffix" : "" }, { "dropping-particle" : "", "family" : "Krause", "given" : "J. Stuart", "non-dropping-particle" : "", "parse-names" : false, "suffix" : "" } ], "container-title" : "Disability and Rehabilitation", "id" : "ITEM-2", "issue" : "5-6", "issued" : { "date-parts" : [ [ "1999" ] ] }, "page" : "241-249", "title" : "Depression and life satisfaction among people ageing with post-polio and spinal cord injury", "type" : "article-journal", "volume" : "21" }, "uris" : [ "http://www.mendeley.com/documents/?uuid=92296c0d-1206-4fdb-9be6-10e93edafa2b" ] } ], "mendeley" : { "formattedCitation" : "(Kemp &amp; Krause, 1999; James S. Krause, Kemp, &amp; Coker, 2000)", "plainTextFormattedCitation" : "(Kemp &amp; Krause, 1999; James S. Krause, Kemp, &amp; Coker, 2000)", "previouslyFormattedCitation" : "(Kemp &amp; Krause, 1999; James S. Krause, Kemp, &amp; Coker, 2000)" }, "properties" : {  }, "schema" : "https://github.com/citation-style-language/schema/raw/master/csl-citation.json" }</w:instrText>
      </w:r>
      <w:r w:rsidRPr="00410882">
        <w:fldChar w:fldCharType="separate"/>
      </w:r>
      <w:r w:rsidRPr="00410882">
        <w:rPr>
          <w:noProof/>
        </w:rPr>
        <w:t>(Kemp &amp; Krause, 1999; James S. Krause, Kemp, &amp; Coker, 2000)</w:t>
      </w:r>
      <w:r w:rsidRPr="00410882">
        <w:fldChar w:fldCharType="end"/>
      </w:r>
      <w:r w:rsidRPr="00410882">
        <w:t xml:space="preserve">  Further psychosocial factors include concomitant structural challenges such as housing, transportation, finance equipment and employment.</w:t>
      </w:r>
      <w:r w:rsidRPr="00410882">
        <w:fldChar w:fldCharType="begin" w:fldLock="1"/>
      </w:r>
      <w:r w:rsidRPr="00410882">
        <w:instrText>ADDIN CSL_CITATION { "citationItems" : [ { "id" : "ITEM-1", "itemData" : { "DOI" : "10.1080/09638280500164685", "ISBN" : "0963-8288 (Print)\\r0963-8288 (Linking)", "ISSN" : "09638288", "PMID" : "16321920", "abstract" : "PURPOSE: To investigate the prevalence of health problems among persons with spinal cord injury (SCI) living in the Netherlands, to identify the problems experienced as most important, and to analyse the experienced impact of these most important problems on daily activities and social life. METHOD: Postal survey among all members of the Dutch Association of Patients with SCI. The questionnaire focused on 26 health problems: 13 secondary impairments, 8 problems of daily living and 5 psychosocial problems. RESULTS: The respondents (response rate 45.5%, 454 persons) experienced an average of 8 health problems. The most frequently occurring problems regarded bladder and bowel regulation, spasms, pain, oedema and sexuality. Except for oedema, these problems were also most often cited as the most important. The most disabling condition for both daily and social activities was pain. Few significant relationships were found between the prevalence of health problems and the level, completeness and duration of the injury or gender. CONCLUSION: Persons with SCI living in the community experience many health problems and limitations in daily activities and social life due to these problems. The occurrence of these problems does not diminish with increasing time after injury. This strongly emphasises the need for follow-up care.", "author" : [ { "dropping-particle" : "", "family" : "Bloemen-Vrencken", "given" : "Jos H A", "non-dropping-particle" : "", "parse-names" : false, "suffix" : "" }, { "dropping-particle" : "", "family" : "Post", "given" : "Marcel W M", "non-dropping-particle" : "", "parse-names" : false, "suffix" : "" }, { "dropping-particle" : "", "family" : "Hendriks", "given" : "Jos M S", "non-dropping-particle" : "", "parse-names" : false, "suffix" : "" }, { "dropping-particle" : "", "family" : "Reus", "given" : "Elly C E", "non-dropping-particle" : "De", "parse-names" : false, "suffix" : "" }, { "dropping-particle" : "", "family" : "Witte", "given" : "Luc P.", "non-dropping-particle" : "De", "parse-names" : false, "suffix" : "" } ], "container-title" : "Disability and Rehabilitation", "id" : "ITEM-1", "issue" : "22", "issued" : { "date-parts" : [ [ "2005" ] ] }, "page" : "1381-1389", "title" : "Health problems of persons with spinal cord injury living in the Netherlands", "type" : "paper-conference", "volume" : "27" }, "uris" : [ "http://www.mendeley.com/documents/?uuid=c17c5743-8011-4a5c-bca8-3a9d88c6823b" ] }, { "id" : "ITEM-2", "itemData" : { "DOI" : "10.1191/0269215501cr453oa", "ISBN" : "0269-2155 (Print)\\r0269-2155 (Linking)", "ISSN" : "02692155", "PMID" : "11777090", "abstract" : "OBJECTIVE: To identify the nature and extent of perceived unmet needs of people with spinal cord injury (SCI) living in the community and to determine their preferences regarding multidisciplinary outreach service delivery. DESIGN: Structured telephone interviews. SETTING: Spinal Injuries Unit, Queensland, Australia. SUBJECTS: Sixty people with SCI living in the community were approached for interview and 54 agreed to participate. RESULTS: The results reflected a high need for a specialist, multidisciplinary SCI outreach service following primary rehabilitation. There were a diversity of issues faced by people with SCI. A high or very high need was reported by 31% of participants in relation to physical changes, by 24% regarding transport, by 22% for work issues and by 19% with respect to ongoing education needs. The greatest perceived barrier to needs being met was limited local specialist knowledge about SCI (81% of participants). A service model which includes access to telephone advice was endorsed by 79% of participants, and 43% supported home visiting that is available to rural and remote areas. Spinal Injuries Unit outpatient clinic appointments were also a preference for service delivery (40% of participants). CONCLUSIONS: Trial and evaluation of the telephone as a primary medium for service delivery, and education of local service providers is recommended.", "author" : [ { "dropping-particle" : "", "family" : "Cox", "given" : "R. J.", "non-dropping-particle" : "", "parse-names" : false, "suffix" : "" }, { "dropping-particle" : "", "family" : "Amsters", "given" : "D. I.", "non-dropping-particle" : "", "parse-names" : false, "suffix" : "" }, { "dropping-particle" : "", "family" : "Pershouse", "given" : "K. J.", "non-dropping-particle" : "", "parse-names" : false, "suffix" : "" } ], "container-title" : "Clinical Rehabilitation", "id" : "ITEM-2", "issue" : "6", "issued" : { "date-parts" : [ [ "2001" ] ] }, "page" : "600-606", "title" : "The need for a multidisciplinary outreach service for people with spinal cord injury living in the community", "type" : "article-journal", "volume" : "15" }, "uris" : [ "http://www.mendeley.com/documents/?uuid=2d3bb6bd-c89b-49b8-ab9a-d8f5d5d656bc" ] }, { "id" : "ITEM-3", "itemData" : { "DOI" : "10.1097/00004356-199603000-00006", "ISBN" : "0342-5282", "ISSN" : "03425282", "PMID" : "8730544", "abstract" : "In order to document the incidence of secondary complications following spinal cord injury (SCI), data were collected from 348 patients with post-acute SCI. More than 95% of these patients reported at least one secondary problem, and more than half (58%) reported three or more. Statistical analyses indicated that, in general, the number and severity of complications varied with the time since injury. Obesity, pain, spasticity, urinary tract infections, and pressure sores were common. Issues of social integration were also identified. The results suggest that improvement is needed in practices related to prevention and follow-up.", "author" : [ { "dropping-particle" : "", "family" : "Anson", "given" : "C. A.", "non-dropping-particle" : "", "parse-names" : false, "suffix" : "" }, { "dropping-particle" : "", "family" : "Shepherd", "given" : "C.", "non-dropping-particle" : "", "parse-names" : false, "suffix" : "" } ], "container-title" : "International Journal of Rehabilitation Research", "id" : "ITEM-3", "issue" : "1", "issued" : { "date-parts" : [ [ "1996" ] ] }, "page" : "55-66", "title" : "Incidence of secondary complications in spinal cord injury", "type" : "article-journal", "volume" : "19" }, "uris" : [ "http://www.mendeley.com/documents/?uuid=af858be7-1d7b-42e8-9d2f-f74a16dddbba" ] }, { "id" : "ITEM-4", "itemData" : { "DOI" : "10.1016/S0003-9993(99)90203-4", "ISBN" : "0003-9993", "ISSN" : "00039993", "PMID" : "10326925", "abstract" : "Objectives: To determine the perceived difficulty in dealing with consequences of spinal cord injury (SCI) and to explore patterns of how these complications are perceived. Design: Postal survey. Setting: General community. Participants: Individuals with traumatic SCI (n = 430). Methods: Subjects (n = 877) were selected from The Miami Project database and were sent a questionnaire in which they were asked to rate their difficulty in dealing with 10 consequences of SCI, on a scale ranging from 0 (not hard at all) to 10 (extremely hard). Results: The questionnaire was returned by 430 individuals (49%). Five consequences (decreased ability to walk or move, decreased control of bowel, decreased control of bladder, decreased sexual function, and pain) were rated highest (means, 8.2 to 6.2). High ratings of feeling sad were associated with high ratings of most other consequences, and a cluster analysis revealed interrelationships between the ways the various consequences were perceived. Conclusions: Several consequences of SCI are frequently perceived as being very difficult to deal with. Sadness may influence how well a person deals with other consequences of SCI. The observed patterns in perceived difficulty dealing with complications of SCI need to be explored further because they are important in our understanding and treatment of the medical conditions that may follow SCI.", "author" : [ { "dropping-particle" : "", "family" : "Widerstr\u00f6m-Noga", "given" : "Eva G.", "non-dropping-particle" : "", "parse-names" : false, "suffix" : "" }, { "dropping-particle" : "", "family" : "Felipe-Cuervo", "given" : "Ernesto", "non-dropping-particle" : "", "parse-names" : false, "suffix" : "" }, { "dropping-particle" : "", "family" : "Broton", "given" : "James G.", "non-dropping-particle" : "", "parse-names" : false, "suffix" : "" }, { "dropping-particle" : "", "family" : "Duncan", "given" : "Robert C.", "non-dropping-particle" : "", "parse-names" : false, "suffix" : "" }, { "dropping-particle" : "", "family" : "Yezierski", "given" : "Robert P.", "non-dropping-particle" : "", "parse-names" : false, "suffix" : "" } ], "container-title" : "Archives of Physical Medicine and Rehabilitation", "id" : "ITEM-4", "issue" : "5", "issued" : { "date-parts" : [ [ "1999" ] ] }, "page" : "580-586", "title" : "Perceived difficulty in dealing with consequences of spinal cord injury", "type" : "article-journal", "volume" : "80" }, "uris" : [ "http://www.mendeley.com/documents/?uuid=b822a867-b837-418b-afee-3842a7371a0b" ] } ], "mendeley" : { "formattedCitation" : "(Anson &amp; Shepherd, 1996; Bloemen-Vrencken, Post, Hendriks, De Reus, &amp; De Witte, 2005; Cox, Amsters, &amp; Pershouse, 2001; Widerstr\u00f6m-Noga, Felipe-Cuervo, Broton, Duncan, &amp; Yezierski, 1999)", "plainTextFormattedCitation" : "(Anson &amp; Shepherd, 1996; Bloemen-Vrencken, Post, Hendriks, De Reus, &amp; De Witte, 2005; Cox, Amsters, &amp; Pershouse, 2001; Widerstr\u00f6m-Noga, Felipe-Cuervo, Broton, Duncan, &amp; Yezierski, 1999)", "previouslyFormattedCitation" : "(Anson &amp; Shepherd, 1996; Bloemen-Vrencken, Post, Hendriks, De Reus, &amp; De Witte, 2005; Cox, Amsters, &amp; Pershouse, 2001; Widerstr\u00f6m-Noga, Felipe-Cuervo, Broton, Duncan, &amp; Yezierski, 1999)" }, "properties" : {  }, "schema" : "https://github.com/citation-style-language/schema/raw/master/csl-citation.json" }</w:instrText>
      </w:r>
      <w:r w:rsidRPr="00410882">
        <w:fldChar w:fldCharType="separate"/>
      </w:r>
      <w:r w:rsidRPr="00410882">
        <w:rPr>
          <w:noProof/>
        </w:rPr>
        <w:t>(Anson &amp; Shepherd, 1996; Bloemen-Vrencken, Post, Hendriks, De Reus, &amp; De Witte, 2005; Cox, Amsters, &amp; Pershouse, 2001; Widerström-Noga, Felipe-Cuervo, Broton, Duncan, &amp; Yezierski, 1999)</w:t>
      </w:r>
      <w:r w:rsidRPr="00410882">
        <w:fldChar w:fldCharType="end"/>
      </w:r>
      <w:r w:rsidRPr="00410882">
        <w:t xml:space="preserve"> Unemployment in those with disabilities such as SCI has been linked to poor physical and mental health outcomes </w:t>
      </w:r>
      <w:r w:rsidRPr="00410882">
        <w:fldChar w:fldCharType="begin" w:fldLock="1"/>
      </w:r>
      <w:r w:rsidRPr="00410882">
        <w:instrText>ADDIN CSL_CITATION { "citationItems" : [ { "id" : "ITEM-1", "itemData" : { "DOI" : "10.1016/j.socscimed.2006.01.004", "ISBN" : "0277-9536", "ISSN" : "02779536", "PMID" : "16476514", "abstract" : "This research examines the relationship between community unemployment and the physical and mental health of immigrants in comparison to non-immigrants in Montreal under the hypothesis that high unemployment in the community may generate more negative effects on the health of immigrants than on non-immigrants. Possible gender differences in these associations are also examined. Montreal residents were studied via multilevel analysis, using both individual survey data and neighbourhood data from 49 police districts. Individual-level data were excerpted from a 1998 health survey of Montreal residents, while neighbourhood data originated from survey data collected in the 49 Montreal police districts and the 1996 Canadian Census. The associations between community unemployment and self-rated health, psychological distress and obesity are examined, and hypotheses regarding the modifying mechanisms via which male and female immigrants may run a greater risk of poor health than non-immigrants when living in areas of high unemployment were tested. Between neighbourhoods, variations in the three health outcomes were slight, and differences in health were not associated with differences in community unemployment. The associations between community unemployment and health varied according to immigration status. At the individual level, immigrants do not differ from non-immigrants with respect to the three health indicators, except that second-generation males are slightly heavier. However, when living in areas of high unemployment, immigrants tend to report poor physical and mental health in comparison to non-immigrants. Among first-generation immigrants, community unemployment was associated with psychological distress. Among second-generation immigrants, the probability of obesity and poor self-rated health increased significantly for those living in areas with high unemployment, but these associations reached statistical significance only for men. Findings among first-generation immigrants are interpreted with respect to the effects of possible discrimination in areas with low job availability. Among second-generation men, poor physical health and obesity may be the result of poor health habits stemming from perceived lack of life opportunities. \u00a9 2006 Elsevier Ltd. All rights reserved.", "author" : [ { "dropping-particle" : "", "family" : "Zunzunegui", "given" : "Maria Victoria", "non-dropping-particle" : "", "parse-names" : false, "suffix" : "" }, { "dropping-particle" : "", "family" : "Forster", "given" : "Mathieu", "non-dropping-particle" : "", "parse-names" : false, "suffix" : "" }, { "dropping-particle" : "", "family" : "Gauvin", "given" : "Lise", "non-dropping-particle" : "", "parse-names" : false, "suffix" : "" }, { "dropping-particle" : "", "family" : "Raynault", "given" : "Marie France", "non-dropping-particle" : "", "parse-names" : false, "suffix" : "" }, { "dropping-particle" : "", "family" : "Douglas Willms", "given" : "J.", "non-dropping-particle" : "", "parse-names" : false, "suffix" : "" } ], "container-title" : "Social Science and Medicine", "id" : "ITEM-1", "issue" : "2", "issued" : { "date-parts" : [ [ "2006" ] ] }, "page" : "485-500", "title" : "Community unemployment and immigrants' health in Montreal", "type" : "article-journal", "volume" : "63" }, "uris" : [ "http://www.mendeley.com/documents/?uuid=e14240f0-ea83-4c5a-8316-60fa48319860" ] } ], "mendeley" : { "formattedCitation" : "(Zunzunegui, Forster, Gauvin, Raynault, &amp; Douglas Willms, 2006)", "plainTextFormattedCitation" : "(Zunzunegui, Forster, Gauvin, Raynault, &amp; Douglas Willms, 2006)", "previouslyFormattedCitation" : "(Zunzunegui, Forster, Gauvin, Raynault, &amp; Douglas Willms, 2006)" }, "properties" : {  }, "schema" : "https://github.com/citation-style-language/schema/raw/master/csl-citation.json" }</w:instrText>
      </w:r>
      <w:r w:rsidRPr="00410882">
        <w:fldChar w:fldCharType="separate"/>
      </w:r>
      <w:r w:rsidRPr="00410882">
        <w:rPr>
          <w:noProof/>
        </w:rPr>
        <w:t>(Zunzunegui, Forster, Gauvin, Raynault, &amp; Douglas Willms, 2006)</w:t>
      </w:r>
      <w:r w:rsidRPr="00410882">
        <w:fldChar w:fldCharType="end"/>
      </w:r>
      <w:r w:rsidRPr="00410882">
        <w:t xml:space="preserve">,  as depression increased over time in those that were unemployed. </w:t>
      </w:r>
      <w:r w:rsidRPr="00410882">
        <w:fldChar w:fldCharType="begin" w:fldLock="1"/>
      </w:r>
      <w:r w:rsidRPr="00410882">
        <w:instrText>ADDIN CSL_CITATION { "citationItems" : [ { "id" : "ITEM-1", "itemData" : { "DOI" : "10.1038/sc.2014.32", "ISBN" : "1362-4393", "ISSN" : "1476-5624", "PMID" : "24663002", "abstract" : "STUDY DESIGN Longitudinal survey. OBJECTIVES To determine in adults with pediatric-onset spinal cord injury (SCI) employment outcomes, longitudinal changes in employment over time and changes in psychosocial outcomes associated with employment status. SETTING Community setting. METHODS Adults who had sustained a SCI before 19 years of age and had completed at least three consecutive annual interviews were included in the study. Generalized estimating equation models were formulated to obtain odds ratio (OR) of change in employment status and outcomes over time. RESULTS Total 1691 interviews were conducted in 283 participants, 182 men and 101 women (88% Caucasian; age at baseline, 27.3\u00b13.7 years; duration at baseline, 12.7\u00b15.0 years). At the last interview (age, 34.4\u00b15.2 years; duration, 19.9\u00b16.1 years), 49.5% were employed and 47.0% had a baccalaureate or post-baccalaureate degree. There was no significant change in employment status over time (OR 1.01, confidence interval (CI) 0.98-1.04). Odds of employment increased over time in participants who were women (1.04, CI 1.00-1.08), married (1.05, CI 1.02-1.08) and attained baccalaureate (1.03, CI 1.00-1.07) or post-baccalaureate (1.05, CI 1.02-1.08) degree. Employment odds decreased with occurrence of autonomic dysreflexia (0.80, CI 0.65-0.99), spasticity (0.80, CI 0.59-0.99) or chronic medical condition (0.83, CI 0.71-0.98). Life satisfaction scores increased over time in those who remained employed (1.11, CI 1.01-1.22); odds of depression increased over time in those who remained unemployed (1.13, CI 1.04-1.23). CONCLUSION Employment status remained relatively stable in adults with pediatric-onset SCI; however, changes in employment were associated with education, secondary health conditions and psychosocial well-being.", "author" : [ { "dropping-particle" : "", "family" : "Hwang", "given" : "M", "non-dropping-particle" : "", "parse-names" : false, "suffix" : "" }, { "dropping-particle" : "", "family" : "Zebracki", "given" : "K", "non-dropping-particle" : "", "parse-names" : false, "suffix" : "" }, { "dropping-particle" : "", "family" : "Chlan", "given" : "K M", "non-dropping-particle" : "", "parse-names" : false, "suffix" : "" }, { "dropping-particle" : "", "family" : "Vogel", "given" : "L C", "non-dropping-particle" : "", "parse-names" : false, "suffix" : "" } ], "container-title" : "Spinal cord", "id" : "ITEM-1", "issue" : "6", "issued" : { "date-parts" : [ [ "2014", "6" ] ] }, "page" : "477-82", "publisher" : "Nature Publishing Group", "title" : "Longitudinal employment outcomes in adults with pediatric-onset spinal cord injury.", "type" : "article-journal", "volume" : "52" }, "uris" : [ "http://www.mendeley.com/documents/?uuid=a6efad96-b137-4eed-ba20-821e67c5d00e" ] } ], "mendeley" : { "formattedCitation" : "(Hwang et al., 2014)", "plainTextFormattedCitation" : "(Hwang et al., 2014)", "previouslyFormattedCitation" : "(Hwang et al., 2014)" }, "properties" : {  }, "schema" : "https://github.com/citation-style-language/schema/raw/master/csl-citation.json" }</w:instrText>
      </w:r>
      <w:r w:rsidRPr="00410882">
        <w:fldChar w:fldCharType="separate"/>
      </w:r>
      <w:r w:rsidRPr="00410882">
        <w:rPr>
          <w:noProof/>
        </w:rPr>
        <w:t>(Hwang et al., 2014)</w:t>
      </w:r>
      <w:r w:rsidRPr="00410882">
        <w:fldChar w:fldCharType="end"/>
      </w:r>
    </w:p>
    <w:p w:rsidR="006F4175" w:rsidRPr="00410882" w:rsidRDefault="006F4175" w:rsidP="00F863F2">
      <w:pPr>
        <w:jc w:val="left"/>
      </w:pPr>
      <w:r w:rsidRPr="00410882">
        <w:t xml:space="preserve">SCI as well as its associated health conditions greatly affect employment and occupational functioning, as employment is a critical social determinant of health for persons </w:t>
      </w:r>
      <w:r w:rsidRPr="00410882">
        <w:lastRenderedPageBreak/>
        <w:t xml:space="preserve">with disabilities. </w:t>
      </w:r>
      <w:r w:rsidRPr="00410882">
        <w:fldChar w:fldCharType="begin" w:fldLock="1"/>
      </w:r>
      <w:r w:rsidRPr="00410882">
        <w:instrText>ADDIN CSL_CITATION { "citationItems" : [ { "id" : "ITEM-1", "itemData" : { "DOI" : "10.3233/WOR-2009-0851", "ISBN" : "1051-9815 (Print)\\r1051-9815 (Linking)", "ISSN" : "10519815", "PMID" : "19478411", "abstract" : "Employment is a right of citizenship and a social determinant of health, but employment rates remain low for persons with disabilities. The purpose of this paper is to examine the principles and practices guiding work integration within the fields of intellectual disability (ID), brain injury, and mental illness and to identify best practices to support transitions to employment across these three groups. This integrative review drew upon an occupational perspective to analyze the current literature. Findings reveal that the need and benefits of working are recognized across disability groups but that philosophical perspectives guiding work integration differ. In the area of mental illness, recovery is seen as a process within which work plays an important role, in ID work is viewed as a planned outcome that is part of the developmental process, and in the field of brain injury, outcomes of employability and employment are emphasized. A common theme across the three disability groups is that in order to facilitate work integration, the person, the job and the work environment are important factors in need of examination. Evidence pointing to the effectiveness of the supported employment model is increasing across these three populations. A framework for guiding the development of further research and for promoting changes to support work integration is presented.", "author" : [ { "dropping-particle" : "", "family" : "Kirsh", "given" : "Bonnie", "non-dropping-particle" : "", "parse-names" : false, "suffix" : "" }, { "dropping-particle" : "", "family" : "Stergiou-Kita", "given" : "Mary", "non-dropping-particle" : "", "parse-names" : false, "suffix" : "" }, { "dropping-particle" : "", "family" : "Gewurtz", "given" : "Rebecca", "non-dropping-particle" : "", "parse-names" : false, "suffix" : "" }, { "dropping-particle" : "", "family" : "Dawson", "given" : "Deirdre", "non-dropping-particle" : "", "parse-names" : false, "suffix" : "" }, { "dropping-particle" : "", "family" : "Krupa", "given" : "Terry", "non-dropping-particle" : "", "parse-names" : false, "suffix" : "" }, { "dropping-particle" : "", "family" : "Lysaght", "given" : "Rosemary", "non-dropping-particle" : "", "parse-names" : false, "suffix" : "" }, { "dropping-particle" : "", "family" : "Shaw", "given" : "Lynn", "non-dropping-particle" : "", "parse-names" : false, "suffix" : "" } ], "container-title" : "Work", "id" : "ITEM-1", "issue" : "4", "issued" : { "date-parts" : [ [ "2009" ] ] }, "page" : "391-405", "title" : "From margins to mainstream: What do we know about work integration for persons with brain injury, mental illness and intellectual disability?", "type" : "article", "volume" : "32" }, "uris" : [ "http://www.mendeley.com/documents/?uuid=1042ce2e-a1e6-435e-8d3b-f5bd42a81fa4" ] } ], "mendeley" : { "formattedCitation" : "(Kirsh et al., 2009)", "plainTextFormattedCitation" : "(Kirsh et al., 2009)", "previouslyFormattedCitation" : "(Kirsh et al., 2009)" }, "properties" : {  }, "schema" : "https://github.com/citation-style-language/schema/raw/master/csl-citation.json" }</w:instrText>
      </w:r>
      <w:r w:rsidRPr="00410882">
        <w:fldChar w:fldCharType="separate"/>
      </w:r>
      <w:r w:rsidRPr="00410882">
        <w:rPr>
          <w:noProof/>
        </w:rPr>
        <w:t>(Kirsh et al., 2009)</w:t>
      </w:r>
      <w:r w:rsidRPr="00410882">
        <w:fldChar w:fldCharType="end"/>
      </w:r>
      <w:r w:rsidRPr="00410882">
        <w:t xml:space="preserve">  People with disabilities are poorly represented in the American workforce, despite efforts to close the gap through policy and research.</w:t>
      </w:r>
      <w:r w:rsidRPr="00410882">
        <w:fldChar w:fldCharType="begin" w:fldLock="1"/>
      </w:r>
      <w:r w:rsidRPr="00410882">
        <w:instrText>ADDIN CSL_CITATION { "citationItems" : [ { "id" : "ITEM-1", "itemData" : { "DOI" : "10.1053/apmr.2002.32742", "ISBN" : "0003-9993", "ISSN" : "00039993", "PMID" : "12048657", "abstract" : "Objectives: To determine employment outcomes of adults with pediatric-onset spinal cord injury (SCI) and factors associated with those outcomes. Design: Structured interview, including standardized measures. Setting: Community. Participants: Individuals who sustained an SCI at age 18 years or younger, were 24 years or older at follow-up, did not have a significant brain injury, and were living in the United States or Canada. A total of 195 subjects were interviewed. Mean age at injury was 14 years (0-18y), mean age at interview was 29 years (24-37y), and mean duration of injury was 15 years (7-28y). All participants had been enrolled in SCI programs. Interventions: Not applicable. Main Outcome Measures: A structured interview, the FIM??? instrument, the Craig Handicap Assessment and Recording Technique, the Medical Outcomes Study 12-Item Short-Form Health Survey, and the Satisfaction with Life Scale. Results: Of the participants, 99 (51%) were employed, 78 (40%) were unemployed, 12 (6%) were students, and 6 (3%) were homemakers. A predictive model of employment identified 4 factors associated with employment: education, community mobility, functional independence, and decreased medical complications. Other variables significantly associated with employment included community integration, independent driving, independent living, higher income, and life satisfaction. Conclusions: Compared with the general population, the high rate of unemployment among adults with pediatric-onset SCI is a cause for concern. Risk factors associated with adult unemployment provide guidelines for targeting rehabilitation resources and strategies. ?? 2002 by the American Congress of Rehabilitation Medicine and the American Academy of Physical Medicine and Rehabilitation.", "author" : [ { "dropping-particle" : "", "family" : "Anderson", "given" : "Caroline J.", "non-dropping-particle" : "", "parse-names" : false, "suffix" : "" }, { "dropping-particle" : "", "family" : "Vogel", "given" : "Lawrence C.", "non-dropping-particle" : "", "parse-names" : false, "suffix" : "" } ], "container-title" : "Archives of Physical Medicine and Rehabilitation", "id" : "ITEM-1", "issue" : "6", "issued" : { "date-parts" : [ [ "2002" ] ] }, "page" : "791-801", "title" : "Employment outcomes of adults who sustained spinal cord injuries as children or adolescents", "type" : "article-journal", "volume" : "83" }, "uris" : [ "http://www.mendeley.com/documents/?uuid=2360b880-d289-48b8-ac33-aa66335888f8" ] } ], "mendeley" : { "formattedCitation" : "(Anderson &amp; Vogel, 2002)", "plainTextFormattedCitation" : "(Anderson &amp; Vogel, 2002)", "previouslyFormattedCitation" : "(Anderson &amp; Vogel, 2002)" }, "properties" : {  }, "schema" : "https://github.com/citation-style-language/schema/raw/master/csl-citation.json" }</w:instrText>
      </w:r>
      <w:r w:rsidRPr="00410882">
        <w:fldChar w:fldCharType="separate"/>
      </w:r>
      <w:r w:rsidRPr="00410882">
        <w:rPr>
          <w:noProof/>
        </w:rPr>
        <w:t>(Anderson &amp; Vogel, 2002)</w:t>
      </w:r>
      <w:r w:rsidRPr="00410882">
        <w:fldChar w:fldCharType="end"/>
      </w:r>
      <w:r w:rsidRPr="00410882">
        <w:t xml:space="preserve"> Employment rates in the SCI population are much lower than the general population, ranging from 11 to 74%, depending on the definition of employment and sample population.</w:t>
      </w:r>
      <w:r w:rsidRPr="00410882">
        <w:fldChar w:fldCharType="begin" w:fldLock="1"/>
      </w:r>
      <w:r w:rsidRPr="00410882">
        <w:instrText>ADDIN CSL_CITATION { "citationItems" : [ { "id" : "ITEM-1", "itemData" : { "DOI" : "10.3109/09638280902946952", "ISBN" : "0963-8288 (Print)\\r0963-8288 (Linking)", "ISSN" : "09638288", "PMID" : "19903127", "abstract" : "PURPOSE: The primary objective was to study factors influencing post-injury employment and withdrawal from work in persons who sustained traumatic spinal cord injury (SCI) more than 20 years ago. A secondary objective was to study life satisfaction in the same patients.\\n\\nMETHOD: A cross-sectional study with retrospective data of 165 SCI-patients admitted to Sunnaas Rehabilitation Hospital 1961-1982. Multiple logistic regression was used to identify predictors for obtaining work post-injury. A Cox proportional hazards regression model was used to study factors influencing early withdrawal from work, i.e. time from injury until discontinuing employment.\\n\\nRESULTS: Sixty-five percent of the participants were employed at some point after the injury. Thirty-five percent still had work at the time of the survey. The odds of obtaining work after injury were higher in persons of younger age at injury, higher in males versus females, higher for persons with paraplegia versus tetraplegia, and for persons classified as Frankel D-E compared to a more severe SCI. Factors associated with shorter time from injury until discontinuing employment were higher age at injury, incidence of injury after 1975 versus before, and a history of pre-injury medical condition(s). Life satisfaction was better for currently employed participants.\\n\\nCONCLUSION: The study indicates a low employment-rate in persons with SCI, even several years after injury. From the results, we suggest more support, especially to persons of older age at injury and/or with a history of pre-injury medical condition(s), to help them to obtain work and sustain employed for more years after injury.", "author" : [ { "dropping-particle" : "", "family" : "Lidal", "given" : "Ingeborg Beate", "non-dropping-particle" : "", "parse-names" : false, "suffix" : "" }, { "dropping-particle" : "", "family" : "Hjeltnes", "given" : "Nils", "non-dropping-particle" : "", "parse-names" : false, "suffix" : "" }, { "dropping-particle" : "", "family" : "R\u00f8islien", "given" : "Jo", "non-dropping-particle" : "", "parse-names" : false, "suffix" : "" }, { "dropping-particle" : "", "family" : "Stanghelle", "given" : "Johan Kvalvik", "non-dropping-particle" : "", "parse-names" : false, "suffix" : "" }, { "dropping-particle" : "", "family" : "Biering-S\u00f8rensen", "given" : "Fin", "non-dropping-particle" : "", "parse-names" : false, "suffix" : "" } ], "container-title" : "Disability and Rehabilitation", "id" : "ITEM-1", "issue" : "26", "issued" : { "date-parts" : [ [ "2009" ] ] }, "page" : "2174-2184", "title" : "Employment of persons with spinal cord lesions injured more than 20 years ago", "type" : "article-journal", "volume" : "31" }, "uris" : [ "http://www.mendeley.com/documents/?uuid=836af20a-75d5-4d08-9a2d-bb76d0da5d24" ] } ], "mendeley" : { "formattedCitation" : "(Lidal, Hjeltnes, R\u00f8islien, Stanghelle, &amp; Biering-S\u00f8rensen, 2009)", "plainTextFormattedCitation" : "(Lidal, Hjeltnes, R\u00f8islien, Stanghelle, &amp; Biering-S\u00f8rensen, 2009)", "previouslyFormattedCitation" : "(Lidal, Hjeltnes, R\u00f8islien, Stanghelle, &amp; Biering-S\u00f8rensen, 2009)" }, "properties" : {  }, "schema" : "https://github.com/citation-style-language/schema/raw/master/csl-citation.json" }</w:instrText>
      </w:r>
      <w:r w:rsidRPr="00410882">
        <w:fldChar w:fldCharType="separate"/>
      </w:r>
      <w:r w:rsidRPr="00410882">
        <w:rPr>
          <w:noProof/>
        </w:rPr>
        <w:t>(Lidal, Hjeltnes, Røislien, Stanghelle, &amp; Biering-Sørensen, 2009)</w:t>
      </w:r>
      <w:r w:rsidRPr="00410882">
        <w:fldChar w:fldCharType="end"/>
      </w:r>
      <w:r w:rsidRPr="00410882">
        <w:t xml:space="preserve"> Individuals injured in childhood or adolescence may experience different employment outcomes in adulthood as they had little work experience before injury and/or pursuing education at the time of injury and may have been able to adapt to the consequences of sustaining the injury. Anderson and Vogel reported an employment rate of 51% in this population </w:t>
      </w:r>
      <w:r w:rsidRPr="00410882">
        <w:fldChar w:fldCharType="begin" w:fldLock="1"/>
      </w:r>
      <w:r w:rsidRPr="00410882">
        <w:instrText>ADDIN CSL_CITATION { "citationItems" : [ { "id" : "ITEM-1", "itemData" : { "DOI" : "10.1053/apmr.2002.32742", "ISBN" : "0003-9993", "ISSN" : "00039993", "PMID" : "12048657", "abstract" : "Objectives: To determine employment outcomes of adults with pediatric-onset spinal cord injury (SCI) and factors associated with those outcomes. Design: Structured interview, including standardized measures. Setting: Community. Participants: Individuals who sustained an SCI at age 18 years or younger, were 24 years or older at follow-up, did not have a significant brain injury, and were living in the United States or Canada. A total of 195 subjects were interviewed. Mean age at injury was 14 years (0-18y), mean age at interview was 29 years (24-37y), and mean duration of injury was 15 years (7-28y). All participants had been enrolled in SCI programs. Interventions: Not applicable. Main Outcome Measures: A structured interview, the FIM??? instrument, the Craig Handicap Assessment and Recording Technique, the Medical Outcomes Study 12-Item Short-Form Health Survey, and the Satisfaction with Life Scale. Results: Of the participants, 99 (51%) were employed, 78 (40%) were unemployed, 12 (6%) were students, and 6 (3%) were homemakers. A predictive model of employment identified 4 factors associated with employment: education, community mobility, functional independence, and decreased medical complications. Other variables significantly associated with employment included community integration, independent driving, independent living, higher income, and life satisfaction. Conclusions: Compared with the general population, the high rate of unemployment among adults with pediatric-onset SCI is a cause for concern. Risk factors associated with adult unemployment provide guidelines for targeting rehabilitation resources and strategies. ?? 2002 by the American Congress of Rehabilitation Medicine and the American Academy of Physical Medicine and Rehabilitation.", "author" : [ { "dropping-particle" : "", "family" : "Anderson", "given" : "Caroline J.", "non-dropping-particle" : "", "parse-names" : false, "suffix" : "" }, { "dropping-particle" : "", "family" : "Vogel", "given" : "Lawrence C.", "non-dropping-particle" : "", "parse-names" : false, "suffix" : "" } ], "container-title" : "Archives of Physical Medicine and Rehabilitation", "id" : "ITEM-1", "issue" : "6", "issued" : { "date-parts" : [ [ "2002" ] ] }, "page" : "791-801", "title" : "Employment outcomes of adults who sustained spinal cord injuries as children or adolescents", "type" : "article-journal", "volume" : "83" }, "uris" : [ "http://www.mendeley.com/documents/?uuid=2360b880-d289-48b8-ac33-aa66335888f8" ] } ], "mendeley" : { "formattedCitation" : "(Anderson &amp; Vogel, 2002)", "plainTextFormattedCitation" : "(Anderson &amp; Vogel, 2002)", "previouslyFormattedCitation" : "(Anderson &amp; Vogel, 2002)" }, "properties" : {  }, "schema" : "https://github.com/citation-style-language/schema/raw/master/csl-citation.json" }</w:instrText>
      </w:r>
      <w:r w:rsidRPr="00410882">
        <w:fldChar w:fldCharType="separate"/>
      </w:r>
      <w:r w:rsidRPr="00410882">
        <w:rPr>
          <w:noProof/>
        </w:rPr>
        <w:t>(Anderson &amp; Vogel, 2002)</w:t>
      </w:r>
      <w:r w:rsidRPr="00410882">
        <w:fldChar w:fldCharType="end"/>
      </w:r>
      <w:r w:rsidRPr="00410882">
        <w:t xml:space="preserve">.  They also found that education, community mobility, functional independence and lower occurrence of medical complications to be predictive of employment. </w:t>
      </w:r>
    </w:p>
    <w:p w:rsidR="006F4175" w:rsidRPr="00410882" w:rsidRDefault="006F4175" w:rsidP="006F4175">
      <w:pPr>
        <w:jc w:val="left"/>
      </w:pPr>
      <w:r w:rsidRPr="00410882">
        <w:t xml:space="preserve">The availability of employment, recreation, transportation within a community is also a determinant of wellbeing for those with SCI </w:t>
      </w:r>
      <w:r w:rsidRPr="00410882">
        <w:fldChar w:fldCharType="begin" w:fldLock="1"/>
      </w:r>
      <w:r w:rsidRPr="00410882">
        <w:instrText>ADDIN CSL_CITATION { "citationItems" : [ { "id" : "ITEM-1", "itemData" : { "DOI" : "10.1310/3502-06MD-F2NK-LBGK", "ISSN" : "10820744", "abstract" : "Despite the Americans with Disabilities Act (ADA), physical, transportation, information, and health care barriers continue to impede full community reintegration for rural-living persons with spinal cord injury (SCI). Lack of a health care policy that recognizes the unique needs of rural populations is particularly problematic. Innovative enterprises, such as AgrAbility, telehealth, and collaborative programs with independent living centers are few but show promise for overcoming obstacles to community reintegration and full participation among people with SCI in rural areas. Rehabilitation professionals can facilitate this process by participating in advocacy efforts, collaborating with state surveillance systems, developing innovative outreach models, and participating in research to identify and remove barriers to community reintegration.", "author" : [ { "dropping-particle" : "", "family" : "Hagglund", "given" : "K J", "non-dropping-particle" : "", "parse-names" : false, "suffix" : "" }, { "dropping-particle" : "", "family" : "Clay", "given" : "D L", "non-dropping-particle" : "", "parse-names" : false, "suffix" : "" }, { "dropping-particle" : "", "family" : "Acuff", "given" : "M", "non-dropping-particle" : "", "parse-names" : false, "suffix" : "" } ], "container-title" : "Topics in Spinal Cord Injury Rehabilitation", "id" : "ITEM-1", "issue" : "2", "issued" : { "date-parts" : [ [ "1998" ] ] }, "page" : "28-40", "title" : "Community reintegration for persons with spinal cord injury living in rural America", "type" : "article-journal", "volume" : "4" }, "uris" : [ "http://www.mendeley.com/documents/?uuid=272bf32d-2ead-48ed-ae1b-4cc1660b4fe8" ] } ], "mendeley" : { "formattedCitation" : "(Hagglund, Clay, &amp; Acuff, 1998)", "plainTextFormattedCitation" : "(Hagglund, Clay, &amp; Acuff, 1998)", "previouslyFormattedCitation" : "(Hagglund, Clay, &amp; Acuff, 1998)" }, "properties" : {  }, "schema" : "https://github.com/citation-style-language/schema/raw/master/csl-citation.json" }</w:instrText>
      </w:r>
      <w:r w:rsidRPr="00410882">
        <w:fldChar w:fldCharType="separate"/>
      </w:r>
      <w:r w:rsidRPr="00410882">
        <w:rPr>
          <w:noProof/>
        </w:rPr>
        <w:t>(Hagglund, Clay, &amp; Acuff, 1998)</w:t>
      </w:r>
      <w:r w:rsidRPr="00410882">
        <w:fldChar w:fldCharType="end"/>
      </w:r>
      <w:r w:rsidRPr="00410882">
        <w:t xml:space="preserve"> The existence of crime was also found to be detrimental to functioning in those with SCI (Liang et al., 2008).  More green space is associated with a better quality of life and greater community participation for individuals with SCI (</w:t>
      </w:r>
      <w:proofErr w:type="spellStart"/>
      <w:r w:rsidRPr="00410882">
        <w:t>Botticello</w:t>
      </w:r>
      <w:proofErr w:type="spellEnd"/>
      <w:r w:rsidRPr="00410882">
        <w:t xml:space="preserve">, </w:t>
      </w:r>
      <w:proofErr w:type="spellStart"/>
      <w:r w:rsidRPr="00410882">
        <w:t>Rohrbach</w:t>
      </w:r>
      <w:proofErr w:type="spellEnd"/>
      <w:r w:rsidRPr="00410882">
        <w:t xml:space="preserve">, &amp; </w:t>
      </w:r>
      <w:proofErr w:type="spellStart"/>
      <w:r w:rsidRPr="00410882">
        <w:t>Cobbold</w:t>
      </w:r>
      <w:proofErr w:type="spellEnd"/>
      <w:r w:rsidRPr="00410882">
        <w:t xml:space="preserve">, 2014) Blacks and whites living in socially and economically disadvantaged neighborhoods engage in elevated rates of unhealthy behaviors (drinking, smoking, obesity and physical inactivity) and experience higher rates of adverse outcomes such as diabetes, hypertension and activity limitations </w:t>
      </w:r>
      <w:r w:rsidRPr="00410882">
        <w:fldChar w:fldCharType="begin" w:fldLock="1"/>
      </w:r>
      <w:r w:rsidRPr="00410882">
        <w:instrText>ADDIN CSL_CITATION { "citationItems" : [ { "id" : "ITEM-1", "itemData" : { "ISBN" : "1049-510X; 1049-510X", "ISSN" : "1049510X", "PMID" : "25065066", "abstract" : "OBJECTIVE: To examine the nature of disparities in hypertension awareness, treatment, and control within a sample of Whites and African Americans living in the same social context and with access to the same health care environment.\\n\\nDESIGN: Cross-sectional study\\n\\nSETTING: Southwest Baltimore, Maryland\\n\\nPARTICIPANTS: 949 hypertensive African American and White adults in the Exploring Health Disparities in Integrated Communities-Southwest Baltimore (EHDIC-SWB) Study.\\n\\nMAIN OUTCOME MEASURES: Hypertensive participants who reported having been diagnosed by a doctor were considered to be aware of their hypertension. Among hypertensive adults aware of their condition, those who reported taking antihypertensive medications were classified as being in treatment. Among the treated hypertensive adults who had diabetes, those with systolic BP &lt; 130 mm Hg and diastolic BP &lt; 80 mm Hg were considered to be controlled. Among the treated hypertensive participants who did not have diabetes, those with systolic BP &lt; 140 mmHg and diastolic BP &lt; 90 mm Hg were also considered to be controlled.\\n\\nRESULTS: After adjusting for age, sex, marital status, education, income, health insurance, weight status, smoking status, drinking status, physical activity, cardiovascular disease, stroke, and diabetes, African Americans had greater odds of being aware of their hypertension than Whites (odds ratio = 1.44; 95% confidence interval 1.04, 2.01). However, African Americans and Whites had similar odds of being treated for hypertension, and having their hypertension under control.\\n\\nCONCLUSION: Within this racially integrated sample of hypertensive adults who share similar health care markets, race differences in treatment and control of hypertension were eliminated. Accounting for the social context should be considered in public health interventions to increase hypertension awareness and management.", "author" : [ { "dropping-particle" : "", "family" : "Thorpe", "given" : "Roland J.", "non-dropping-particle" : "", "parse-names" : false, "suffix" : "" }, { "dropping-particle" : "V.", "family" : "Bowie", "given" : "Janice", "non-dropping-particle" : "", "parse-names" : false, "suffix" : "" }, { "dropping-particle" : "", "family" : "Smolen", "given" : "Jenny R.", "non-dropping-particle" : "", "parse-names" : false, "suffix" : "" }, { "dropping-particle" : "", "family" : "Bell", "given" : "Caryn N.", "non-dropping-particle" : "", "parse-names" : false, "suffix" : "" }, { "dropping-particle" : "", "family" : "Jenkins", "given" : "Michael L.", "non-dropping-particle" : "", "parse-names" : false, "suffix" : "" }, { "dropping-particle" : "", "family" : "Jackson", "given" : "John", "non-dropping-particle" : "", "parse-names" : false, "suffix" : "" }, { "dropping-particle" : "", "family" : "LaVeist", "given" : "Thomas A.", "non-dropping-particle" : "", "parse-names" : false, "suffix" : "" } ], "container-title" : "Ethnicity and Disease", "id" : "ITEM-1", "issue" : "3", "issued" : { "date-parts" : [ [ "2014" ] ] }, "page" : "269-275", "title" : "Racial disparities in hypertension awareness and management: Are there differences among African Americans and Whites living under similar social conditions?", "type" : "article-journal", "volume" : "24" }, "uris" : [ "http://www.mendeley.com/documents/?uuid=6488362b-39a9-4858-bb39-b4e0ae8250f5" ] }, { "id" : "ITEM-2", "itemData" : { "DOI" : "10.1007/s11524-007-9226-y", "ISBN" : "1099-3460 (Print)\\n1099-3460 (Linking)", "ISSN" : "10993460", "PMID" : "17999196", "abstract" : "Progress in understanding the nature of health disparities requires data that are race-comparative while overcoming confounding between race, socioeconomic status, and segregation. The Exploring Health Disparities in Integrated Communities (EHDIC) study is a multisite cohort study that will address these confounders by examining the nature of health disparities within racially integrated communities without racial disparities in socioeconomic status. Data consisted of a structured questionnaire and blood pressure measurements collected from a sample of the adult population (age 18 and older) of two racially integrated contiguous census tracts. This manuscript reports on baseline results from the first EHDIC site, a low-income urban community in southwest Baltimore, Maryland (EHDIC-SWB). In the adjusted models, African Americans had lower rates of smoking and fair or poor self-rated health than whites, but no race differences in obesity, drinking, or physical inactivity. Our findings indicate that accounting for race differences in exposure to social conditions reduces or eliminates some health-related disparities. Moreover, these findings suggest that solutions to the seemingly intractable health disparities problem that target social determinants may be effective, especially those factors that are confounded with racial segregation. Future research in the area of health disparities should seek ways to account for confounding from SES and segregation.", "author" : [ { "dropping-particle" : "", "family" : "LaVeist", "given" : "Thomas", "non-dropping-particle" : "", "parse-names" : false, "suffix" : "" }, { "dropping-particle" : "", "family" : "Thorpe", "given" : "Roland", "non-dropping-particle" : "", "parse-names" : false, "suffix" : "" }, { "dropping-particle" : "", "family" : "Bowen-Reid", "given" : "Terra", "non-dropping-particle" : "", "parse-names" : false, "suffix" : "" }, { "dropping-particle" : "", "family" : "Jackson", "given" : "John", "non-dropping-particle" : "", "parse-names" : false, "suffix" : "" }, { "dropping-particle" : "", "family" : "Gary", "given" : "Tiffany", "non-dropping-particle" : "", "parse-names" : false, "suffix" : "" }, { "dropping-particle" : "", "family" : "Gaskin", "given" : "Darrell", "non-dropping-particle" : "", "parse-names" : false, "suffix" : "" }, { "dropping-particle" : "", "family" : "Browne", "given" : "Dorothy", "non-dropping-particle" : "", "parse-names" : false, "suffix" : "" } ], "container-title" : "Journal of Urban Health", "id" : "ITEM-2", "issue" : "1", "issued" : { "date-parts" : [ [ "2008" ] ] }, "page" : "11-21", "title" : "Exploring health disparities in integrated communities: Overview of the EHDIC study", "type" : "article-journal", "volume" : "85" }, "uris" : [ "http://www.mendeley.com/documents/?uuid=c606bc98-1c26-4cf3-bc4e-414cb984386e" ] }, { "id" : "ITEM-3", "itemData" : { "DOI" : "10.1377/hlthaff.2011.0640", "ISBN" : "1544-5208; 0278-2715", "ISSN" : "02782715", "PMID" : "21976330", "abstract" : "Much of the current health disparities literature fails to account for the fact that the nation is largely segregated, leaving racial groups exposed to different health risks and with variable access to health services based on where they live. We sought to determine if racial health disparities typically reported in national studies remain the same when black and white Americans live in integrated settings. Focusing on a racially integrated, low-income neighborhood of Southwest Baltimore, Maryland, we found that nationally reported disparities in hypertension, diabetes, obesity among women, and use of health services either vanished or substantially narrowed. The sole exception was smoking: We found that white residents were more likely than black residents to smoke, underscoring the higher rates of ill health in whites in the Baltimore sample than seen in national data. As a result, we concluded that racial differences in social environments explain a meaningful portion of disparities typically found in national data. We further concluded that when social factors are equalized, racial disparities are minimized. Policies aimed solely at health behavior change, biological differences among racial groups, or increased access to health care are limited in their ability to close racial disparities in health. Such policies must address the differing resources of neighborhoods and must aim to improve the underlying conditions of health for all.", "author" : [ { "dropping-particle" : "", "family" : "LaVeist", "given" : "Thomas", "non-dropping-particle" : "", "parse-names" : false, "suffix" : "" }, { "dropping-particle" : "", "family" : "Pollack", "given" : "Keshia", "non-dropping-particle" : "", "parse-names" : false, "suffix" : "" }, { "dropping-particle" : "", "family" : "Thorpe", "given" : "Roland", "non-dropping-particle" : "", "parse-names" : false, "suffix" : "" }, { "dropping-particle" : "", "family" : "Fesahazion", "given" : "Ruth", "non-dropping-particle" : "", "parse-names" : false, "suffix" : "" }, { "dropping-particle" : "", "family" : "Gaskin", "given" : "Darrell", "non-dropping-particle" : "", "parse-names" : false, "suffix" : "" } ], "container-title" : "Health Affairs", "id" : "ITEM-3", "issue" : "10", "issued" : { "date-parts" : [ [ "2011" ] ] }, "page" : "1880-1887", "title" : "Place, not race: Disparities dissipate in Southwest Baltimore when blacks and whites live under similar conditions", "type" : "article-journal", "volume" : "30" }, "uris" : [ "http://www.mendeley.com/documents/?uuid=49577410-fecb-486c-a1f3-9962dc869aa5" ] }, { "id" : "ITEM-4", "itemData" : { "DOI" : "10.1136/jech.2009.096297", "ISBN" : "1470-2738 (Electronic)\\r0143-005X (Linking)", "ISSN" : "0143005X", "PMID" : "20445215", "abstract" : "Background", "author" : [ { "dropping-particle" : "", "family" : "Bleich", "given" : "Sara N.", "non-dropping-particle" : "", "parse-names" : false, "suffix" : "" }, { "dropping-particle" : "", "family" : "Thorpe", "given" : "Roland J.", "non-dropping-particle" : "", "parse-names" : false, "suffix" : "" }, { "dropping-particle" : "", "family" : "Sharif-Harris", "given" : "Hamidah", "non-dropping-particle" : "", "parse-names" : false, "suffix" : "" }, { "dropping-particle" : "", "family" : "Fesahazion", "given" : "Ruth", "non-dropping-particle" : "", "parse-names" : false, "suffix" : "" }, { "dropping-particle" : "", "family" : "Laveist", "given" : "Thomas A.", "non-dropping-particle" : "", "parse-names" : false, "suffix" : "" } ], "container-title" : "Journal of Epidemiology and Community Health", "id" : "ITEM-4", "issue" : "5", "issued" : { "date-parts" : [ [ "2010" ] ] }, "page" : "465-469", "title" : "Social context explains race disparities in obesity among women", "type" : "article-journal", "volume" : "64" }, "uris" : [ "http://www.mendeley.com/documents/?uuid=673d7f06-89dc-4eb8-97d8-560db4dd4ec6" ] }, { "id" : "ITEM-5", "itemData" : { "DOI" : "10.1111/j.1360-0443.2007.01956.x", "ISBN" : "0965-2140", "ISSN" : "09652140", "PMID" : "17850615", "abstract" : "AIMS: We examined the nature of racial disparities in smoking status within a sample that accounts for two major confounding factors in health disparities research--racial segregation and socio-economic status. Also, we sought to determine the generalizability of our sample. DESIGN AND SETTING: Cross-sectional study based on data from the Exploring Health Disparities in Integrated Communities Study in south-west Baltimore, MD (EHDIC-SWB) and a subsample of respondents in the 2002 National Health Interview Survey (NHIS) that was matched to EHIDC-SWB. The final matched data set sample size was 2948 adults (1474 EHDIC-SWB; 1474 matched NHIS). MEASUREMENTS: Our outcome variables were life-time and current smoking status and number of cigarettes smoked daily. Independent variables include race, age gender, educational attainment and income. FINDINGS: In the adjusted models, whites had greater odds than blacks of current smoking and reported smoking more cigarettes in the EHDIC-SWB sample, but there were no race differences in current smoking status or in the number of cigarettes smoked per day in the NHIS. The prevalence rates for both life-time and current smoking were substantially greater in the EHDIC-SWB sample, but in comparisons of blacks and whites across samples we found that the magnitude of the difference between the samples was greatest for whites. CONCLUSIONS: Unadjusted national estimates of race disparities as reported in national reports may be biased because of differential risk exposure among people of different race groups. Race differences in social and environmental contexts account partially for racial differences in smoking patterns.", "author" : [ { "dropping-particle" : "", "family" : "LaVeist", "given" : "Thomas A.", "non-dropping-particle" : "", "parse-names" : false, "suffix" : "" }, { "dropping-particle" : "", "family" : "Thorpe", "given" : "Roland J.", "non-dropping-particle" : "", "parse-names" : false, "suffix" : "" }, { "dropping-particle" : "", "family" : "Mance", "given" : "Gi Shawn A", "non-dropping-particle" : "", "parse-names" : false, "suffix" : "" }, { "dropping-particle" : "", "family" : "Jackson", "given" : "John", "non-dropping-particle" : "", "parse-names" : false, "suffix" : "" }, { "dropping-particle" : "", "family" : "William", "given" : "C.", "non-dropping-particle" : "", "parse-names" : false, "suffix" : "" }, { "dropping-particle" : "", "family" : "Richardson", "given" : "Nancy F.", "non-dropping-particle" : "", "parse-names" : false, "suffix" : "" } ], "container-title" : "Addiction", "id" : "ITEM-5", "issue" : "SUPPL. 2", "issued" : { "date-parts" : [ [ "2007" ] ] }, "page" : "65-70", "title" : "Overcoming confounding of race with socio-economic status and segregation to explore race disparities in smoking", "type" : "article-journal", "volume" : "102" }, "uris" : [ "http://www.mendeley.com/documents/?uuid=56d0b884-8594-44ea-beba-154e800be0a2" ] } ], "mendeley" : { "formattedCitation" : "(Bleich, Thorpe, Sharif-Harris, Fesahazion, &amp; Laveist, 2010; T. LaVeist et al., 2008; T. LaVeist, Pollack, Thorpe, Fesahazion, &amp; Gaskin, 2011; T. A. LaVeist et al., 2007; Thorpe et al., 2014)", "plainTextFormattedCitation" : "(Bleich, Thorpe, Sharif-Harris, Fesahazion, &amp; Laveist, 2010; T. LaVeist et al., 2008; T. LaVeist, Pollack, Thorpe, Fesahazion, &amp; Gaskin, 2011; T. A. LaVeist et al., 2007; Thorpe et al., 2014)", "previouslyFormattedCitation" : "(Bleich, Thorpe, Sharif-Harris, Fesahazion, &amp; Laveist, 2010; T. LaVeist et al., 2008; T. LaVeist, Pollack, Thorpe, Fesahazion, &amp; Gaskin, 2011; T. A. LaVeist et al., 2007; Thorpe et al., 2014)" }, "properties" : {  }, "schema" : "https://github.com/citation-style-language/schema/raw/master/csl-citation.json" }</w:instrText>
      </w:r>
      <w:r w:rsidRPr="00410882">
        <w:fldChar w:fldCharType="separate"/>
      </w:r>
      <w:r w:rsidRPr="00410882">
        <w:rPr>
          <w:noProof/>
        </w:rPr>
        <w:t>(Bleich, Thorpe, Sharif-Harris, Fesahazion, &amp; Laveist, 2010; T. LaVeist et al., 2008; T. LaVeist, Pollack, Thorpe, Fesahazion, &amp; Gaskin, 2011; T. A. LaVeist et al., 2007; Thorpe et al., 2014)</w:t>
      </w:r>
      <w:r w:rsidRPr="00410882">
        <w:fldChar w:fldCharType="end"/>
      </w:r>
    </w:p>
    <w:p w:rsidR="006F4175" w:rsidRPr="00410882" w:rsidRDefault="006F4175" w:rsidP="006F4175">
      <w:pPr>
        <w:ind w:firstLine="360"/>
        <w:jc w:val="left"/>
      </w:pPr>
    </w:p>
    <w:p w:rsidR="006F4175" w:rsidRPr="00410882" w:rsidRDefault="006F4175" w:rsidP="00F863F2">
      <w:pPr>
        <w:jc w:val="left"/>
      </w:pPr>
      <w:r w:rsidRPr="00410882">
        <w:lastRenderedPageBreak/>
        <w:t xml:space="preserve">In terms of SCI as a whole, individuals with the condition frequently experience poor employment retention and work-life expectancy, with rates dropping sharply around age 50 </w:t>
      </w:r>
      <w:r w:rsidRPr="00410882">
        <w:fldChar w:fldCharType="begin" w:fldLock="1"/>
      </w:r>
      <w:r w:rsidRPr="00410882">
        <w:instrText>ADDIN CSL_CITATION { "citationItems" : [ { "id" : "ITEM-1", "itemData" : { "DOI" : "10.3109/09638280902946952", "ISBN" : "0963-8288 (Print)\\r0963-8288 (Linking)", "ISSN" : "09638288", "PMID" : "19903127", "abstract" : "PURPOSE: The primary objective was to study factors influencing post-injury employment and withdrawal from work in persons who sustained traumatic spinal cord injury (SCI) more than 20 years ago. A secondary objective was to study life satisfaction in the same patients.\\n\\nMETHOD: A cross-sectional study with retrospective data of 165 SCI-patients admitted to Sunnaas Rehabilitation Hospital 1961-1982. Multiple logistic regression was used to identify predictors for obtaining work post-injury. A Cox proportional hazards regression model was used to study factors influencing early withdrawal from work, i.e. time from injury until discontinuing employment.\\n\\nRESULTS: Sixty-five percent of the participants were employed at some point after the injury. Thirty-five percent still had work at the time of the survey. The odds of obtaining work after injury were higher in persons of younger age at injury, higher in males versus females, higher for persons with paraplegia versus tetraplegia, and for persons classified as Frankel D-E compared to a more severe SCI. Factors associated with shorter time from injury until discontinuing employment were higher age at injury, incidence of injury after 1975 versus before, and a history of pre-injury medical condition(s). Life satisfaction was better for currently employed participants.\\n\\nCONCLUSION: The study indicates a low employment-rate in persons with SCI, even several years after injury. From the results, we suggest more support, especially to persons of older age at injury and/or with a history of pre-injury medical condition(s), to help them to obtain work and sustain employed for more years after injury.", "author" : [ { "dropping-particle" : "", "family" : "Lidal", "given" : "Ingeborg Beate", "non-dropping-particle" : "", "parse-names" : false, "suffix" : "" }, { "dropping-particle" : "", "family" : "Hjeltnes", "given" : "Nils", "non-dropping-particle" : "", "parse-names" : false, "suffix" : "" }, { "dropping-particle" : "", "family" : "R\u00f8islien", "given" : "Jo", "non-dropping-particle" : "", "parse-names" : false, "suffix" : "" }, { "dropping-particle" : "", "family" : "Stanghelle", "given" : "Johan Kvalvik", "non-dropping-particle" : "", "parse-names" : false, "suffix" : "" }, { "dropping-particle" : "", "family" : "Biering-S\u00f8rensen", "given" : "Fin", "non-dropping-particle" : "", "parse-names" : false, "suffix" : "" } ], "container-title" : "Disability and Rehabilitation", "id" : "ITEM-1", "issue" : "26", "issued" : { "date-parts" : [ [ "2009" ] ] }, "page" : "2174-2184", "title" : "Employment of persons with spinal cord lesions injured more than 20 years ago", "type" : "article-journal", "volume" : "31" }, "uris" : [ "http://www.mendeley.com/documents/?uuid=836af20a-75d5-4d08-9a2d-bb76d0da5d24" ] }, { "id" : "ITEM-2", "itemData" : { "ISBN" : "1079-0268", "ISSN" : "1079-0268", "PMID" : "17044388", "abstract" : "OBJECTIVE: To develop predictive models to estimate worklife expectancy after spinal cord injury (SCI). DESIGN: Inception cohort study. SETTING: Model SCI Care Systems throughout the United States. PARTICIPANTS: 20,143 persons enrolled in the National Spinal Cord Injury Statistical Center database since 1973. INTERVENTION: Not applicable. MAIN OUTCOME MEASURE: Postinjury employment rates and worklife expectancy. RESULTS: Using logistic regression, we found a greater likelihood of being employed in any given year to be significantly associated with younger age, white race, higher education level, being married, having a nonviolent cause of injury, paraplegia, ASIA D injury, longer time postinjury, being employed at injury and during the previous postinjury year, higher general population employment rate, lower level of Social Security Disability Insurance benefits, and calendar years after the passage of the Americans with Disabilities Act. CONCLUSIONS: The likelihood of postinjury employment varies substantially among persons with SCI. Given favorable patient characteristics, worklife should be considerably higher than previous estimates.", "author" : [ { "dropping-particle" : "", "family" : "Pflaum", "given" : "Christopher", "non-dropping-particle" : "", "parse-names" : false, "suffix" : "" }, { "dropping-particle" : "", "family" : "McCollister", "given" : "George", "non-dropping-particle" : "", "parse-names" : false, "suffix" : "" }, { "dropping-particle" : "", "family" : "Strauss", "given" : "David J", "non-dropping-particle" : "", "parse-names" : false, "suffix" : "" }, { "dropping-particle" : "", "family" : "Shavelle", "given" : "Robert M", "non-dropping-particle" : "", "parse-names" : false, "suffix" : "" }, { "dropping-particle" : "", "family" : "DeVivo", "given" : "Michael J", "non-dropping-particle" : "", "parse-names" : false, "suffix" : "" } ], "container-title" : "The journal of spinal cord medicine", "id" : "ITEM-2", "issue" : "4", "issued" : { "date-parts" : [ [ "2006" ] ] }, "page" : "377-386", "title" : "Worklife after traumatic spinal cord injury.", "type" : "article-journal", "volume" : "29" }, "uris" : [ "http://www.mendeley.com/documents/?uuid=ebf02dbd-4f51-4dad-8536-761b64164a67" ] } ], "mendeley" : { "formattedCitation" : "(Lidal et al., 2009; Pflaum, McCollister, Strauss, Shavelle, &amp; DeVivo, 2006)", "plainTextFormattedCitation" : "(Lidal et al., 2009; Pflaum, McCollister, Strauss, Shavelle, &amp; DeVivo, 2006)", "previouslyFormattedCitation" : "(Lidal et al., 2009; Pflaum, McCollister, Strauss, Shavelle, &amp; DeVivo, 2006)" }, "properties" : {  }, "schema" : "https://github.com/citation-style-language/schema/raw/master/csl-citation.json" }</w:instrText>
      </w:r>
      <w:r w:rsidRPr="00410882">
        <w:fldChar w:fldCharType="separate"/>
      </w:r>
      <w:r w:rsidRPr="00410882">
        <w:rPr>
          <w:noProof/>
        </w:rPr>
        <w:t>(Lidal et al., 2009; Pflaum, McCollister, Strauss, Shavelle, &amp; DeVivo, 2006)</w:t>
      </w:r>
      <w:r w:rsidRPr="00410882">
        <w:fldChar w:fldCharType="end"/>
      </w:r>
      <w:r w:rsidRPr="00410882">
        <w:t xml:space="preserve">  Employment odds decreased with occurrence of autonomic </w:t>
      </w:r>
      <w:proofErr w:type="spellStart"/>
      <w:r w:rsidRPr="00410882">
        <w:t>dysreflexia</w:t>
      </w:r>
      <w:proofErr w:type="spellEnd"/>
      <w:r w:rsidRPr="00410882">
        <w:t>, spasticity or other chronic conditions.</w:t>
      </w:r>
      <w:r w:rsidRPr="00410882">
        <w:fldChar w:fldCharType="begin" w:fldLock="1"/>
      </w:r>
      <w:r w:rsidRPr="00410882">
        <w:instrText>ADDIN CSL_CITATION { "citationItems" : [ { "id" : "ITEM-1", "itemData" : { "DOI" : "10.1038/sc.2014.32", "ISBN" : "1362-4393", "ISSN" : "1476-5624", "PMID" : "24663002", "abstract" : "STUDY DESIGN Longitudinal survey. OBJECTIVES To determine in adults with pediatric-onset spinal cord injury (SCI) employment outcomes, longitudinal changes in employment over time and changes in psychosocial outcomes associated with employment status. SETTING Community setting. METHODS Adults who had sustained a SCI before 19 years of age and had completed at least three consecutive annual interviews were included in the study. Generalized estimating equation models were formulated to obtain odds ratio (OR) of change in employment status and outcomes over time. RESULTS Total 1691 interviews were conducted in 283 participants, 182 men and 101 women (88% Caucasian; age at baseline, 27.3\u00b13.7 years; duration at baseline, 12.7\u00b15.0 years). At the last interview (age, 34.4\u00b15.2 years; duration, 19.9\u00b16.1 years), 49.5% were employed and 47.0% had a baccalaureate or post-baccalaureate degree. There was no significant change in employment status over time (OR 1.01, confidence interval (CI) 0.98-1.04). Odds of employment increased over time in participants who were women (1.04, CI 1.00-1.08), married (1.05, CI 1.02-1.08) and attained baccalaureate (1.03, CI 1.00-1.07) or post-baccalaureate (1.05, CI 1.02-1.08) degree. Employment odds decreased with occurrence of autonomic dysreflexia (0.80, CI 0.65-0.99), spasticity (0.80, CI 0.59-0.99) or chronic medical condition (0.83, CI 0.71-0.98). Life satisfaction scores increased over time in those who remained employed (1.11, CI 1.01-1.22); odds of depression increased over time in those who remained unemployed (1.13, CI 1.04-1.23). CONCLUSION Employment status remained relatively stable in adults with pediatric-onset SCI; however, changes in employment were associated with education, secondary health conditions and psychosocial well-being.", "author" : [ { "dropping-particle" : "", "family" : "Hwang", "given" : "M", "non-dropping-particle" : "", "parse-names" : false, "suffix" : "" }, { "dropping-particle" : "", "family" : "Zebracki", "given" : "K", "non-dropping-particle" : "", "parse-names" : false, "suffix" : "" }, { "dropping-particle" : "", "family" : "Chlan", "given" : "K M", "non-dropping-particle" : "", "parse-names" : false, "suffix" : "" }, { "dropping-particle" : "", "family" : "Vogel", "given" : "L C", "non-dropping-particle" : "", "parse-names" : false, "suffix" : "" } ], "container-title" : "Spinal cord", "id" : "ITEM-1", "issue" : "6", "issued" : { "date-parts" : [ [ "2014", "6" ] ] }, "page" : "477-82", "publisher" : "Nature Publishing Group", "title" : "Longitudinal employment outcomes in adults with pediatric-onset spinal cord injury.", "type" : "article-journal", "volume" : "52" }, "uris" : [ "http://www.mendeley.com/documents/?uuid=a6efad96-b137-4eed-ba20-821e67c5d00e" ] } ], "mendeley" : { "formattedCitation" : "(Hwang, Zebracki, Chlan, &amp; Vogel, 2014)", "plainTextFormattedCitation" : "(Hwang, Zebracki, Chlan, &amp; Vogel, 2014)", "previouslyFormattedCitation" : "(Hwang, Zebracki, Chlan, &amp; Vogel, 2014)" }, "properties" : {  }, "schema" : "https://github.com/citation-style-language/schema/raw/master/csl-citation.json" }</w:instrText>
      </w:r>
      <w:r w:rsidRPr="00410882">
        <w:fldChar w:fldCharType="separate"/>
      </w:r>
      <w:r w:rsidRPr="00410882">
        <w:rPr>
          <w:noProof/>
        </w:rPr>
        <w:t>(Hwang, Zebracki, Chlan, &amp; Vogel, 2014)</w:t>
      </w:r>
      <w:r w:rsidRPr="00410882">
        <w:fldChar w:fldCharType="end"/>
      </w:r>
      <w:r w:rsidRPr="00410882">
        <w:t xml:space="preserve"> Lack of employment can increase risk for health complications whereas paid employment improves quality of life.</w:t>
      </w:r>
      <w:r w:rsidRPr="00410882">
        <w:fldChar w:fldCharType="begin" w:fldLock="1"/>
      </w:r>
      <w:r w:rsidRPr="00410882">
        <w:instrText>ADDIN CSL_CITATION { "citationItems" : [ { "id" : "ITEM-1", "itemData" : { "ISBN" : "1053-8135", "ISSN" : "1053-8135", "PMID" : "12237497", "abstract" : "This manuscript reviews recent research on return to work (RTW) for individuals who sustain spinal cord injury (SCI), including the effects of demographics variables, occupational characteristics, workplace accommodations, quality of life, physical functional limitations, and other variable. Demographic variables that influence RTW for persons with SCI include age at injury onset, chronological age, gender, education, ethnicity, marital status, and per-injury work intensity. Others include satisfaction, and adjustment to sustaining SCI. In an effort to enhance employment opportunities for individuals with disabilities including SCI, Ticket to Work Incentive Improvement Act of 1999 (TWILA) has been passed by Congress and some states have begun implementing targeted initiatives through the State Partnership Systems Change Initiatives (SPI). Future research directions are recommended in light of recent legislative initiatives.", "author" : [ { "dropping-particle" : "", "family" : "Yasuda", "given" : "Satoko", "non-dropping-particle" : "", "parse-names" : false, "suffix" : "" }, { "dropping-particle" : "", "family" : "Wehman", "given" : "Paul", "non-dropping-particle" : "", "parse-names" : false, "suffix" : "" }, { "dropping-particle" : "", "family" : "Targett", "given" : "Pamela", "non-dropping-particle" : "", "parse-names" : false, "suffix" : "" }, { "dropping-particle" : "", "family" : "Cifu", "given" : "David X", "non-dropping-particle" : "", "parse-names" : false, "suffix" : "" }, { "dropping-particle" : "", "family" : "West", "given" : "Michael", "non-dropping-particle" : "", "parse-names" : false, "suffix" : "" } ], "container-title" : "NeuroRehabilitation", "id" : "ITEM-1", "issued" : { "date-parts" : [ [ "2002" ] ] }, "page" : "177-186", "title" : "Return to work after spinal cord injury: a review of recent research.", "type" : "article-journal", "volume" : "17" }, "uris" : [ "http://www.mendeley.com/documents/?uuid=98854e0a-d205-4a99-8fbb-f57e8666220d" ] } ], "mendeley" : { "formattedCitation" : "(Yasuda, Wehman, Targett, Cifu, &amp; West, 2002)", "plainTextFormattedCitation" : "(Yasuda, Wehman, Targett, Cifu, &amp; West, 2002)", "previouslyFormattedCitation" : "(Yasuda, Wehman, Targett, Cifu, &amp; West, 2002)" }, "properties" : {  }, "schema" : "https://github.com/citation-style-language/schema/raw/master/csl-citation.json" }</w:instrText>
      </w:r>
      <w:r w:rsidRPr="00410882">
        <w:fldChar w:fldCharType="separate"/>
      </w:r>
      <w:r w:rsidRPr="00410882">
        <w:rPr>
          <w:noProof/>
        </w:rPr>
        <w:t>(Yasuda, Wehman, Targett, Cifu, &amp; West, 2002)</w:t>
      </w:r>
      <w:r w:rsidRPr="00410882">
        <w:fldChar w:fldCharType="end"/>
      </w:r>
      <w:r w:rsidRPr="00410882">
        <w:t xml:space="preserve"> Employment allows for those with SCI to increase their independence, social integration, life satisfaction and quality of life </w:t>
      </w:r>
      <w:r w:rsidRPr="00410882">
        <w:fldChar w:fldCharType="begin" w:fldLock="1"/>
      </w:r>
      <w:r w:rsidRPr="00410882">
        <w:instrText>ADDIN CSL_CITATION { "citationItems" : [ { "id" : "ITEM-1", "itemData" : { "ISSN" : "10790268", "PMID" : "17536291", "abstract" : "OBJECTIVE: A study was designed to directly compare individuals with tetraplegia and paraplegia to further explore neurological and functional outcomes and their impact on the expense of rehabilitation when controlling for level of completeness, age at the time of injury, and length of stay. METHODS: A sample was drawn from the National Spinal Cord Injury Database consisting of 2069 individuals, 1005 with paraplegia and 1064 with tetraplegia. RESULTS: Significant demographic differences were found between the 2 groups with regard to age, ethnicity, marital status, and employment status. Significant differences were found between the groups with regard to all individual outcome variables (p &lt; .001) and expenses (p &lt; .05). On average, patients with paraplegic injuries evidenced greater change and efficiency on a functional independence measure than patients with tetraplegia. In contrast, patients with tetraplegia showed greater changes and efficiency with regard to ASIA Motor Index scores. Higher rehabilitation expenses were found for patients with tetraplegia.", "author" : [ { "dropping-particle" : "", "family" : "Hess", "given" : "D W", "non-dropping-particle" : "", "parse-names" : false, "suffix" : "" }, { "dropping-particle" : "", "family" : "Kolakowsky-Hayner", "given" : "S A", "non-dropping-particle" : "", "parse-names" : false, "suffix" : "" }, { "dropping-particle" : "", "family" : "Cifu", "given" : "D X", "non-dropping-particle" : "", "parse-names" : false, "suffix" : "" }, { "dropping-particle" : "", "family" : "Huang", "given" : "M E", "non-dropping-particle" : "", "parse-names" : false, "suffix" : "" } ], "container-title" : "The journal of spinal cord medicine", "id" : "ITEM-1", "issue" : "4", "issued" : { "date-parts" : [ [ "2000" ] ] }, "page" : "228-233", "title" : "A comparative study of outcomes and expenses following tetraplegia and paraplegia.", "type" : "article-journal", "volume" : "23" }, "uris" : [ "http://www.mendeley.com/documents/?uuid=f1c7e241-982b-4c31-86f8-a3f99ccf4f30" ] }, { "id" : "ITEM-2", "itemData" : { "ISBN" : "1079-0268 (Print)\\n1079-0268 (Linking)", "ISSN" : "1079-0268 (Print) 1079-0268 (Linking)", "PMID" : "20025147", "abstract" : "BACKGROUND/OBJECTIVE: Employment rates after spinal cord injury (SCI) vary widely because of discrepancies in studies' definition of employment and time of measurement. The objective of this study was to provide a comprehensive summary of the literature on employment rates, predictors of employment, and the benefits and barriers involved. METHODS: A search using the terms spinal cord injury and employment in the databases PubMed, PsycINFO, and MEDLINE. The search included a review of published manuscripts from 1978 through 2008. RESULTS: A total of 579 articles were found and reviewed to determine the presence of reported employment rates. Of these, 60 articles were found to include a report of employment rates for individuals with SCI. Results indicated that, in studies that examined paid employment, the average rate of any employment after SCI was approximately 35%. CONCLUSIONS: Characteristics associated with employment after SCI include demographic variables, injury-related factors, employment history, psychosocial issues, and disability benefit status. It is recommended that researchers studying employment after SCI use common outcome measures such as competitive employment rates, duration of employment, and job tenure. Empirical evidence is lacking in regard to the most effective methods of vocational rehabilitation among this population. Evidence-based supported employment practices seem to be the most applicable model for assisting persons with SCI in restoring meaningful employment. Controlled studies are needed to test this assumption", "author" : [ { "dropping-particle" : "", "family" : "Ottomanelli", "given" : "L", "non-dropping-particle" : "", "parse-names" : false, "suffix" : "" }, { "dropping-particle" : "", "family" : "Lind", "given" : "L", "non-dropping-particle" : "", "parse-names" : false, "suffix" : "" } ], "container-title" : "J Spinal Cord Med", "id" : "ITEM-2", "issue" : "1079-0268 (Print)", "issued" : { "date-parts" : [ [ "2009" ] ] }, "page" : "503-531", "title" : "Review of critical factors related to employment after spinal cord injury: implications for research and vocational services", "type" : "article-journal", "volume" : "32" }, "uris" : [ "http://www.mendeley.com/documents/?uuid=86647cd0-3167-4f9a-96e5-0866ff27d153" ] } ], "mendeley" : { "formattedCitation" : "(Hess, Kolakowsky-Hayner, Cifu, &amp; Huang, 2000; Ottomanelli &amp; Lind, 2009)", "plainTextFormattedCitation" : "(Hess, Kolakowsky-Hayner, Cifu, &amp; Huang, 2000; Ottomanelli &amp; Lind, 2009)", "previouslyFormattedCitation" : "(Hess, Kolakowsky-Hayner, Cifu, &amp; Huang, 2000; Ottomanelli &amp; Lind, 2009)" }, "properties" : {  }, "schema" : "https://github.com/citation-style-language/schema/raw/master/csl-citation.json" }</w:instrText>
      </w:r>
      <w:r w:rsidRPr="00410882">
        <w:fldChar w:fldCharType="separate"/>
      </w:r>
      <w:r w:rsidRPr="00410882">
        <w:rPr>
          <w:noProof/>
        </w:rPr>
        <w:t>(Hess, Kolakowsky-Hayner, Cifu, &amp; Huang, 2000; Ottomanelli &amp; Lind, 2009)</w:t>
      </w:r>
      <w:r w:rsidRPr="00410882">
        <w:fldChar w:fldCharType="end"/>
      </w:r>
      <w:r w:rsidRPr="00410882">
        <w:t xml:space="preserve">. Paid employment and other types of participation have been linked to higher life expectancy.(James S. Krause, </w:t>
      </w:r>
      <w:proofErr w:type="spellStart"/>
      <w:r w:rsidRPr="00410882">
        <w:t>Devivo</w:t>
      </w:r>
      <w:proofErr w:type="spellEnd"/>
      <w:r w:rsidRPr="00410882">
        <w:t xml:space="preserve">, &amp; Jackson, 2004) Life satisfaction increased over time with those that remained employed </w:t>
      </w:r>
      <w:r w:rsidRPr="00410882">
        <w:fldChar w:fldCharType="begin" w:fldLock="1"/>
      </w:r>
      <w:r w:rsidRPr="00410882">
        <w:instrText>ADDIN CSL_CITATION { "citationItems" : [ { "id" : "ITEM-1", "itemData" : { "DOI" : "10.1038/sc.2014.32", "ISBN" : "1362-4393", "ISSN" : "1476-5624", "PMID" : "24663002", "abstract" : "STUDY DESIGN Longitudinal survey. OBJECTIVES To determine in adults with pediatric-onset spinal cord injury (SCI) employment outcomes, longitudinal changes in employment over time and changes in psychosocial outcomes associated with employment status. SETTING Community setting. METHODS Adults who had sustained a SCI before 19 years of age and had completed at least three consecutive annual interviews were included in the study. Generalized estimating equation models were formulated to obtain odds ratio (OR) of change in employment status and outcomes over time. RESULTS Total 1691 interviews were conducted in 283 participants, 182 men and 101 women (88% Caucasian; age at baseline, 27.3\u00b13.7 years; duration at baseline, 12.7\u00b15.0 years). At the last interview (age, 34.4\u00b15.2 years; duration, 19.9\u00b16.1 years), 49.5% were employed and 47.0% had a baccalaureate or post-baccalaureate degree. There was no significant change in employment status over time (OR 1.01, confidence interval (CI) 0.98-1.04). Odds of employment increased over time in participants who were women (1.04, CI 1.00-1.08), married (1.05, CI 1.02-1.08) and attained baccalaureate (1.03, CI 1.00-1.07) or post-baccalaureate (1.05, CI 1.02-1.08) degree. Employment odds decreased with occurrence of autonomic dysreflexia (0.80, CI 0.65-0.99), spasticity (0.80, CI 0.59-0.99) or chronic medical condition (0.83, CI 0.71-0.98). Life satisfaction scores increased over time in those who remained employed (1.11, CI 1.01-1.22); odds of depression increased over time in those who remained unemployed (1.13, CI 1.04-1.23). CONCLUSION Employment status remained relatively stable in adults with pediatric-onset SCI; however, changes in employment were associated with education, secondary health conditions and psychosocial well-being.", "author" : [ { "dropping-particle" : "", "family" : "Hwang", "given" : "M", "non-dropping-particle" : "", "parse-names" : false, "suffix" : "" }, { "dropping-particle" : "", "family" : "Zebracki", "given" : "K", "non-dropping-particle" : "", "parse-names" : false, "suffix" : "" }, { "dropping-particle" : "", "family" : "Chlan", "given" : "K M", "non-dropping-particle" : "", "parse-names" : false, "suffix" : "" }, { "dropping-particle" : "", "family" : "Vogel", "given" : "L C", "non-dropping-particle" : "", "parse-names" : false, "suffix" : "" } ], "container-title" : "Spinal cord", "id" : "ITEM-1", "issue" : "6", "issued" : { "date-parts" : [ [ "2014", "6" ] ] }, "page" : "477-82", "publisher" : "Nature Publishing Group", "title" : "Longitudinal employment outcomes in adults with pediatric-onset spinal cord injury.", "type" : "article-journal", "volume" : "52" }, "uris" : [ "http://www.mendeley.com/documents/?uuid=a6efad96-b137-4eed-ba20-821e67c5d00e" ] } ], "mendeley" : { "formattedCitation" : "(Hwang et al., 2014)", "plainTextFormattedCitation" : "(Hwang et al., 2014)", "previouslyFormattedCitation" : "(Hwang et al., 2014)" }, "properties" : {  }, "schema" : "https://github.com/citation-style-language/schema/raw/master/csl-citation.json" }</w:instrText>
      </w:r>
      <w:r w:rsidRPr="00410882">
        <w:fldChar w:fldCharType="separate"/>
      </w:r>
      <w:r w:rsidRPr="00410882">
        <w:rPr>
          <w:noProof/>
        </w:rPr>
        <w:t>(Hwang et al., 2014)</w:t>
      </w:r>
      <w:r w:rsidRPr="00410882">
        <w:fldChar w:fldCharType="end"/>
      </w:r>
      <w:r w:rsidRPr="00410882">
        <w:t xml:space="preserve"> Gender, race, independent living and mobility were associated with stable employment.</w:t>
      </w:r>
      <w:r w:rsidRPr="00410882">
        <w:fldChar w:fldCharType="begin" w:fldLock="1"/>
      </w:r>
      <w:r w:rsidRPr="00410882">
        <w:instrText>ADDIN CSL_CITATION { "citationItems" : [ { "id" : "ITEM-1", "itemData" : { "DOI" : "10.1080/10790268.2006.11753856", "ISBN" : "1079-0268", "ISSN" : "1079-0268", "PMID" : "16572565", "abstract" : "BACKGROUND/OBJECTIVE: Cross-sectional studies have provided information about the outcomes of adults with pediatric-onset spinal cord injuries (SCIs), but there has been no information about the stability of those outcomes over time. The purpose of this study was to assess the stability of independent living, employment, and life satisfaction and to determine factors associated with stable, successful outcomes. METHODS: Structured interviews of individuals who had sustained an SCI at age 18 years or younger and were 24 years or older at first interview. The primary standardized measures used include the Functional Independence Measure, Craig Handicap Assessment and Recording Technique (CHART), Short-Form 12 measure of perceived health, and the Satisfaction with Life Scale. RESULTS: One hundred sixty-six individuals had 3 consecutive annual interviews. Mean age at interview was 29 years (range, 24-36 years). Of this group, 64% lived independently at the first interview, and 90% of those continued to live independently; 64% were employed at first interview, of which 83% continued to be employed; and 48% reported life satisfaction at the first interview, and 84% of these continued to be satisfied. Factors most closely associated with stable independent living were CHART subscales of physical independence, mobility, and occupation. Factors associated with stable employment were sex, race, independent living, CHART mobility, and cognitive independence. Factors associated with stable life satisfaction were CHART occupation subscale and fewer pressure ulcers. CONCLUSIONS: Many individuals with pediatric-onset SCI achieve successful, stable adult outcomes. The factors associated with that success can help us improve rehabilitation for future patients.", "author" : [ { "dropping-particle" : "", "family" : "Anderson", "given" : "Caroline J.", "non-dropping-particle" : "", "parse-names" : false, "suffix" : "" }, { "dropping-particle" : "", "family" : "Vogel", "given" : "Lawrence C.", "non-dropping-particle" : "", "parse-names" : false, "suffix" : "" }, { "dropping-particle" : "", "family" : "Willis", "given" : "Kathleen M.", "non-dropping-particle" : "", "parse-names" : false, "suffix" : "" }, { "dropping-particle" : "", "family" : "Betz", "given" : "Randal R.", "non-dropping-particle" : "", "parse-names" : false, "suffix" : "" } ], "container-title" : "The Journal of Spinal Cord Medicine", "id" : "ITEM-1", "issue" : "1", "issued" : { "date-parts" : [ [ "2006" ] ] }, "page" : "46-56", "title" : "Stability of Transition to Adulthood Among Individuals With Pediatric-onset Spinal Cord Injuries", "type" : "article-journal", "volume" : "29" }, "uris" : [ "http://www.mendeley.com/documents/?uuid=f83a0c67-bf87-4724-bc42-8b5bdce2541a" ] } ], "mendeley" : { "formattedCitation" : "(Anderson, Vogel, Willis, &amp; Betz, 2006)", "plainTextFormattedCitation" : "(Anderson, Vogel, Willis, &amp; Betz, 2006)", "previouslyFormattedCitation" : "(Anderson, Vogel, Willis, &amp; Betz, 2006)" }, "properties" : {  }, "schema" : "https://github.com/citation-style-language/schema/raw/master/csl-citation.json" }</w:instrText>
      </w:r>
      <w:r w:rsidRPr="00410882">
        <w:fldChar w:fldCharType="separate"/>
      </w:r>
      <w:r w:rsidRPr="00410882">
        <w:rPr>
          <w:noProof/>
        </w:rPr>
        <w:t>(Anderson, Vogel, Willis, &amp; Betz, 2006)</w:t>
      </w:r>
      <w:r w:rsidRPr="00410882">
        <w:fldChar w:fldCharType="end"/>
      </w:r>
      <w:r w:rsidRPr="00410882">
        <w:t xml:space="preserve">  Ideally, we would devote resources towards and providing work and training to those with SCI to  improve their health and wellbeing and avoid the consequences of unemployment.</w:t>
      </w:r>
    </w:p>
    <w:p w:rsidR="006F4175" w:rsidRPr="00410882" w:rsidRDefault="006F4175" w:rsidP="006F4175">
      <w:pPr>
        <w:jc w:val="left"/>
      </w:pPr>
      <w:r w:rsidRPr="00410882">
        <w:t xml:space="preserve">SCI disproportionally affects minorities: There is a racial employment gap post-injury between non-Hispanic whites and minority groups that may affect rehabilitation and return to self-sufficiency </w:t>
      </w:r>
      <w:r w:rsidRPr="00410882">
        <w:fldChar w:fldCharType="begin" w:fldLock="1"/>
      </w:r>
      <w:r w:rsidRPr="00410882">
        <w:instrText>ADDIN CSL_CITATION { "citationItems" : [ { "id" : "ITEM-1", "itemData" : { "DOI" : "10.1016/j.pmrj.2010.05.009", "ISSN" : "19341482", "PMID" : "20970759", "abstract" : "OBJECTIVES\\n(1) To compare the odds of competitive employment versus not competitive employment among a group of white, African American, and Hispanic persons with spinal cord injury (SCI) at 1, 5, and 10 years after injury; (2) to examine the changes in the odds of competitive employment versus not competitive employment over time within each racial/ethnic group, and (3) to compare the changes in the odds of competitive employment versus not competitive employment over time between the racial/ethnic groups. \\n\\nDESIGN\\nRetrospective study. \\n\\nSETTING\\nModel SCI systems. \\n\\nPARTICIPANTS\\nA total of 11,090 persons with SCI (7735 whites, 2381 African Americans, and 974 Hispanics), between ages 18 and 55 years, enrolled in the National Spinal Cord Injury Statistical Center database. \\n\\nMAIN OUTCOME MEASURE\\nEmployment status dichotomized as competitively employed versus not competitively employed. \\n\\nRESULTS\\nThe odds of being competitively employed at 1, 5, and 10 years after injury were 1.58, 2.55, and 3.02, times greater for whites than African Americans and 1.71, 1.86, and 1.71, respectively, times greater for whites than Hispanics. At 10 years after injury, the odds of being competitively employed were 1.77 times greater for Hispanics than for African Americans. Persons of all races/ethnicities and with SCI showed significantly greater increases in the odds of being competitively employed versus not competitively employed over time (1-5 years, 1-10 years, 5-10 years after injury); however, whites and Hispanics had greater increases in the odds of competitive employment over time compared with African Americans. \\n\\nCONCLUSIONS\\nRegardless of race, short- and long-term employment outcomes were not favorable for persons with SCI; however, African Americans and Hispanics fared worse in employment outcomes compared with whites. Rehabilitation professionals should work to improve employment outcomes for all individuals with SCI, with special emphasis on addressing specific needs of African Americans and Hispanics.", "author" : [ { "dropping-particle" : "", "family" : "Arango-Lasprilla", "given" : "Juan Carlos", "non-dropping-particle" : "", "parse-names" : false, "suffix" : "" }, { "dropping-particle" : "", "family" : "Ketchum", "given" : "Jessica M.", "non-dropping-particle" : "", "parse-names" : false, "suffix" : "" }, { "dropping-particle" : "", "family" : "Francis", "given" : "Kathryn", "non-dropping-particle" : "", "parse-names" : false, "suffix" : "" }, { "dropping-particle" : "", "family" : "Lewis", "given" : "Allen", "non-dropping-particle" : "", "parse-names" : false, "suffix" : "" }, { "dropping-particle" : "", "family" : "Premuda", "given" : "Paola", "non-dropping-particle" : "", "parse-names" : false, "suffix" : "" }, { "dropping-particle" : "", "family" : "Wehman", "given" : "Paul", "non-dropping-particle" : "", "parse-names" : false, "suffix" : "" }, { "dropping-particle" : "", "family" : "Kreutzer", "given" : "Jeffrey", "non-dropping-particle" : "", "parse-names" : false, "suffix" : "" } ], "container-title" : "PM&amp;R", "id" : "ITEM-1", "issue" : "10", "issued" : { "date-parts" : [ [ "2010" ] ] }, "page" : "901-910", "title" : "Race, Ethnicity, and Employment Outcomes 1, 5, and 10 Years After Spinal Cord Injury: A Longitudinal Analysis", "type" : "article-journal", "volume" : "2" }, "uris" : [ "http://www.mendeley.com/documents/?uuid=a1004c04-8547-4430-bf24-134976f53706" ] }, { "id" : "ITEM-2", "itemData" : { "DOI" : "10.1016/j.apmr.2006.07.254", "ISBN" : "0003-9993", "ISSN" : "00039993", "PMID" : "17023240", "abstract" : "Krause JS, Terza JV. Injury and demographic factors predictive of disparities in earnings after spinal cord injury. Objective: To identify differences in earnings after spinal cord injury (SCI) attributable to demographic factors, injury severity, and education using a regression model that accounts for employment status, conditional earnings (earnings of those employed only), and unconditional earnings (earnings from employment for all participants with $0 recorded for those unemployed). Design: Secondary analysis of cross-sectional survey data. Setting: A midwestern university hospital and a private hospital in the southeastern United States. Participants: Adults with traumatic SCI of at least 2 years duration and under the traditional retirement age of 65 completed mailed surveys (n=615). Interventions: Not applicable. Main Outcome Measures: Conditional and unconditional earnings. Earnings were measured by a single item that grouped earnings into the following 8 categories: (1) less than $10,000, (2) $10,000 to $14,999, (3) $15,000 to 19,999, (4) $20,000 to 24,999, (5) $25,000 to 34,999, (6) $35,000 to 49,999, (7) $50,000 to 74,999, and (8) $75,000 or more. Results: Several factors investigated were significantly associated with employment status (sex, race, age, neurologic level of injury, ambulatory status, years since injury, educational level), but conditional earnings were significantly related to only 3 factors. Higher conditional earnings were obtained by men, non-African Americans, and those with a college degree. Unconditional earnings were significantly higher among those with the following characteristics: male, non-African Americans, age 34 and less, ambulatory, and those who completed some education beyond high school. Conclusions: There are substantial differences in the likelihood of postinjury employment as a function of participant characteristics. These disparities are compounded for women, African Americans, and those with less than a college degree by differences in conditional earnings among those employed. \u00a9 2006 The American Congress of Rehabilitation Medicine and the American Academy of Physical Medicine and Rehabilitation.", "author" : [ { "dropping-particle" : "", "family" : "Krause", "given" : "James S.", "non-dropping-particle" : "", "parse-names" : false, "suffix" : "" }, { "dropping-particle" : "V.", "family" : "Terza", "given" : "Joseph", "non-dropping-particle" : "", "parse-names" : false, "suffix" : "" } ], "container-title" : "Archives of Physical Medicine and Rehabilitation", "id" : "ITEM-2", "issue" : "10", "issued" : { "date-parts" : [ [ "2006" ] ] }, "page" : "1318-1326", "title" : "Injury and Demographic Factors Predictive of Disparities in Earnings After Spinal Cord Injury", "type" : "article-journal", "volume" : "87" }, "uris" : [ "http://www.mendeley.com/documents/?uuid=28ac4dea-132e-46a1-9fc8-83b606956b24" ] }, { "id" : "ITEM-3", "itemData" : { "DOI" : "10.1016/j.apmr.2010.10.041", "ISBN" : "0003-9993", "ISSN" : "00039993", "PMID" : "21353825", "abstract" : "Objective To examine the associations of job acquisition and job retention to secondary conditions, hospitalizations, and nursing home stays for adults with spinal cord injury (SCI). Design Retrospective analysis of longitudinal data from multicenter study. Setting Community setting. Participants Two samples of adults participating in the SCI Model Systems; the first sample consisted of persons who reported being unemployed at follow-up (n=9501); the second sample consisted of those who reported working at follow-up (n=5,150). Interventions Not applicable. Main Outcome Measures Job acquisition (change from not working at 1 anniversary of injury to working at the following data collection) and job retention (maintenance of work between 2 assessment periods). Results Discrete time hazard modeling was used to assess how secondary conditions affect job acquisition. After controlling for the effects of demographic and injury characteristics, hospitalizations within the last 12 months were associated with decreased chance of having obtained employment. Hierarchic logistic regression analyses were used to examine job retention. Hospitalizations and the presence of PUs were associated with lower odds of job retention once demographic and injury characteristics were controlled. Secondary conditions from the previous assessment period were not significantly related to either job acquisition or job retention after the variance from demographic and injury characteristics and current secondary conditions were controlled. Conclusions Hospitalization, as well as a limited number of secondary conditions, were associated with reduced odds of both job acquisition and job retention among adults with SCI. Interventions that can prevent secondary conditions and reduce the need for hospitalizations may be beneficial in improving employment for this population. ?? 2011 American Congress of Rehabilitation Medicine.", "author" : [ { "dropping-particle" : "", "family" : "Meade", "given" : "Michelle A.", "non-dropping-particle" : "", "parse-names" : false, "suffix" : "" }, { "dropping-particle" : "", "family" : "Forchheimer", "given" : "Martin B.", "non-dropping-particle" : "", "parse-names" : false, "suffix" : "" }, { "dropping-particle" : "", "family" : "Krause", "given" : "James S.", "non-dropping-particle" : "", "parse-names" : false, "suffix" : "" }, { "dropping-particle" : "", "family" : "Charlifue", "given" : "Susan", "non-dropping-particle" : "", "parse-names" : false, "suffix" : "" } ], "container-title" : "Archives of Physical Medicine and Rehabilitation", "id" : "ITEM-3", "issue" : "3", "issued" : { "date-parts" : [ [ "2011" ] ] }, "page" : "425-432", "publisher" : "Elsevier Inc.", "title" : "The influence of secondary conditions on job acquisition and retention in adults with spinal cord injury", "type" : "article-journal", "volume" : "92" }, "uris" : [ "http://www.mendeley.com/documents/?uuid=c1367e0f-9928-45e1-95fc-d5961f2daa2f" ] } ], "mendeley" : { "formattedCitation" : "(Arango-Lasprilla et al., 2010; James S. Krause &amp; Terza, 2006; Meade, Forchheimer, Krause, &amp; Charlifue, 2011b)", "plainTextFormattedCitation" : "(Arango-Lasprilla et al., 2010; James S. Krause &amp; Terza, 2006; Meade, Forchheimer, Krause, &amp; Charlifue, 2011b)", "previouslyFormattedCitation" : "(Arango-Lasprilla et al., 2010; James S. Krause &amp; Terza, 2006; Meade, Forchheimer, Krause, &amp; Charlifue, 2011b)" }, "properties" : {  }, "schema" : "https://github.com/citation-style-language/schema/raw/master/csl-citation.json" }</w:instrText>
      </w:r>
      <w:r w:rsidRPr="00410882">
        <w:fldChar w:fldCharType="separate"/>
      </w:r>
      <w:r w:rsidRPr="00410882">
        <w:rPr>
          <w:noProof/>
        </w:rPr>
        <w:t>(Arango-Lasprilla et al., 2010; James S. Krause &amp; Terza, 2006; Meade, Forchheimer, Krause, &amp; Charlifue, 2011b)</w:t>
      </w:r>
      <w:r w:rsidRPr="00410882">
        <w:fldChar w:fldCharType="end"/>
      </w:r>
      <w:r w:rsidRPr="00410882">
        <w:t xml:space="preserve"> Non-Hispanic white and Hispanic participants had comparatively more improvement in self-care and mobility during inpatient rehabilitation compared with non-Hispanic black participants, although these differences disappeared 1 year post-injury </w:t>
      </w:r>
      <w:r w:rsidRPr="00410882">
        <w:fldChar w:fldCharType="begin" w:fldLock="1"/>
      </w:r>
      <w:r w:rsidRPr="00410882">
        <w:instrText>ADDIN CSL_CITATION { "citationItems" : [ { "id" : "ITEM-1", "itemData" : { "DOI" : "10.1016/j.apmr.2014.07.398", "ISBN" : "0003-9993", "ISSN" : "1532821X", "PMID" : "25093999", "abstract" : "Objective To examine racial and ethnic differences in self-care and mobility outcomes for persons with a motor complete, traumatic spinal cord injury (SCI) at discharge and 1-year follow-up.\nDesign Retrospective cohort study.\nSetting Sixteen rehabilitation centers contributing to the Spinal Cord Injury Model Systems (SCIMS) database.\nParticipantsg Adults with traumatic, motor complete SCI (N=1766; American Spinal Injury Association Impairment Scale grade A or B) enrolled in the SCIMS between 2000 and 2011. Selected cases had complete self-reported data on race and ethnicity (non-Hispanic white, non-Hispanic black, or Hispanic) and motor FIM scores assessed at inpatient rehabilitation admission, discharge, and 1-year follow-up.\nInterventions Not applicable.\nMain Outcome Measures Functional outcomes were measured by FIM self-care and mobility scores on a 1 to 7 FIM scale, at discharge and 1-year follow-up.\nResults Multiple regression models stratified by neurologic category and adjusted for sociodemographic and injury characteristics assessed racial and ethnic group differences in FIM self-care and mobility change scores at discharge and 1-year follow-up. At discharge, non-Hispanic black participants with tetraplegia and paraplegia had significantly poorer gains in FIM self-care and mobility scores relative to non-Hispanic white and Hispanic participants. At 1-year follow-up, similar FIM self-care and mobility change scores were found across racial and ethnic groups within each neurologic category.\nConclusions Non-Hispanic white and Hispanic participants had comparatively more improvement in self-care and mobility during inpatient rehabilitation compared with non-Hispanic black participants. At 1-year follow-up, no differences in self-care and mobility outcomes were observed across racial and ethnic groups. Additional research is needed to identify potential modifiable factors that may contribute to racially and ethnically different patterns of functional outcomes observed during inpatient rehabilitation.", "author" : [ { "dropping-particle" : "", "family" : "Fyffe", "given" : "Denise C.", "non-dropping-particle" : "", "parse-names" : false, "suffix" : "" }, { "dropping-particle" : "", "family" : "Deutsch", "given" : "Anne", "non-dropping-particle" : "", "parse-names" : false, "suffix" : "" }, { "dropping-particle" : "", "family" : "Botticello", "given" : "Amanda L.", "non-dropping-particle" : "", "parse-names" : false, "suffix" : "" }, { "dropping-particle" : "", "family" : "Kirshblum", "given" : "Steven", "non-dropping-particle" : "", "parse-names" : false, "suffix" : "" }, { "dropping-particle" : "", "family" : "Ottenbacher", "given" : "Kenneth J.", "non-dropping-particle" : "", "parse-names" : false, "suffix" : "" } ], "container-title" : "Archives of Physical Medicine and Rehabilitation", "id" : "ITEM-1", "issue" : "11", "issued" : { "date-parts" : [ [ "2014" ] ] }, "page" : "2140-2151", "publisher" : "Elsevier\u00a0Ltd", "title" : "Racial and ethnic disparities in functioning at discharge and follow-up among patients with motor complete spinal cord injury", "type" : "article-journal", "volume" : "95" }, "uris" : [ "http://www.mendeley.com/documents/?uuid=9aaad88d-a014-47db-9575-6b347bb8506e" ] } ], "mendeley" : { "formattedCitation" : "(Fyffe, Deutsch, Botticello, Kirshblum, &amp; Ottenbacher, 2014)", "plainTextFormattedCitation" : "(Fyffe, Deutsch, Botticello, Kirshblum, &amp; Ottenbacher, 2014)", "previouslyFormattedCitation" : "(Fyffe, Deutsch, Botticello, Kirshblum, &amp; Ottenbacher, 2014)" }, "properties" : {  }, "schema" : "https://github.com/citation-style-language/schema/raw/master/csl-citation.json" }</w:instrText>
      </w:r>
      <w:r w:rsidRPr="00410882">
        <w:fldChar w:fldCharType="separate"/>
      </w:r>
      <w:r w:rsidRPr="00410882">
        <w:rPr>
          <w:noProof/>
        </w:rPr>
        <w:t>(Fyffe, Deutsch, Botticello, Kirshblum, &amp; Ottenbacher, 2014)</w:t>
      </w:r>
      <w:r w:rsidRPr="00410882">
        <w:fldChar w:fldCharType="end"/>
      </w:r>
      <w:r w:rsidRPr="00410882">
        <w:t xml:space="preserve">  Racial and ethnic minorities are at increased risk for secondary health complications </w:t>
      </w:r>
      <w:r w:rsidRPr="00410882">
        <w:fldChar w:fldCharType="begin" w:fldLock="1"/>
      </w:r>
      <w:r w:rsidRPr="00410882">
        <w:instrText>ADDIN CSL_CITATION { "citationItems" : [ { "id" : "ITEM-1", "itemData" : { "DOI" : "10.1089/neu.2012.2540", "ISSN" : "0897-7151", "PMID" : "23113561", "abstract" : "Spinal Cord Injury (SCI) is an acute trauma to the neural elements resulting in temporary or permanent sensory and motor deficit. Studies have indicated that although 66% of SCI occur in Caucasians, there are a growing number of other racial groups affected by SCI. Furthermore, there has been a lack of research concerning racial disparities in outcomes following SCI. As such, a retrospective analysis using the National Trauma Data Bank (NTDB) from 2000 to 2009 was performed. African Americans, Caucasians, Hispanics, Asians, and Native Americans were included in the study. We calculated adjusted odds ratios (OR) to examine the relationship between racial backgrounds and mortality, length of intensive care unit (ICU) stay, length of hospital stay, in-hospital complications, and patient disposition. Our results showed that significant differences were found in length of hospital stay, with African American and Hispanic populations having longer hospital stays than Caucasian and Asians. For all type complications, African Americans (OR 1.228, confidence interval [CI] 1.11-1.356) and Native Americans (OR 1.618, CI 1.083-2.419) were more likely than Caucasian and Hispanic patients to have in-hospital complications. For disposition status, African Americans (OR 0.844, CI 0.730-0.976) and Asians (OR 0.475, CI 0.297-0.760) were much less likely than Caucasians or Hispanic populations to be discharged to an acute rehabilitation program. The results from this large-scale study (n=18,671) demonstrate a number of racial disparities following SCI at the national level, including rate of complications, length of stay, and disposition to acute rehabilitation centers. This should raise awareness to cultural differences but also serve as an opportunity to reduce gaps in care across ethnicities for this universally life-altering condition.", "author" : [ { "dropping-particle" : "", "family" : "Lad", "given" : "Shivanand P.", "non-dropping-particle" : "", "parse-names" : false, "suffix" : "" }, { "dropping-particle" : "", "family" : "Umeano", "given" : "Odera A.", "non-dropping-particle" : "", "parse-names" : false, "suffix" : "" }, { "dropping-particle" : "", "family" : "Karikari", "given" : "Isaac O.", "non-dropping-particle" : "", "parse-names" : false, "suffix" : "" }, { "dropping-particle" : "", "family" : "Somasundaram", "given" : "Aravind", "non-dropping-particle" : "", "parse-names" : false, "suffix" : "" }, { "dropping-particle" : "", "family" : "Bagley", "given" : "Carlos A.", "non-dropping-particle" : "", "parse-names" : false, "suffix" : "" }, { "dropping-particle" : "", "family" : "Gottfried", "given" : "Oren N.", "non-dropping-particle" : "", "parse-names" : false, "suffix" : "" }, { "dropping-particle" : "", "family" : "Isaacs", "given" : "Robert E.", "non-dropping-particle" : "", "parse-names" : false, "suffix" : "" }, { "dropping-particle" : "", "family" : "Ugiliweneza", "given" : "Beatrice", "non-dropping-particle" : "", "parse-names" : false, "suffix" : "" }, { "dropping-particle" : "", "family" : "Patil", "given" : "Chirag G.", "non-dropping-particle" : "", "parse-names" : false, "suffix" : "" }, { "dropping-particle" : "", "family" : "Huang", "given" : "Kevin", "non-dropping-particle" : "", "parse-names" : false, "suffix" : "" }, { "dropping-particle" : "", "family" : "Boakye", "given" : "Maxwell", "non-dropping-particle" : "", "parse-names" : false, "suffix" : "" } ], "container-title" : "Journal of Neurotrauma", "id" : "ITEM-1", "issue" : "6", "issued" : { "date-parts" : [ [ "2013" ] ] }, "page" : "492-497", "title" : "Racial Disparities in Outcomes after Spinal Cord Injury", "type" : "article-journal", "volume" : "30" }, "uris" : [ "http://www.mendeley.com/documents/?uuid=c521965c-73e6-4c48-9646-c6d72866928e" ] }, { "id" : "ITEM-2", "itemData" : { "DOI" : "10.3233/NRE-2009-0454", "ISBN" : "1053-8135", "ISSN" : "10538135", "PMID" : "19208958", "abstract" : "Objective: To compare the prevalence of pressure ulcer (PU) and barriers to treatment in the event of PU development as a function of race-ethnicity in persons with spinal cord injury (SCI). Methods: Interview data were collected from three rehabilitation hospitals each of which was designated as a model SCI system of care by the United States Department of Education. There were 475 participants with similar portions of each racial-ethnic group (African-American n = 121, American-Indian n = 105, Caucasians n = 127, Hispanics n = 122). Results: The lowest prevalence rates for pressure ulcers were reported by Hispanics followed by Caucasians. Logistic regression revealed racial-ethnic differences in the odds of developing a PU within the past 12 months. Social support and injury severity were also associated with risk of PU while age, gender, years since injury, and education were not. Significant racial-ethnic differences were also observed in 5 of 9 barriers to the treatment of PUs. Conclusion: Results suggest that variability in social support and barriers to treatment may contribute to the racial-ethnic differences in prevalence rates for PU that were observed. Future research in this area could lead to the development of strategies to enhance prevention and treatment targeted at the elimination of any racial-ethnic disparities.", "author" : [ { "dropping-particle" : "", "family" : "Saladin", "given" : "Lisa K.", "non-dropping-particle" : "", "parse-names" : false, "suffix" : "" }, { "dropping-particle" : "", "family" : "Krause", "given" : "James S.", "non-dropping-particle" : "", "parse-names" : false, "suffix" : "" } ], "container-title" : "NeuroRehabilitation", "id" : "ITEM-2", "issue" : "1", "issued" : { "date-parts" : [ [ "2009" ] ] }, "page" : "57-66", "title" : "Pressure ulcer prevalence and barriers to treatment after spinal cord injury: Comparisons of four groups based on race-ethnicity", "type" : "article-journal", "volume" : "24" }, "uris" : [ "http://www.mendeley.com/documents/?uuid=88f3e5f4-652a-4db4-9d44-ed6dccfe77b4" ] }, { "id" : "ITEM-3", "itemData" : { "DOI" : "10.1016/j.apmr.2004.04.027", "ISBN" : "00039993", "ISSN" : "00039993", "PMID" : "15520972", "abstract" : "Cardenas DD, Bryce TN, Shem K, Richards JS, Elhefni H. Gender and minority differences in the pain experience of people with spinal cord injury. Arch Phys Med Rehabil 2004;85:1774-81. Objectives To examine gender and minority differences in the prevalence and severity of pain in people with traumatic-onset spinal cord injury (SCI) during follow-up, and to determine the relation of those differences to demographic characteristics, etiology of injury, and level and extent of the lesion. Design Survey and analysis of cross-sectional data using case-control methodology and multiple regression methods. Setting Model Spinal Cord Injury Systems (MSCIS). Participants A total of 7379 individuals with traumatic-onset SCI from 16 MSCIS entered in the National Spinal Cord Injury Statistical Center database between 1998 and 2002. Interventions Not applicable. Main outcome measures Prevalence and severity of pain as reported in follow-up surveys. Results Pain prevalence remained fairly stable over time, ranging from 81% at 1 year postinjury to 82.7% at 25 years. Pain was no more common in women than in men, nor did pain severity scores differ significantly. However, pain prevalence was significantly lower among nonwhites, although they tended to report a higher average pain severity score when pain was present. Also, people with SCI who were employed when injured, who had more than a high school education, and who were not tetraplegic reported a higher prevalence of pain. Pain interfered with work more often for women and nonwhites during some, but not all, follow-up years, and for those who were not employed at the time of interview, for those whose SCI was caused by violence, for those with paraplegia, and for those with incomplete SCI. Conclusions Pain is a common and significant problem for the majority of people with SCI. It may interfere less frequently with work over time, which suggests that an adaptive process may be occurring. Gender differences in the pain experience did not emerge, but nonwhites tended to have a lower prevalence of pain. If pain was present, nonwhites tended to report more severe pain than did whites. Further research is needed to delineate the possible psychosocial and biomedical causes of these findings. \u00a9 2004 by the American Congress of Rehabilitation Medicine and the American Academy of Physical Medicine and Rehabilitation.", "author" : [ { "dropping-particle" : "", "family" : "Cardenas", "given" : "Diana D.", "non-dropping-particle" : "", "parse-names" : false, "suffix" : "" }, { "dropping-particle" : "", "family" : "Bryce", "given" : "Thomas N.", "non-dropping-particle" : "", "parse-names" : false, "suffix" : "" }, { "dropping-particle" : "", "family" : "Shem", "given" : "Kazuko", "non-dropping-particle" : "", "parse-names" : false, "suffix" : "" }, { "dropping-particle" : "", "family" : "Richards", "given" : "J. Scott", "non-dropping-particle" : "", "parse-names" : false, "suffix" : "" }, { "dropping-particle" : "", "family" : "Elhefni", "given" : "Hanaa", "non-dropping-particle" : "", "parse-names" : false, "suffix" : "" } ], "container-title" : "Archives of Physical Medicine and Rehabilitation", "id" : "ITEM-3", "issue" : "11", "issued" : { "date-parts" : [ [ "2004" ] ] }, "page" : "1774-1781", "title" : "Gender and minority differences in the pain experience of people with spinal cord injury", "type" : "article", "volume" : "85" }, "uris" : [ "http://www.mendeley.com/documents/?uuid=0ab92184-8492-476e-890a-08b72b4ec8bc" ] } ], "mendeley" : { "formattedCitation" : "(Cardenas, Bryce, Shem, Richards, &amp; Elhefni, 2004; Lad et al., 2013; Saladin &amp; Krause, 2009)", "plainTextFormattedCitation" : "(Cardenas, Bryce, Shem, Richards, &amp; Elhefni, 2004; Lad et al., 2013; Saladin &amp; Krause, 2009)", "previouslyFormattedCitation" : "(Cardenas, Bryce, Shem, Richards, &amp; Elhefni, 2004; Lad et al., 2013; Saladin &amp; Krause, 2009)" }, "properties" : {  }, "schema" : "https://github.com/citation-style-language/schema/raw/master/csl-citation.json" }</w:instrText>
      </w:r>
      <w:r w:rsidRPr="00410882">
        <w:fldChar w:fldCharType="separate"/>
      </w:r>
      <w:r w:rsidRPr="00410882">
        <w:rPr>
          <w:noProof/>
        </w:rPr>
        <w:t xml:space="preserve">(Cardenas, Bryce, Shem, </w:t>
      </w:r>
      <w:r w:rsidRPr="00410882">
        <w:rPr>
          <w:noProof/>
        </w:rPr>
        <w:lastRenderedPageBreak/>
        <w:t>Richards, &amp; Elhefni, 2004; Lad et al., 2013; Saladin &amp; Krause, 2009)</w:t>
      </w:r>
      <w:r w:rsidRPr="00410882">
        <w:fldChar w:fldCharType="end"/>
      </w:r>
      <w:r w:rsidRPr="00410882">
        <w:t xml:space="preserve">, psychological distress </w:t>
      </w:r>
      <w:r w:rsidRPr="00410882">
        <w:fldChar w:fldCharType="begin" w:fldLock="1"/>
      </w:r>
      <w:r w:rsidRPr="00410882">
        <w:instrText>ADDIN CSL_CITATION { "citationItems" : [ { "id" : "ITEM-1", "itemData" : { "ISBN" : "1079-0268", "ISSN" : "1079-0268", "PMID" : "16572561", "abstract" : "OBJECTIVE: The purpose of this study was to investigate heath disparities as a function of race and gender and the extent to which socioeconomic factors mediate disparities among participants with spinal cord injury. DESIGN: Survey methodology. Cross-sectional data. SETTING: A large Southeastern specialty hospital. PARTICIPANTS: There were 1342 participants in the current analysis, all of whom were identified from patient records. There were 3 inclusion criteria: (a) traumatic SCI, (b) at least 18 years of age at the time of study, and (c) injury duration of more than 1 year. MAIN OUTCOME MEASURES: Six outcomes were measured, including 3 general outcomes (self-ratings, days impacted by poor health, days impacted by poor mental health) and 3 that reflect utilization of services (hospitalizations, days hospitalized, and nonroutine physician visits in the past 2 years). Results: Results of multivariate analysis of variance (MANOVA) indicated significant main effects for both race and gender. Follow-up tests identified racial disparities on 3 of the 6 outcomes, whereas gender disparities were observed for a single outcome. Years of education and household income mediated interrelationships between race and health (but not gender) as racial disparities disappeared after consideration of these factors. CONCLUSIONS: These findings suggest the need to work more diligently to promote better health outcomes among African Americans and to further investigate how socioeconomic factors and access to health care related to diminished health outcomes among African Americans with spinal cord injury.", "author" : [ { "dropping-particle" : "", "family" : "Krause", "given" : "James S", "non-dropping-particle" : "", "parse-names" : false, "suffix" : "" }, { "dropping-particle" : "", "family" : "Broderick", "given" : "Lynne E", "non-dropping-particle" : "", "parse-names" : false, "suffix" : "" }, { "dropping-particle" : "", "family" : "Saladin", "given" : "Lisa K", "non-dropping-particle" : "", "parse-names" : false, "suffix" : "" }, { "dropping-particle" : "", "family" : "Broyles", "given" : "Joy", "non-dropping-particle" : "", "parse-names" : false, "suffix" : "" } ], "container-title" : "The journal of spinal cord medicine", "id" : "ITEM-1", "issue" : "5", "issued" : { "date-parts" : [ [ "2006" ] ] }, "page" : "17-25", "title" : "Racial disparities in health outcomes after spinal cord injury: mediating effects of education and income.", "type" : "article-journal", "volume" : "29" }, "uris" : [ "http://www.mendeley.com/documents/?uuid=380db5ba-0e31-4052-8114-8bfe4bf953ee" ] }, { "id" : "ITEM-2", "itemData" : { "DOI" : "10.3233/NRE-2009-0453", "ISBN" : "1053-8135 (Print)\\r1053-8135 (Linking)", "ISSN" : "10538135", "PMID" : "19208957", "abstract" : "OBJECTIVE: To identify disparities and changes in subjective well-being, participation, and health over a 6-year period as a function of race-ethnicity and gender in persons with spinal cord injury (SCI). METHODS: Stratified sampling was used to maximize inclusion of women and racial-ethnic minorities. Three model SCI systems participated, representing the Southeastern, Western, and Mountain regions of the United States. 250 participants completed measures on two occasions. Similar portions of Caucasians (n = 62), African-Americans (n = 61), American-Indians (n = 56), and Hispanics (n = 71) participated. Women made up approximately 43.1% of the sample. Three sets of outcome measures assessed: (a) subjective well-being and depressive symptoms, (b) participation, and (c) health. RESULTS: MANOVA indicated significant effects for race-ethnicity (between subjects effect) and time (within subjects effect) but not for gender or the interaction effects. A Bonferroni correction was used to compare outcomes as a function of race-ethnicity and time. Five outcomes were significantly related to race-ethnicity, whereas no items were significantly related to the time effect after the Bonferroni correction. Caucasians reported best subjective well-being scores in several domains followed by African-Americans. Caucasians also reported more hours out of bed than either African-Americans or Hispanics. CONCLUSION: Over a 6-year period, race-ethnicity continued to be related to differences in subjective well-being and participation but not health. Disparities in outcomes did not systematically increase or diminish over time, suggesting that once developed, such disparities are unlikely to change in the absence of intervention.", "author" : [ { "dropping-particle" : "", "family" : "Krause", "given" : "James S.", "non-dropping-particle" : "", "parse-names" : false, "suffix" : "" }, { "dropping-particle" : "", "family" : "Saladin", "given" : "Lisa K.", "non-dropping-particle" : "", "parse-names" : false, "suffix" : "" }, { "dropping-particle" : "", "family" : "Adkins", "given" : "Rodney H.", "non-dropping-particle" : "", "parse-names" : false, "suffix" : "" } ], "container-title" : "NeuroRehabilitation", "id" : "ITEM-2", "issue" : "1", "issued" : { "date-parts" : [ [ "2009" ] ] }, "page" : "47-56", "title" : "Disparities in subjective well-being, participation, and health after spinal cord injury: A 6-year longitudinal study", "type" : "article-journal", "volume" : "24" }, "uris" : [ "http://www.mendeley.com/documents/?uuid=38ea84d8-f165-4fc4-84b7-221331480dbe" ] } ], "mendeley" : { "formattedCitation" : "(James S. Krause et al., 2009; James S Krause, Broderick, Saladin, &amp; Broyles, 2006)", "plainTextFormattedCitation" : "(James S. Krause et al., 2009; James S Krause, Broderick, Saladin, &amp; Broyles, 2006)", "previouslyFormattedCitation" : "(James S. Krause et al., 2009; James S Krause, Broderick, Saladin, &amp; Broyles, 2006)" }, "properties" : {  }, "schema" : "https://github.com/citation-style-language/schema/raw/master/csl-citation.json" }</w:instrText>
      </w:r>
      <w:r w:rsidRPr="00410882">
        <w:fldChar w:fldCharType="separate"/>
      </w:r>
      <w:r w:rsidRPr="00410882">
        <w:rPr>
          <w:noProof/>
        </w:rPr>
        <w:t>(James S. Krause et al., 2009; James S Krause, Broderick, Saladin, &amp; Broyles, 2006)</w:t>
      </w:r>
      <w:r w:rsidRPr="00410882">
        <w:fldChar w:fldCharType="end"/>
      </w:r>
      <w:r w:rsidRPr="00410882">
        <w:t>, poorer quality of life</w:t>
      </w:r>
      <w:r w:rsidRPr="00410882">
        <w:fldChar w:fldCharType="begin" w:fldLock="1"/>
      </w:r>
      <w:r w:rsidRPr="00410882">
        <w:instrText>ADDIN CSL_CITATION { "citationItems" : [ { "id" : "ITEM-1", "itemData" : { "DOI" : "10.3233/NRE-2009-0453", "ISBN" : "1053-8135 (Print)\\r1053-8135 (Linking)", "ISSN" : "10538135", "PMID" : "19208957", "abstract" : "OBJECTIVE: To identify disparities and changes in subjective well-being, participation, and health over a 6-year period as a function of race-ethnicity and gender in persons with spinal cord injury (SCI). METHODS: Stratified sampling was used to maximize inclusion of women and racial-ethnic minorities. Three model SCI systems participated, representing the Southeastern, Western, and Mountain regions of the United States. 250 participants completed measures on two occasions. Similar portions of Caucasians (n = 62), African-Americans (n = 61), American-Indians (n = 56), and Hispanics (n = 71) participated. Women made up approximately 43.1% of the sample. Three sets of outcome measures assessed: (a) subjective well-being and depressive symptoms, (b) participation, and (c) health. RESULTS: MANOVA indicated significant effects for race-ethnicity (between subjects effect) and time (within subjects effect) but not for gender or the interaction effects. A Bonferroni correction was used to compare outcomes as a function of race-ethnicity and time. Five outcomes were significantly related to race-ethnicity, whereas no items were significantly related to the time effect after the Bonferroni correction. Caucasians reported best subjective well-being scores in several domains followed by African-Americans. Caucasians also reported more hours out of bed than either African-Americans or Hispanics. CONCLUSION: Over a 6-year period, race-ethnicity continued to be related to differences in subjective well-being and participation but not health. Disparities in outcomes did not systematically increase or diminish over time, suggesting that once developed, such disparities are unlikely to change in the absence of intervention.", "author" : [ { "dropping-particle" : "", "family" : "Krause", "given" : "James S.", "non-dropping-particle" : "", "parse-names" : false, "suffix" : "" }, { "dropping-particle" : "", "family" : "Saladin", "given" : "Lisa K.", "non-dropping-particle" : "", "parse-names" : false, "suffix" : "" }, { "dropping-particle" : "", "family" : "Adkins", "given" : "Rodney H.", "non-dropping-particle" : "", "parse-names" : false, "suffix" : "" } ], "container-title" : "NeuroRehabilitation", "id" : "ITEM-1", "issue" : "1", "issued" : { "date-parts" : [ [ "2009" ] ] }, "page" : "47-56", "title" : "Disparities in subjective well-being, participation, and health after spinal cord injury: A 6-year longitudinal study", "type" : "article-journal", "volume" : "24" }, "uris" : [ "http://www.mendeley.com/documents/?uuid=38ea84d8-f165-4fc4-84b7-221331480dbe" ] }, { "id" : "ITEM-2", "itemData" : { "DOI" : "http://dx.doi.org/10.1016/j.apmr.2010.10.007", "ISBN" : "0003-9993", "ISSN" : "0003-9993", "PMID" : "2011116308", "abstract" : "Objective To examine the association of race and cultural factors with quality-of-life factors (participation, life satisfaction, perceived health status) in people with spinal cord injury (SCI). Design Cross-sectional multisite study using structured questionnaires. Setting Six National SCI Model Systems centers. Participants People with SCI (N=275; age &lt;16y; SCI with discernable neurologic impairments; used power or manual wheelchair for &gt;1y as primary means of mobility; nonambulatory except for exercise purposes). Interventions None. Main Outcome Measures Participation (Craig Handicap Assessment and Reporting Technique Short Form); satisfaction (Satisfaction With Life Scale); and perceived health status (2 items from 36-Item Short Form Health Survey). Results African American (n=96) with SCI reported more experiences of discrimination in health care, greater perceived racism, more health care system distrust, and lower health literacy than whites (n=156; P range, &lt;.001&lt;.05). Participants who reported experiencing more discrimination in health care reported better occupational functioning (odds ratio [OR], 1.5; 95% confidence interval [CI], 1.072.09; P&lt;.05). Those who perceived more racism in health care settings reported better occupational functioning (OR, 1.65; 95% CI, 1.122.43; P&lt;.05) and greater perceived health (beta=.36; 95% CI, .05.68; P&lt;.05). Those who reported more distrust in the health care system reported better current health compared with 1 year ago (beta=.38; 95% CI, .06.69; P&lt;.05). Those who reported better communication with their health care provider reported higher levels of mobility (OR, 1.5; 95% CI, 1.052.13; P&lt;.05) and better general health (beta=.27; 95% CI, .01.53; P&lt;.05). Conclusions In this cross-sectional study of people with SCI, higher levels of perceived discrimination and racism and better communication with health care providers were associated with an increase in participation and functioning and improvements in perceptions of well-being. These associations are different from those reported in other study populations and warrant confirmation in future prospective studies. 2011 American Congress of Rehabilitation Medicine.", "author" : [ { "dropping-particle" : "", "family" : "Myaskovsky", "given" : "L", "non-dropping-particle" : "", "parse-names" : false, "suffix" : "" }, { "dropping-particle" : "", "family" : "Burkitt", "given" : "K H", "non-dropping-particle" : "", "parse-names" : false, "suffix" : "" }, { "dropping-particle" : "", "family" : "Lichy", "given" : "A M", "non-dropping-particle" : "", "parse-names" : false, "suffix" : "" }, { "dropping-particle" : "", "family" : "Ljungberg", "given" : "I H", "non-dropping-particle" : "", "parse-names" : false, "suffix" : "" }, { "dropping-particle" : "", "family" : "Fyffe", "given" : "D C", "non-dropping-particle" : "", "parse-names" : false, "suffix" : "" }, { "dropping-particle" : "", "family" : "Ozawa", "given" : "H", "non-dropping-particle" : "", "parse-names" : false, "suffix" : "" }, { "dropping-particle" : "", "family" : "Switzer", "given" : "G E", "non-dropping-particle" : "", "parse-names" : false, "suffix" : "" }, { "dropping-particle" : "", "family" : "Fine", "given" : "M J", "non-dropping-particle" : "", "parse-names" : false, "suffix" : "" }, { "dropping-particle" : "", "family" : "Boninger", "given" : "M L", "non-dropping-particle" : "", "parse-names" : false, "suffix" : "" } ], "container-title" : "Archives of Physical Medicine and Rehabilitation", "id" : "ITEM-2", "issue" : "3", "issued" : { "date-parts" : [ [ "2011" ] ] }, "page" : "441-448", "title" : "The association of race, cultural factors, and health-related quality of life in persons with spinal cord injury", "type" : "article-journal", "volume" : "92" }, "uris" : [ "http://www.mendeley.com/documents/?uuid=b49760aa-55d5-454f-9c0d-bcb05307ff66" ] } ], "mendeley" : { "formattedCitation" : "(James S. Krause et al., 2009; Myaskovsky et al., 2011)", "plainTextFormattedCitation" : "(James S. Krause et al., 2009; Myaskovsky et al., 2011)", "previouslyFormattedCitation" : "(James S. Krause et al., 2009; Myaskovsky et al., 2011)" }, "properties" : {  }, "schema" : "https://github.com/citation-style-language/schema/raw/master/csl-citation.json" }</w:instrText>
      </w:r>
      <w:r w:rsidRPr="00410882">
        <w:fldChar w:fldCharType="separate"/>
      </w:r>
      <w:r w:rsidRPr="00410882">
        <w:rPr>
          <w:noProof/>
        </w:rPr>
        <w:t>(James S. Krause et al., 2009; Myaskovsky et al., 2011)</w:t>
      </w:r>
      <w:r w:rsidRPr="00410882">
        <w:fldChar w:fldCharType="end"/>
      </w:r>
      <w:r w:rsidRPr="00410882">
        <w:t xml:space="preserve"> and poorer wheel chair quality.</w:t>
      </w:r>
      <w:r w:rsidRPr="00410882">
        <w:fldChar w:fldCharType="begin" w:fldLock="1"/>
      </w:r>
      <w:r w:rsidRPr="00410882">
        <w:instrText>ADDIN CSL_CITATION { "citationItems" : [ { "id" : "ITEM-1", "itemData" : { "DOI" : "10.1016/j.apmr.2004.07.347", "ISBN" : "0003-9993", "ISSN" : "00039993", "PMID" : "15520982", "abstract" : "Hunt PC, Boninger ML, Cooper RA, Zafonte RD, Fitzgerald SG, Schmeler MR. Demographic and socioeconomic factors associated with disparity in wheelchair customizability among people with traumatic spinal cord injury. Arch Phys Med Rehabil 2004;85:1859-64. To determine if a standard of care for wheelchair provision exists within the participating centers and if there is disparity in wheelchair customizability among the study sample. Convenience sample survey. Thirteen Model Spinal Cord Injury Systems that provide comprehensive rehabilitation for people with traumatic spinal cord injury (SCI) and that are part of the national database funded through the US Department of Education. A total of 412 people with SCI who use wheelchairs over 40 hours a week. Survey information was obtained from subjects via telephone and in-person interviews and from the national database. Collected information included age, race, education, level of injury, and wheelchair funding source. Number and type (manual or power) of wheelchairs. Wheelchair customizability as defined by design features (eg, adjustable axle position, programmable controls). Ninety-seven percent of manual wheelchair users and 54% of power wheelchair users had customizable wheelchairs. No power wheelchair user received a wheelchair without programmable controls. Minorities with low socioeconomic backgrounds (low income, Medicaid/Medicare recipients, less educated) were more likely to have standard manual and standard programmable power wheelchairs. Older subjects were also more likely to have standard programmable power wheelchairs. The standard of care for manual wheelchair users with SCI is a lightweight and customizable wheelchair. The standard of care for power wheelchairs users has programmable controls. Unfortunately, socioeconomically disadvantaged people were less likely to receive customizable wheelchairs. \u00a9 2004 by the American Congress of Rehabilitation Medicine and the American Academy of Physical Medicine and Rehabilitation.", "author" : [ { "dropping-particle" : "", "family" : "Hunt", "given" : "Peter Cody", "non-dropping-particle" : "", "parse-names" : false, "suffix" : "" }, { "dropping-particle" : "", "family" : "Boninger", "given" : "Michael L.", "non-dropping-particle" : "", "parse-names" : false, "suffix" : "" }, { "dropping-particle" : "", "family" : "Cooper", "given" : "Rory A.", "non-dropping-particle" : "", "parse-names" : false, "suffix" : "" }, { "dropping-particle" : "", "family" : "Zafonte", "given" : "Ross D.", "non-dropping-particle" : "", "parse-names" : false, "suffix" : "" }, { "dropping-particle" : "", "family" : "Fitzgerald", "given" : "Shirley G.", "non-dropping-particle" : "", "parse-names" : false, "suffix" : "" }, { "dropping-particle" : "", "family" : "Schmeler", "given" : "Mark R.", "non-dropping-particle" : "", "parse-names" : false, "suffix" : "" } ], "container-title" : "Archives of Physical Medicine and Rehabilitation", "id" : "ITEM-1", "issue" : "11", "issued" : { "date-parts" : [ [ "2004" ] ] }, "page" : "1859-1864", "title" : "Demographic and socioeconomic factors associated with disparity in wheelchair customizability among people with traumatic spinal cord injury", "type" : "article", "volume" : "85" }, "uris" : [ "http://www.mendeley.com/documents/?uuid=ad884034-444f-4fdb-be19-7fdfc92d6ceb" ] } ], "mendeley" : { "formattedCitation" : "(Hunt et al., 2004)", "plainTextFormattedCitation" : "(Hunt et al., 2004)", "previouslyFormattedCitation" : "(Hunt et al., 2004)" }, "properties" : {  }, "schema" : "https://github.com/citation-style-language/schema/raw/master/csl-citation.json" }</w:instrText>
      </w:r>
      <w:r w:rsidRPr="00410882">
        <w:fldChar w:fldCharType="separate"/>
      </w:r>
      <w:r w:rsidRPr="00410882">
        <w:rPr>
          <w:noProof/>
        </w:rPr>
        <w:t>(Hunt et al., 2004)</w:t>
      </w:r>
      <w:r w:rsidRPr="00410882">
        <w:fldChar w:fldCharType="end"/>
      </w:r>
    </w:p>
    <w:p w:rsidR="006F4175" w:rsidRPr="00410882" w:rsidRDefault="006F4175" w:rsidP="006F4175">
      <w:pPr>
        <w:jc w:val="left"/>
      </w:pPr>
      <w:r w:rsidRPr="00410882">
        <w:t>In terms of long term health outcomes, those from racial/ethnic minority backgrounds are more likely to be hospitalized than non-Hispanic white adults for secondary conditions.(J. S. Krause &amp; Saunders, 2009) African Americans also experience longer stays when hospitalized than those of other ethnic backgrounds.</w:t>
      </w:r>
      <w:r w:rsidRPr="00410882">
        <w:fldChar w:fldCharType="begin" w:fldLock="1"/>
      </w:r>
      <w:r w:rsidRPr="00410882">
        <w:instrText>ADDIN CSL_CITATION { "citationItems" : [ { "id" : "ITEM-1", "itemData" : { "DOI" : "10.1016/j.apmr.2014.07.399", "ISBN" : "0003-9993", "ISSN" : "1532821X", "PMID" : "25094001", "abstract" : "Objective To examine the longitudinal effects of race/ethnicity on hospitalization among adults with spinal cord injury (SCI) in the 10-year period after initial injury.\nDesign Retrospective analysis of postinjury hospitalizations among non-Hispanic white, non-Hispanic African American, and Hispanic adults with SCI.\nSetting Community. Data were extracted from the 2011 National Spinal Cord Injury Model Systems database.\nParticipantsg Patients with traumatic SCI (N= 5146; white, 3175; African American, 1396; Hispanic, 575) who received rehabilitation at one of the relevant SCI Model Systems.\nInterventions Not applicable.\nMain Outcome Measures Hospitalization, including rate of hospitalization, number of hospitalizations, and number of days hospitalized during the 12 months before the first-, fifth-, and tenth-year follow-up interviews for the SCI Model Systems.\nResults Significant differences were found in rates of hospitalization at 1 and 5 years postinjury, with participants from Hispanic backgrounds reporting lower rates than either whites or African Americans. At 10 years postinjury, no differences were noted in the rate of hospitalization between racial/ethnic groups; however, compared with whites (P=.011) and Hispanics (P=.051), African Americans with SCI had 13 and 16 more days of hospitalization, respectively. Compared with the first year postinjury, the rate of hospitalization declined over time among whites, African Americans, and Hispanics; however, for African Americans, the number of days hospitalized increased by 12 days (P=.036) at 10 years versus 5 years postinjury.\nConclusions Racial/ethnic variation appears to exist in postinjury hospitalization for individuals with SCI, with Hispanics showing the lowest rates of hospitalization at 1 and 5 years postinjury and African Americans having a significantly higher number of days hospitalized at 10 years postinjury. Potential explanations for these variations are discussed, and recommendations are made for potential changes to policy and clinical care.", "author" : [ { "dropping-particle" : "", "family" : "Mahmoudi", "given" : "Elham", "non-dropping-particle" : "", "parse-names" : false, "suffix" : "" }, { "dropping-particle" : "", "family" : "Meade", "given" : "Michelle A.", "non-dropping-particle" : "", "parse-names" : false, "suffix" : "" }, { "dropping-particle" : "", "family" : "Forchheimer", "given" : "Martin B.", "non-dropping-particle" : "", "parse-names" : false, "suffix" : "" }, { "dropping-particle" : "", "family" : "Fyffe", "given" : "Denise C.", "non-dropping-particle" : "", "parse-names" : false, "suffix" : "" }, { "dropping-particle" : "", "family" : "Krause", "given" : "James S.", "non-dropping-particle" : "", "parse-names" : false, "suffix" : "" }, { "dropping-particle" : "", "family" : "Tate", "given" : "Denise", "non-dropping-particle" : "", "parse-names" : false, "suffix" : "" } ], "container-title" : "Archives of Physical Medicine and Rehabilitation", "id" : "ITEM-1", "issue" : "11", "issued" : { "date-parts" : [ [ "2014" ] ] }, "page" : "2158-2166", "publisher" : "Elsevier\u00a0Ltd", "title" : "Longitudinal analysis of hospitalization after spinal cord injury: Variation based on race and ethnicity", "type" : "article-journal", "volume" : "95" }, "uris" : [ "http://www.mendeley.com/documents/?uuid=532ef223-68d8-4620-a7d3-571d699caf3f" ] } ], "mendeley" : { "formattedCitation" : "(Mahmoudi et al., 2014)", "plainTextFormattedCitation" : "(Mahmoudi et al., 2014)", "previouslyFormattedCitation" : "(Mahmoudi et al., 2014)" }, "properties" : {  }, "schema" : "https://github.com/citation-style-language/schema/raw/master/csl-citation.json" }</w:instrText>
      </w:r>
      <w:r w:rsidRPr="00410882">
        <w:fldChar w:fldCharType="separate"/>
      </w:r>
      <w:r w:rsidRPr="00410882">
        <w:rPr>
          <w:noProof/>
        </w:rPr>
        <w:t>(Mahmoudi et al., 2014)</w:t>
      </w:r>
      <w:r w:rsidRPr="00410882">
        <w:fldChar w:fldCharType="end"/>
      </w:r>
      <w:r w:rsidRPr="00410882">
        <w:t xml:space="preserve"> Non-Hispanic black and Hispanic women with SCI have higher rates of severe pressure ulcers requiring invasive treatment SEC.</w:t>
      </w:r>
      <w:r w:rsidRPr="00410882">
        <w:fldChar w:fldCharType="begin" w:fldLock="1"/>
      </w:r>
      <w:r w:rsidRPr="00410882">
        <w:instrText>ADDIN CSL_CITATION { "citationItems" : [ { "id" : "ITEM-1", "itemData" : { "DOI" : "10.1310/sci1702-01", "ISBN" : "1082-0744", "ISSN" : "1082-0744", "PMID" : "23966760", "abstract" : "There is considerable variation in rehabilitation outcomes within the population of spinal cord-injured individuals across racial and socioeconomic groups. This suggests that the long-term health following spinal cord injury (SCI) is determined, at least in part, by group differences in exposure to advantages and disadvantages among persons living in the community. This article conceptualizes the nature of vulnerability and how increased vulnerability leads to disparities in SCI outcomes. Demographic, socioeconomic, and geographic determinants of adverse outcomes among vulnerable groups are discussed. Finally, a research model that outlines potential processes that elicit vulnerability following SCI and clinical implications is reviewed.", "author" : [ { "dropping-particle" : "", "family" : "Fyffe", "given" : "Denise C", "non-dropping-particle" : "", "parse-names" : false, "suffix" : "" }, { "dropping-particle" : "", "family" : "Botticello", "given" : "Amanda L", "non-dropping-particle" : "", "parse-names" : false, "suffix" : "" }, { "dropping-particle" : "", "family" : "Myaskovsky", "given" : "Larissa", "non-dropping-particle" : "", "parse-names" : false, "suffix" : "" } ], "container-title" : "Topics in spinal cord injury rehabilitation", "id" : "ITEM-1", "issue" : "2", "issued" : { "date-parts" : [ [ "2011" ] ] }, "page" : "1-9", "title" : "Vulnerable Groups Living with Spinal Cord Injury.", "type" : "article-journal", "volume" : "17" }, "uris" : [ "http://www.mendeley.com/documents/?uuid=86e5e831-690b-457c-bd99-f974396d8b90" ] } ], "mendeley" : { "formattedCitation" : "(Fyffe, Botticello, &amp; Myaskovsky, 2011)", "plainTextFormattedCitation" : "(Fyffe, Botticello, &amp; Myaskovsky, 2011)", "previouslyFormattedCitation" : "(Fyffe, Botticello, &amp; Myaskovsky, 2011)" }, "properties" : {  }, "schema" : "https://github.com/citation-style-language/schema/raw/master/csl-citation.json" }</w:instrText>
      </w:r>
      <w:r w:rsidRPr="00410882">
        <w:fldChar w:fldCharType="separate"/>
      </w:r>
      <w:r w:rsidRPr="00410882">
        <w:rPr>
          <w:noProof/>
        </w:rPr>
        <w:t>(Fyffe, Botticello, &amp; Myaskovsky, 2011)</w:t>
      </w:r>
      <w:r w:rsidRPr="00410882">
        <w:fldChar w:fldCharType="end"/>
      </w:r>
      <w:r w:rsidRPr="00410882">
        <w:t xml:space="preserve">  Darker skin pigment may make it more difficult to identify early stages of pressure ulcers, thus reducing preventative care.</w:t>
      </w:r>
      <w:r w:rsidRPr="00410882">
        <w:fldChar w:fldCharType="begin" w:fldLock="1"/>
      </w:r>
      <w:r w:rsidRPr="00410882">
        <w:instrText>ADDIN CSL_CITATION { "citationItems" : [ { "id" : "ITEM-1", "itemData" : { "DOI" : "10.1016/j.apmr.2004.12.023", "ISBN" : "0003-9993", "ISSN" : "00039993", "PMID" : "15954061", "abstract" : "Objective: To examine age-period-duration patterns of the prevalence of pressure ulcers in community-residing people with spinal cord injury (SCI). Design: Multicenter cohort study. Setting: Nine Model Spinal Cord Injury Systems throughout the United States. Participants: People with SCI (N=3361) injured between 1986 and 1995 and followed up thereafter on a yearly basis through 2002. Interventions: Not applicable. Main Outcome Measure: Physician-confirmed pressure ulcers of stage II or greater at the follow-up visits. Results: The multivariable generalized estimating equations model showed a significant trend toward increasing pressure ulcer prevalence in the recent years (1994-2002 vs 1984-1993: odds ratio=1.4; 95% confidence interval, 1.2-1.6) not explained by aging, years since injury, or demographic and clinical factors. The risk of pressure ulcers appeared to be steady during the first 10 years and increased 15 years postinjury. Pressure ulcers were more common among the elderly, men, African Americans, singles, subjects with education less than high school, unemployed, subjects with complete injury, and subjects with history of pressure ulcers, rehospitalization, nursing home stay, and other medical conditions. Injury cause and level had no significant effect. Conclusions: These results highlight the need for research into factors that contribute to the increasing pressure ulcer prevalence. \u00a9 2005 by American Congress of Rehabilitation Medicine and the American Academy of Physical Medicine and Rehabilitation.", "author" : [ { "dropping-particle" : "", "family" : "Chen", "given" : "Yuying", "non-dropping-particle" : "", "parse-names" : false, "suffix" : "" }, { "dropping-particle" : "", "family" : "DeVivo", "given" : "Michael J.", "non-dropping-particle" : "", "parse-names" : false, "suffix" : "" }, { "dropping-particle" : "", "family" : "Jackson", "given" : "Amie B.", "non-dropping-particle" : "", "parse-names" : false, "suffix" : "" } ], "container-title" : "Archives of Physical Medicine and Rehabilitation", "id" : "ITEM-1", "issue" : "6", "issued" : { "date-parts" : [ [ "2005" ] ] }, "page" : "1208-1213", "title" : "Pressure ulcer prevalence in people with spinal cord injury: Age-period-duration effects", "type" : "article-journal", "volume" : "86" }, "uris" : [ "http://www.mendeley.com/documents/?uuid=87c05d14-9554-4858-bee4-48ff3098847f" ] } ], "mendeley" : { "formattedCitation" : "(Chen et al., 2005)", "plainTextFormattedCitation" : "(Chen et al., 2005)", "previouslyFormattedCitation" : "(Chen et al., 2005)" }, "properties" : {  }, "schema" : "https://github.com/citation-style-language/schema/raw/master/csl-citation.json" }</w:instrText>
      </w:r>
      <w:r w:rsidRPr="00410882">
        <w:fldChar w:fldCharType="separate"/>
      </w:r>
      <w:r w:rsidRPr="00410882">
        <w:rPr>
          <w:noProof/>
        </w:rPr>
        <w:t>(Chen et al., 2005)</w:t>
      </w:r>
      <w:r w:rsidRPr="00410882">
        <w:fldChar w:fldCharType="end"/>
      </w:r>
      <w:r w:rsidRPr="00410882">
        <w:t xml:space="preserve"> Differences in SES and access to resources explain the gaps between whites and blacks with respect to secondary complications, </w:t>
      </w:r>
      <w:proofErr w:type="spellStart"/>
      <w:r w:rsidRPr="00410882">
        <w:t>rehospitalization</w:t>
      </w:r>
      <w:proofErr w:type="spellEnd"/>
      <w:r w:rsidRPr="00410882">
        <w:t xml:space="preserve"> and indicators of wellbeing (James S Krause et al., 2006; Saunders, Krause, &amp; Acuna, 2012) This may be due to the fact that they are more likely to be unemployed and unmarried at the time of injury.</w:t>
      </w:r>
      <w:r w:rsidRPr="00410882">
        <w:fldChar w:fldCharType="begin" w:fldLock="1"/>
      </w:r>
      <w:r w:rsidRPr="00410882">
        <w:instrText>ADDIN CSL_CITATION { "citationItems" : [ { "id" : "ITEM-1", "itemData" : { "DOI" : "10.1038/sc.2009.16", "ISBN" : "1362-4393", "ISSN" : "13624393", "PMID" : "19255585", "abstract" : "STUDY DESIGN: Cross-sectional survey.\\n\\nOBJECTIVES: To assess the risk factors associated with hospitalization and the relationship of individual health behaviors with hospitalizations after spinal cord injury (SCI).\\n\\nSETTING: A large specialty hospital in the southeastern USA.\\n\\nMETHODS: Persons with SCI responded (n=1386) to a mail survey assessing various aspects of their health, including health behaviors and number of hospitalizations in the past year. Logistic regression was used to assess the relationships between biographical, injury, educational, and health behavior factors with hospitalization in the past year.\\n\\nRESULTS: Overall, 36.6% of participants were hospitalized on at least one occasion during the earlier year. Two biographical and injury characteristics were associated with hospitalization: race and SCI severity. Specifically, minorities and persons with non-ambulatory high cervical or non-cervical SCI were more likely to be hospitalized. Three behavioral factors were significantly associated with hospitalization after controlling for biographical and injury characteristics. Persons who used prescription medications, those who engaged more in smoking behaviors, and persons who reported more SCI-specific health behaviors were more likely to be hospitalized.\\n\\nCONCLUSION: Specific health behaviors are associated with an increased hospitalization among persons with SCI. Future research is needed to assess the time sequence of these relationships.", "author" : [ { "dropping-particle" : "", "family" : "Krause", "given" : "J. S.", "non-dropping-particle" : "", "parse-names" : false, "suffix" : "" }, { "dropping-particle" : "", "family" : "Saunders", "given" : "L. L.", "non-dropping-particle" : "", "parse-names" : false, "suffix" : "" } ], "container-title" : "Spinal Cord", "id" : "ITEM-1", "issue" : "9", "issued" : { "date-parts" : [ [ "2009" ] ] }, "page" : "692-697", "title" : "Risk of hospitalizations after spinal cord injury: Relationship with biographical, injury, educational, and behavioral factors", "type" : "article-journal", "volume" : "47" }, "uris" : [ "http://www.mendeley.com/documents/?uuid=92c95095-3def-4b14-b25e-4eb75bb3fc7c" ] }, { "id" : "ITEM-2", "itemData" : { "ISBN" : "1079-0268", "ISSN" : "1079-0268", "PMID" : "16572561", "abstract" : "OBJECTIVE: The purpose of this study was to investigate heath disparities as a function of race and gender and the extent to which socioeconomic factors mediate disparities among participants with spinal cord injury. DESIGN: Survey methodology. Cross-sectional data. SETTING: A large Southeastern specialty hospital. PARTICIPANTS: There were 1342 participants in the current analysis, all of whom were identified from patient records. There were 3 inclusion criteria: (a) traumatic SCI, (b) at least 18 years of age at the time of study, and (c) injury duration of more than 1 year. MAIN OUTCOME MEASURES: Six outcomes were measured, including 3 general outcomes (self-ratings, days impacted by poor health, days impacted by poor mental health) and 3 that reflect utilization of services (hospitalizations, days hospitalized, and nonroutine physician visits in the past 2 years). Results: Results of multivariate analysis of variance (MANOVA) indicated significant main effects for both race and gender. Follow-up tests identified racial disparities on 3 of the 6 outcomes, whereas gender disparities were observed for a single outcome. Years of education and household income mediated interrelationships between race and health (but not gender) as racial disparities disappeared after consideration of these factors. CONCLUSIONS: These findings suggest the need to work more diligently to promote better health outcomes among African Americans and to further investigate how socioeconomic factors and access to health care related to diminished health outcomes among African Americans with spinal cord injury.", "author" : [ { "dropping-particle" : "", "family" : "Krause", "given" : "James S", "non-dropping-particle" : "", "parse-names" : false, "suffix" : "" }, { "dropping-particle" : "", "family" : "Broderick", "given" : "Lynne E", "non-dropping-particle" : "", "parse-names" : false, "suffix" : "" }, { "dropping-particle" : "", "family" : "Saladin", "given" : "Lisa K", "non-dropping-particle" : "", "parse-names" : false, "suffix" : "" }, { "dropping-particle" : "", "family" : "Broyles", "given" : "Joy", "non-dropping-particle" : "", "parse-names" : false, "suffix" : "" } ], "container-title" : "The journal of spinal cord medicine", "id" : "ITEM-2", "issue" : "5", "issued" : { "date-parts" : [ [ "2006" ] ] }, "page" : "17-25", "title" : "Racial disparities in health outcomes after spinal cord injury: mediating effects of education and income.", "type" : "article-journal", "volume" : "29" }, "uris" : [ "http://www.mendeley.com/documents/?uuid=380db5ba-0e31-4052-8114-8bfe4bf953ee" ] } ], "mendeley" : { "formattedCitation" : "(J. S. Krause &amp; Saunders, 2009; James S Krause et al., 2006)", "plainTextFormattedCitation" : "(J. S. Krause &amp; Saunders, 2009; James S Krause et al., 2006)", "previouslyFormattedCitation" : "(J. S. Krause &amp; Saunders, 2009; James S Krause et al., 2006)" }, "properties" : {  }, "schema" : "https://github.com/citation-style-language/schema/raw/master/csl-citation.json" }</w:instrText>
      </w:r>
      <w:r w:rsidRPr="00410882">
        <w:fldChar w:fldCharType="separate"/>
      </w:r>
      <w:r w:rsidRPr="00410882">
        <w:rPr>
          <w:noProof/>
        </w:rPr>
        <w:t>(J. S. Krause &amp; Saunders, 2009; James S Krause et al., 2006)</w:t>
      </w:r>
      <w:r w:rsidRPr="00410882">
        <w:fldChar w:fldCharType="end"/>
      </w:r>
      <w:r w:rsidRPr="00410882">
        <w:t xml:space="preserve">  Race is also heavily tied to neighborhood environment. </w:t>
      </w:r>
      <w:r w:rsidRPr="00410882">
        <w:fldChar w:fldCharType="begin" w:fldLock="1"/>
      </w:r>
      <w:r w:rsidRPr="00410882">
        <w:instrText>ADDIN CSL_CITATION { "citationItems" : [ { "id" : "ITEM-1", "itemData" : { "DOI" : "10.1111/j.1749-6632.2009.05333.x", "ISBN" : "9781573317702", "ISSN" : "00778923", "PMID" : "20201871", "abstract" : "Features of neighborhoods or residential environments may affect health and contribute to social and race/ethnic inequalities in health. The study of neighborhood health effects has grown exponentially over the past 15 years. This chapter summarizes key work in this area with a particular focus on chronic disease outcomes (specifically obesity and related risk factors) and mental health (specifically depression and depressive symptoms). Empirical work is classified into two main eras: studies that use census proxies and studies that directly measure neighborhood attributes using a variety of approaches. Key conceptual and methodological challenges in studying neighborhood health effects are reviewed. Existing gaps in knowledge and promising new directions in the field are highlighted. [ABSTRACT FROM AUTHOR]Copyright of Annals of the New York Academy of Sciences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"V", "family" : "Diez Roux", "given" : "Ana", "non-dropping-particle" : "", "parse-names" : false, "suffix" : "" }, { "dropping-particle" : "", "family" : "Mair", "given" : "Christina", "non-dropping-particle" : "", "parse-names" : false, "suffix" : "" }, { "dropping-particle" : "", "family" : "Roux", "given" : "Ana V Diez", "non-dropping-particle" : "", "parse-names" : false, "suffix" : "" }, { "dropping-particle" : "", "family" : "Mair", "given" : "Christina", "non-dropping-particle" : "", "parse-names" : false, "suffix" : "" }, { "dropping-particle" : "V", "family" : "Diez Roux", "given" : "Ana", "non-dropping-particle" : "", "parse-names" : false, "suffix" : "" }, { "dropping-particle" : "", "family" : "Mair", "given" : "Christina", "non-dropping-particle" : "", "parse-names" : false, "suffix" : "" } ], "container-title" : "Annals of the New York Academy of Sciences", "id" : "ITEM-1", "issue" : "1", "issued" : { "date-parts" : [ [ "2010" ] ] }, "page" : "125-145", "title" : "Neighborhoods and health", "type" : "article-journal", "volume" : "1186" }, "uris" : [ "http://www.mendeley.com/documents/?uuid=13bee118-15b9-4dda-9306-fef7b7540a7c" ] }, { "id" : "ITEM-2", "itemData" : { "DOI" : "10.1016/S0033-3549(04)50068-7", "ISBN" : "7349360649", "ISSN" : "00333549", "PMID" : "12042604", "abstract" : "Racial residential segregation is a fundamental cause of racial disparities in health. The physical separation of the races by enforced residence in certain areas is an institutional mechanism of racism that was designed to protect whites from social interaction with blacks. Despite the absence of supportive legal statutes, the degree of residential segregation remains extremely high for most African Americans in the United States. The authors review evidence that suggests that segregation is a primary cause of racial differences in socioeconomic status (SES) by determining access to education and employment opportunities. SES in turn remains a fundamental cause of racial differences in health. Segregation also creates conditions inimical to health in the social and physical environment. The authors conclude that effective efforts to eliminate racial disparities in health must seriously confront segregation and its pervasive consequences.", "author" : [ { "dropping-particle" : "", "family" : "Williams", "given" : "David R.", "non-dropping-particle" : "", "parse-names" : false, "suffix" : "" }, { "dropping-particle" : "", "family" : "Collins", "given" : "Chiquita", "non-dropping-particle" : "", "parse-names" : false, "suffix" : "" } ], "container-title" : "Public Health Reports", "id" : "ITEM-2", "issue" : "5", "issued" : { "date-parts" : [ [ "2001" ] ] }, "page" : "404-416", "title" : "Racial residential segregation: A fundamental cause of racial disparities in health", "type" : "article", "volume" : "116" }, "uris" : [ "http://www.mendeley.com/documents/?uuid=298b3125-b1ee-4207-8e66-d30af1a2c247" ] } ], "mendeley" : { "formattedCitation" : "(Diez Roux et al., 2010; Williams &amp; Collins, 2001)", "plainTextFormattedCitation" : "(Diez Roux et al., 2010; Williams &amp; Collins, 2001)", "previouslyFormattedCitation" : "(Diez Roux et al., 2010; Williams &amp; Collins, 2001)" }, "properties" : {  }, "schema" : "https://github.com/citation-style-language/schema/raw/master/csl-citation.json" }</w:instrText>
      </w:r>
      <w:r w:rsidRPr="00410882">
        <w:fldChar w:fldCharType="separate"/>
      </w:r>
      <w:r w:rsidRPr="00410882">
        <w:rPr>
          <w:noProof/>
        </w:rPr>
        <w:t>(Diez Roux et al., 2010; Williams &amp; Collins, 2001)</w:t>
      </w:r>
      <w:r w:rsidRPr="00410882">
        <w:fldChar w:fldCharType="end"/>
      </w:r>
      <w:r w:rsidRPr="00410882">
        <w:t xml:space="preserve"> Racial minority groups had lower community participation relative to whites, suggesting poorer community integration and may result in inequalities in health, disability and quality of life. (</w:t>
      </w:r>
      <w:proofErr w:type="spellStart"/>
      <w:r w:rsidRPr="00410882">
        <w:t>Botticello</w:t>
      </w:r>
      <w:proofErr w:type="spellEnd"/>
      <w:r w:rsidRPr="00410882">
        <w:t xml:space="preserve"> et al., 2016)</w:t>
      </w:r>
    </w:p>
    <w:p w:rsidR="006F4175" w:rsidRPr="00410882" w:rsidRDefault="006F4175" w:rsidP="006F4175">
      <w:pPr>
        <w:jc w:val="left"/>
      </w:pPr>
      <w:r w:rsidRPr="00410882">
        <w:t xml:space="preserve">Communities play a large role in successful rehabilitation for those with SCI -- community stratification is associated with diminished well-being for persons </w:t>
      </w:r>
      <w:r w:rsidRPr="00410882">
        <w:fldChar w:fldCharType="begin" w:fldLock="1"/>
      </w:r>
      <w:r w:rsidRPr="00410882">
        <w:instrText>ADDIN CSL_CITATION { "citationItems" : [ { "id" : "ITEM-1", "itemData" : { "DOI" : "10.1016/j.apmr.2010.08.028", "ISBN" : "0000000000000", "ISSN" : "1532-821X", "PMID" : "21353828", "abstract" : "OBJECTIVE To assess the influence of community-level socioeconomic status (SES) and urban composition on well-being after spinal cord injury (SCI) rehabilitation. DESIGN Retrospective analysis of cross-sectional survey data. SETTING Two participating centers in the SCI Model Systems (SCIMS) program. PARTICIPANTS Persons (N=1454) with traumatic SCI from New Jersey and Alabama enrolled in the SCIMS database in 2000 to 2009. INTERVENTION Not applicable. MAIN OUTCOME MEASURES Dichotomous measures of perceived health (ill vs good health), life satisfaction (dissatisfied vs satisfied), and depressive symptoms (presence of a syndrome vs not) to assess well-being. RESULTS Multilevel logistic regression was used to model community effects on each indicator of well-being. The likelihood of ill health and dissatisfaction with life in people with SCI, but not depressive symptoms, varied across communities. Community SES was related inversely to the odds of reporting ill health. However, the odds for dissatisfaction were higher in persons with SCI living in high SES and urban communities. Associations between community predictors and dissatisfaction with life were sustained after controlling for individual differences in injury severity, SES, and demographics, whereas individual SES was a stronger predictor of ill health than community SES. CONCLUSION This research suggests that community stratification influences the likelihood for diminished well-being for persons with SCI after rehabilitation. Understanding the contribution of communities in long-term outcomes after SCI rehabilitation is needed to inform future interventions aimed at preventing disability in this population.", "author" : [ { "dropping-particle" : "", "family" : "Botticello", "given" : "Amanda L", "non-dropping-particle" : "", "parse-names" : false, "suffix" : "" }, { "dropping-particle" : "", "family" : "Chen", "given" : "Yuying", "non-dropping-particle" : "", "parse-names" : false, "suffix" : "" }, { "dropping-particle" : "", "family" : "Cao", "given" : "Yue", "non-dropping-particle" : "", "parse-names" : false, "suffix" : "" }, { "dropping-particle" : "", "family" : "Tulsky", "given" : "David S", "non-dropping-particle" : "", "parse-names" : false, "suffix" : "" } ], "container-title" : "Archives of physical medicine and rehabilitation", "id" : "ITEM-1", "issue" : "3", "issued" : { "date-parts" : [ [ "2011", "3", "24" ] ] }, "page" : "464-71", "title" : "Do communities matter after rehabilitation? The effect of socioeconomic and urban stratification on well-being after spinal cord injury.", "type" : "article-journal", "volume" : "92" }, "uris" : [ "http://www.mendeley.com/documents/?uuid=4d24df00-1c6f-4b95-93c7-146220c2d88b" ] } ], "mendeley" : { "formattedCitation" : "(Botticello et al., 2011)", "plainTextFormattedCitation" : "(Botticello et al., 2011)", "previouslyFormattedCitation" : "(Botticello et al., 2011)" }, "properties" : {  }, "schema" : "https://github.com/citation-style-language/schema/raw/master/csl-citation.json" }</w:instrText>
      </w:r>
      <w:r w:rsidRPr="00410882">
        <w:fldChar w:fldCharType="separate"/>
      </w:r>
      <w:r w:rsidRPr="00410882">
        <w:rPr>
          <w:noProof/>
        </w:rPr>
        <w:t>(Botticello et al., 2011)</w:t>
      </w:r>
      <w:r w:rsidRPr="00410882">
        <w:fldChar w:fldCharType="end"/>
      </w:r>
      <w:r w:rsidRPr="00410882">
        <w:t xml:space="preserve">  Many health indicators, including perceived health </w:t>
      </w:r>
      <w:r w:rsidRPr="00410882">
        <w:fldChar w:fldCharType="begin" w:fldLock="1"/>
      </w:r>
      <w:r w:rsidRPr="00410882">
        <w:instrText>ADDIN CSL_CITATION { "citationItems" : [ { "id" : "ITEM-1", "itemData" : { "DOI" : "10.1007/s11524-006-9082-1", "ISBN" : "1099-3460 (Print)\\r1099-3460 (Linking)", "ISSN" : "10993460", "PMID" : "16810567", "abstract" : "Communities may be rich or poor in a variety of stocks of social capital. Studies that have investigated relations among these forms and their simultaneous and combined health effects are sparse. Using data on a sample of 24,835 adults (more than half of whom resided in core urban areas) nested within 40 U.S. communities from the Social Capital Benchmark Survey, correlational and factor analyses were applied to determine appropriate groupings among eight key social capital indicators (social trust, informal social interactions, formal group involvement, religious group involvement, giving and volunteering, diversity of friendship networks, electoral political participation, and non-electoral political participation) at each of the community and individual levels. Multilevel logistic regression models were estimated to analyze the associations between the grouped social capital forms and individual self-rated health. Adjusting the three identified community-level social capital groupings/scales for one another and community- and individual-level sociodemographic and socioeconomic characteristics, each of the odds ratios of fair/poor health associated with living in a community one standard deviation higher in the respective social capital form was modestly below one. Being high on all three (vs. none of the) scales was significantly associated with 18% lower odds of fair/poor health (odds ratio = 0.82, 95% confidence interval = 0.69-0.98). Adding individual-level social capital variables to the model attenuated two of the three community-level social capital associations, with a few of the former characteristics appearing to be moderately significantly protective of health. We further observed several significant interactions between community-level social capital and one's proximity to core urban areas, individual-level race/ethnicity, gender, and social capital. Overall, our results suggest primarily beneficial yet modest health effects of key summary forms of community social capital, and heterogeneity in some of these effects by urban context and population subgroup.", "author" : [ { "dropping-particle" : "", "family" : "Kim", "given" : "Daniel", "non-dropping-particle" : "", "parse-names" : false, "suffix" : "" }, { "dropping-particle" : "", "family" : "Kawachi", "given" : "Ichiro", "non-dropping-particle" : "", "parse-names" : false, "suffix" : "" } ], "container-title" : "Journal of Urban Health", "id" : "ITEM-1", "issue" : "5", "issued" : { "date-parts" : [ [ "2006" ] ] }, "page" : "813-826", "title" : "A multilevel analysis of key forms of community- and individual-level social capital as predictors of self-rated health in the United States", "type" : "article-journal", "volume" : "83" }, "uris" : [ "http://www.mendeley.com/documents/?uuid=09347a73-d192-46cc-b908-6ea238437acd" ] } ], "mendeley" : { "formattedCitation" : "(Kim &amp; Kawachi, 2006)", "plainTextFormattedCitation" : "(Kim &amp; Kawachi, 2006)", "previouslyFormattedCitation" : "(Kim &amp; Kawachi, 2006)" }, "properties" : {  }, "schema" : "https://github.com/citation-style-language/schema/raw/master/csl-citation.json" }</w:instrText>
      </w:r>
      <w:r w:rsidRPr="00410882">
        <w:fldChar w:fldCharType="separate"/>
      </w:r>
      <w:r w:rsidRPr="00410882">
        <w:rPr>
          <w:noProof/>
        </w:rPr>
        <w:t>(Kim &amp; Kawachi, 2006)</w:t>
      </w:r>
      <w:r w:rsidRPr="00410882">
        <w:fldChar w:fldCharType="end"/>
      </w:r>
      <w:r w:rsidRPr="00410882">
        <w:t xml:space="preserve">, physical disability </w:t>
      </w:r>
      <w:r w:rsidRPr="00410882">
        <w:fldChar w:fldCharType="begin" w:fldLock="1"/>
      </w:r>
      <w:r w:rsidRPr="00410882">
        <w:instrText>ADDIN CSL_CITATION { "citationItems" : [ { "id" : "ITEM-1", "itemData" : { "DOI" : "10.2105/AJPH.2004.054494", "ISBN" : "0090-0036 (Print)\\r0090-0036 (Linking)", "ISSN" : "00900036", "PMID" : "16195520", "abstract" : "The Disablement Process model explicates the transition from health conditions to disability and specifically emphasizes the role of intervening factors that speed up or slow down the pathway between pathology and disability. We used hierarchical Poisson regression analyses with data on older adults from central North Carolina to examine the role of the built environment as a modifying factor in the pathway between lower extremity functional limitations and activities of daily living. We found that, despite declining physical function, older adults report greater independence in instrumental activities when they live in environments with more land-use diversity. Independence in self-care activities is modified by housing density, in part through the effect of substandard and inadequate housing.", "author" : [ { "dropping-particle" : "", "family" : "Clarke", "given" : "Philippa", "non-dropping-particle" : "", "parse-names" : false, "suffix" : "" }, { "dropping-particle" : "", "family" : "George", "given" : "Linda K.", "non-dropping-particle" : "", "parse-names" : false, "suffix" : "" } ], "container-title" : "American Journal of Public Health", "id" : "ITEM-1", "issue" : "11", "issued" : { "date-parts" : [ [ "2005" ] ] }, "page" : "1933-1939", "title" : "The role of the built environment in the disablement process", "type" : "article", "volume" : "95" }, "uris" : [ "http://www.mendeley.com/documents/?uuid=df10552f-8246-4956-b926-dab1b176fc4e" ] }, { "id" : "ITEM-2", "itemData" : { "DOI" : "10.1016/j.socscimed.2008.01.013", "ISBN" : "0277-9536", "ISSN" : "02779536", "PMID" : "18329148", "abstract" : "This paper uses the US Health and Retirement Study to explore linkages between neighborhood conditions and stages of the disablement process among adults aged 55 years and older in the United States. We consider multiple dimensions of the neighborhood including the built environment as well as social and economic conditions. In doing so, we use factor analysis to reduce indicators into eight neighborhood scales, which we incorporate into two-level logistic regression models along with controls for individual-level factors. We find evidence that economic conditions and the built environment, but not social conditions, matter. Neighborhood economic advantage is associated with a reduced risk of lower body limitations for both men and women. We also find for men that neighborhood economic disadvantage is linked to increased chances of reporting personal care limitations, particularly for those aged 55-64 years, and that high connectivity of the built environment is associated with reduced risk of limitations in instrumental activities. Our findings highlight the distinctive benefits of neighborhood economic advantage early in the disablement process. In addition, findings underscore the need for attention in the design and evaluation of disability-prevention efforts to the benefits that accrue from more physically connected communities and to the potential harm that may arise in later life from living in economically disadvantaged areas. \u00a9 2008 Elsevier Ltd. All rights reserved.", "author" : [ { "dropping-particle" : "", "family" : "Freedman", "given" : "Vicki A.", "non-dropping-particle" : "", "parse-names" : false, "suffix" : "" }, { "dropping-particle" : "", "family" : "Grafova", "given" : "Irina B.", "non-dropping-particle" : "", "parse-names" : false, "suffix" : "" }, { "dropping-particle" : "", "family" : "Schoeni", "given" : "Robert F.", "non-dropping-particle" : "", "parse-names" : false, "suffix" : "" }, { "dropping-particle" : "", "family" : "Rogowski", "given" : "Jeannette", "non-dropping-particle" : "", "parse-names" : false, "suffix" : "" } ], "container-title" : "Social Science and Medicine", "id" : "ITEM-2", "issue" : "11", "issued" : { "date-parts" : [ [ "2008" ] ] }, "page" : "2253-2267", "title" : "Neighborhoods and disability in later life", "type" : "article-journal", "volume" : "66" }, "uris" : [ "http://www.mendeley.com/documents/?uuid=c6cf5c34-84eb-42c6-8f36-d5e1fdff779c" ] } ], "mendeley" : { "formattedCitation" : "(Clarke &amp; George, 2005; Freedman, Grafova, Schoeni, &amp; Rogowski, 2008)", "plainTextFormattedCitation" : "(Clarke &amp; George, 2005; Freedman, Grafova, Schoeni, &amp; Rogowski, 2008)", "previouslyFormattedCitation" : "(Clarke &amp; George, 2005; Freedman, Grafova, Schoeni, &amp; Rogowski, 2008)" }, "properties" : {  }, "schema" : "https://github.com/citation-style-language/schema/raw/master/csl-citation.json" }</w:instrText>
      </w:r>
      <w:r w:rsidRPr="00410882">
        <w:fldChar w:fldCharType="separate"/>
      </w:r>
      <w:r w:rsidRPr="00410882">
        <w:rPr>
          <w:noProof/>
        </w:rPr>
        <w:t>(Clarke &amp; George, 2005; Freedman, Grafova, Schoeni, &amp; Rogowski, 2008)</w:t>
      </w:r>
      <w:r w:rsidRPr="00410882">
        <w:fldChar w:fldCharType="end"/>
      </w:r>
      <w:r w:rsidRPr="00410882">
        <w:t xml:space="preserve">, cognitive </w:t>
      </w:r>
      <w:r w:rsidRPr="00410882">
        <w:lastRenderedPageBreak/>
        <w:t xml:space="preserve">impairment </w:t>
      </w:r>
      <w:r w:rsidRPr="00410882">
        <w:fldChar w:fldCharType="begin" w:fldLock="1"/>
      </w:r>
      <w:r w:rsidRPr="00410882">
        <w:instrText>ADDIN CSL_CITATION { "citationItems" : [ { "id" : "ITEM-1", "itemData" : { "DOI" : "10.1093/aje/kwj176", "ISBN" : "0002-9262 (Print)\\r0002-9262 (Linking)", "ISSN" : "00029262", "PMID" : "16707655", "abstract" : "Existing research has not addressed the potential impact of neighborhood context--educational attainment of neighbors in particular--on individual-level cognition among older adults. Using hierarchical linear modeling, the authors analyzed data from the 1993 Study of Assets and Health Dynamics Among the Oldest Old (AHEAD), a large, nationally representative sample of US adults born before 1924. Data from participants residing in urban neighborhoods (n = 3,442) were linked with 1990 US Census tract data. Findings indicate that 1) average cognitive function varies significantly across US Census tracts; 2) older adults living in low-education areas fare less well cognitively than those living in high-education areas, net of individual characteristics, including their own education; 3) this association is sustained when controlling for contextual-level median household income; and 4) the effect of individual-level educational attainment differs across neighborhoods of varying educational profiles. Promoting educational attainment among the general population living in disadvantaged neighborhoods may prove cognitively beneficial to its aging residents because it may lead to meliorations in stressful life conditions and coping deficiencies.", "author" : [ { "dropping-particle" : "", "family" : "Wight", "given" : "Richard G.", "non-dropping-particle" : "", "parse-names" : false, "suffix" : "" }, { "dropping-particle" : "", "family" : "Aneshensel", "given" : "Carol S.", "non-dropping-particle" : "", "parse-names" : false, "suffix" : "" }, { "dropping-particle" : "", "family" : "Miller-Martinez", "given" : "Dana", "non-dropping-particle" : "", "parse-names" : false, "suffix" : "" }, { "dropping-particle" : "", "family" : "Botticello", "given" : "Amanda L.", "non-dropping-particle" : "", "parse-names" : false, "suffix" : "" }, { "dropping-particle" : "", "family" : "Cummings", "given" : "Janet R.", "non-dropping-particle" : "", "parse-names" : false, "suffix" : "" }, { "dropping-particle" : "", "family" : "Karlamangla", "given" : "Arun S.", "non-dropping-particle" : "", "parse-names" : false, "suffix" : "" }, { "dropping-particle" : "", "family" : "Seeman", "given" : "Teresa E.", "non-dropping-particle" : "", "parse-names" : false, "suffix" : "" } ], "container-title" : "American Journal of Epidemiology", "id" : "ITEM-1", "issue" : "12", "issued" : { "date-parts" : [ [ "2006" ] ] }, "page" : "1071-1078", "title" : "Urban neighborhood context, educational attainment, and cognitive function among older adults", "type" : "article-journal", "volume" : "163" }, "uris" : [ "http://www.mendeley.com/documents/?uuid=17d3850f-4e46-4ed3-b9b0-a75cd12d74b8" ] } ], "mendeley" : { "formattedCitation" : "(Wight et al., 2006)", "plainTextFormattedCitation" : "(Wight et al., 2006)", "previouslyFormattedCitation" : "(Wight et al., 2006)" }, "properties" : {  }, "schema" : "https://github.com/citation-style-language/schema/raw/master/csl-citation.json" }</w:instrText>
      </w:r>
      <w:r w:rsidRPr="00410882">
        <w:fldChar w:fldCharType="separate"/>
      </w:r>
      <w:r w:rsidRPr="00410882">
        <w:rPr>
          <w:noProof/>
        </w:rPr>
        <w:t>(Wight et al., 2006)</w:t>
      </w:r>
      <w:r w:rsidRPr="00410882">
        <w:fldChar w:fldCharType="end"/>
      </w:r>
      <w:r w:rsidRPr="00410882">
        <w:t xml:space="preserve"> and emotional distress </w:t>
      </w:r>
      <w:r w:rsidRPr="00410882">
        <w:fldChar w:fldCharType="begin" w:fldLock="1"/>
      </w:r>
      <w:r w:rsidRPr="00410882">
        <w:instrText>ADDIN CSL_CITATION { "citationItems" : [ { "id" : "ITEM-1", "itemData" : { "DOI" : "10.1093/geronb/62.1.S5", "ISBN" : "1079-5014 (Print) 1079-5014 (Linking)", "ISSN" : "1079-5014", "PMID" : "17284567", "abstract" : "OBJECTIVE: This study seeks to determine whether depressive symptoms among older persons systematically vary across urban neighborhoods such that experiencing more symptoms is associated with low socioeconomic status (SES), high concentrations of ethnic minorities, low residential stability and low proportion aged 65 years and older. METHODS: Survey data are from the Study of Assets and Health Dynamics Among the Oldest Old (AHEAD), a 1993 U.S. national probability sample of noninstitutionalized persons born in 1923 or earlier (i.e. people aged 70 or older). Neighborhood data are from the 1990 Census at the tract level. Hierarchical linear regression is used to estimate multilevel models. RESULT: The average number of depressive symptoms varies across Census tracts independent of individual-level characteristics. Symptoms are not significantly associated with neighborhood SES, ethnic composition, or age structure when individual-level characteristics are controlled statistically. However, net of individual-level characteristics, symptoms are positively associated with neighborhood residential stability, pointing to a complex meaning of residential stability for the older population. DISCUSSION: This study shows that apparent neighborhood-level socioeconomic effects on depressive symptoms among urban-dwelling older adults are largely if not entirely compositional in nature. Further, residential stability in the urban neighborhood may not be emotionally beneficial to its aged residents.", "author" : [ { "dropping-particle" : "", "family" : "Aneshensel", "given" : "Carol S", "non-dropping-particle" : "", "parse-names" : false, "suffix" : "" }, { "dropping-particle" : "", "family" : "Wight", "given" : "Richard G", "non-dropping-particle" : "", "parse-names" : false, "suffix" : "" }, { "dropping-particle" : "", "family" : "Miller-Martinez", "given" : "Dana", "non-dropping-particle" : "", "parse-names" : false, "suffix" : "" }, { "dropping-particle" : "", "family" : "Botticello", "given" : "Amanda L", "non-dropping-particle" : "", "parse-names" : false, "suffix" : "" }, { "dropping-particle" : "", "family" : "Karlamangla", "given" : "Arun S", "non-dropping-particle" : "", "parse-names" : false, "suffix" : "" }, { "dropping-particle" : "", "family" : "Seeman", "given" : "Teresa E", "non-dropping-particle" : "", "parse-names" : false, "suffix" : "" } ], "container-title" : "The journals of gerontology. Series B, Psychological sciences and social sciences", "id" : "ITEM-1", "issue" : "1", "issued" : { "date-parts" : [ [ "2007" ] ] }, "page" : "S52-S59", "title" : "Urban neighborhoods and depressive symptoms among older adults.", "type" : "article-journal", "volume" : "62" }, "uris" : [ "http://www.mendeley.com/documents/?uuid=45c1a2f0-21fb-483a-80aa-5d76cbf3308d" ] } ], "mendeley" : { "formattedCitation" : "(Aneshensel et al., 2007)", "plainTextFormattedCitation" : "(Aneshensel et al., 2007)", "previouslyFormattedCitation" : "(Aneshensel et al., 2007)" }, "properties" : {  }, "schema" : "https://github.com/citation-style-language/schema/raw/master/csl-citation.json" }</w:instrText>
      </w:r>
      <w:r w:rsidRPr="00410882">
        <w:fldChar w:fldCharType="separate"/>
      </w:r>
      <w:r w:rsidRPr="00410882">
        <w:rPr>
          <w:noProof/>
        </w:rPr>
        <w:t>(Aneshensel et al., 2007)</w:t>
      </w:r>
      <w:r w:rsidRPr="00410882">
        <w:fldChar w:fldCharType="end"/>
      </w:r>
      <w:r w:rsidRPr="00410882">
        <w:t xml:space="preserve"> vary between communities suggesting the importance of the local community as a critical determinant of health </w:t>
      </w:r>
      <w:r w:rsidRPr="00410882">
        <w:fldChar w:fldCharType="begin" w:fldLock="1"/>
      </w:r>
      <w:r w:rsidRPr="00410882">
        <w:instrText>ADDIN CSL_CITATION { "citationItems" : [ { "id" : "ITEM-1", "itemData" : { "DOI" : "10.1016/j.apmr.2010.08.028", "ISBN" : "0000000000000", "ISSN" : "1532-821X", "PMID" : "21353828", "abstract" : "OBJECTIVE To assess the influence of community-level socioeconomic status (SES) and urban composition on well-being after spinal cord injury (SCI) rehabilitation. DESIGN Retrospective analysis of cross-sectional survey data. SETTING Two participating centers in the SCI Model Systems (SCIMS) program. PARTICIPANTS Persons (N=1454) with traumatic SCI from New Jersey and Alabama enrolled in the SCIMS database in 2000 to 2009. INTERVENTION Not applicable. MAIN OUTCOME MEASURES Dichotomous measures of perceived health (ill vs good health), life satisfaction (dissatisfied vs satisfied), and depressive symptoms (presence of a syndrome vs not) to assess well-being. RESULTS Multilevel logistic regression was used to model community effects on each indicator of well-being. The likelihood of ill health and dissatisfaction with life in people with SCI, but not depressive symptoms, varied across communities. Community SES was related inversely to the odds of reporting ill health. However, the odds for dissatisfaction were higher in persons with SCI living in high SES and urban communities. Associations between community predictors and dissatisfaction with life were sustained after controlling for individual differences in injury severity, SES, and demographics, whereas individual SES was a stronger predictor of ill health than community SES. CONCLUSION This research suggests that community stratification influences the likelihood for diminished well-being for persons with SCI after rehabilitation. Understanding the contribution of communities in long-term outcomes after SCI rehabilitation is needed to inform future interventions aimed at preventing disability in this population.", "author" : [ { "dropping-particle" : "", "family" : "Botticello", "given" : "Amanda L", "non-dropping-particle" : "", "parse-names" : false, "suffix" : "" }, { "dropping-particle" : "", "family" : "Chen", "given" : "Yuying", "non-dropping-particle" : "", "parse-names" : false, "suffix" : "" }, { "dropping-particle" : "", "family" : "Cao", "given" : "Yue", "non-dropping-particle" : "", "parse-names" : false, "suffix" : "" }, { "dropping-particle" : "", "family" : "Tulsky", "given" : "David S", "non-dropping-particle" : "", "parse-names" : false, "suffix" : "" } ], "container-title" : "Archives of physical medicine and rehabilitation", "id" : "ITEM-1", "issue" : "3", "issued" : { "date-parts" : [ [ "2011", "3", "24" ] ] }, "page" : "464-71", "title" : "Do communities matter after rehabilitation? The effect of socioeconomic and urban stratification on well-being after spinal cord injury.", "type" : "article-journal", "volume" : "92" }, "uris" : [ "http://www.mendeley.com/documents/?uuid=4d24df00-1c6f-4b95-93c7-146220c2d88b" ] } ], "mendeley" : { "formattedCitation" : "(Botticello et al., 2011)", "plainTextFormattedCitation" : "(Botticello et al., 2011)", "previouslyFormattedCitation" : "(Botticello et al., 2011)" }, "properties" : {  }, "schema" : "https://github.com/citation-style-language/schema/raw/master/csl-citation.json" }</w:instrText>
      </w:r>
      <w:r w:rsidRPr="00410882">
        <w:fldChar w:fldCharType="separate"/>
      </w:r>
      <w:r w:rsidRPr="00410882">
        <w:rPr>
          <w:noProof/>
        </w:rPr>
        <w:t>(Botticello et al., 2011)</w:t>
      </w:r>
      <w:r w:rsidRPr="00410882">
        <w:fldChar w:fldCharType="end"/>
      </w:r>
      <w:r w:rsidRPr="00410882">
        <w:t xml:space="preserve"> </w:t>
      </w:r>
      <w:proofErr w:type="spellStart"/>
      <w:r w:rsidRPr="00410882">
        <w:t>Botticello</w:t>
      </w:r>
      <w:proofErr w:type="spellEnd"/>
      <w:r w:rsidRPr="00410882">
        <w:t xml:space="preserve">, </w:t>
      </w:r>
      <w:proofErr w:type="spellStart"/>
      <w:r w:rsidRPr="00410882">
        <w:t>Boninger</w:t>
      </w:r>
      <w:proofErr w:type="spellEnd"/>
      <w:r w:rsidRPr="00410882">
        <w:t xml:space="preserve"> &amp; </w:t>
      </w:r>
      <w:proofErr w:type="spellStart"/>
      <w:r w:rsidRPr="00410882">
        <w:t>Charlifue</w:t>
      </w:r>
      <w:proofErr w:type="spellEnd"/>
      <w:r w:rsidRPr="00410882">
        <w:t xml:space="preserve"> have strongly implicated the role of residential neighborhood characteristics, including ethnic makeup, unemployment and </w:t>
      </w:r>
      <w:proofErr w:type="spellStart"/>
      <w:r w:rsidRPr="00410882">
        <w:t>urbanicity</w:t>
      </w:r>
      <w:proofErr w:type="spellEnd"/>
      <w:r w:rsidRPr="00410882">
        <w:t>, in accounting for large variations in healthcare access.</w:t>
      </w:r>
      <w:r w:rsidRPr="00410882">
        <w:fldChar w:fldCharType="begin" w:fldLock="1"/>
      </w:r>
      <w:r w:rsidRPr="00410882">
        <w:instrText>ADDIN CSL_CITATION { "citationItems" : [ { "id" : "ITEM-1", "itemData" : { "DOI" : "10.1016/j.apmr.2016.04.007", "ISSN" : "1532-821X (Electronic)", "PMID" : "27155293", "abstract" : "OBJECTIVE: To examine the role of residential neighborhood characteristics in accounting for race disparities in participation among a large sample of community-living adults with chronic spinal cord injury (SCI). DESIGN: Secondary analysis of cross-sectional survey data from the national Spinal Cord Injury Model Systems (SCIMS) database linked with national survey and spatial data. SETTING: SCIMS database participants enrolled at 10 collaborating centers active in follow-up between 2000 and 2014. PARTICIPANTS: The sample consisted of persons with SCI (N=6892) in 5441 Census tracts from 50 states and the District of Columbia. INTERVENTION: Not applicable. MAIN OUTCOME MEASURE: The Craig Handicap Assessment and Reporting Technique was used to measure full participation across 4 domains: physical independence, mobility, occupation, and social integration. RESULTS: Racial minority groups had lower odds of reporting full participation relative to whites across all domains, suggesting that blacks and Hispanics are at risk for poorer community reintegration after SCI. Neighborhood characteristics, notably differences in socioeconomic advantage, reduced race group differences in the odds of full occupational and social integration, suggesting that the race disparities in community reintegration after SCI are partially attributable to variation in the economic characteristics of the places where people live. CONCLUSIONS: This investigation suggests that addressing disadvantage at the neighborhood level may modify gaps in community participation after medical rehabilitation and provides further support for the role of the environment in the experience of disability.", "author" : [ { "dropping-particle" : "", "family" : "Botticello", "given" : "Amanda L", "non-dropping-particle" : "", "parse-names" : false, "suffix" : "" }, { "dropping-particle" : "", "family" : "Boninger", "given" : "Mike", "non-dropping-particle" : "", "parse-names" : false, "suffix" : "" }, { "dropping-particle" : "", "family" : "Charlifue", "given" : "Susan", "non-dropping-particle" : "", "parse-names" : false, "suffix" : "" }, { "dropping-particle" : "", "family" : "Chen", "given" : "Yuying", "non-dropping-particle" : "", "parse-names" : false, "suffix" : "" }, { "dropping-particle" : "", "family" : "Fyffe", "given" : "Denise", "non-dropping-particle" : "", "parse-names" : false, "suffix" : "" }, { "dropping-particle" : "", "family" : "Heinemann", "given" : "Allen", "non-dropping-particle" : "", "parse-names" : false, "suffix" : "" }, { "dropping-particle" : "", "family" : "Hoffman", "given" : "Jeanne M", "non-dropping-particle" : "", "parse-names" : false, "suffix" : "" }, { "dropping-particle" : "", "family" : "Jette", "given" : "Alan", "non-dropping-particle" : "", "parse-names" : false, "suffix" : "" }, { "dropping-particle" : "", "family" : "Kalpakjian", "given" : "Claire", "non-dropping-particle" : "", "parse-names" : false, "suffix" : "" }, { "dropping-particle" : "", "family" : "Rohrbach", "given" : "Tanya", "non-dropping-particle" : "", "parse-names" : false, "suffix" : "" } ], "container-title" : "Archives of physical medicine and rehabilitation", "id" : "ITEM-1", "issue" : "10", "issued" : { "date-parts" : [ [ "2016" ] ] }, "page" : "1735-1744", "publisher" : "Elsevier Inc", "title" : "To What Extent Do Neighborhood Differences Mediate Racial Disparities in Participation After Spinal Cord Injury?", "type" : "article-journal", "volume" : "97" }, "uris" : [ "http://www.mendeley.com/documents/?uuid=6ba9f721-b5e1-4211-8a9f-e17acd4ffa80" ] }, { "id" : "ITEM-2", "itemData" : { "DOI" : "10.1016/j.socscimed.2012.06.010", "ISBN" : "6176321972", "ISSN" : "1873-5347", "PMID" : "22818491", "abstract" : "This study investigates the role of area economic characteristics in predicting employment-a key aspect of social participation for adults with physical disabilities-using data from a national registry of persons with spinal cord injury (SCI). SCI results in chronic impairment and most commonly occurs during young adulthood when working is a key aspect of the adult social role. Geocoded data were collected from two of the 14 SCI Model Systems (SCIMS) centers involved in the National SCIMS database and used to link individual-level data with area-level measures extracted from the 2000 US Census. The analysis included participants of working-age (18-64 years) and living in the community (N=1013). Hierarchical generalized linear modeling was used to estimate area-level variation in participation and the relative contribution of area-level economic indicators, adjusted for individual-level health, functioning, and background characteristics. The likelihood of employment for adults with SCI varied by area and was associated with area SES and urbanicity, but not area unemployment. These findings suggest that variation in area economic conditions may affect the feasibility of employment for persons who experience chronic physical disability during adulthood, thus limiting full participation in society.", "author" : [ { "dropping-particle" : "", "family" : "Botticello", "given" : "Amanda L", "non-dropping-particle" : "", "parse-names" : false, "suffix" : "" }, { "dropping-particle" : "", "family" : "Chen", "given" : "Yuying", "non-dropping-particle" : "", "parse-names" : false, "suffix" : "" }, { "dropping-particle" : "", "family" : "Tulsky", "given" : "David S", "non-dropping-particle" : "", "parse-names" : false, "suffix" : "" } ], "container-title" : "Social science &amp; medicine (1982)", "id" : "ITEM-2", "issue" : "8", "issued" : { "date-parts" : [ [ "2012", "10" ] ] }, "page" : "1505-13", "title" : "Geographic variation in participation for physically disabled adults: the contribution of area economic factors to employment after spinal cord injury.", "type" : "article-journal", "volume" : "75" }, "uris" : [ "http://www.mendeley.com/documents/?uuid=59d954ad-f3f1-4316-b638-c67a3f96bff4" ] } ], "mendeley" : { "formattedCitation" : "(Botticello et al., 2016; Botticello, Chen, &amp; Tulsky, 2012)", "plainTextFormattedCitation" : "(Botticello et al., 2016; Botticello, Chen, &amp; Tulsky, 2012)", "previouslyFormattedCitation" : "(Botticello et al., 2016; Botticello, Chen, &amp; Tulsky, 2012)" }, "properties" : {  }, "schema" : "https://github.com/citation-style-language/schema/raw/master/csl-citation.json" }</w:instrText>
      </w:r>
      <w:r w:rsidRPr="00410882">
        <w:fldChar w:fldCharType="separate"/>
      </w:r>
      <w:r w:rsidRPr="00410882">
        <w:rPr>
          <w:noProof/>
        </w:rPr>
        <w:t>(Botticello et al., 2016; Botticello, Chen, &amp; Tulsky, 2012)</w:t>
      </w:r>
      <w:r w:rsidRPr="00410882">
        <w:fldChar w:fldCharType="end"/>
      </w:r>
      <w:r w:rsidRPr="00410882">
        <w:t xml:space="preserve"> Community characteristics also explain the large geographic variation in long-term outcomes in SCI, including perceived health, life satisfaction and depressive symptoms.(</w:t>
      </w:r>
      <w:proofErr w:type="spellStart"/>
      <w:r w:rsidRPr="00410882">
        <w:t>Botticello</w:t>
      </w:r>
      <w:proofErr w:type="spellEnd"/>
      <w:r w:rsidRPr="00410882">
        <w:t xml:space="preserve"> et al., 2011) </w:t>
      </w:r>
    </w:p>
    <w:p w:rsidR="006F4175" w:rsidRPr="00410882" w:rsidRDefault="006F4175" w:rsidP="006F4175">
      <w:pPr>
        <w:jc w:val="left"/>
      </w:pPr>
      <w:r w:rsidRPr="00410882">
        <w:t xml:space="preserve">To partly explain the effect on community composition on geographical differences in health outcomes, </w:t>
      </w:r>
      <w:proofErr w:type="spellStart"/>
      <w:r w:rsidRPr="00410882">
        <w:t>Runciman</w:t>
      </w:r>
      <w:proofErr w:type="spellEnd"/>
      <w:r w:rsidRPr="00410882">
        <w:t xml:space="preserve"> proposed that people make socioeconomic comparisons to people around them, which affects their health (</w:t>
      </w:r>
      <w:proofErr w:type="spellStart"/>
      <w:r w:rsidRPr="00410882">
        <w:t>Runciman</w:t>
      </w:r>
      <w:proofErr w:type="spellEnd"/>
      <w:r w:rsidRPr="00410882">
        <w:t xml:space="preserve">, 1966). </w:t>
      </w:r>
      <w:proofErr w:type="spellStart"/>
      <w:r w:rsidRPr="00410882">
        <w:t>Botticello</w:t>
      </w:r>
      <w:proofErr w:type="spellEnd"/>
      <w:r w:rsidRPr="00410882">
        <w:t xml:space="preserve"> et al. confirmed that differences in SES and urban composition of communities contributed to differences in health outcomes for persons with SCI, and affected perceived health except for depressive symptom. Furthermore, greater accessibility </w:t>
      </w:r>
      <w:r w:rsidRPr="00410882">
        <w:fldChar w:fldCharType="begin" w:fldLock="1"/>
      </w:r>
      <w:r w:rsidRPr="00410882">
        <w:instrText>ADDIN CSL_CITATION { "citationItems" : [ { "id" : "ITEM-1", "itemData" : { "DOI" : "10.1016/S0003-9993(99)90264-2", "ISBN" : "0003-9993", "ISSN" : "0003-9993", "PMID" : "10569447", "abstract" : "OBJECTIVE: To determine the potential relation between satisfaction with life after spinal cord injury and access to the environment as measured by selected items from the Craig Handicap Assessment and Reporting Technique (CHART).\\n\\nDESIGN: Prospective, correlational/predictive study using cross-sectional and longitudinal data from 18 Model Spinal Cord Injury Systems of Care.\\n\\nSUBJECTS: Adult persons with traumatic-onset spinal cord injury (n = 650) evaluated at 1 or 2 years postinjury.\\n\\nOUTCOME MEASURE: Satisfaction With Life Scale (SWLS).\\n\\nPREDICTOR VARIABLES: Demographic characteristics, impairment and disability classifications. medical complications, rehabilitation insurance status, occupational status as measured by the CHART Occupation Scale, self-perceived health (from SF-36), and access to the environment as measured by items from the CHART Mobility Scale.\\n\\nRESULTS: Access to the environment was positively and linearly associated with satisfaction with life, demonstrated both positive and negative change over time, and was positively associated with subject's neurologic status. Access to the environment added to the explanatory model to predict life satisfaction even after all other independent measures were accounted for.\\n\\nCONCLUSION: Access to the environment (an \"outside the person\" factor) is important in predicting satisfaction with life for persons with spinal cord injury. The measure of access to the environment developed here is promising and worthy of further exploration and expansion.", "author" : [ { "dropping-particle" : "", "family" : "Richards", "given" : "J S", "non-dropping-particle" : "", "parse-names" : false, "suffix" : "" }, { "dropping-particle" : "", "family" : "Bombardier", "given" : "C H", "non-dropping-particle" : "", "parse-names" : false, "suffix" : "" }, { "dropping-particle" : "", "family" : "Tate", "given" : "D", "non-dropping-particle" : "", "parse-names" : false, "suffix" : "" }, { "dropping-particle" : "", "family" : "Dijkers", "given" : "M", "non-dropping-particle" : "", "parse-names" : false, "suffix" : "" }, { "dropping-particle" : "", "family" : "Gordon", "given" : "W", "non-dropping-particle" : "", "parse-names" : false, "suffix" : "" }, { "dropping-particle" : "", "family" : "Shewchuk", "given" : "R", "non-dropping-particle" : "", "parse-names" : false, "suffix" : "" }, { "dropping-particle" : "", "family" : "DeVivo", "given" : "M J", "non-dropping-particle" : "", "parse-names" : false, "suffix" : "" } ], "container-title" : "Archives of physical medicine and rehabilitation", "id" : "ITEM-1", "issue" : "11", "issued" : { "date-parts" : [ [ "1999" ] ] }, "page" : "1501-6", "title" : "Access to the environment and life satisfaction after spinal cord injury.", "type" : "article-journal", "volume" : "80" }, "uris" : [ "http://www.mendeley.com/documents/?uuid=a549b7e9-32a1-467b-8d54-f86a6ea8501f" ] } ], "mendeley" : { "formattedCitation" : "(Richards et al., 1999)", "plainTextFormattedCitation" : "(Richards et al., 1999)", "previouslyFormattedCitation" : "(Richards et al., 1999)" }, "properties" : {  }, "schema" : "https://github.com/citation-style-language/schema/raw/master/csl-citation.json" }</w:instrText>
      </w:r>
      <w:r w:rsidRPr="00410882">
        <w:fldChar w:fldCharType="separate"/>
      </w:r>
      <w:r w:rsidRPr="00410882">
        <w:rPr>
          <w:noProof/>
        </w:rPr>
        <w:t>(Richards et al., 1999)</w:t>
      </w:r>
      <w:r w:rsidRPr="00410882">
        <w:fldChar w:fldCharType="end"/>
      </w:r>
      <w:r w:rsidRPr="00410882">
        <w:t xml:space="preserve"> and fewer physical barriers</w:t>
      </w:r>
      <w:r w:rsidRPr="00410882">
        <w:fldChar w:fldCharType="begin" w:fldLock="1"/>
      </w:r>
      <w:r w:rsidRPr="00410882">
        <w:instrText>ADDIN CSL_CITATION { "citationItems" : [ { "id" : "ITEM-1", "itemData" : { "ISSN" : "0003-9993 (Print)", "PMID" : "6696605", "abstract" : "This paper presents results of a study designed to isolate those medical, personal, and environmental factors that best predict a spinal cord injured (SCI) person's ability to live independently following discharge from medical rehabilitation. A formal research model is used to identify the most promising dependent and independent variables. The principal data source is an extensive data file of 111 persons with SCI who were discharged from 10 medical rehabilitation centers across the nation. The two main independent living (IL) outcome variables are (1) a person's ability to live in a less restrictive environment, and (2) a person's ability to live productively--not only in terms of gainful employment but also in terms of other contributions to community and family life. Using multiple regression analysis, the paper reports that approximately 63% of the variance in IL outcome can be explained. The most important predictors of IL outcome are marital status, education, transportation barriers, economic disincentives, and the severity of a person's disability as measured by the Barthel index. All predictors are statistically significant. The paper concludes with implications for medical rehabilitation practice and disability policy.", "author" : [ { "dropping-particle" : "", "family" : "DeJong", "given" : "G", "non-dropping-particle" : "", "parse-names" : false, "suffix" : "" }, { "dropping-particle" : "", "family" : "Branch", "given" : "L G", "non-dropping-particle" : "", "parse-names" : false, "suffix" : "" }, { "dropping-particle" : "", "family" : "Corcoran", "given" : "P J", "non-dropping-particle" : "", "parse-names" : false, "suffix" : "" } ], "container-title" : "Archives of physical medicine and rehabilitation", "id" : "ITEM-1", "issue" : "2", "issued" : { "date-parts" : [ [ "1984" ] ] }, "page" : "66-73", "title" : "Independent living outcomes in spinal cord injury: multivariate analyses.", "type" : "article-journal", "volume" : "65" }, "uris" : [ "http://www.mendeley.com/documents/?uuid=3606fff5-a7dd-4c34-8e44-029903d4d8e5" ] }, { "id" : "ITEM-2", "itemData" : { "DOI" : "10.1016/j.apmr.2004.04.024", "ISBN" : "00039993", "ISSN" : "00039993", "PMID" : "15520974", "abstract" : "Whiteneck G, Meade MA, Dijkers M, Tate DG, Bushnik T, Forchheimer MB. Environmental factors and their role in participation and life satisfaction after spinal cord injury. Arch Phys Med Rehabil 2004;85:1793-803. Objectives To investigate environmental barriers reported by people with spinal cord injury (SCI), and to determine the relative impact of environmental barriers compared with demographic and injury characteristics and activity limitations in predicting variation in participation and life satisfaction. Design Cross-sectional, follow-up survey. Setting Individuals rehabilitated at 16 federally designated Model Spinal Cord Injury Systems of care, now living in the community. Participants People with SCI (N=2726) who completed routine follow-up research interviews between 2000 and 2002. Interventions Not applicable. Main outcome measures The Craig Hospital Inventory of Environmental Factors-Short Form (CHIEF-SF), the Craig Handicap Assessment and Reporting Technique-Short Form, and the Satisfaction With Life Scale. Results The top 5 environmental barriers reported by subjects with SCI, in descending order of importance, were the natural environment, transportation, need for help in the home, availability of health care, and governmental policies. The CHIEF-SF subscales accounted for only 4% or less of the variation in participation; they accounted for 10% of the variation in life satisfaction. Conclusions The inclusion of environmental factors in models of disability was supported, but were found to be more strongly related to life satisfaction than to societal participation. \u00a9 2004 by the American Congress of Rehabilitation Medicine and the American Academy of Physical Medicine and Rehabilitation.", "author" : [ { "dropping-particle" : "", "family" : "Whiteneck", "given" : "Gale", "non-dropping-particle" : "", "parse-names" : false, "suffix" : "" }, { "dropping-particle" : "", "family" : "Meade", "given" : "Michelle A.", "non-dropping-particle" : "", "parse-names" : false, "suffix" : "" }, { "dropping-particle" : "", "family" : "Dijkers", "given" : "Marcel", "non-dropping-particle" : "", "parse-names" : false, "suffix" : "" }, { "dropping-particle" : "", "family" : "Tate", "given" : "Denise G.", "non-dropping-particle" : "", "parse-names" : false, "suffix" : "" }, { "dropping-particle" : "", "family" : "Bushnik", "given" : "Tamara", "non-dropping-particle" : "", "parse-names" : false, "suffix" : "" }, { "dropping-particle" : "", "family" : "Forchheimer", "given" : "Martin B.", "non-dropping-particle" : "", "parse-names" : false, "suffix" : "" } ], "container-title" : "Archives of Physical Medicine and Rehabilitation", "id" : "ITEM-2", "issue" : "11", "issued" : { "date-parts" : [ [ "2004" ] ] }, "page" : "1793-1803", "title" : "Environmental factors and their role in participation and life satisfaction after spinal cord injury", "type" : "article", "volume" : "85" }, "uris" : [ "http://www.mendeley.com/documents/?uuid=1c18c465-4a84-4f0d-a17c-2ef31107bdd9" ] } ], "mendeley" : { "formattedCitation" : "(DeJong, Branch, &amp; Corcoran, 1984; Whiteneck et al., 2004)", "plainTextFormattedCitation" : "(DeJong, Branch, &amp; Corcoran, 1984; Whiteneck et al., 2004)", "previouslyFormattedCitation" : "(DeJong, Branch, &amp; Corcoran, 1984; Whiteneck et al., 2004)" }, "properties" : {  }, "schema" : "https://github.com/citation-style-language/schema/raw/master/csl-citation.json" }</w:instrText>
      </w:r>
      <w:r w:rsidRPr="00410882">
        <w:fldChar w:fldCharType="separate"/>
      </w:r>
      <w:r w:rsidRPr="00410882">
        <w:rPr>
          <w:noProof/>
        </w:rPr>
        <w:t>(DeJong, Branch, &amp; Corcoran, 1984; Whiteneck et al., 2004)</w:t>
      </w:r>
      <w:r w:rsidRPr="00410882">
        <w:fldChar w:fldCharType="end"/>
      </w:r>
      <w:r w:rsidRPr="00410882">
        <w:t xml:space="preserve"> in certain communities predict higher functioning.</w:t>
      </w:r>
      <w:r w:rsidRPr="00410882">
        <w:fldChar w:fldCharType="begin" w:fldLock="1"/>
      </w:r>
      <w:r w:rsidRPr="00410882">
        <w:instrText>ADDIN CSL_CITATION { "citationItems" : [ { "id" : "ITEM-1", "itemData" : { "DOI" : "10.1016/j.apmr.2010.08.028", "ISBN" : "0000000000000", "ISSN" : "1532-821X", "PMID" : "21353828", "abstract" : "OBJECTIVE To assess the influence of community-level socioeconomic status (SES) and urban composition on well-being after spinal cord injury (SCI) rehabilitation. DESIGN Retrospective analysis of cross-sectional survey data. SETTING Two participating centers in the SCI Model Systems (SCIMS) program. PARTICIPANTS Persons (N=1454) with traumatic SCI from New Jersey and Alabama enrolled in the SCIMS database in 2000 to 2009. INTERVENTION Not applicable. MAIN OUTCOME MEASURES Dichotomous measures of perceived health (ill vs good health), life satisfaction (dissatisfied vs satisfied), and depressive symptoms (presence of a syndrome vs not) to assess well-being. RESULTS Multilevel logistic regression was used to model community effects on each indicator of well-being. The likelihood of ill health and dissatisfaction with life in people with SCI, but not depressive symptoms, varied across communities. Community SES was related inversely to the odds of reporting ill health. However, the odds for dissatisfaction were higher in persons with SCI living in high SES and urban communities. Associations between community predictors and dissatisfaction with life were sustained after controlling for individual differences in injury severity, SES, and demographics, whereas individual SES was a stronger predictor of ill health than community SES. CONCLUSION This research suggests that community stratification influences the likelihood for diminished well-being for persons with SCI after rehabilitation. Understanding the contribution of communities in long-term outcomes after SCI rehabilitation is needed to inform future interventions aimed at preventing disability in this population.", "author" : [ { "dropping-particle" : "", "family" : "Botticello", "given" : "Amanda L", "non-dropping-particle" : "", "parse-names" : false, "suffix" : "" }, { "dropping-particle" : "", "family" : "Chen", "given" : "Yuying", "non-dropping-particle" : "", "parse-names" : false, "suffix" : "" }, { "dropping-particle" : "", "family" : "Cao", "given" : "Yue", "non-dropping-particle" : "", "parse-names" : false, "suffix" : "" }, { "dropping-particle" : "", "family" : "Tulsky", "given" : "David S", "non-dropping-particle" : "", "parse-names" : false, "suffix" : "" } ], "container-title" : "Archives of physical medicine and rehabilitation", "id" : "ITEM-1", "issue" : "3", "issued" : { "date-parts" : [ [ "2011", "3", "24" ] ] }, "page" : "464-71", "title" : "Do communities matter after rehabilitation? The effect of socioeconomic and urban stratification on well-being after spinal cord injury.", "type" : "article-journal", "volume" : "92" }, "uris" : [ "http://www.mendeley.com/documents/?uuid=4d24df00-1c6f-4b95-93c7-146220c2d88b" ] } ], "mendeley" : { "formattedCitation" : "(Botticello, Chen, Cao, &amp; Tulsky, 2011)", "plainTextFormattedCitation" : "(Botticello, Chen, Cao, &amp; Tulsky, 2011)", "previouslyFormattedCitation" : "(Botticello, Chen, Cao, &amp; Tulsky, 2011)" }, "properties" : {  }, "schema" : "https://github.com/citation-style-language/schema/raw/master/csl-citation.json" }</w:instrText>
      </w:r>
      <w:r w:rsidRPr="00410882">
        <w:fldChar w:fldCharType="separate"/>
      </w:r>
      <w:r w:rsidRPr="00410882">
        <w:rPr>
          <w:noProof/>
        </w:rPr>
        <w:t>(Botticello, Chen, Cao, &amp; Tulsky, 2011)</w:t>
      </w:r>
      <w:r w:rsidRPr="00410882">
        <w:fldChar w:fldCharType="end"/>
      </w:r>
      <w:r w:rsidRPr="00410882">
        <w:t xml:space="preserve"> Those with lower incomes are more likely to experience greater stress associated with lower status (Pham-</w:t>
      </w:r>
      <w:proofErr w:type="spellStart"/>
      <w:r w:rsidRPr="00410882">
        <w:t>Kanter</w:t>
      </w:r>
      <w:proofErr w:type="spellEnd"/>
      <w:r w:rsidRPr="00410882">
        <w:t>, 2009).  Likewise, those with SCI in urban areas were more likely to report dissatisfaction with life (</w:t>
      </w:r>
      <w:proofErr w:type="spellStart"/>
      <w:r w:rsidRPr="00410882">
        <w:t>Botticello</w:t>
      </w:r>
      <w:proofErr w:type="spellEnd"/>
      <w:r w:rsidRPr="00410882">
        <w:t xml:space="preserve"> et al., 2011)</w:t>
      </w:r>
    </w:p>
    <w:p w:rsidR="006F4175" w:rsidRPr="00410882" w:rsidRDefault="006F4175" w:rsidP="006F4175">
      <w:pPr>
        <w:jc w:val="left"/>
      </w:pPr>
      <w:r w:rsidRPr="00410882">
        <w:t>Rural-living individuals with SCI encounter multiple barriers in seeking care versus their urban-living counterparts. The primary concerns are the lack of timely access to primary and specialized healthcare services and difficulty with transportation, which often results in delayed diagnosis and treatment of preventable conditions.</w:t>
      </w:r>
      <w:r w:rsidRPr="00410882">
        <w:fldChar w:fldCharType="begin" w:fldLock="1"/>
      </w:r>
      <w:r w:rsidRPr="00410882">
        <w:instrText>ADDIN CSL_CITATION { "citationItems" : [ { "id" : "ITEM-1", "itemData" : { "DOI" : "10.3109/09638288.2014.972593", "ISSN" : "1464-5165", "PMID" : "25332089", "abstract" : "Abstract Purpose: To examine the perspectives of persons living with traumatic spinal cord injuries (tSCI) on their access to health and support services. The specific aims were to identify the perceived gaps in access, classify the nature of the perceived gaps and compare differences in perceptions of access between urban and rural participants. Method: Using a descriptive, qualitative approach, semi-structured interviews were conducted with 23 adults living with tSCI, 13 of whom had paraplegia. Ten participants resided in rural areas and 16 were male. Thematic analysis allowed for the identification of patterns, which were then categorized according to the dimensions of access. Results: Opportunities to engage in health-promoting activities through a broad range of health and support services were at times limited, particularly by issues of affordability. In addition to core healthcare services, participants reported the need for complementary therapies, sports and leisure, peer support, equipment and mobility related services. Availability and accessibility of services was limited in some cases for rural participants, although rural residence conferred other valued benefits. Narratives of \"not being heard\" by providers were common. Conclusions: Maintaining health and well-being in people with tSCI demands access to both conventional health care and support services. Implications for Rehabilitation Access to both health and support services are important to maintaining the health and wellness of people with spinal cord injury. People with spinal cord injuries take an active role in coordinating their health, at times assuming various roles to compensate for perceived shortcomings of health care providers. Negotiating balances of power with gatekeepers in the health and insurance sectors was a key function of the coordinating role assumed by people with spinal cord injury. In order to effectively address the needs of this population, a coordinated interdisciplinary out-reach service, which includes peer support, must cross boundaries to engage sectors beyond traditional health care services, such as insurers and wellness providers.", "author" : [ { "dropping-particle" : "", "family" : "Goodridge", "given" : "Donna", "non-dropping-particle" : "", "parse-names" : false, "suffix" : "" }, { "dropping-particle" : "", "family" : "Rogers", "given" : "Marla", "non-dropping-particle" : "", "parse-names" : false, "suffix" : "" }, { "dropping-particle" : "", "family" : "Klassen", "given" : "Laura", "non-dropping-particle" : "", "parse-names" : false, "suffix" : "" }, { "dropping-particle" : "", "family" : "Jeffery", "given" : "Bonnie", "non-dropping-particle" : "", "parse-names" : false, "suffix" : "" }, { "dropping-particle" : "", "family" : "Knox", "given" : "Katherine", "non-dropping-particle" : "", "parse-names" : false, "suffix" : "" }, { "dropping-particle" : "", "family" : "Rohatinsky", "given" : "Noelle", "non-dropping-particle" : "", "parse-names" : false, "suffix" : "" }, { "dropping-particle" : "", "family" : "Linassi", "given" : "Gary", "non-dropping-particle" : "", "parse-names" : false, "suffix" : "" } ], "container-title" : "Disability and Rehabilitation", "id" : "ITEM-1", "issue" : "October", "issued" : { "date-parts" : [ [ "2014" ] ] }, "page" : "1-10", "title" : "Access to health and support services: perspectives of people living with a long-term traumatic spinal cord injury in rural and urban areas.", "type" : "article-journal", "volume" : "8288" }, "uris" : [ "http://www.mendeley.com/documents/?uuid=8ba14522-0255-4878-9068-7c4e27c4db69" ] } ], "mendeley" : { "formattedCitation" : "(Goodridge et al., 2014)", "plainTextFormattedCitation" : "(Goodridge et al., 2014)", "previouslyFormattedCitation" : "(Goodridge et al., 2014)" }, "properties" : {  }, "schema" : "https://github.com/citation-style-language/schema/raw/master/csl-citation.json" }</w:instrText>
      </w:r>
      <w:r w:rsidRPr="00410882">
        <w:fldChar w:fldCharType="separate"/>
      </w:r>
      <w:r w:rsidRPr="00410882">
        <w:rPr>
          <w:noProof/>
        </w:rPr>
        <w:t>(Goodridge et al., 2014)</w:t>
      </w:r>
      <w:r w:rsidRPr="00410882">
        <w:fldChar w:fldCharType="end"/>
      </w:r>
      <w:r w:rsidRPr="00410882">
        <w:t xml:space="preserve"> There is a mismatch </w:t>
      </w:r>
      <w:r w:rsidRPr="00410882">
        <w:lastRenderedPageBreak/>
        <w:t>between geographical location of vocational services for persons with disabilities and areas with large concentrations of persons with disability.</w:t>
      </w:r>
      <w:r w:rsidRPr="00410882">
        <w:fldChar w:fldCharType="begin" w:fldLock="1"/>
      </w:r>
      <w:r w:rsidRPr="00410882">
        <w:instrText>ADDIN CSL_CITATION { "citationItems" : [ { "id" : "ITEM-1", "itemData" : { "abstract" : "Vocational Rehabilitation (VR) services and One-Stop Career Centers (One-Stops) are the 2 principal\\rpublic services intended to increase the employment rates of people with disabilities through employment\\rand training services. As a first step in assessing accessibility of the locations of employment services,\\rthis study compared the location of VRs and One-Stops with areas of high numbers of\\rnonemployment among people with disabilities and high numbers of unemployment in the general\\rpopulation. Using geographic information science and the spatial technique of the Local Indicators of\\rSpatial Association (LISA), we analyzed the locations of the 2 programs and the concentrations of nonemployed\\rpeople with disabilities at national and intrastate scales.We found that areas with high numbers\\rof nonemployed people with disabilities are geographically underserved by both VRs and\\rOne-Stops, which raises questions about site selection and geographic accessibility.", "author" : [ { "dropping-particle" : "", "family" : "Metzel", "given" : "Deborah S", "non-dropping-particle" : "", "parse-names" : false, "suffix" : "" } ], "container-title" : "Journal of Disability Policy Studies", "id" : "ITEM-1", "issue" : "2", "issued" : { "date-parts" : [ [ "2007" ] ] }, "page" : "88-97", "title" : "Locations of Employment Services and People With Disabilities: A Geographical Analysis of Accessibility", "type" : "article-journal", "volume" : "18" }, "uris" : [ "http://www.mendeley.com/documents/?uuid=0c765892-4be3-43dd-b86e-54e38e4da8d6" ] } ], "mendeley" : { "formattedCitation" : "(Metzel, 2007)", "plainTextFormattedCitation" : "(Metzel, 2007)", "previouslyFormattedCitation" : "(Metzel, 2007)" }, "properties" : {  }, "schema" : "https://github.com/citation-style-language/schema/raw/master/csl-citation.json" }</w:instrText>
      </w:r>
      <w:r w:rsidRPr="00410882">
        <w:fldChar w:fldCharType="separate"/>
      </w:r>
      <w:r w:rsidRPr="00410882">
        <w:rPr>
          <w:noProof/>
        </w:rPr>
        <w:t>(Metzel, 2007)</w:t>
      </w:r>
      <w:r w:rsidRPr="00410882">
        <w:fldChar w:fldCharType="end"/>
      </w:r>
      <w:r w:rsidRPr="00410882">
        <w:t xml:space="preserve"> Those with physical and cognitive and physical disabilities living in urban areas receive more vocational services </w:t>
      </w:r>
      <w:r w:rsidRPr="00410882">
        <w:fldChar w:fldCharType="begin" w:fldLock="1"/>
      </w:r>
      <w:r w:rsidRPr="00410882">
        <w:instrText>ADDIN CSL_CITATION { "citationItems" : [ { "id" : "ITEM-1", "itemData" : { "ISBN" : "1053-8135", "ISSN" : "1053-8135", "PMID" : "14530584", "abstract" : "OBJECTIVE: To evaluate differences in demographics, injury severity, and vocational outcomes for persons with TBI based on rural vs. urban residency. PARTICIPANTS: 78 individuals with TBI (28 from rural counties, 50 from urban counties) who requested services from the Missouri Division of Vocational Rehabilitation (VR) over a two year period. MEASURES: Demographics (i.e., age, race, education), injury severity (i.e., loss of consciousness, post traumatic amnesia, length of hospitalization, neuropsychological test scores), VR services provided (e.g., transportation, maintenance, on-the-job training, etc.), and VR outcomes (successfully vs. unsuccessfully employed; cost per case). PROCEDURE: All participants completed a standard neuropsychological evaluation and completed VR services (i.e., were followed from enrollment to case closure). Rural and urban residency was determined using U.S Office of Management and Budget definitions of metropolitan and non-metropolitan areas. ANALYSIS: Chi-squares, Fisher's Exact tests, Wilcoxon Rank Sums test, and MANOVAs. RESULTS: Few if any differences were found between the groups in demographics (i.e., more African Americans in urban areas), injury severity (i.e., more rural residents with multiple TBIs), or neuropsychological test scores. However, individuals from urban areas received significantly more maintenance funds (46% vs. 21%), transportation services (36% vs. 11%), and on-the-job training (28% vs. 7%), and had more spent on them ($1,816 vs $1,242). Although statistically non-significant (p &lt; 0.15), 24% of individuals from urban areas were successfully employed at VR case closure, compared to only 7% of individuals from rural areas. CONCLUSIONS: Individuals with TBI from rural and urban settings have generally similar demographic, injury severity, and neuropsychological abilities, although they appear to differ in terms of vocational outcomes and number of VR services received, possibly related to limited availability of resources in rural areas.", "author" : [ { "dropping-particle" : "", "family" : "Johnstone", "given" : "B", "non-dropping-particle" : "", "parse-names" : false, "suffix" : "" }, { "dropping-particle" : "", "family" : "Price", "given" : "T", "non-dropping-particle" : "", "parse-names" : false, "suffix" : "" }, { "dropping-particle" : "", "family" : "Bounds", "given" : "T", "non-dropping-particle" : "", "parse-names" : false, "suffix" : "" }, { "dropping-particle" : "", "family" : "LH", "given" : "Schopp", "non-dropping-particle" : "", "parse-names" : false, "suffix" : "" }, { "dropping-particle" : "", "family" : "Schootman", "given" : "M", "non-dropping-particle" : "", "parse-names" : false, "suffix" : "" }, { "dropping-particle" : "", "family" : "Schumate", "given" : "D", "non-dropping-particle" : "", "parse-names" : false, "suffix" : "" } ], "container-title" : "NeuroRehabilitation", "id" : "ITEM-1", "issue" : "3 PG  - 197-203", "issued" : { "date-parts" : [ [ "2003" ] ] }, "page" : "197-203", "title" : "Rural/urban differences in vocational outcomes for state vocational rehabilitation clients with TBI.", "type" : "article-journal", "volume" : "18" }, "uris" : [ "http://www.mendeley.com/documents/?uuid=097e2a38-fee0-4fec-9706-75024e1cf037" ] } ], "mendeley" : { "formattedCitation" : "(Johnstone et al., 2003)", "plainTextFormattedCitation" : "(Johnstone et al., 2003)", "previouslyFormattedCitation" : "(Johnstone et al., 2003)" }, "properties" : {  }, "schema" : "https://github.com/citation-style-language/schema/raw/master/csl-citation.json" }</w:instrText>
      </w:r>
      <w:r w:rsidRPr="00410882">
        <w:fldChar w:fldCharType="separate"/>
      </w:r>
      <w:r w:rsidRPr="00410882">
        <w:rPr>
          <w:noProof/>
        </w:rPr>
        <w:t>(Johnstone et al., 2003)</w:t>
      </w:r>
      <w:r w:rsidRPr="00410882">
        <w:fldChar w:fldCharType="end"/>
      </w:r>
      <w:r w:rsidRPr="00410882">
        <w:t xml:space="preserve"> A lack of healthcare practitioners, especially those sufficiently skilled in care for patients with SCI, as well as the shortage of advanced diagnostic and treatment equipment have been noted.(</w:t>
      </w:r>
      <w:proofErr w:type="spellStart"/>
      <w:r w:rsidRPr="00410882">
        <w:t>Goodridge</w:t>
      </w:r>
      <w:proofErr w:type="spellEnd"/>
      <w:r w:rsidRPr="00410882">
        <w:t xml:space="preserve"> et al., 2014; </w:t>
      </w:r>
      <w:proofErr w:type="spellStart"/>
      <w:r w:rsidRPr="00410882">
        <w:t>Lishner</w:t>
      </w:r>
      <w:proofErr w:type="spellEnd"/>
      <w:r w:rsidRPr="00410882">
        <w:t>, Richardson, Levine, &amp; Patrick, 1996) Transportation and the presence of physical and architectural barriers may also prevent readily accessible care</w:t>
      </w:r>
      <w:r w:rsidRPr="00410882">
        <w:fldChar w:fldCharType="begin" w:fldLock="1"/>
      </w:r>
      <w:r w:rsidRPr="00410882">
        <w:instrText>ADDIN CSL_CITATION { "citationItems" : [ { "id" : "ITEM-1", "itemData" : { "DOI" : "10.1310/3502-06MD-F2NK-LBGK", "ISSN" : "10820744", "abstract" : "Despite the Americans with Disabilities Act (ADA), physical, transportation, information, and health care barriers continue to impede full community reintegration for rural-living persons with spinal cord injury (SCI). Lack of a health care policy that recognizes the unique needs of rural populations is particularly problematic. Innovative enterprises, such as AgrAbility, telehealth, and collaborative programs with independent living centers are few but show promise for overcoming obstacles to community reintegration and full participation among people with SCI in rural areas. Rehabilitation professionals can facilitate this process by participating in advocacy efforts, collaborating with state surveillance systems, developing innovative outreach models, and participating in research to identify and remove barriers to community reintegration.", "author" : [ { "dropping-particle" : "", "family" : "Hagglund", "given" : "K J", "non-dropping-particle" : "", "parse-names" : false, "suffix" : "" }, { "dropping-particle" : "", "family" : "Clay", "given" : "D L", "non-dropping-particle" : "", "parse-names" : false, "suffix" : "" }, { "dropping-particle" : "", "family" : "Acuff", "given" : "M", "non-dropping-particle" : "", "parse-names" : false, "suffix" : "" } ], "container-title" : "Topics in Spinal Cord Injury Rehabilitation", "id" : "ITEM-1", "issue" : "2", "issued" : { "date-parts" : [ [ "1998" ] ] }, "page" : "28-40", "title" : "Community reintegration for persons with spinal cord injury living in rural America", "type" : "article-journal", "volume" : "4" }, "uris" : [ "http://www.mendeley.com/documents/?uuid=272bf32d-2ead-48ed-ae1b-4cc1660b4fe8" ] } ], "mendeley" : { "formattedCitation" : "(Hagglund et al., 1998)", "plainTextFormattedCitation" : "(Hagglund et al., 1998)", "previouslyFormattedCitation" : "(Hagglund et al., 1998)" }, "properties" : {  }, "schema" : "https://github.com/citation-style-language/schema/raw/master/csl-citation.json" }</w:instrText>
      </w:r>
      <w:r w:rsidRPr="00410882">
        <w:fldChar w:fldCharType="separate"/>
      </w:r>
      <w:r w:rsidRPr="00410882">
        <w:rPr>
          <w:noProof/>
        </w:rPr>
        <w:t>(Hagglund et al., 1998)</w:t>
      </w:r>
      <w:r w:rsidRPr="00410882">
        <w:fldChar w:fldCharType="end"/>
      </w:r>
      <w:r w:rsidRPr="00410882">
        <w:t>, and difficulty accessing transportation has been predictive of greater number of secondary conditions in persons with high level of SCI.</w:t>
      </w:r>
      <w:r w:rsidRPr="00410882">
        <w:fldChar w:fldCharType="begin" w:fldLock="1"/>
      </w:r>
      <w:r w:rsidRPr="00410882">
        <w:instrText>ADDIN CSL_CITATION { "citationItems" : [ { "id" : "ITEM-1", "itemData" : { "DOI" : "10.1310/JK07-BT4W-0QN6-ELK4", "ISBN" : "1082-0744", "ISSN" : "1082-0744", "abstract" : "A sample of 117 Massachusetts adults with predominately high-level spinal cord injuries (SCIs) report a mean of 6.5 ( &amp;#45 3.0) of 17 secondary conditions in the previous year. Hierarchical multiple regression based on a conceptual framework to examine possible contributing factors shows two independent predictors ( P &amp;#104 .05) of a greater number of secondary conditions: These predictors are more difficulty with instrumental activities of daily living (IADLs) and more difficulty with accessing medical care. In addition, three variables marginally predicted ( P &amp;#104 0.10) more secondary conditions: inadequate access to transportation, tobacco-smoking, and race (white). The findings highlight the importance of IADL difficulty and access to medical care in relation to secondary conditions among adults with SCI", "author" : [ { "dropping-particle" : "", "family" : "Meyers", "given" : "Allan R", "non-dropping-particle" : "", "parse-names" : false, "suffix" : "" }, { "dropping-particle" : "", "family" : "Mitra", "given" : "Monika", "non-dropping-particle" : "", "parse-names" : false, "suffix" : "" }, { "dropping-particle" : "", "family" : "Walker", "given" : "Deborah Klein", "non-dropping-particle" : "", "parse-names" : false, "suffix" : "" }, { "dropping-particle" : "", "family" : "Wilber", "given" : "Nancy", "non-dropping-particle" : "", "parse-names" : false, "suffix" : "" }, { "dropping-particle" : "", "family" : "Allen", "given" : "Deborah", "non-dropping-particle" : "", "parse-names" : false, "suffix" : "" } ], "container-title" : "Topics in Spinal Cord Injury Rehabilitation", "id" : "ITEM-1", "issue" : "1", "issued" : { "date-parts" : [ [ "2000" ] ] }, "page" : "1-8", "title" : "Predictors of secondary conditions in a sample of independently living adults with high-level spinal cord injury", "type" : "article-journal", "volume" : "6" }, "uris" : [ "http://www.mendeley.com/documents/?uuid=1aa037b9-f42f-49a3-afe1-b5d6b2ebae5c" ] } ], "mendeley" : { "formattedCitation" : "(Allan R Meyers, Mitra, Walker, Wilber, &amp; Allen, 2000)", "plainTextFormattedCitation" : "(Allan R Meyers, Mitra, Walker, Wilber, &amp; Allen, 2000)", "previouslyFormattedCitation" : "(Allan R Meyers, Mitra, Walker, Wilber, &amp; Allen, 2000)" }, "properties" : {  }, "schema" : "https://github.com/citation-style-language/schema/raw/master/csl-citation.json" }</w:instrText>
      </w:r>
      <w:r w:rsidRPr="00410882">
        <w:fldChar w:fldCharType="separate"/>
      </w:r>
      <w:r w:rsidRPr="00410882">
        <w:rPr>
          <w:noProof/>
        </w:rPr>
        <w:t>(Allan R Meyers, Mitra, Walker, Wilber, &amp; Allen, 2000)</w:t>
      </w:r>
      <w:r w:rsidRPr="00410882">
        <w:fldChar w:fldCharType="end"/>
      </w:r>
    </w:p>
    <w:p w:rsidR="006F4175" w:rsidRPr="00410882" w:rsidRDefault="006F4175" w:rsidP="006F4175">
      <w:pPr>
        <w:jc w:val="left"/>
      </w:pPr>
      <w:r w:rsidRPr="00410882">
        <w:t xml:space="preserve">In addition to SCI rehabilitate resources, urban areas have more options for employment recreation, transportation and healthcare </w:t>
      </w:r>
      <w:r w:rsidRPr="00410882">
        <w:fldChar w:fldCharType="begin" w:fldLock="1"/>
      </w:r>
      <w:r w:rsidRPr="00410882">
        <w:instrText>ADDIN CSL_CITATION { "citationItems" : [ { "id" : "ITEM-1", "itemData" : { "DOI" : "10.1310/3502-06MD-F2NK-LBGK", "ISSN" : "10820744", "abstract" : "Despite the Americans with Disabilities Act (ADA), physical, transportation, information, and health care barriers continue to impede full community reintegration for rural-living persons with spinal cord injury (SCI). Lack of a health care policy that recognizes the unique needs of rural populations is particularly problematic. Innovative enterprises, such as AgrAbility, telehealth, and collaborative programs with independent living centers are few but show promise for overcoming obstacles to community reintegration and full participation among people with SCI in rural areas. Rehabilitation professionals can facilitate this process by participating in advocacy efforts, collaborating with state surveillance systems, developing innovative outreach models, and participating in research to identify and remove barriers to community reintegration.", "author" : [ { "dropping-particle" : "", "family" : "Hagglund", "given" : "K J", "non-dropping-particle" : "", "parse-names" : false, "suffix" : "" }, { "dropping-particle" : "", "family" : "Clay", "given" : "D L", "non-dropping-particle" : "", "parse-names" : false, "suffix" : "" }, { "dropping-particle" : "", "family" : "Acuff", "given" : "M", "non-dropping-particle" : "", "parse-names" : false, "suffix" : "" } ], "container-title" : "Topics in Spinal Cord Injury Rehabilitation", "id" : "ITEM-1", "issue" : "2", "issued" : { "date-parts" : [ [ "1998" ] ] }, "page" : "28-40", "title" : "Community reintegration for persons with spinal cord injury living in rural America", "type" : "article-journal", "volume" : "4" }, "uris" : [ "http://www.mendeley.com/documents/?uuid=272bf32d-2ead-48ed-ae1b-4cc1660b4fe8" ] } ], "mendeley" : { "formattedCitation" : "(Hagglund et al., 1998)", "plainTextFormattedCitation" : "(Hagglund et al., 1998)", "previouslyFormattedCitation" : "(Hagglund et al., 1998)" }, "properties" : {  }, "schema" : "https://github.com/citation-style-language/schema/raw/master/csl-citation.json" }</w:instrText>
      </w:r>
      <w:r w:rsidRPr="00410882">
        <w:fldChar w:fldCharType="separate"/>
      </w:r>
      <w:r w:rsidRPr="00410882">
        <w:rPr>
          <w:noProof/>
        </w:rPr>
        <w:t>(Hagglund et al., 1998)</w:t>
      </w:r>
      <w:r w:rsidRPr="00410882">
        <w:fldChar w:fldCharType="end"/>
      </w:r>
      <w:r w:rsidRPr="00410882">
        <w:t xml:space="preserve"> However, crime rates in urban areas are detrimental to functioning for those with SCI. (Liang et al., 2008)  Rural locations tend to lack opportunities to engage in health-promoting activities as well as complementary therapies, sports, peer support, equipment and mobility-related services.</w:t>
      </w:r>
      <w:r w:rsidRPr="00410882">
        <w:fldChar w:fldCharType="begin" w:fldLock="1"/>
      </w:r>
      <w:r w:rsidRPr="00410882">
        <w:instrText>ADDIN CSL_CITATION { "citationItems" : [ { "id" : "ITEM-1", "itemData" : { "DOI" : "10.3109/09638288.2014.972593", "ISSN" : "1464-5165", "PMID" : "25332089", "abstract" : "Abstract Purpose: To examine the perspectives of persons living with traumatic spinal cord injuries (tSCI) on their access to health and support services. The specific aims were to identify the perceived gaps in access, classify the nature of the perceived gaps and compare differences in perceptions of access between urban and rural participants. Method: Using a descriptive, qualitative approach, semi-structured interviews were conducted with 23 adults living with tSCI, 13 of whom had paraplegia. Ten participants resided in rural areas and 16 were male. Thematic analysis allowed for the identification of patterns, which were then categorized according to the dimensions of access. Results: Opportunities to engage in health-promoting activities through a broad range of health and support services were at times limited, particularly by issues of affordability. In addition to core healthcare services, participants reported the need for complementary therapies, sports and leisure, peer support, equipment and mobility related services. Availability and accessibility of services was limited in some cases for rural participants, although rural residence conferred other valued benefits. Narratives of \"not being heard\" by providers were common. Conclusions: Maintaining health and well-being in people with tSCI demands access to both conventional health care and support services. Implications for Rehabilitation Access to both health and support services are important to maintaining the health and wellness of people with spinal cord injury. People with spinal cord injuries take an active role in coordinating their health, at times assuming various roles to compensate for perceived shortcomings of health care providers. Negotiating balances of power with gatekeepers in the health and insurance sectors was a key function of the coordinating role assumed by people with spinal cord injury. In order to effectively address the needs of this population, a coordinated interdisciplinary out-reach service, which includes peer support, must cross boundaries to engage sectors beyond traditional health care services, such as insurers and wellness providers.", "author" : [ { "dropping-particle" : "", "family" : "Goodridge", "given" : "Donna", "non-dropping-particle" : "", "parse-names" : false, "suffix" : "" }, { "dropping-particle" : "", "family" : "Rogers", "given" : "Marla", "non-dropping-particle" : "", "parse-names" : false, "suffix" : "" }, { "dropping-particle" : "", "family" : "Klassen", "given" : "Laura", "non-dropping-particle" : "", "parse-names" : false, "suffix" : "" }, { "dropping-particle" : "", "family" : "Jeffery", "given" : "Bonnie", "non-dropping-particle" : "", "parse-names" : false, "suffix" : "" }, { "dropping-particle" : "", "family" : "Knox", "given" : "Katherine", "non-dropping-particle" : "", "parse-names" : false, "suffix" : "" }, { "dropping-particle" : "", "family" : "Rohatinsky", "given" : "Noelle", "non-dropping-particle" : "", "parse-names" : false, "suffix" : "" }, { "dropping-particle" : "", "family" : "Linassi", "given" : "Gary", "non-dropping-particle" : "", "parse-names" : false, "suffix" : "" } ], "container-title" : "Disability and Rehabilitation", "id" : "ITEM-1", "issue" : "October", "issued" : { "date-parts" : [ [ "2014" ] ] }, "page" : "1-10", "title" : "Access to health and support services: perspectives of people living with a long-term traumatic spinal cord injury in rural and urban areas.", "type" : "article-journal", "volume" : "8288" }, "uris" : [ "http://www.mendeley.com/documents/?uuid=8ba14522-0255-4878-9068-7c4e27c4db69" ] } ], "mendeley" : { "formattedCitation" : "(Goodridge et al., 2014)", "plainTextFormattedCitation" : "(Goodridge et al., 2014)", "previouslyFormattedCitation" : "(Goodridge et al., 2014)" }, "properties" : {  }, "schema" : "https://github.com/citation-style-language/schema/raw/master/csl-citation.json" }</w:instrText>
      </w:r>
      <w:r w:rsidRPr="00410882">
        <w:fldChar w:fldCharType="separate"/>
      </w:r>
      <w:r w:rsidRPr="00410882">
        <w:rPr>
          <w:noProof/>
        </w:rPr>
        <w:t>(Goodridge et al., 2014)</w:t>
      </w:r>
      <w:r w:rsidRPr="00410882">
        <w:fldChar w:fldCharType="end"/>
      </w:r>
      <w:r w:rsidRPr="00410882">
        <w:t xml:space="preserve"> This study also reported that issues of affordability, </w:t>
      </w:r>
      <w:r w:rsidRPr="00410882">
        <w:rPr>
          <w:noProof/>
        </w:rPr>
        <w:t>availability,</w:t>
      </w:r>
      <w:r w:rsidRPr="00410882">
        <w:t xml:space="preserve"> and accessibility of care were all concerns raised by individuals living in rural areas.</w:t>
      </w:r>
      <w:r w:rsidRPr="00410882">
        <w:fldChar w:fldCharType="begin" w:fldLock="1"/>
      </w:r>
      <w:r w:rsidRPr="00410882">
        <w:instrText>ADDIN CSL_CITATION { "citationItems" : [ { "id" : "ITEM-1", "itemData" : { "DOI" : "10.3109/09638288.2014.972593", "ISSN" : "1464-5165", "PMID" : "25332089", "abstract" : "Abstract Purpose: To examine the perspectives of persons living with traumatic spinal cord injuries (tSCI) on their access to health and support services. The specific aims were to identify the perceived gaps in access, classify the nature of the perceived gaps and compare differences in perceptions of access between urban and rural participants. Method: Using a descriptive, qualitative approach, semi-structured interviews were conducted with 23 adults living with tSCI, 13 of whom had paraplegia. Ten participants resided in rural areas and 16 were male. Thematic analysis allowed for the identification of patterns, which were then categorized according to the dimensions of access. Results: Opportunities to engage in health-promoting activities through a broad range of health and support services were at times limited, particularly by issues of affordability. In addition to core healthcare services, participants reported the need for complementary therapies, sports and leisure, peer support, equipment and mobility related services. Availability and accessibility of services was limited in some cases for rural participants, although rural residence conferred other valued benefits. Narratives of \"not being heard\" by providers were common. Conclusions: Maintaining health and well-being in people with tSCI demands access to both conventional health care and support services. Implications for Rehabilitation Access to both health and support services are important to maintaining the health and wellness of people with spinal cord injury. People with spinal cord injuries take an active role in coordinating their health, at times assuming various roles to compensate for perceived shortcomings of health care providers. Negotiating balances of power with gatekeepers in the health and insurance sectors was a key function of the coordinating role assumed by people with spinal cord injury. In order to effectively address the needs of this population, a coordinated interdisciplinary out-reach service, which includes peer support, must cross boundaries to engage sectors beyond traditional health care services, such as insurers and wellness providers.", "author" : [ { "dropping-particle" : "", "family" : "Goodridge", "given" : "Donna", "non-dropping-particle" : "", "parse-names" : false, "suffix" : "" }, { "dropping-particle" : "", "family" : "Rogers", "given" : "Marla", "non-dropping-particle" : "", "parse-names" : false, "suffix" : "" }, { "dropping-particle" : "", "family" : "Klassen", "given" : "Laura", "non-dropping-particle" : "", "parse-names" : false, "suffix" : "" }, { "dropping-particle" : "", "family" : "Jeffery", "given" : "Bonnie", "non-dropping-particle" : "", "parse-names" : false, "suffix" : "" }, { "dropping-particle" : "", "family" : "Knox", "given" : "Katherine", "non-dropping-particle" : "", "parse-names" : false, "suffix" : "" }, { "dropping-particle" : "", "family" : "Rohatinsky", "given" : "Noelle", "non-dropping-particle" : "", "parse-names" : false, "suffix" : "" }, { "dropping-particle" : "", "family" : "Linassi", "given" : "Gary", "non-dropping-particle" : "", "parse-names" : false, "suffix" : "" } ], "container-title" : "Disability and Rehabilitation", "id" : "ITEM-1", "issue" : "October", "issued" : { "date-parts" : [ [ "2014" ] ] }, "page" : "1-10", "title" : "Access to health and support services: perspectives of people living with a long-term traumatic spinal cord injury in rural and urban areas.", "type" : "article-journal", "volume" : "8288" }, "uris" : [ "http://www.mendeley.com/documents/?uuid=8ba14522-0255-4878-9068-7c4e27c4db69" ] } ], "mendeley" : { "formattedCitation" : "(Goodridge et al., 2014)", "plainTextFormattedCitation" : "(Goodridge et al., 2014)", "previouslyFormattedCitation" : "(Goodridge et al., 2014)" }, "properties" : {  }, "schema" : "https://github.com/citation-style-language/schema/raw/master/csl-citation.json" }</w:instrText>
      </w:r>
      <w:r w:rsidRPr="00410882">
        <w:fldChar w:fldCharType="separate"/>
      </w:r>
      <w:r w:rsidRPr="00410882">
        <w:rPr>
          <w:noProof/>
        </w:rPr>
        <w:t>(Goodridge et al., 2014)</w:t>
      </w:r>
      <w:r w:rsidRPr="00410882">
        <w:fldChar w:fldCharType="end"/>
      </w:r>
    </w:p>
    <w:p w:rsidR="006F4175" w:rsidRPr="00410882" w:rsidRDefault="006F4175" w:rsidP="006F4175">
      <w:pPr>
        <w:jc w:val="left"/>
      </w:pPr>
      <w:r w:rsidRPr="00410882">
        <w:t xml:space="preserve">To our knowledge, prior studies have not yet examined exactly how rural-living affects the </w:t>
      </w:r>
      <w:r w:rsidRPr="00410882">
        <w:rPr>
          <w:noProof/>
        </w:rPr>
        <w:t>overall</w:t>
      </w:r>
      <w:r w:rsidRPr="00410882">
        <w:t xml:space="preserve"> accessibility of care in individuals with SCI. The identification of disparities in health resources in rural areas would help to improve the </w:t>
      </w:r>
      <w:r w:rsidRPr="00410882">
        <w:rPr>
          <w:noProof/>
        </w:rPr>
        <w:t>care</w:t>
      </w:r>
      <w:r w:rsidRPr="00410882">
        <w:t xml:space="preserve"> of individuals with SCI residing in those areas. To this end, the current study seeks to examine differences in healthcare utilization, secondary health conditions and long-term outcomes in rural versus </w:t>
      </w:r>
      <w:r w:rsidRPr="00410882">
        <w:rPr>
          <w:noProof/>
        </w:rPr>
        <w:t>urban-living</w:t>
      </w:r>
      <w:r w:rsidRPr="00410882">
        <w:t xml:space="preserve"> individuals with pediatric-onset SCI.</w:t>
      </w:r>
    </w:p>
    <w:p w:rsidR="006F4175" w:rsidRPr="00410882" w:rsidRDefault="006F4175" w:rsidP="006F4175">
      <w:pPr>
        <w:jc w:val="left"/>
      </w:pPr>
      <w:r w:rsidRPr="00410882">
        <w:lastRenderedPageBreak/>
        <w:t>Given the existing research on discrepancies between patient populations in urban versus rural areas, we hypothesized that rural-living participants would have a reduced amount of healthcare usage and decreased access to care in these areas. Secondly, we predicted that rural-living individuals would have a higher incidence of secondary health conditions such as urinary tract infections (UTIs) and pressure ulcers and lower quality of life measures.</w:t>
      </w:r>
    </w:p>
    <w:p w:rsidR="00B917F0" w:rsidRDefault="0096383E" w:rsidP="00B917F0">
      <w:pPr>
        <w:pStyle w:val="Heading2"/>
      </w:pPr>
      <w:bookmarkStart w:id="13" w:name="_Toc511655573"/>
      <w:bookmarkEnd w:id="10"/>
      <w:bookmarkEnd w:id="11"/>
      <w:bookmarkEnd w:id="12"/>
      <w:r>
        <w:t>METHODS</w:t>
      </w:r>
      <w:bookmarkEnd w:id="13"/>
    </w:p>
    <w:p w:rsidR="0096383E" w:rsidRPr="00A25213" w:rsidRDefault="0096383E" w:rsidP="00AF63BC">
      <w:pPr>
        <w:jc w:val="left"/>
      </w:pPr>
      <w:bookmarkStart w:id="14" w:name="_Toc106513529"/>
      <w:bookmarkStart w:id="15" w:name="_Toc106717787"/>
      <w:bookmarkStart w:id="16" w:name="_Toc114179896"/>
      <w:r w:rsidRPr="00A25213">
        <w:t>This study was part of a larger longitudinal study on long-term outcomes of adults with pediatric-onset SCI</w:t>
      </w:r>
      <w:r>
        <w:t xml:space="preserve">. </w:t>
      </w:r>
      <w:r w:rsidRPr="00A25213">
        <w:t xml:space="preserve">Inclusion criteria consisted of individuals who had sustained </w:t>
      </w:r>
      <w:r w:rsidRPr="00943B08">
        <w:rPr>
          <w:noProof/>
        </w:rPr>
        <w:t>an SCI</w:t>
      </w:r>
      <w:r w:rsidRPr="00A25213">
        <w:t xml:space="preserve"> at less than 19 years of age, did not have</w:t>
      </w:r>
      <w:r>
        <w:t xml:space="preserve"> a</w:t>
      </w:r>
      <w:r w:rsidRPr="00A25213">
        <w:t xml:space="preserve"> </w:t>
      </w:r>
      <w:r w:rsidRPr="00581672">
        <w:rPr>
          <w:noProof/>
        </w:rPr>
        <w:t>significant</w:t>
      </w:r>
      <w:r w:rsidRPr="00A25213">
        <w:t xml:space="preserve"> brain injury, were able to communicate in English, and were living in the United States. Participants were recruited from Shriners Hospitals in Chicago, Philadelphia and Northern California. Informed consent was obtained from all participants in the study, and participation involved completing annual phone interviews with trained research specialists. Institutional Review Board approval was obtained for this study. </w:t>
      </w:r>
    </w:p>
    <w:p w:rsidR="0096383E" w:rsidRPr="00A25213" w:rsidRDefault="0096383E" w:rsidP="00AF63BC">
      <w:pPr>
        <w:jc w:val="left"/>
      </w:pPr>
      <w:r w:rsidRPr="00A25213">
        <w:t xml:space="preserve">Individuals aged 19-51 were interviewed using a study-specific structured questionnaire assessing </w:t>
      </w:r>
      <w:r>
        <w:t>socio</w:t>
      </w:r>
      <w:r w:rsidRPr="00A25213">
        <w:t xml:space="preserve">demographic characteristics, </w:t>
      </w:r>
      <w:r w:rsidRPr="00943B08">
        <w:rPr>
          <w:noProof/>
        </w:rPr>
        <w:t>healthcare</w:t>
      </w:r>
      <w:r w:rsidRPr="00A25213">
        <w:t xml:space="preserve"> </w:t>
      </w:r>
      <w:r w:rsidRPr="00943B08">
        <w:rPr>
          <w:noProof/>
        </w:rPr>
        <w:t>resources</w:t>
      </w:r>
      <w:r w:rsidRPr="00A25213">
        <w:t xml:space="preserve"> and utilization, and secondary health conditions. Medical and injury-related information w</w:t>
      </w:r>
      <w:r>
        <w:t>ere</w:t>
      </w:r>
      <w:r w:rsidRPr="00A25213">
        <w:t xml:space="preserve"> obtained from medical records and the Shriners Hospitals for Children SCI database. Level and severity of injury were categorized based on the American Spinal Injury Association (ASIA) Impairment Scale (AIS) using the International Standards for Neurological Classification of Spinal Cord Injury (American Spinal Injury Association, Revised 2011). Injury severity was categorized into the following four </w:t>
      </w:r>
      <w:r>
        <w:t xml:space="preserve">neurological impairment </w:t>
      </w:r>
      <w:r w:rsidRPr="00A25213">
        <w:t xml:space="preserve">groups: </w:t>
      </w:r>
      <w:r w:rsidRPr="00F87141">
        <w:t xml:space="preserve">C1–4 AIS ABC, C5–8 AIS ABC, T1–S5 AIS </w:t>
      </w:r>
      <w:r w:rsidRPr="00F87141">
        <w:lastRenderedPageBreak/>
        <w:t>ABC and AIS D.</w:t>
      </w:r>
      <w:r w:rsidRPr="00A25213">
        <w:t xml:space="preserve"> The occurrence of secondary </w:t>
      </w:r>
      <w:r>
        <w:t xml:space="preserve">health </w:t>
      </w:r>
      <w:r w:rsidRPr="00A25213">
        <w:t>conditions</w:t>
      </w:r>
      <w:r w:rsidDel="00FC501E">
        <w:t xml:space="preserve"> </w:t>
      </w:r>
      <w:r w:rsidRPr="00A25213">
        <w:t xml:space="preserve">in the previous year was recorded and included </w:t>
      </w:r>
      <w:r>
        <w:t xml:space="preserve">pain, days hospitalized, </w:t>
      </w:r>
      <w:r w:rsidRPr="00A25213">
        <w:t xml:space="preserve">urinary tract infections (UTIs), </w:t>
      </w:r>
      <w:r>
        <w:t>p</w:t>
      </w:r>
      <w:r w:rsidRPr="00A25213">
        <w:t xml:space="preserve">ressure ulcers, </w:t>
      </w:r>
      <w:r>
        <w:t>and days hospitalized due to pressure ulcers.</w:t>
      </w:r>
    </w:p>
    <w:p w:rsidR="0096383E" w:rsidRPr="00A25213" w:rsidRDefault="0096383E" w:rsidP="00AF63BC">
      <w:pPr>
        <w:jc w:val="left"/>
      </w:pPr>
      <w:r w:rsidRPr="00A25213">
        <w:t>Standardized measures were utilized to assess psychosocial outcomes. The Patient Health Questionnaire-9 (PHQ-9) assesses depressive symptoms using diagnostic criteria for major depressive disorder according to the Diagnostic and Statistical Manual, Fourth Edition. The Beck Anxiety Inventory (BAI) was used to assess curr</w:t>
      </w:r>
      <w:r>
        <w:t>ent symptoms of anxiety.</w:t>
      </w:r>
      <w:r>
        <w:fldChar w:fldCharType="begin" w:fldLock="1"/>
      </w:r>
      <w:r w:rsidR="002574B4">
        <w:instrText>ADDIN CSL_CITATION { "citationItems" : [ { "id" : "ITEM-1", "itemData" : { "DOI" : "10.1037/0022-006X.56.6.893", "ISBN" : "0022-006X (Print)\\r0022-006X (Linking)", "ISSN" : "0022-006X", "PMID" : "3204199", "abstract" : "... 1983). This strategy was followed in the present study to develop a new instrument forthe measurement of clinical anxiety, the Beck Anxiety Inventory (BAI). The ... Note. BAI = BeckAnxiety Inventory. N= 160. Cronbach's alpha = .92. Eigenvalues ...", "author" : [ { "dropping-particle" : "", "family" : "Beck", "given" : "A T", "non-dropping-particle" : "", "parse-names" : false, "suffix" : "" }, { "dropping-particle" : "", "family" : "Epstein", "given" : "N", "non-dropping-particle" : "", "parse-names" : false, "suffix" : "" }, { "dropping-particle" : "", "family" : "Brown", "given" : "G", "non-dropping-particle" : "", "parse-names" : false, "suffix" : "" }, { "dropping-particle" : "", "family" : "Steer", "given" : "R A", "non-dropping-particle" : "", "parse-names" : false, "suffix" : "" }, { "dropping-particle" : "", "family" : "others", "given" : "", "non-dropping-particle" : "", "parse-names" : false, "suffix" : "" } ], "container-title" : "Journal of Consulting and clinical Psychology", "id" : "ITEM-1", "issue" : "6", "issued" : { "date-parts" : [ [ "1988" ] ] }, "page" : "893-897", "title" : "An inventory for measuring clinical anxiety: Psychometric properties", "type" : "article-journal", "volume" : "56" }, "uris" : [ "http://www.mendeley.com/documents/?uuid=705dd02c-9ea2-4d7b-83ff-151d54c1343a" ] } ], "mendeley" : { "formattedCitation" : "(Beck, Epstein, Brown, Steer, &amp; others, 1988)", "plainTextFormattedCitation" : "(Beck, Epstein, Brown, Steer, &amp; others, 1988)", "previouslyFormattedCitation" : "(Beck, Epstein, Brown, Steer, &amp; others, 1988)" }, "properties" : {  }, "schema" : "https://github.com/citation-style-language/schema/raw/master/csl-citation.json" }</w:instrText>
      </w:r>
      <w:r>
        <w:fldChar w:fldCharType="separate"/>
      </w:r>
      <w:r w:rsidR="002574B4" w:rsidRPr="002574B4">
        <w:rPr>
          <w:noProof/>
        </w:rPr>
        <w:t>(Beck, Epstein, Brown, Steer, &amp; others, 1988)</w:t>
      </w:r>
      <w:r>
        <w:fldChar w:fldCharType="end"/>
      </w:r>
      <w:r>
        <w:t xml:space="preserve"> </w:t>
      </w:r>
      <w:r w:rsidRPr="00A25213">
        <w:t xml:space="preserve">The General Happiness Scale </w:t>
      </w:r>
      <w:r w:rsidRPr="00A25213">
        <w:rPr>
          <w:rFonts w:cs="Arial"/>
        </w:rPr>
        <w:t>is a global measure of subjective happiness</w:t>
      </w:r>
      <w:r>
        <w:rPr>
          <w:rFonts w:cs="Arial"/>
        </w:rPr>
        <w:fldChar w:fldCharType="begin" w:fldLock="1"/>
      </w:r>
      <w:r w:rsidR="002574B4">
        <w:rPr>
          <w:rFonts w:cs="Arial"/>
        </w:rPr>
        <w:instrText>ADDIN CSL_CITATION { "citationItems" : [ { "id" : "ITEM-1", "itemData" : { "author" : [ { "dropping-particle" : "", "family" : "Lyubomirsky", "given" : "S", "non-dropping-particle" : "", "parse-names" : false, "suffix" : "" }, { "dropping-particle" : "", "family" : "Lepper", "given" : "HS", "non-dropping-particle" : "", "parse-names" : false, "suffix" : "" } ], "container-title" : "Social Indicators Research", "id" : "ITEM-1", "issued" : { "date-parts" : [ [ "1999" ] ] }, "page" : "137-155", "title" : "A measure of subjective hap- piness: Preliminary reliability and construct validation", "type" : "article-journal", "volume" : "46" }, "uris" : [ "http://www.mendeley.com/documents/?uuid=e6b131ce-1234-4773-9222-87c8570f205b" ] } ], "mendeley" : { "formattedCitation" : "(Lyubomirsky &amp; Lepper, 1999)", "plainTextFormattedCitation" : "(Lyubomirsky &amp; Lepper, 1999)", "previouslyFormattedCitation" : "(Lyubomirsky &amp; Lepper, 1999)" }, "properties" : {  }, "schema" : "https://github.com/citation-style-language/schema/raw/master/csl-citation.json" }</w:instrText>
      </w:r>
      <w:r>
        <w:rPr>
          <w:rFonts w:cs="Arial"/>
        </w:rPr>
        <w:fldChar w:fldCharType="separate"/>
      </w:r>
      <w:r w:rsidR="002574B4" w:rsidRPr="002574B4">
        <w:rPr>
          <w:rFonts w:cs="Arial"/>
          <w:noProof/>
        </w:rPr>
        <w:t>(Lyubomirsky &amp; Lepper, 1999)</w:t>
      </w:r>
      <w:r>
        <w:rPr>
          <w:rFonts w:cs="Arial"/>
        </w:rPr>
        <w:fldChar w:fldCharType="end"/>
      </w:r>
      <w:r>
        <w:rPr>
          <w:rFonts w:cs="Arial"/>
        </w:rPr>
        <w:t xml:space="preserve"> and the Satisfaction with Life Scale is a measure of global life satisfaction</w:t>
      </w:r>
      <w:r w:rsidRPr="00A25213">
        <w:rPr>
          <w:rFonts w:cs="Arial"/>
        </w:rPr>
        <w:t>.</w:t>
      </w:r>
      <w:r>
        <w:rPr>
          <w:rFonts w:cs="Arial"/>
        </w:rPr>
        <w:fldChar w:fldCharType="begin" w:fldLock="1"/>
      </w:r>
      <w:r w:rsidR="002574B4">
        <w:rPr>
          <w:rFonts w:cs="Arial"/>
        </w:rPr>
        <w:instrText>ADDIN CSL_CITATION { "citationItems" : [ { "id" : "ITEM-1", "itemData" : { "DOI" : "10.1037/1040-3590.5.2.164", "ISBN" : "1939-134X 1040-3590", "ISSN" : "1040-3590", "PMID" : "21942124", "abstract" : "The Satisfaction With Life Scale (SWLS) was developed to assess satisfaction with the respondent's life as a whole. The scale does not assess satisfaction with life domains such as health or finances but allows Ss to integrate and weight these domains in whatever way they choose. Normative data are presented for the scale, which shows good convergent validity with other scales and with other types of assessments of subjective well-being. Life satisfaction as assessed by the SWLS shows a degree of temporal stability (e.g., .54 for 4 yrs), yet the SWLS has shown sufficient sensitivity to be potentially valuable to detect change in life satisfaction during the course of clinical intervention. Further, the scale shows discriminant validity from emotional well-being measures. The SWLS is recommended as a complement to scales that focus on psychopathology or emotional well-being because it assesses an individual's conscious evaluative judgment of his or her life by using the person's own criteria. (PsycINFO Database Record (c) 2012 APA, all rights reserved)", "author" : [ { "dropping-particle" : "", "family" : "Pavot", "given" : "William", "non-dropping-particle" : "", "parse-names" : false, "suffix" : "" }, { "dropping-particle" : "", "family" : "Diener", "given" : "Ed", "non-dropping-particle" : "", "parse-names" : false, "suffix" : "" } ], "container-title" : "Psychological Assessment", "id" : "ITEM-1", "issue" : "June", "issued" : { "date-parts" : [ [ "1993" ] ] }, "page" : "164-172", "title" : "Review of the Satisfaction With Life Scale", "type" : "article-journal", "volume" : "5" }, "uris" : [ "http://www.mendeley.com/documents/?uuid=47ec54cf-4ab3-4573-abfe-d3d26cdf1726" ] } ], "mendeley" : { "formattedCitation" : "(Pavot &amp; Diener, 1993)", "plainTextFormattedCitation" : "(Pavot &amp; Diener, 1993)", "previouslyFormattedCitation" : "(Pavot &amp; Diener, 1993)" }, "properties" : {  }, "schema" : "https://github.com/citation-style-language/schema/raw/master/csl-citation.json" }</w:instrText>
      </w:r>
      <w:r>
        <w:rPr>
          <w:rFonts w:cs="Arial"/>
        </w:rPr>
        <w:fldChar w:fldCharType="separate"/>
      </w:r>
      <w:r w:rsidR="002574B4" w:rsidRPr="002574B4">
        <w:rPr>
          <w:rFonts w:cs="Arial"/>
          <w:noProof/>
        </w:rPr>
        <w:t>(Pavot &amp; Diener, 1993)</w:t>
      </w:r>
      <w:r>
        <w:rPr>
          <w:rFonts w:cs="Arial"/>
        </w:rPr>
        <w:fldChar w:fldCharType="end"/>
      </w:r>
      <w:r w:rsidRPr="00A25213">
        <w:rPr>
          <w:rFonts w:cs="Arial"/>
        </w:rPr>
        <w:t xml:space="preserve"> </w:t>
      </w:r>
      <w:r w:rsidRPr="00A25213">
        <w:t>The SF-12v2 Health Survey assesses an individual’s perception of his/her health-related quality of life.</w:t>
      </w:r>
      <w:r>
        <w:fldChar w:fldCharType="begin" w:fldLock="1"/>
      </w:r>
      <w:r w:rsidR="002574B4">
        <w:instrText>ADDIN CSL_CITATION { "citationItems" : [ { "id" : "ITEM-1", "itemData" : { "author" : [ { "dropping-particle" : "", "family" : "Ware", "given" : "John E", "non-dropping-particle" : "", "parse-names" : false, "suffix" : "" }, { "dropping-particle" : "", "family" : "Kosinski", "given" : "Mark", "non-dropping-particle" : "", "parse-names" : false, "suffix" : "" }, { "dropping-particle" : "", "family" : "Bjorner", "given" : "Jakob B", "non-dropping-particle" : "", "parse-names" : false, "suffix" : "" }, { "dropping-particle" : "", "family" : "Turner-Bowker", "given" : "Diane M", "non-dropping-particle" : "", "parse-names" : false, "suffix" : "" }, { "dropping-particle" : "", "family" : "Gandek", "given" : "Barbara", "non-dropping-particle" : "", "parse-names" : false, "suffix" : "" }, { "dropping-particle" : "", "family" : "Maruish", "given" : "Mark E", "non-dropping-particle" : "", "parse-names" : false, "suffix" : "" }, { "dropping-particle" : "", "family" : "others", "given" : "", "non-dropping-particle" : "", "parse-names" : false, "suffix" : "" } ], "id" : "ITEM-1", "issued" : { "date-parts" : [ [ "2008" ] ] }, "publisher" : "Quality Metric", "title" : "User's manual for the SF-36v2 Health Survey", "type" : "book" }, "uris" : [ "http://www.mendeley.com/documents/?uuid=dec2d88b-f393-4554-ae7f-fbbe0e7a941b" ] } ], "mendeley" : { "formattedCitation" : "(Ware et al., 2008)", "plainTextFormattedCitation" : "(Ware et al., 2008)", "previouslyFormattedCitation" : "(Ware et al., 2008)" }, "properties" : {  }, "schema" : "https://github.com/citation-style-language/schema/raw/master/csl-citation.json" }</w:instrText>
      </w:r>
      <w:r>
        <w:fldChar w:fldCharType="separate"/>
      </w:r>
      <w:r w:rsidR="002574B4" w:rsidRPr="002574B4">
        <w:rPr>
          <w:noProof/>
        </w:rPr>
        <w:t>(Ware et al., 2008)</w:t>
      </w:r>
      <w:r>
        <w:fldChar w:fldCharType="end"/>
      </w:r>
      <w:r w:rsidRPr="00A25213">
        <w:t xml:space="preserve"> The Craig Handicap Assessment and Recording Technique (CHART) assesses community participation in 6 domains: physical independence, cognitive independence, mobility, occupation, social integration,</w:t>
      </w:r>
      <w:r>
        <w:t xml:space="preserve"> and economic self-sufficiency.</w:t>
      </w:r>
      <w:r>
        <w:fldChar w:fldCharType="begin" w:fldLock="1"/>
      </w:r>
      <w:r w:rsidR="002574B4">
        <w:instrText>ADDIN CSL_CITATION { "citationItems" : [ { "id" : "ITEM-1", "itemData" : { "author" : [ { "dropping-particle" : "", "family" : "Whiteneck", "given" : "G G", "non-dropping-particle" : "", "parse-names" : false, "suffix" : "" }, { "dropping-particle" : "", "family" : "Brooks", "given" : "C A", "non-dropping-particle" : "", "parse-names" : false, "suffix" : "" }, { "dropping-particle" : "", "family" : "Charlifue", "given" : "S", "non-dropping-particle" : "", "parse-names" : false, "suffix" : "" }, { "dropping-particle" : "", "family" : "Gerhart", "given" : "K A", "non-dropping-particle" : "", "parse-names" : false, "suffix" : "" }, { "dropping-particle" : "", "family" : "Mellick", "given" : "D", "non-dropping-particle" : "", "parse-names" : false, "suffix" : "" }, { "dropping-particle" : "", "family" : "Overholser", "given" : "D", "non-dropping-particle" : "", "parse-names" : false, "suffix" : "" }, { "dropping-particle" : "", "family" : "Richardson", "given" : "G N", "non-dropping-particle" : "", "parse-names" : false, "suffix" : "" } ], "container-title" : "Craig Hospital, Englewood (CO)", "id" : "ITEM-1", "issued" : { "date-parts" : [ [ "1992" ] ] }, "title" : "Guide for use of the CHART", "type" : "article-journal" }, "uris" : [ "http://www.mendeley.com/documents/?uuid=c208222e-a190-4831-b94c-11f27d4a9c11" ] } ], "mendeley" : { "formattedCitation" : "(Whiteneck et al., 1992)", "plainTextFormattedCitation" : "(Whiteneck et al., 1992)", "previouslyFormattedCitation" : "(Whiteneck et al., 1992)" }, "properties" : {  }, "schema" : "https://github.com/citation-style-language/schema/raw/master/csl-citation.json" }</w:instrText>
      </w:r>
      <w:r>
        <w:fldChar w:fldCharType="separate"/>
      </w:r>
      <w:r w:rsidR="002574B4" w:rsidRPr="002574B4">
        <w:rPr>
          <w:noProof/>
        </w:rPr>
        <w:t>(Whiteneck et al., 1992)</w:t>
      </w:r>
      <w:r>
        <w:fldChar w:fldCharType="end"/>
      </w:r>
      <w:r w:rsidRPr="00A25213">
        <w:t xml:space="preserve"> These measures are validated and have been used in previous studies focused on life satisfaction, depression and community participation outcomes of individuals with SCI</w:t>
      </w:r>
      <w:r>
        <w:t>.</w:t>
      </w:r>
      <w:r>
        <w:fldChar w:fldCharType="begin" w:fldLock="1"/>
      </w:r>
      <w:r w:rsidR="002574B4">
        <w:instrText>ADDIN CSL_CITATION { "citationItems" : [ { "id" : "ITEM-1", "itemData" : { "DOI" : "10.1310/V5RU-FRFE-50E6-E2NA", "ISBN" : "1082-0744", "ISSN" : "1086-9654", "abstract" : "The purpose of this study was to facilitate the proper use and interpretation of the Craig Handicap Assessment and Reporting Technique (CHART) as a measure of community integration and social participation in individuals with spinal cord injury (SCI). CHART data on 1,998 cases in the SCI Model Systems database were analyzed. These cases provide the basis for norms by neurologic categories on a large sample. The relationship of CHART subscale scores with demographic factors (age, gender, race/ethnicity, occupation, year post injury, marital status, and education) and level and completeness of SCI are described. Maximum scores achieved for the subscales are presented by time post injury. Sample biases are demonstrated with substantial missing data in the Economic Self Sufficiency subscale. The CHART total score is shown to be a potentially misleading summary assessment of handicap, and use of subscale scores is recommended. The discussion addresses these issues and others relevant to characteristics and practical use of the CHART.", "author" : [ { "dropping-particle" : "", "family" : "Hall", "given" : "K M", "non-dropping-particle" : "", "parse-names" : false, "suffix" : "" }, { "dropping-particle" : "", "family" : "Dijkers", "given" : "M", "non-dropping-particle" : "", "parse-names" : false, "suffix" : "" }, { "dropping-particle" : "", "family" : "Whiteneck", "given" : "G", "non-dropping-particle" : "", "parse-names" : false, "suffix" : "" }, { "dropping-particle" : "", "family" : "Brooks", "given" : "C a", "non-dropping-particle" : "", "parse-names" : false, "suffix" : "" }, { "dropping-particle" : "", "family" : "Krause", "given" : "J S", "non-dropping-particle" : "", "parse-names" : false, "suffix" : "" }, { "dropping-particle" : "", "family" : "K.M.", "given" : "Hall", "non-dropping-particle" : "", "parse-names" : false, "suffix" : "" }, { "dropping-particle" : "", "family" : "M.", "given" : "Dijkers", "non-dropping-particle" : "", "parse-names" : false, "suffix" : "" }, { "dropping-particle" : "", "family" : "G.", "given" : "Whiteneck", "non-dropping-particle" : "", "parse-names" : false, "suffix" : "" }, { "dropping-particle" : "", "family" : "C.a.", "given" : "Brooks", "non-dropping-particle" : "", "parse-names" : false, "suffix" : "" }, { "dropping-particle" : "", "family" : "J.S.", "given" : "Krause", "non-dropping-particle" : "", "parse-names" : false, "suffix" : "" } ], "container-title" : "Topics in Spinal Cord Injury Rehabilitation", "id" : "ITEM-1", "issue" : "1", "issued" : { "date-parts" : [ [ "1998" ] ] }, "page" : "16-30", "title" : "The Craig Handicap Assessment and Reporting Technique (CHART): metric properties and scoring.", "type" : "article-journal", "volume" : "4" }, "uris" : [ "http://www.mendeley.com/documents/?uuid=952415e7-72c7-4195-b18e-2ae44dce5be1" ] } ], "mendeley" : { "formattedCitation" : "(Hall et al., 1998)", "plainTextFormattedCitation" : "(Hall et al., 1998)", "previouslyFormattedCitation" : "(Hall et al., 1998)" }, "properties" : {  }, "schema" : "https://github.com/citation-style-language/schema/raw/master/csl-citation.json" }</w:instrText>
      </w:r>
      <w:r>
        <w:fldChar w:fldCharType="separate"/>
      </w:r>
      <w:r w:rsidR="002574B4" w:rsidRPr="002574B4">
        <w:rPr>
          <w:noProof/>
        </w:rPr>
        <w:t>(Hall et al., 1998)</w:t>
      </w:r>
      <w:r>
        <w:fldChar w:fldCharType="end"/>
      </w:r>
    </w:p>
    <w:p w:rsidR="0096383E" w:rsidRPr="00A25213" w:rsidRDefault="00AE14E0" w:rsidP="00AF63BC">
      <w:pPr>
        <w:jc w:val="left"/>
      </w:pPr>
      <w:r w:rsidRPr="00A25213">
        <w:t>To</w:t>
      </w:r>
      <w:r w:rsidR="0096383E" w:rsidRPr="00A25213">
        <w:t xml:space="preserve"> assign participants to the appropriate geographical subtype, participant zip codes corresponding to their most recent mailing address on file were entered into the </w:t>
      </w:r>
      <w:proofErr w:type="spellStart"/>
      <w:r w:rsidR="0096383E" w:rsidRPr="00A25213">
        <w:t>ProximityOne</w:t>
      </w:r>
      <w:proofErr w:type="spellEnd"/>
      <w:r w:rsidR="0096383E" w:rsidRPr="00A25213">
        <w:t xml:space="preserve"> database (Proximity, http://proximityone.com). </w:t>
      </w:r>
      <w:proofErr w:type="spellStart"/>
      <w:r w:rsidR="0096383E" w:rsidRPr="00A25213">
        <w:t>ProximityOne</w:t>
      </w:r>
      <w:proofErr w:type="spellEnd"/>
      <w:r w:rsidR="0096383E" w:rsidRPr="00A25213">
        <w:t xml:space="preserve"> is a program that </w:t>
      </w:r>
      <w:r w:rsidRPr="00A25213">
        <w:t>can</w:t>
      </w:r>
      <w:r w:rsidR="0096383E" w:rsidRPr="00A25213">
        <w:t xml:space="preserve"> geocode based on </w:t>
      </w:r>
      <w:r w:rsidR="0096383E" w:rsidRPr="00943B08">
        <w:rPr>
          <w:noProof/>
        </w:rPr>
        <w:t>zip</w:t>
      </w:r>
      <w:r w:rsidR="0096383E" w:rsidRPr="00A25213">
        <w:t xml:space="preserve"> code. The program uses data from the 2010 Census and relies on </w:t>
      </w:r>
      <w:r w:rsidR="0096383E" w:rsidRPr="00943B08">
        <w:rPr>
          <w:noProof/>
        </w:rPr>
        <w:t>ZIP</w:t>
      </w:r>
      <w:r w:rsidR="0096383E" w:rsidRPr="00A25213">
        <w:t xml:space="preserve"> Code Tabulation Areas (ZCTAs), which provide information as to the geographic makeup of different ZIP code areas within the United States</w:t>
      </w:r>
      <w:r w:rsidR="0096383E">
        <w:t xml:space="preserve">. </w:t>
      </w:r>
      <w:r w:rsidRPr="00A25213">
        <w:t>To</w:t>
      </w:r>
      <w:r w:rsidR="0096383E" w:rsidRPr="00A25213">
        <w:t xml:space="preserve"> assign each participant </w:t>
      </w:r>
      <w:r w:rsidR="0096383E" w:rsidRPr="00581672">
        <w:rPr>
          <w:noProof/>
        </w:rPr>
        <w:t>to</w:t>
      </w:r>
      <w:r w:rsidR="0096383E" w:rsidRPr="00A25213">
        <w:t xml:space="preserve"> the appropriate </w:t>
      </w:r>
      <w:r w:rsidR="0096383E" w:rsidRPr="00A25213">
        <w:lastRenderedPageBreak/>
        <w:t xml:space="preserve">geographical category, the most recent zip code for each participant was entered into the database and was subsequently designated as either urban or rural by the program. </w:t>
      </w:r>
    </w:p>
    <w:p w:rsidR="0096383E" w:rsidRPr="00A25213" w:rsidRDefault="0096383E" w:rsidP="00AF63BC">
      <w:pPr>
        <w:jc w:val="left"/>
      </w:pPr>
      <w:r w:rsidRPr="00A25213">
        <w:t>Of the 481 total participants in the larger study, 10 were excluded from the present study due to their most current address corresponding to a location outside of the United States (all 10 that were excluded were residing in Canada.) The 471 remaining participants were eligible for the current study and included in the analyses.</w:t>
      </w:r>
    </w:p>
    <w:p w:rsidR="00B917F0" w:rsidRPr="00F863F2" w:rsidRDefault="00E66353" w:rsidP="00F863F2">
      <w:pPr>
        <w:pStyle w:val="Heading2"/>
      </w:pPr>
      <w:bookmarkStart w:id="17" w:name="_Toc511655574"/>
      <w:bookmarkEnd w:id="14"/>
      <w:bookmarkEnd w:id="15"/>
      <w:bookmarkEnd w:id="16"/>
      <w:r w:rsidRPr="00F863F2">
        <w:t>aNALYSES</w:t>
      </w:r>
      <w:bookmarkEnd w:id="17"/>
    </w:p>
    <w:p w:rsidR="005115CE" w:rsidRDefault="00E66353" w:rsidP="00AF63BC">
      <w:pPr>
        <w:jc w:val="left"/>
      </w:pPr>
      <w:bookmarkStart w:id="18" w:name="_Toc106513530"/>
      <w:bookmarkStart w:id="19" w:name="_Toc106717788"/>
      <w:bookmarkStart w:id="20" w:name="_Toc114179897"/>
      <w:r w:rsidRPr="00055E63">
        <w:t>To assess differences in outcomes between urban and rural-dwelling participants, a series of analyses were performed. Chi-square, Fisher’s Exact and T-tests were conducted to compare demographic data between study participants</w:t>
      </w:r>
      <w:r>
        <w:t xml:space="preserve">. </w:t>
      </w:r>
    </w:p>
    <w:p w:rsidR="005115CE" w:rsidRDefault="005115CE" w:rsidP="00AF63BC">
      <w:pPr>
        <w:jc w:val="left"/>
      </w:pPr>
      <w:r>
        <w:t xml:space="preserve">We used linear regression analyses to compute adjusted means and mean differences between </w:t>
      </w:r>
      <w:r w:rsidR="00A27493">
        <w:t xml:space="preserve">urban and </w:t>
      </w:r>
      <w:r>
        <w:t xml:space="preserve">  </w:t>
      </w:r>
    </w:p>
    <w:p w:rsidR="00DE2341" w:rsidRDefault="00E66353" w:rsidP="00AF63BC">
      <w:pPr>
        <w:jc w:val="left"/>
      </w:pPr>
      <w:r w:rsidRPr="00DE2341">
        <w:t>Chi-square tests were used to compare sex, race, impairment groups, driving independence, living independence, marital status, educational level, employment, private insurance access, having pain, and having hospitalizations, pressure ulcers or UTIs in the past year. Fisher’s Exact was used to compare race, etiology. T-tests were used to compare hours worked, income, out of pocket expenses, personal care expenses, social and economic self-sufficiency totals as well as anxiety, depression, happiness, SWL and perceived health scores.</w:t>
      </w:r>
      <w:r>
        <w:t xml:space="preserve"> </w:t>
      </w:r>
      <w:r w:rsidRPr="00055E63">
        <w:t>Descriptive statistics were used for demographic and injury-related information as well as healthcare utilization, and employment status based on geographical location</w:t>
      </w:r>
      <w:r>
        <w:t>.</w:t>
      </w:r>
      <w:r w:rsidR="00DE2341">
        <w:t xml:space="preserve"> </w:t>
      </w:r>
    </w:p>
    <w:p w:rsidR="00E66353" w:rsidRPr="00055E63" w:rsidRDefault="00DE2341" w:rsidP="00AF63BC">
      <w:pPr>
        <w:jc w:val="left"/>
      </w:pPr>
      <w:r>
        <w:lastRenderedPageBreak/>
        <w:t xml:space="preserve">To determine the effect of urban-living on the two major </w:t>
      </w:r>
      <w:r w:rsidR="00B43BD9">
        <w:t>long-term</w:t>
      </w:r>
      <w:r>
        <w:t xml:space="preserve"> outcomes (</w:t>
      </w:r>
      <w:r w:rsidR="001A5060">
        <w:t xml:space="preserve">incidence of </w:t>
      </w:r>
      <w:r>
        <w:t xml:space="preserve">pressure ulcers and UTIs), we ran a logistical regression models </w:t>
      </w:r>
      <w:r w:rsidR="009515A3">
        <w:t>considering</w:t>
      </w:r>
      <w:r>
        <w:t xml:space="preserve"> the participant race, employment status,</w:t>
      </w:r>
      <w:r w:rsidR="00DD1A0B">
        <w:t xml:space="preserve"> household income, urban vs. rural living.</w:t>
      </w:r>
      <w:r>
        <w:t xml:space="preserve">  </w:t>
      </w:r>
      <w:r w:rsidR="00E66353">
        <w:t xml:space="preserve"> </w:t>
      </w:r>
      <w:r w:rsidR="00E66353" w:rsidRPr="00055E63">
        <w:t xml:space="preserve">All data was obtained from participants’ most recent interviews. For all analyses, statistical significance was determined by p-values below .05. </w:t>
      </w:r>
    </w:p>
    <w:p w:rsidR="00B917F0" w:rsidRDefault="00E66353" w:rsidP="00B917F0">
      <w:pPr>
        <w:pStyle w:val="Heading1"/>
      </w:pPr>
      <w:bookmarkStart w:id="21" w:name="_Toc511655575"/>
      <w:bookmarkEnd w:id="18"/>
      <w:bookmarkEnd w:id="19"/>
      <w:bookmarkEnd w:id="20"/>
      <w:r>
        <w:lastRenderedPageBreak/>
        <w:t>results</w:t>
      </w:r>
      <w:bookmarkEnd w:id="21"/>
    </w:p>
    <w:p w:rsidR="00E66353" w:rsidRPr="00663870" w:rsidRDefault="00E66353" w:rsidP="00E66353">
      <w:pPr>
        <w:pStyle w:val="Heading3"/>
      </w:pPr>
      <w:bookmarkStart w:id="22" w:name="_Toc511655576"/>
      <w:bookmarkStart w:id="23" w:name="_Toc106513533"/>
      <w:bookmarkStart w:id="24" w:name="_Toc106717791"/>
      <w:bookmarkStart w:id="25" w:name="_Toc114179900"/>
      <w:r>
        <w:t>Participant Characteristics</w:t>
      </w:r>
      <w:bookmarkEnd w:id="22"/>
    </w:p>
    <w:p w:rsidR="00E66353" w:rsidRPr="00A25213" w:rsidRDefault="00CA13BD" w:rsidP="005F3D95">
      <w:pPr>
        <w:jc w:val="left"/>
      </w:pPr>
      <w:r>
        <w:t>Table 1</w:t>
      </w:r>
      <w:r w:rsidR="00E66353" w:rsidRPr="00A25213">
        <w:t xml:space="preserve"> </w:t>
      </w:r>
      <w:r w:rsidR="00E66353">
        <w:t>demonstrates</w:t>
      </w:r>
      <w:r w:rsidR="00E66353" w:rsidRPr="00A25213">
        <w:t xml:space="preserve"> the demographic and injury characteristics </w:t>
      </w:r>
      <w:r w:rsidR="00E66353">
        <w:t xml:space="preserve">of the study population. </w:t>
      </w:r>
      <w:r w:rsidR="00E66353" w:rsidRPr="00A25213">
        <w:t xml:space="preserve">Rural-living participants </w:t>
      </w:r>
      <w:r w:rsidR="00E66353">
        <w:t>were significantly less likely to have a college degree (</w:t>
      </w:r>
      <w:r w:rsidR="00E66353" w:rsidRPr="00A25213">
        <w:t>24.2% v. 46.5%</w:t>
      </w:r>
      <w:r w:rsidR="00E66353">
        <w:t xml:space="preserve">; p&lt;.001) and be </w:t>
      </w:r>
      <w:r w:rsidR="00E66353" w:rsidRPr="00A25213">
        <w:t>employed (</w:t>
      </w:r>
      <w:r w:rsidR="00E66353">
        <w:t>28.4%</w:t>
      </w:r>
      <w:r w:rsidR="00E66353" w:rsidRPr="00A25213">
        <w:t xml:space="preserve"> v</w:t>
      </w:r>
      <w:r w:rsidR="00E66353">
        <w:t>. 51.6%, p&lt;.001). In addition, rural-living participants were significantly more likely to live with parents or a guardian (52.6% v. 30.6%, p&lt;.001) and they had significantly</w:t>
      </w:r>
      <w:r w:rsidR="00E66353" w:rsidRPr="00A25213">
        <w:t xml:space="preserve"> lower personal ($17,615 v. $36,455, p&lt;.001) and household incomes ($33,220 v. $</w:t>
      </w:r>
      <w:r w:rsidR="00E66353">
        <w:t>53,595, p=.02</w:t>
      </w:r>
      <w:r w:rsidR="00E66353" w:rsidRPr="00A25213">
        <w:t>)</w:t>
      </w:r>
      <w:r w:rsidR="00E66353">
        <w:t>.  Finally, rural-living participants were</w:t>
      </w:r>
      <w:r w:rsidR="00E66353" w:rsidRPr="00A25213">
        <w:t xml:space="preserve"> less likely to have private insurance (</w:t>
      </w:r>
      <w:r w:rsidR="00E66353">
        <w:t>32.6</w:t>
      </w:r>
      <w:r w:rsidR="00E66353" w:rsidRPr="00A25213">
        <w:t>% v</w:t>
      </w:r>
      <w:r w:rsidR="00E66353">
        <w:t>.</w:t>
      </w:r>
      <w:r w:rsidR="00E66353" w:rsidRPr="00A25213">
        <w:t xml:space="preserve"> </w:t>
      </w:r>
      <w:r w:rsidR="00E66353">
        <w:t>50.5</w:t>
      </w:r>
      <w:r w:rsidR="00E66353" w:rsidRPr="00A25213">
        <w:t>%, p</w:t>
      </w:r>
      <w:r w:rsidR="00E66353">
        <w:t>&lt;.002</w:t>
      </w:r>
      <w:r w:rsidR="00E66353" w:rsidRPr="00A25213">
        <w:t>)</w:t>
      </w:r>
      <w:r w:rsidR="00E66353">
        <w:t xml:space="preserve">. </w:t>
      </w:r>
      <w:r w:rsidR="005F3D95">
        <w:t xml:space="preserve">Furthermore, there were a greater proportion of female participants living in urban areas (39.6% vs. 27.4%, p=0.27).  </w:t>
      </w:r>
      <w:r w:rsidR="00E66353">
        <w:t>There was no difference between race, neurological impairment groups, etiology of injury or driving status.</w:t>
      </w:r>
    </w:p>
    <w:p w:rsidR="008812FC" w:rsidRPr="00A25213" w:rsidRDefault="00E66353" w:rsidP="00AF63BC">
      <w:pPr>
        <w:jc w:val="left"/>
      </w:pPr>
      <w:r w:rsidRPr="00A25213">
        <w:t>In terms of healthcare</w:t>
      </w:r>
      <w:r w:rsidR="00CA13BD">
        <w:t xml:space="preserve"> factors listed in Table 2</w:t>
      </w:r>
      <w:r w:rsidRPr="00A25213">
        <w:t xml:space="preserve">, </w:t>
      </w:r>
      <w:r>
        <w:t>rural participants were more</w:t>
      </w:r>
      <w:r w:rsidRPr="00A25213">
        <w:t xml:space="preserve"> likely to have a pressure ulcer in the last year (42.1% v</w:t>
      </w:r>
      <w:r>
        <w:t xml:space="preserve">. 30.1%, p=.028). They also </w:t>
      </w:r>
      <w:r w:rsidRPr="00A25213">
        <w:t>received fewer hours/day of paid personal care assistance (0.9 v</w:t>
      </w:r>
      <w:r>
        <w:t xml:space="preserve">. </w:t>
      </w:r>
      <w:r w:rsidRPr="00A25213">
        <w:t>1.6</w:t>
      </w:r>
      <w:r>
        <w:t>5 hours, p=.006</w:t>
      </w:r>
      <w:r w:rsidRPr="00A25213">
        <w:t>)</w:t>
      </w:r>
      <w:r>
        <w:t xml:space="preserve"> and rated themselves as less socially integrated (84.5 v. 91.6, p&lt;.001) and economically self-sufficient (65.8 v. 74.8, p=.049).  No differences were found in terms of hospitalizations, use of </w:t>
      </w:r>
      <w:r w:rsidRPr="00A25213">
        <w:t xml:space="preserve">unpaid home assistance or </w:t>
      </w:r>
      <w:r>
        <w:t xml:space="preserve">having </w:t>
      </w:r>
      <w:r w:rsidRPr="00A25213">
        <w:t>o</w:t>
      </w:r>
      <w:r>
        <w:t>ut of pocket medical expenses. There were also</w:t>
      </w:r>
      <w:r w:rsidRPr="00A25213">
        <w:t xml:space="preserve"> no differences in</w:t>
      </w:r>
      <w:r>
        <w:t xml:space="preserve"> the incidence of</w:t>
      </w:r>
      <w:r w:rsidRPr="00A25213">
        <w:t xml:space="preserve"> urinary tract infections, days hospitalized</w:t>
      </w:r>
      <w:r>
        <w:t>, or other health-related outcomes</w:t>
      </w:r>
      <w:r w:rsidRPr="00A25213">
        <w:t xml:space="preserve"> (depression, anxiety, or satisfaction with life).</w:t>
      </w:r>
      <w:r>
        <w:t xml:space="preserve"> </w:t>
      </w:r>
      <w:r w:rsidR="00CA13BD">
        <w:t xml:space="preserve">  Table 3</w:t>
      </w:r>
      <w:r w:rsidR="008812FC">
        <w:t xml:space="preserve"> lists the output of the logistic regression and suggests that unemployment and reliance on public insurance significantly explained the differences between differences in the rates of UTI and pressure ulcers.  </w:t>
      </w:r>
    </w:p>
    <w:p w:rsidR="00B917F0" w:rsidRDefault="00E66353" w:rsidP="00B917F0">
      <w:pPr>
        <w:pStyle w:val="Heading2"/>
      </w:pPr>
      <w:bookmarkStart w:id="26" w:name="_Toc511655577"/>
      <w:bookmarkEnd w:id="23"/>
      <w:bookmarkEnd w:id="24"/>
      <w:bookmarkEnd w:id="25"/>
      <w:r>
        <w:lastRenderedPageBreak/>
        <w:t>dISCUSSION</w:t>
      </w:r>
      <w:bookmarkEnd w:id="26"/>
    </w:p>
    <w:p w:rsidR="00E66353" w:rsidRPr="00A25213" w:rsidRDefault="00E66353" w:rsidP="00AF63BC">
      <w:pPr>
        <w:jc w:val="left"/>
      </w:pPr>
      <w:bookmarkStart w:id="27" w:name="_Toc106513534"/>
      <w:bookmarkStart w:id="28" w:name="_Toc106717792"/>
      <w:bookmarkStart w:id="29" w:name="_Toc114179901"/>
      <w:r w:rsidRPr="00A25213">
        <w:t xml:space="preserve">To our knowledge, few </w:t>
      </w:r>
      <w:r>
        <w:t>studies</w:t>
      </w:r>
      <w:r w:rsidRPr="00A25213">
        <w:t xml:space="preserve"> have </w:t>
      </w:r>
      <w:r>
        <w:t>observed</w:t>
      </w:r>
      <w:r w:rsidRPr="00A25213">
        <w:t xml:space="preserve"> the long-term health outco</w:t>
      </w:r>
      <w:r>
        <w:t>mes of patients with pediatric-</w:t>
      </w:r>
      <w:r w:rsidRPr="00A25213">
        <w:t xml:space="preserve">onset </w:t>
      </w:r>
      <w:r>
        <w:t>SCI</w:t>
      </w:r>
      <w:r w:rsidRPr="00A25213">
        <w:t xml:space="preserve">. Within our </w:t>
      </w:r>
      <w:r w:rsidRPr="00581672">
        <w:rPr>
          <w:noProof/>
        </w:rPr>
        <w:t>cohort</w:t>
      </w:r>
      <w:r>
        <w:rPr>
          <w:noProof/>
        </w:rPr>
        <w:t>,</w:t>
      </w:r>
      <w:r w:rsidRPr="00A25213">
        <w:t xml:space="preserve"> 20% liv</w:t>
      </w:r>
      <w:r>
        <w:t>ed</w:t>
      </w:r>
      <w:r w:rsidRPr="00A25213">
        <w:t xml:space="preserve"> in rural areas, consistent with the national average of 19%</w:t>
      </w:r>
      <w:r>
        <w:t xml:space="preserve">. </w:t>
      </w:r>
      <w:r w:rsidR="002574B4" w:rsidRPr="00A25213">
        <w:t>A previous study of veterans with spinal cord injuries showed a higher proportion living in rural areas (39.2 %)</w:t>
      </w:r>
      <w:r w:rsidR="002574B4">
        <w:t>.</w:t>
      </w:r>
      <w:r w:rsidR="002574B4">
        <w:fldChar w:fldCharType="begin" w:fldLock="1"/>
      </w:r>
      <w:r w:rsidR="00AF63BC">
        <w:instrText>ADDIN CSL_CITATION { "citationItems" : [ { "id" : "ITEM-1", "itemData" : { "DOI" : "10.1310/sci1604-27", "ISBN" : "1082-0744", "ISSN" : "1082-0744", "abstract" : "The US Department of Veterans Affairs (VA) is the largest system of care for individuals with spinal cord injury/disorder (SCI/D) in the world. This article compares demographics, utilization, diagnoses, and associated costs between veterans with traumatic and nontraumatic SCI/D. Regression analyses were used to predict the effect of injury etiology on patient utilization and cost after controlling for covariates. Veterans with a nontraumatic SCI/D were significantly older with a greater number of comorbidities and outpatient utilization; however, there was no difference in health care costs between groups, and injury etiology was not a significant predictor of cost. Recommendations for future research based on these findings are offered. 2011 Thomas Land Publishers, Inc", "author" : [ { "dropping-particle" : "", "family" : "Andre", "given" : "Justin R.", "non-dropping-particle" : "St.", "parse-names" : false, "suffix" : "" }, { "dropping-particle" : "", "family" : "Smith", "given" : "Bridget M.", "non-dropping-particle" : "", "parse-names" : false, "suffix" : "" }, { "dropping-particle" : "", "family" : "Stroupe", "given" : "Kevin T.", "non-dropping-particle" : "", "parse-names" : false, "suffix" : "" }, { "dropping-particle" : "", "family" : "Burns", "given" : "Stephen P.", "non-dropping-particle" : "", "parse-names" : false, "suffix" : "" }, { "dropping-particle" : "", "family" : "Evans", "given" : "Charlesnika T.", "non-dropping-particle" : "", "parse-names" : false, "suffix" : "" }, { "dropping-particle" : "", "family" : "Ripley", "given" : "Diane Cowper", "non-dropping-particle" : "", "parse-names" : false, "suffix" : "" }, { "dropping-particle" : "", "family" : "Li", "given" : "Keran", "non-dropping-particle" : "", "parse-names" : false, "suffix" : "" }, { "dropping-particle" : "", "family" : "Huo", "given" : "Zhiping", "non-dropping-particle" : "", "parse-names" : false, "suffix" : "" }, { "dropping-particle" : "", "family" : "Hogan", "given" : "Timothy P.", "non-dropping-particle" : "", "parse-names" : false, "suffix" : "" }, { "dropping-particle" : "", "family" : "Weaver", "given" : "Frances M.", "non-dropping-particle" : "", "parse-names" : false, "suffix" : "" } ], "container-title" : "Topics in Spinal Cord Injury Rehabilitation", "id" : "ITEM-1", "issue" : "4", "issued" : { "date-parts" : [ [ "2011" ] ] }, "page" : "27-42", "title" : "A Comparison of Costs and Health Care Utilization for Veterans with Traumatic and Nontraumatic Spinal Cord Injury", "type" : "article-journal", "volume" : "16" }, "uris" : [ "http://www.mendeley.com/documents/?uuid=da404842-95e1-4d9b-813b-4299bdbc2396" ] } ], "mendeley" : { "formattedCitation" : "(St. Andre et al., 2011)", "plainTextFormattedCitation" : "(St. Andre et al., 2011)", "previouslyFormattedCitation" : "(St. Andre et al., 2011)" }, "properties" : {  }, "schema" : "https://github.com/citation-style-language/schema/raw/master/csl-citation.json" }</w:instrText>
      </w:r>
      <w:r w:rsidR="002574B4">
        <w:fldChar w:fldCharType="separate"/>
      </w:r>
      <w:r w:rsidR="002574B4" w:rsidRPr="002574B4">
        <w:rPr>
          <w:noProof/>
        </w:rPr>
        <w:t>(St. Andre et al., 2011)</w:t>
      </w:r>
      <w:r w:rsidR="002574B4">
        <w:fldChar w:fldCharType="end"/>
      </w:r>
      <w:r w:rsidR="002574B4">
        <w:t xml:space="preserve"> </w:t>
      </w:r>
      <w:r>
        <w:t xml:space="preserve"> </w:t>
      </w:r>
      <w:r w:rsidRPr="00A25213">
        <w:t>With respect to education, our</w:t>
      </w:r>
      <w:r>
        <w:t xml:space="preserve"> participants were well-</w:t>
      </w:r>
      <w:r w:rsidRPr="00A25213">
        <w:t>educated</w:t>
      </w:r>
      <w:r>
        <w:t xml:space="preserve">, with </w:t>
      </w:r>
      <w:r w:rsidRPr="00A25213">
        <w:t xml:space="preserve">urban participants </w:t>
      </w:r>
      <w:r>
        <w:t>having a higher attainment of</w:t>
      </w:r>
      <w:r w:rsidRPr="00A25213">
        <w:t xml:space="preserve"> college degree than the national average (33%). </w:t>
      </w:r>
      <w:r>
        <w:t>P</w:t>
      </w:r>
      <w:r w:rsidRPr="00A25213">
        <w:t>atients in rural areas</w:t>
      </w:r>
      <w:r>
        <w:t>, however,</w:t>
      </w:r>
      <w:r w:rsidRPr="00A25213">
        <w:t xml:space="preserve"> were less likely to have a college degree and less likely to be employed</w:t>
      </w:r>
      <w:r>
        <w:t xml:space="preserve"> than our urban participants</w:t>
      </w:r>
      <w:r w:rsidR="00D53E93">
        <w:t xml:space="preserve">. </w:t>
      </w:r>
      <w:r>
        <w:t>Moreover, rural-living employed individuals</w:t>
      </w:r>
      <w:r w:rsidRPr="00A25213">
        <w:t xml:space="preserve"> had a much lower personal yearly income </w:t>
      </w:r>
      <w:r>
        <w:t xml:space="preserve">compared to urban dwelling, </w:t>
      </w:r>
      <w:r w:rsidRPr="00A25213">
        <w:t>with an overall average difference of $</w:t>
      </w:r>
      <w:r>
        <w:t>18,840</w:t>
      </w:r>
      <w:r w:rsidR="0010450F">
        <w:t xml:space="preserve"> (including unemployed)</w:t>
      </w:r>
      <w:r w:rsidR="0051302C">
        <w:t xml:space="preserve">.  </w:t>
      </w:r>
      <w:r>
        <w:t xml:space="preserve">which is notably more than the national difference of $15,779 between the general population of urban versus </w:t>
      </w:r>
      <w:r w:rsidRPr="00943B08">
        <w:rPr>
          <w:noProof/>
        </w:rPr>
        <w:t>rural-living</w:t>
      </w:r>
      <w:r>
        <w:t xml:space="preserve"> employed individuals</w:t>
      </w:r>
      <w:r w:rsidR="0051302C">
        <w:t xml:space="preserve">.  </w:t>
      </w:r>
      <w:r w:rsidR="006B65AF">
        <w:t xml:space="preserve">It may simply be cheaper for those unemployed to live in rural areas, however. </w:t>
      </w:r>
      <w:r>
        <w:t>The lower educational levels in rural-living individuals may also explain the disparity in employment</w:t>
      </w:r>
      <w:r w:rsidR="00962C5B">
        <w:t xml:space="preserve">. </w:t>
      </w:r>
      <w:r>
        <w:t>Unfortunately, we</w:t>
      </w:r>
      <w:r w:rsidRPr="00A25213">
        <w:t xml:space="preserve"> could not account for participants that moved to urban areas in pursuit of further education or higher-paying employment opportunities</w:t>
      </w:r>
      <w:r>
        <w:t xml:space="preserve"> or those who had income from other sources. </w:t>
      </w:r>
    </w:p>
    <w:p w:rsidR="00E66353" w:rsidRPr="00A25213" w:rsidRDefault="00E66353" w:rsidP="00AF63BC">
      <w:pPr>
        <w:jc w:val="left"/>
      </w:pPr>
      <w:r>
        <w:t>Rural</w:t>
      </w:r>
      <w:r w:rsidRPr="00A25213">
        <w:t xml:space="preserve">-living individuals </w:t>
      </w:r>
      <w:r>
        <w:t xml:space="preserve">do appear to have difficulty in accessing private health insurance, which could be due to disparities in employment and decreased income as well as distance to care. </w:t>
      </w:r>
      <w:r w:rsidRPr="00A25213">
        <w:t xml:space="preserve">There was also no difference in unpaid home assistance, </w:t>
      </w:r>
      <w:r>
        <w:t>however, those in rural areas received</w:t>
      </w:r>
      <w:r w:rsidRPr="00A25213">
        <w:t xml:space="preserve"> </w:t>
      </w:r>
      <w:r>
        <w:t>fewer hours of paid home assistance, also possibly due to limited income</w:t>
      </w:r>
      <w:r w:rsidRPr="00A25213">
        <w:t xml:space="preserve"> or lack of area health services</w:t>
      </w:r>
      <w:r>
        <w:t>.</w:t>
      </w:r>
      <w:r>
        <w:fldChar w:fldCharType="begin" w:fldLock="1"/>
      </w:r>
      <w:r w:rsidR="002574B4">
        <w:instrText>ADDIN CSL_CITATION { "citationItems" : [ { "id" : "ITEM-1", "itemData" : { "DOI" : "10.3109/09638288.2014.972593", "ISSN" : "1464-5165", "PMID" : "25332089", "abstract" : "Abstract Purpose: To examine the perspectives of persons living with traumatic spinal cord injuries (tSCI) on their access to health and support services. The specific aims were to identify the perceived gaps in access, classify the nature of the perceived gaps and compare differences in perceptions of access between urban and rural participants. Method: Using a descriptive, qualitative approach, semi-structured interviews were conducted with 23 adults living with tSCI, 13 of whom had paraplegia. Ten participants resided in rural areas and 16 were male. Thematic analysis allowed for the identification of patterns, which were then categorized according to the dimensions of access. Results: Opportunities to engage in health-promoting activities through a broad range of health and support services were at times limited, particularly by issues of affordability. In addition to core healthcare services, participants reported the need for complementary therapies, sports and leisure, peer support, equipment and mobility related services. Availability and accessibility of services was limited in some cases for rural participants, although rural residence conferred other valued benefits. Narratives of \"not being heard\" by providers were common. Conclusions: Maintaining health and well-being in people with tSCI demands access to both conventional health care and support services. Implications for Rehabilitation Access to both health and support services are important to maintaining the health and wellness of people with spinal cord injury. People with spinal cord injuries take an active role in coordinating their health, at times assuming various roles to compensate for perceived shortcomings of health care providers. Negotiating balances of power with gatekeepers in the health and insurance sectors was a key function of the coordinating role assumed by people with spinal cord injury. In order to effectively address the needs of this population, a coordinated interdisciplinary out-reach service, which includes peer support, must cross boundaries to engage sectors beyond traditional health care services, such as insurers and wellness providers.", "author" : [ { "dropping-particle" : "", "family" : "Goodridge", "given" : "Donna", "non-dropping-particle" : "", "parse-names" : false, "suffix" : "" }, { "dropping-particle" : "", "family" : "Rogers", "given" : "Marla", "non-dropping-particle" : "", "parse-names" : false, "suffix" : "" }, { "dropping-particle" : "", "family" : "Klassen", "given" : "Laura", "non-dropping-particle" : "", "parse-names" : false, "suffix" : "" }, { "dropping-particle" : "", "family" : "Jeffery", "given" : "Bonnie", "non-dropping-particle" : "", "parse-names" : false, "suffix" : "" }, { "dropping-particle" : "", "family" : "Knox", "given" : "Katherine", "non-dropping-particle" : "", "parse-names" : false, "suffix" : "" }, { "dropping-particle" : "", "family" : "Rohatinsky", "given" : "Noelle", "non-dropping-particle" : "", "parse-names" : false, "suffix" : "" }, { "dropping-particle" : "", "family" : "Linassi", "given" : "Gary", "non-dropping-particle" : "", "parse-names" : false, "suffix" : "" } ], "container-title" : "Disability and Rehabilitation", "id" : "ITEM-1", "issue" : "October", "issued" : { "date-parts" : [ [ "2014" ] ] }, "page" : "1-10", "title" : "Access to health and support services: perspectives of people living with a long-term traumatic spinal cord injury in rural and urban areas.", "type" : "article-journal", "volume" : "8288" }, "uris" : [ "http://www.mendeley.com/documents/?uuid=8ba14522-0255-4878-9068-7c4e27c4db69" ] } ], "mendeley" : { "formattedCitation" : "(Goodridge et al., 2014)", "plainTextFormattedCitation" : "(Goodridge et al., 2014)", "previouslyFormattedCitation" : "(Goodridge et al., 2014)" }, "properties" : {  }, "schema" : "https://github.com/citation-style-language/schema/raw/master/csl-citation.json" }</w:instrText>
      </w:r>
      <w:r>
        <w:fldChar w:fldCharType="separate"/>
      </w:r>
      <w:r w:rsidR="002574B4" w:rsidRPr="002574B4">
        <w:rPr>
          <w:noProof/>
        </w:rPr>
        <w:t>(Goodridge et al., 2014)</w:t>
      </w:r>
      <w:r>
        <w:fldChar w:fldCharType="end"/>
      </w:r>
      <w:r>
        <w:t xml:space="preserve"> </w:t>
      </w:r>
    </w:p>
    <w:p w:rsidR="00E66353" w:rsidRDefault="00E66353" w:rsidP="00AF63BC">
      <w:pPr>
        <w:jc w:val="left"/>
      </w:pPr>
      <w:r>
        <w:t>In terms of secondary health outcomes, w</w:t>
      </w:r>
      <w:r w:rsidRPr="00A25213">
        <w:t xml:space="preserve">e noted that rural patients were more likely to </w:t>
      </w:r>
      <w:r>
        <w:t xml:space="preserve">have </w:t>
      </w:r>
      <w:r w:rsidRPr="00A25213">
        <w:t>a pressure ulcer in the past year</w:t>
      </w:r>
      <w:r>
        <w:t xml:space="preserve">, but there was no difference in frequency of UTIs or </w:t>
      </w:r>
      <w:r>
        <w:lastRenderedPageBreak/>
        <w:t xml:space="preserve">presence of pain.  Goodrich et al. noted that rehabilitative services such as physiotherapy and occupational therapy were highly valued by participants in preventing pressure ulcers </w:t>
      </w:r>
      <w:r>
        <w:fldChar w:fldCharType="begin" w:fldLock="1"/>
      </w:r>
      <w:r w:rsidR="002574B4">
        <w:instrText>ADDIN CSL_CITATION { "citationItems" : [ { "id" : "ITEM-1", "itemData" : { "DOI" : "10.3109/09638288.2014.972593", "ISSN" : "1464-5165", "PMID" : "25332089", "abstract" : "Abstract Purpose: To examine the perspectives of persons living with traumatic spinal cord injuries (tSCI) on their access to health and support services. The specific aims were to identify the perceived gaps in access, classify the nature of the perceived gaps and compare differences in perceptions of access between urban and rural participants. Method: Using a descriptive, qualitative approach, semi-structured interviews were conducted with 23 adults living with tSCI, 13 of whom had paraplegia. Ten participants resided in rural areas and 16 were male. Thematic analysis allowed for the identification of patterns, which were then categorized according to the dimensions of access. Results: Opportunities to engage in health-promoting activities through a broad range of health and support services were at times limited, particularly by issues of affordability. In addition to core healthcare services, participants reported the need for complementary therapies, sports and leisure, peer support, equipment and mobility related services. Availability and accessibility of services was limited in some cases for rural participants, although rural residence conferred other valued benefits. Narratives of \"not being heard\" by providers were common. Conclusions: Maintaining health and well-being in people with tSCI demands access to both conventional health care and support services. Implications for Rehabilitation Access to both health and support services are important to maintaining the health and wellness of people with spinal cord injury. People with spinal cord injuries take an active role in coordinating their health, at times assuming various roles to compensate for perceived shortcomings of health care providers. Negotiating balances of power with gatekeepers in the health and insurance sectors was a key function of the coordinating role assumed by people with spinal cord injury. In order to effectively address the needs of this population, a coordinated interdisciplinary out-reach service, which includes peer support, must cross boundaries to engage sectors beyond traditional health care services, such as insurers and wellness providers.", "author" : [ { "dropping-particle" : "", "family" : "Goodridge", "given" : "Donna", "non-dropping-particle" : "", "parse-names" : false, "suffix" : "" }, { "dropping-particle" : "", "family" : "Rogers", "given" : "Marla", "non-dropping-particle" : "", "parse-names" : false, "suffix" : "" }, { "dropping-particle" : "", "family" : "Klassen", "given" : "Laura", "non-dropping-particle" : "", "parse-names" : false, "suffix" : "" }, { "dropping-particle" : "", "family" : "Jeffery", "given" : "Bonnie", "non-dropping-particle" : "", "parse-names" : false, "suffix" : "" }, { "dropping-particle" : "", "family" : "Knox", "given" : "Katherine", "non-dropping-particle" : "", "parse-names" : false, "suffix" : "" }, { "dropping-particle" : "", "family" : "Rohatinsky", "given" : "Noelle", "non-dropping-particle" : "", "parse-names" : false, "suffix" : "" }, { "dropping-particle" : "", "family" : "Linassi", "given" : "Gary", "non-dropping-particle" : "", "parse-names" : false, "suffix" : "" } ], "container-title" : "Disability and Rehabilitation", "id" : "ITEM-1", "issue" : "October", "issued" : { "date-parts" : [ [ "2014" ] ] }, "page" : "1-10", "title" : "Access to health and support services: perspectives of people living with a long-term traumatic spinal cord injury in rural and urban areas.", "type" : "article-journal", "volume" : "8288" }, "uris" : [ "http://www.mendeley.com/documents/?uuid=8ba14522-0255-4878-9068-7c4e27c4db69" ] }, { "id" : "ITEM-2", "itemData" : { "ISSN" : "0890-765X", "PMID" : "10172606", "abstract" : "Despite the prevalence of disabilities among persons living in rural areas, scarce data exist on their health care needs. While rural residents generally experience barriers to access to primary health care, these problems are further exacerbated for people with disabilities. This article summarizes findings from the published literature on access to primary health care among people with disabilities living in rural locations. A comprehensive computerized literature search turned up 86 articles meeting the study criteria, focused on the following rural populations affected by disabilities: children and adolescents, working-age adults, the elderly the mentally ill, and people with AIDS. For each of these populations, substantial problems in accessing appropriate health care have been documented. The literature consistently emphasizes the failure of local health care systems in nonmetropolitan areas to adequately address the complex medical and related needs of individuals with disabilities. In the absence of specialized expertise, facilities, and primary care providers trained specifically to care for disabled persons, local programs rely heavily on the use of indigenous paraprofessionals and alternative models of care. Further research is needed to identify and test the efficacy of innovative service delivery strategies to improve health care access for this population.", "author" : [ { "dropping-particle" : "", "family" : "Lishner", "given" : "D M", "non-dropping-particle" : "", "parse-names" : false, "suffix" : "" }, { "dropping-particle" : "", "family" : "Richardson", "given" : "M", "non-dropping-particle" : "", "parse-names" : false, "suffix" : "" }, { "dropping-particle" : "", "family" : "Levine", "given" : "P", "non-dropping-particle" : "", "parse-names" : false, "suffix" : "" }, { "dropping-particle" : "", "family" : "Patrick", "given" : "D", "non-dropping-particle" : "", "parse-names" : false, "suffix" : "" } ], "container-title" : "The Journal of Rural Health", "id" : "ITEM-2", "issued" : { "date-parts" : [ [ "1996" ] ] }, "page" : "45-53", "title" : "Access to Primary Health Care Among Persons With Disabilities in Rural areas: A Summary of the Literature", "type" : "article-journal", "volume" : "12" }, "uris" : [ "http://www.mendeley.com/documents/?uuid=680cab52-9b59-422a-a0b4-8b6286d97140" ] } ], "mendeley" : { "formattedCitation" : "(Goodridge et al., 2014; Lishner et al., 1996)", "plainTextFormattedCitation" : "(Goodridge et al., 2014; Lishner et al., 1996)", "previouslyFormattedCitation" : "(Goodridge et al., 2014; Lishner et al., 1996)" }, "properties" : {  }, "schema" : "https://github.com/citation-style-language/schema/raw/master/csl-citation.json" }</w:instrText>
      </w:r>
      <w:r>
        <w:fldChar w:fldCharType="separate"/>
      </w:r>
      <w:r w:rsidR="002574B4" w:rsidRPr="002574B4">
        <w:rPr>
          <w:noProof/>
        </w:rPr>
        <w:t>(Goodridge et al., 2014; Lishner et al., 1996)</w:t>
      </w:r>
      <w:r>
        <w:fldChar w:fldCharType="end"/>
      </w:r>
      <w:r>
        <w:t xml:space="preserve">, which may be more difficult to access in rural settings. With respect to psychosocial functioning, no differences emerged on anxiety and depressive symptoms, happiness and life satisfaction, and perceived </w:t>
      </w:r>
      <w:r w:rsidRPr="00943B08">
        <w:rPr>
          <w:noProof/>
        </w:rPr>
        <w:t>health-related</w:t>
      </w:r>
      <w:r>
        <w:t xml:space="preserve"> quality of life; however, our rural participants reported decreased social integration and self-sufficiency. This could be related to greater distances to accessible social opportunities and the decreased income and employment, as we noted earlier. </w:t>
      </w:r>
    </w:p>
    <w:p w:rsidR="00E66353" w:rsidRPr="00A25213" w:rsidRDefault="00E66353" w:rsidP="00AF63BC">
      <w:pPr>
        <w:jc w:val="left"/>
      </w:pPr>
      <w:r>
        <w:t xml:space="preserve">There are several limitations to this study. Rural versus urban status was determined solely by </w:t>
      </w:r>
      <w:r w:rsidRPr="00943B08">
        <w:rPr>
          <w:noProof/>
        </w:rPr>
        <w:t>zip</w:t>
      </w:r>
      <w:r>
        <w:t xml:space="preserve"> code, but individual zip codes may cover multiple areas of differing population density. Data regarding factors such as distance traveled to seek medical care and specific transportation needs were not available.  Generalizability is limited as participants were predominantly Caucasian and male, although this is in line with the general U.S. SCI population (NSCISC). Nevertheless, the present study benefited from a large (N=471) and geographically diverse sample and </w:t>
      </w:r>
      <w:r w:rsidRPr="00581672">
        <w:rPr>
          <w:noProof/>
        </w:rPr>
        <w:t>long</w:t>
      </w:r>
      <w:r>
        <w:rPr>
          <w:noProof/>
        </w:rPr>
        <w:t>-</w:t>
      </w:r>
      <w:r w:rsidRPr="00581672">
        <w:rPr>
          <w:noProof/>
        </w:rPr>
        <w:t>term</w:t>
      </w:r>
      <w:r>
        <w:t xml:space="preserve"> follow-up. </w:t>
      </w:r>
    </w:p>
    <w:p w:rsidR="00E66353" w:rsidRDefault="00E66353" w:rsidP="00334F5E">
      <w:pPr>
        <w:pStyle w:val="Heading1"/>
      </w:pPr>
      <w:bookmarkStart w:id="30" w:name="_Toc511655578"/>
      <w:r>
        <w:lastRenderedPageBreak/>
        <w:t>Conclusions:</w:t>
      </w:r>
      <w:bookmarkEnd w:id="30"/>
    </w:p>
    <w:p w:rsidR="00E66353" w:rsidRPr="00A25213" w:rsidRDefault="00E66353" w:rsidP="00E66353">
      <w:r>
        <w:t xml:space="preserve">The </w:t>
      </w:r>
      <w:r w:rsidRPr="00A25213">
        <w:t>findings highlight that the disparities of adults with pediatric-onset SCI living in rural areas have with respect to ed</w:t>
      </w:r>
      <w:r>
        <w:t>ucation, employment, income, and self-sufficiency</w:t>
      </w:r>
      <w:r w:rsidRPr="00A25213">
        <w:t xml:space="preserve">. </w:t>
      </w:r>
      <w:r>
        <w:t>Our findings noted the disparities in employment and income in patients in rural areas. We also noted decreased access to educational opportunities and employment. We postulate that challenges to obtaining rehabilitative services may explain the increased incidence of pressure ulcers in a rural setting; however, further studies would be needed to establish a causal relationship.</w:t>
      </w:r>
    </w:p>
    <w:p w:rsidR="00E35361" w:rsidRDefault="00F863F2" w:rsidP="00F863F2">
      <w:pPr>
        <w:pStyle w:val="Appendix"/>
        <w:numPr>
          <w:ilvl w:val="0"/>
          <w:numId w:val="0"/>
        </w:numPr>
        <w:ind w:left="4590" w:hanging="4590"/>
        <w:rPr>
          <w:b/>
        </w:rPr>
      </w:pPr>
      <w:bookmarkStart w:id="31" w:name="_Toc511655579"/>
      <w:bookmarkStart w:id="32" w:name="_Toc106513536"/>
      <w:bookmarkStart w:id="33" w:name="_Toc106717794"/>
      <w:bookmarkEnd w:id="27"/>
      <w:bookmarkEnd w:id="28"/>
      <w:bookmarkEnd w:id="29"/>
      <w:r w:rsidRPr="00F863F2">
        <w:rPr>
          <w:b/>
        </w:rPr>
        <w:lastRenderedPageBreak/>
        <w:t>APPENDIX: TABLES</w:t>
      </w:r>
      <w:bookmarkEnd w:id="31"/>
    </w:p>
    <w:p w:rsidR="00F863F2" w:rsidRPr="00C40FFB" w:rsidRDefault="00F863F2" w:rsidP="00C40FFB">
      <w:pPr>
        <w:pStyle w:val="Caption"/>
        <w:ind w:firstLine="90"/>
        <w:jc w:val="center"/>
        <w:rPr>
          <w:rFonts w:ascii="Calibri" w:eastAsia="Calibri" w:hAnsi="Calibri"/>
          <w:b w:val="0"/>
          <w:sz w:val="22"/>
          <w:szCs w:val="22"/>
        </w:rPr>
      </w:pPr>
      <w:bookmarkStart w:id="34" w:name="_Toc511655203"/>
      <w:bookmarkEnd w:id="32"/>
      <w:bookmarkEnd w:id="33"/>
      <w:r w:rsidRPr="00C40FFB">
        <w:rPr>
          <w:sz w:val="22"/>
          <w:szCs w:val="22"/>
        </w:rPr>
        <w:t xml:space="preserve">Table </w:t>
      </w:r>
      <w:r w:rsidRPr="00C40FFB">
        <w:rPr>
          <w:sz w:val="22"/>
          <w:szCs w:val="22"/>
        </w:rPr>
        <w:fldChar w:fldCharType="begin"/>
      </w:r>
      <w:r w:rsidRPr="00C40FFB">
        <w:rPr>
          <w:sz w:val="22"/>
          <w:szCs w:val="22"/>
        </w:rPr>
        <w:instrText xml:space="preserve"> SEQ Table \* ARABIC </w:instrText>
      </w:r>
      <w:r w:rsidRPr="00C40FFB">
        <w:rPr>
          <w:sz w:val="22"/>
          <w:szCs w:val="22"/>
        </w:rPr>
        <w:fldChar w:fldCharType="separate"/>
      </w:r>
      <w:r w:rsidR="00BB5D94">
        <w:rPr>
          <w:noProof/>
          <w:sz w:val="22"/>
          <w:szCs w:val="22"/>
        </w:rPr>
        <w:t>1</w:t>
      </w:r>
      <w:r w:rsidRPr="00C40FFB">
        <w:rPr>
          <w:sz w:val="22"/>
          <w:szCs w:val="22"/>
        </w:rPr>
        <w:fldChar w:fldCharType="end"/>
      </w:r>
      <w:r w:rsidRPr="00C40FFB">
        <w:rPr>
          <w:sz w:val="22"/>
          <w:szCs w:val="22"/>
        </w:rPr>
        <w:t>: Participant Demographics</w:t>
      </w:r>
      <w:bookmarkEnd w:id="34"/>
    </w:p>
    <w:tbl>
      <w:tblPr>
        <w:tblStyle w:val="TableGrid3"/>
        <w:tblW w:w="9350" w:type="dxa"/>
        <w:tblLayout w:type="fixed"/>
        <w:tblLook w:val="04A0" w:firstRow="1" w:lastRow="0" w:firstColumn="1" w:lastColumn="0" w:noHBand="0" w:noVBand="1"/>
      </w:tblPr>
      <w:tblGrid>
        <w:gridCol w:w="2718"/>
        <w:gridCol w:w="1890"/>
        <w:gridCol w:w="1890"/>
        <w:gridCol w:w="1890"/>
        <w:gridCol w:w="962"/>
      </w:tblGrid>
      <w:tr w:rsidR="00011CB0" w:rsidRPr="00011CB0" w:rsidTr="002574B4">
        <w:trPr>
          <w:trHeight w:val="350"/>
        </w:trPr>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Total</w:t>
            </w:r>
          </w:p>
          <w:p w:rsidR="00011CB0" w:rsidRPr="00011CB0" w:rsidRDefault="00011CB0" w:rsidP="00011CB0">
            <w:pPr>
              <w:spacing w:line="240" w:lineRule="auto"/>
              <w:ind w:firstLine="0"/>
              <w:jc w:val="center"/>
              <w:rPr>
                <w:sz w:val="22"/>
                <w:szCs w:val="22"/>
              </w:rPr>
            </w:pPr>
            <w:r w:rsidRPr="00011CB0">
              <w:rPr>
                <w:sz w:val="22"/>
                <w:szCs w:val="22"/>
              </w:rPr>
              <w:t xml:space="preserve">n=471 </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Rural Living</w:t>
            </w:r>
          </w:p>
          <w:p w:rsidR="00011CB0" w:rsidRPr="00011CB0" w:rsidRDefault="00011CB0" w:rsidP="00011CB0">
            <w:pPr>
              <w:spacing w:line="240" w:lineRule="auto"/>
              <w:ind w:firstLine="0"/>
              <w:jc w:val="center"/>
              <w:rPr>
                <w:sz w:val="22"/>
                <w:szCs w:val="22"/>
              </w:rPr>
            </w:pPr>
            <w:r w:rsidRPr="00011CB0">
              <w:rPr>
                <w:sz w:val="22"/>
                <w:szCs w:val="22"/>
              </w:rPr>
              <w:t>n=95</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Urban Living</w:t>
            </w:r>
          </w:p>
          <w:p w:rsidR="00011CB0" w:rsidRPr="00011CB0" w:rsidRDefault="00011CB0" w:rsidP="00011CB0">
            <w:pPr>
              <w:spacing w:line="240" w:lineRule="auto"/>
              <w:ind w:firstLine="0"/>
              <w:jc w:val="center"/>
              <w:rPr>
                <w:sz w:val="22"/>
                <w:szCs w:val="22"/>
              </w:rPr>
            </w:pPr>
            <w:r w:rsidRPr="00011CB0">
              <w:rPr>
                <w:sz w:val="22"/>
                <w:szCs w:val="22"/>
              </w:rPr>
              <w:t>n=376</w:t>
            </w: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rPr>
          <w:trHeight w:val="593"/>
        </w:trPr>
        <w:tc>
          <w:tcPr>
            <w:tcW w:w="2718" w:type="dxa"/>
          </w:tcPr>
          <w:p w:rsidR="00011CB0" w:rsidRPr="00011CB0" w:rsidRDefault="00011CB0" w:rsidP="00011CB0">
            <w:pPr>
              <w:spacing w:line="240" w:lineRule="auto"/>
              <w:ind w:firstLine="0"/>
              <w:jc w:val="left"/>
              <w:rPr>
                <w:sz w:val="22"/>
                <w:szCs w:val="22"/>
              </w:rPr>
            </w:pPr>
            <w:r w:rsidRPr="00011CB0">
              <w:rPr>
                <w:sz w:val="22"/>
                <w:szCs w:val="22"/>
              </w:rPr>
              <w:t>Characteristics</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n (%)</w:t>
            </w:r>
          </w:p>
          <w:p w:rsidR="00011CB0" w:rsidRPr="00011CB0" w:rsidRDefault="00011CB0" w:rsidP="00011CB0">
            <w:pPr>
              <w:spacing w:line="240" w:lineRule="auto"/>
              <w:ind w:firstLine="0"/>
              <w:jc w:val="center"/>
              <w:rPr>
                <w:sz w:val="22"/>
                <w:szCs w:val="22"/>
              </w:rPr>
            </w:pPr>
            <w:r w:rsidRPr="00011CB0">
              <w:rPr>
                <w:sz w:val="22"/>
                <w:szCs w:val="22"/>
              </w:rPr>
              <w:t>or Mean (SD)</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n (%)</w:t>
            </w:r>
          </w:p>
          <w:p w:rsidR="00011CB0" w:rsidRPr="00011CB0" w:rsidRDefault="00011CB0" w:rsidP="00011CB0">
            <w:pPr>
              <w:spacing w:line="240" w:lineRule="auto"/>
              <w:ind w:firstLine="0"/>
              <w:jc w:val="center"/>
              <w:rPr>
                <w:sz w:val="22"/>
                <w:szCs w:val="22"/>
              </w:rPr>
            </w:pPr>
            <w:r w:rsidRPr="00011CB0">
              <w:rPr>
                <w:sz w:val="22"/>
                <w:szCs w:val="22"/>
              </w:rPr>
              <w:t>or Mean (SD)</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n (%)</w:t>
            </w:r>
          </w:p>
          <w:p w:rsidR="00011CB0" w:rsidRPr="00011CB0" w:rsidRDefault="00011CB0" w:rsidP="00011CB0">
            <w:pPr>
              <w:spacing w:line="240" w:lineRule="auto"/>
              <w:ind w:firstLine="0"/>
              <w:jc w:val="center"/>
              <w:rPr>
                <w:sz w:val="22"/>
                <w:szCs w:val="22"/>
              </w:rPr>
            </w:pPr>
            <w:r w:rsidRPr="00011CB0">
              <w:rPr>
                <w:sz w:val="22"/>
                <w:szCs w:val="22"/>
              </w:rPr>
              <w:t>or Mean (SD)</w:t>
            </w:r>
          </w:p>
        </w:tc>
        <w:tc>
          <w:tcPr>
            <w:tcW w:w="962" w:type="dxa"/>
          </w:tcPr>
          <w:p w:rsidR="00011CB0" w:rsidRPr="00011CB0" w:rsidRDefault="00011CB0" w:rsidP="00011CB0">
            <w:pPr>
              <w:spacing w:line="240" w:lineRule="auto"/>
              <w:ind w:firstLine="0"/>
              <w:jc w:val="left"/>
              <w:rPr>
                <w:sz w:val="22"/>
                <w:szCs w:val="22"/>
              </w:rPr>
            </w:pPr>
            <w:r w:rsidRPr="00011CB0">
              <w:rPr>
                <w:sz w:val="22"/>
                <w:szCs w:val="22"/>
              </w:rPr>
              <w:t>P value</w:t>
            </w:r>
          </w:p>
        </w:tc>
      </w:tr>
      <w:tr w:rsidR="00011CB0" w:rsidRPr="00011CB0" w:rsidTr="002574B4">
        <w:trPr>
          <w:trHeight w:val="233"/>
        </w:trPr>
        <w:tc>
          <w:tcPr>
            <w:tcW w:w="2718" w:type="dxa"/>
          </w:tcPr>
          <w:p w:rsidR="00011CB0" w:rsidRPr="00011CB0" w:rsidRDefault="00011CB0" w:rsidP="00011CB0">
            <w:pPr>
              <w:spacing w:line="240" w:lineRule="auto"/>
              <w:ind w:firstLine="0"/>
              <w:jc w:val="left"/>
              <w:rPr>
                <w:i/>
                <w:sz w:val="22"/>
                <w:szCs w:val="22"/>
              </w:rPr>
            </w:pPr>
            <w:r w:rsidRPr="00011CB0">
              <w:rPr>
                <w:i/>
                <w:sz w:val="22"/>
                <w:szCs w:val="22"/>
              </w:rPr>
              <w:t xml:space="preserve">Age </w:t>
            </w:r>
          </w:p>
          <w:p w:rsidR="00011CB0" w:rsidRPr="00011CB0" w:rsidRDefault="00011CB0" w:rsidP="00011CB0">
            <w:pPr>
              <w:spacing w:line="240" w:lineRule="auto"/>
              <w:ind w:firstLine="0"/>
              <w:jc w:val="left"/>
              <w:rPr>
                <w:i/>
                <w:sz w:val="22"/>
                <w:szCs w:val="22"/>
              </w:rPr>
            </w:pPr>
            <w:r w:rsidRPr="00011CB0">
              <w:rPr>
                <w:i/>
                <w:sz w:val="22"/>
                <w:szCs w:val="22"/>
              </w:rPr>
              <w:t xml:space="preserve">    Range</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31.8 (6.3)</w:t>
            </w:r>
          </w:p>
          <w:p w:rsidR="00011CB0" w:rsidRPr="00011CB0" w:rsidRDefault="00011CB0" w:rsidP="00011CB0">
            <w:pPr>
              <w:spacing w:line="240" w:lineRule="auto"/>
              <w:ind w:firstLine="0"/>
              <w:jc w:val="center"/>
              <w:rPr>
                <w:sz w:val="22"/>
                <w:szCs w:val="22"/>
              </w:rPr>
            </w:pPr>
            <w:r w:rsidRPr="00011CB0">
              <w:rPr>
                <w:sz w:val="22"/>
                <w:szCs w:val="22"/>
              </w:rPr>
              <w:t>19-51</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31.5 (6.4)</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31.9 (6.3)</w:t>
            </w:r>
          </w:p>
        </w:tc>
        <w:tc>
          <w:tcPr>
            <w:tcW w:w="962" w:type="dxa"/>
          </w:tcPr>
          <w:p w:rsidR="00011CB0" w:rsidRPr="00011CB0" w:rsidRDefault="00011CB0" w:rsidP="00011CB0">
            <w:pPr>
              <w:spacing w:line="240" w:lineRule="auto"/>
              <w:ind w:firstLine="0"/>
              <w:jc w:val="left"/>
              <w:rPr>
                <w:sz w:val="22"/>
                <w:szCs w:val="22"/>
              </w:rPr>
            </w:pPr>
            <w:r w:rsidRPr="00011CB0">
              <w:rPr>
                <w:sz w:val="22"/>
                <w:szCs w:val="22"/>
              </w:rPr>
              <w:t>.557</w:t>
            </w:r>
          </w:p>
        </w:tc>
      </w:tr>
      <w:tr w:rsidR="00DE44B3" w:rsidRPr="00011CB0" w:rsidTr="002574B4">
        <w:trPr>
          <w:trHeight w:val="233"/>
        </w:trPr>
        <w:tc>
          <w:tcPr>
            <w:tcW w:w="2718" w:type="dxa"/>
          </w:tcPr>
          <w:p w:rsidR="00DE44B3" w:rsidRPr="00011CB0" w:rsidRDefault="00DE44B3" w:rsidP="00011CB0">
            <w:pPr>
              <w:spacing w:line="240" w:lineRule="auto"/>
              <w:ind w:firstLine="0"/>
              <w:jc w:val="left"/>
              <w:rPr>
                <w:sz w:val="22"/>
                <w:szCs w:val="22"/>
              </w:rPr>
            </w:pPr>
            <w:r>
              <w:rPr>
                <w:sz w:val="22"/>
                <w:szCs w:val="22"/>
              </w:rPr>
              <w:t>Time Since Injury</w:t>
            </w:r>
            <w:r w:rsidR="005C412E">
              <w:rPr>
                <w:sz w:val="22"/>
                <w:szCs w:val="22"/>
              </w:rPr>
              <w:t xml:space="preserve"> (years)</w:t>
            </w:r>
          </w:p>
        </w:tc>
        <w:tc>
          <w:tcPr>
            <w:tcW w:w="1890" w:type="dxa"/>
          </w:tcPr>
          <w:p w:rsidR="00DE44B3" w:rsidRPr="00011CB0" w:rsidRDefault="005C412E" w:rsidP="00011CB0">
            <w:pPr>
              <w:spacing w:line="240" w:lineRule="auto"/>
              <w:ind w:firstLine="0"/>
              <w:jc w:val="center"/>
              <w:rPr>
                <w:sz w:val="22"/>
                <w:szCs w:val="22"/>
              </w:rPr>
            </w:pPr>
            <w:r>
              <w:rPr>
                <w:sz w:val="22"/>
                <w:szCs w:val="22"/>
              </w:rPr>
              <w:t>17.6 (7.3)</w:t>
            </w:r>
          </w:p>
        </w:tc>
        <w:tc>
          <w:tcPr>
            <w:tcW w:w="1890" w:type="dxa"/>
          </w:tcPr>
          <w:p w:rsidR="00DE44B3" w:rsidRPr="00011CB0" w:rsidRDefault="005C412E" w:rsidP="00011CB0">
            <w:pPr>
              <w:spacing w:line="240" w:lineRule="auto"/>
              <w:ind w:firstLine="0"/>
              <w:jc w:val="center"/>
              <w:rPr>
                <w:sz w:val="22"/>
                <w:szCs w:val="22"/>
              </w:rPr>
            </w:pPr>
            <w:r>
              <w:rPr>
                <w:sz w:val="22"/>
                <w:szCs w:val="22"/>
              </w:rPr>
              <w:t>17.02 (7.7)</w:t>
            </w:r>
          </w:p>
        </w:tc>
        <w:tc>
          <w:tcPr>
            <w:tcW w:w="1890" w:type="dxa"/>
          </w:tcPr>
          <w:p w:rsidR="00DE44B3" w:rsidRPr="00011CB0" w:rsidRDefault="005C412E" w:rsidP="00011CB0">
            <w:pPr>
              <w:spacing w:line="240" w:lineRule="auto"/>
              <w:ind w:firstLine="0"/>
              <w:jc w:val="center"/>
              <w:rPr>
                <w:sz w:val="22"/>
                <w:szCs w:val="22"/>
              </w:rPr>
            </w:pPr>
            <w:r>
              <w:rPr>
                <w:sz w:val="22"/>
                <w:szCs w:val="22"/>
              </w:rPr>
              <w:t>17.74 (7.2)</w:t>
            </w:r>
          </w:p>
        </w:tc>
        <w:tc>
          <w:tcPr>
            <w:tcW w:w="962" w:type="dxa"/>
          </w:tcPr>
          <w:p w:rsidR="00DE44B3" w:rsidRPr="00011CB0" w:rsidRDefault="005C412E" w:rsidP="00011CB0">
            <w:pPr>
              <w:spacing w:line="240" w:lineRule="auto"/>
              <w:ind w:firstLine="0"/>
              <w:jc w:val="left"/>
              <w:rPr>
                <w:sz w:val="22"/>
                <w:szCs w:val="22"/>
              </w:rPr>
            </w:pPr>
            <w:r>
              <w:rPr>
                <w:sz w:val="22"/>
                <w:szCs w:val="22"/>
              </w:rPr>
              <w:t>.390</w:t>
            </w:r>
          </w:p>
        </w:tc>
      </w:tr>
      <w:tr w:rsidR="00011CB0" w:rsidRPr="00011CB0" w:rsidTr="002574B4">
        <w:trPr>
          <w:trHeight w:val="233"/>
        </w:trPr>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c>
          <w:tcPr>
            <w:tcW w:w="2718" w:type="dxa"/>
          </w:tcPr>
          <w:p w:rsidR="00011CB0" w:rsidRPr="00011CB0" w:rsidRDefault="00011CB0" w:rsidP="00011CB0">
            <w:pPr>
              <w:spacing w:line="240" w:lineRule="auto"/>
              <w:ind w:firstLine="0"/>
              <w:jc w:val="left"/>
              <w:rPr>
                <w:i/>
                <w:sz w:val="22"/>
                <w:szCs w:val="22"/>
              </w:rPr>
            </w:pPr>
            <w:r w:rsidRPr="00011CB0">
              <w:rPr>
                <w:i/>
                <w:sz w:val="22"/>
                <w:szCs w:val="22"/>
              </w:rPr>
              <w:t>Female</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175 (37.2%)</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26 (27.4%)</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149 (39.6%)</w:t>
            </w:r>
          </w:p>
        </w:tc>
        <w:tc>
          <w:tcPr>
            <w:tcW w:w="962" w:type="dxa"/>
          </w:tcPr>
          <w:p w:rsidR="00011CB0" w:rsidRPr="00011CB0" w:rsidRDefault="00011CB0" w:rsidP="00011CB0">
            <w:pPr>
              <w:spacing w:line="240" w:lineRule="auto"/>
              <w:ind w:firstLine="0"/>
              <w:jc w:val="left"/>
              <w:rPr>
                <w:sz w:val="22"/>
                <w:szCs w:val="22"/>
              </w:rPr>
            </w:pPr>
            <w:r w:rsidRPr="00011CB0">
              <w:rPr>
                <w:sz w:val="22"/>
                <w:szCs w:val="22"/>
              </w:rPr>
              <w:t>.027</w:t>
            </w: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rPr>
          <w:trHeight w:val="215"/>
        </w:trPr>
        <w:tc>
          <w:tcPr>
            <w:tcW w:w="2718" w:type="dxa"/>
          </w:tcPr>
          <w:p w:rsidR="00011CB0" w:rsidRPr="00011CB0" w:rsidRDefault="00011CB0" w:rsidP="00011CB0">
            <w:pPr>
              <w:spacing w:line="240" w:lineRule="auto"/>
              <w:ind w:firstLine="0"/>
              <w:jc w:val="left"/>
              <w:rPr>
                <w:i/>
                <w:sz w:val="22"/>
                <w:szCs w:val="22"/>
              </w:rPr>
            </w:pPr>
            <w:r w:rsidRPr="00011CB0">
              <w:rPr>
                <w:i/>
                <w:sz w:val="22"/>
                <w:szCs w:val="22"/>
              </w:rPr>
              <w:t>Race</w:t>
            </w: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rPr>
            </w:pPr>
            <w:r w:rsidRPr="00011CB0">
              <w:rPr>
                <w:sz w:val="22"/>
                <w:szCs w:val="22"/>
              </w:rPr>
              <w:t>.107</w:t>
            </w: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African-American</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28 (6.0%)</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7 (7.4%)</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21 (5.6%)</w:t>
            </w: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Caucasian</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400 (85.8%)</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85 (91.4%)</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315 (84.5%)</w:t>
            </w: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Other</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38 (8.1%)</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 (1.1%)</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37 (9.9%)</w:t>
            </w: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c>
          <w:tcPr>
            <w:tcW w:w="2718" w:type="dxa"/>
          </w:tcPr>
          <w:p w:rsidR="00011CB0" w:rsidRPr="00011CB0" w:rsidRDefault="00011CB0" w:rsidP="00011CB0">
            <w:pPr>
              <w:spacing w:line="240" w:lineRule="auto"/>
              <w:ind w:firstLine="0"/>
              <w:jc w:val="left"/>
              <w:rPr>
                <w:i/>
                <w:sz w:val="22"/>
                <w:szCs w:val="22"/>
              </w:rPr>
            </w:pPr>
            <w:r w:rsidRPr="00011CB0">
              <w:rPr>
                <w:i/>
                <w:sz w:val="22"/>
                <w:szCs w:val="22"/>
              </w:rPr>
              <w:t>Neurological Impairment Groups</w:t>
            </w: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rPr>
            </w:pPr>
            <w:r w:rsidRPr="00011CB0">
              <w:rPr>
                <w:sz w:val="22"/>
                <w:szCs w:val="22"/>
              </w:rPr>
              <w:t>.546</w:t>
            </w: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C1-C4 ABC</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66 (14.0%)</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17 (17.9%)</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49 (13.1%)</w:t>
            </w: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C5-C8 ABC</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163 (34.7%)</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28 (29.5%)</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135 (36.0%)</w:t>
            </w: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T1–S5 ABC</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196 (41.7%)</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39 (41.1%)</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157 (41.9%)</w:t>
            </w: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AIS D</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45 (9.6%)</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11 (11.6%)</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34 (9.1%)</w:t>
            </w: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i/>
                <w:sz w:val="22"/>
                <w:szCs w:val="22"/>
              </w:rPr>
            </w:pPr>
            <w:r w:rsidRPr="00011CB0">
              <w:rPr>
                <w:i/>
                <w:sz w:val="22"/>
                <w:szCs w:val="22"/>
              </w:rPr>
              <w:t>Etiology</w:t>
            </w: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Vehicular/pedestrian</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232 (50.1%)</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54 (56.8%)</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178 (48.4%)</w:t>
            </w:r>
          </w:p>
        </w:tc>
        <w:tc>
          <w:tcPr>
            <w:tcW w:w="962" w:type="dxa"/>
          </w:tcPr>
          <w:p w:rsidR="00011CB0" w:rsidRPr="00011CB0" w:rsidRDefault="00011CB0" w:rsidP="00011CB0">
            <w:pPr>
              <w:spacing w:line="240" w:lineRule="auto"/>
              <w:ind w:firstLine="0"/>
              <w:jc w:val="left"/>
              <w:rPr>
                <w:sz w:val="22"/>
                <w:szCs w:val="22"/>
              </w:rPr>
            </w:pPr>
            <w:r w:rsidRPr="00011CB0">
              <w:rPr>
                <w:sz w:val="22"/>
                <w:szCs w:val="22"/>
              </w:rPr>
              <w:t>.341</w:t>
            </w: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Violence</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42 (9.1%)</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5 (5.3%)</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37 (10.1%)</w:t>
            </w: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Fall/flying object</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30 (6.5%)</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8 (8.4%)</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22 (6.0%)</w:t>
            </w: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Sports</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114 (24.6%)</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21.1 (20%)</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94 (25.5%)</w:t>
            </w: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Medical Surgical</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45 (9.7%)</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8 (8.4%)</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37 (10.1%)</w:t>
            </w: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i/>
                <w:sz w:val="22"/>
                <w:szCs w:val="22"/>
              </w:rPr>
            </w:pPr>
            <w:r w:rsidRPr="00011CB0">
              <w:rPr>
                <w:i/>
                <w:sz w:val="22"/>
                <w:szCs w:val="22"/>
              </w:rPr>
              <w:t>Drives independently</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287 (60.9%)</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59 (62.1%)</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228 (60.6%)</w:t>
            </w:r>
          </w:p>
        </w:tc>
        <w:tc>
          <w:tcPr>
            <w:tcW w:w="962" w:type="dxa"/>
          </w:tcPr>
          <w:p w:rsidR="00011CB0" w:rsidRPr="00011CB0" w:rsidRDefault="00011CB0" w:rsidP="00011CB0">
            <w:pPr>
              <w:spacing w:line="240" w:lineRule="auto"/>
              <w:ind w:firstLine="0"/>
              <w:jc w:val="left"/>
              <w:rPr>
                <w:sz w:val="22"/>
                <w:szCs w:val="22"/>
                <w:highlight w:val="yellow"/>
              </w:rPr>
            </w:pPr>
            <w:r w:rsidRPr="00011CB0">
              <w:rPr>
                <w:sz w:val="22"/>
                <w:szCs w:val="22"/>
              </w:rPr>
              <w:t>.584</w:t>
            </w: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Borders>
              <w:bottom w:val="single" w:sz="4" w:space="0" w:color="auto"/>
            </w:tcBorders>
          </w:tcPr>
          <w:p w:rsidR="00011CB0" w:rsidRPr="00011CB0" w:rsidRDefault="00011CB0" w:rsidP="00011CB0">
            <w:pPr>
              <w:spacing w:line="240" w:lineRule="auto"/>
              <w:ind w:firstLine="0"/>
              <w:jc w:val="left"/>
              <w:rPr>
                <w:i/>
                <w:sz w:val="22"/>
                <w:szCs w:val="22"/>
              </w:rPr>
            </w:pPr>
            <w:r w:rsidRPr="00011CB0">
              <w:rPr>
                <w:i/>
                <w:sz w:val="22"/>
                <w:szCs w:val="22"/>
              </w:rPr>
              <w:t>Lives independently</w:t>
            </w:r>
          </w:p>
        </w:tc>
        <w:tc>
          <w:tcPr>
            <w:tcW w:w="1890" w:type="dxa"/>
            <w:tcBorders>
              <w:bottom w:val="single" w:sz="4" w:space="0" w:color="auto"/>
            </w:tcBorders>
          </w:tcPr>
          <w:p w:rsidR="00011CB0" w:rsidRPr="00011CB0" w:rsidRDefault="00011CB0" w:rsidP="00011CB0">
            <w:pPr>
              <w:spacing w:line="240" w:lineRule="auto"/>
              <w:ind w:firstLine="0"/>
              <w:jc w:val="center"/>
              <w:rPr>
                <w:sz w:val="22"/>
                <w:szCs w:val="22"/>
              </w:rPr>
            </w:pPr>
            <w:r w:rsidRPr="00011CB0">
              <w:rPr>
                <w:sz w:val="22"/>
                <w:szCs w:val="22"/>
              </w:rPr>
              <w:t>306 (65.0%)</w:t>
            </w:r>
          </w:p>
        </w:tc>
        <w:tc>
          <w:tcPr>
            <w:tcW w:w="1890" w:type="dxa"/>
            <w:tcBorders>
              <w:bottom w:val="single" w:sz="4" w:space="0" w:color="auto"/>
            </w:tcBorders>
          </w:tcPr>
          <w:p w:rsidR="00011CB0" w:rsidRPr="00011CB0" w:rsidRDefault="00011CB0" w:rsidP="00011CB0">
            <w:pPr>
              <w:spacing w:line="240" w:lineRule="auto"/>
              <w:ind w:firstLine="0"/>
              <w:jc w:val="center"/>
              <w:rPr>
                <w:sz w:val="22"/>
                <w:szCs w:val="22"/>
              </w:rPr>
            </w:pPr>
            <w:r w:rsidRPr="00011CB0">
              <w:rPr>
                <w:sz w:val="22"/>
                <w:szCs w:val="22"/>
              </w:rPr>
              <w:t>45 (47.4%)</w:t>
            </w:r>
          </w:p>
        </w:tc>
        <w:tc>
          <w:tcPr>
            <w:tcW w:w="1890" w:type="dxa"/>
            <w:tcBorders>
              <w:bottom w:val="single" w:sz="4" w:space="0" w:color="auto"/>
            </w:tcBorders>
          </w:tcPr>
          <w:p w:rsidR="00011CB0" w:rsidRPr="00011CB0" w:rsidRDefault="00011CB0" w:rsidP="00011CB0">
            <w:pPr>
              <w:spacing w:line="240" w:lineRule="auto"/>
              <w:ind w:firstLine="0"/>
              <w:jc w:val="center"/>
              <w:rPr>
                <w:sz w:val="22"/>
                <w:szCs w:val="22"/>
              </w:rPr>
            </w:pPr>
            <w:r w:rsidRPr="00011CB0">
              <w:rPr>
                <w:sz w:val="22"/>
                <w:szCs w:val="22"/>
              </w:rPr>
              <w:t>261 (69.4%)</w:t>
            </w:r>
          </w:p>
        </w:tc>
        <w:tc>
          <w:tcPr>
            <w:tcW w:w="962" w:type="dxa"/>
            <w:tcBorders>
              <w:bottom w:val="single" w:sz="4" w:space="0" w:color="auto"/>
            </w:tcBorders>
          </w:tcPr>
          <w:p w:rsidR="00011CB0" w:rsidRPr="00011CB0" w:rsidRDefault="00011CB0" w:rsidP="00011CB0">
            <w:pPr>
              <w:spacing w:line="240" w:lineRule="auto"/>
              <w:ind w:firstLine="0"/>
              <w:jc w:val="left"/>
              <w:rPr>
                <w:sz w:val="22"/>
                <w:szCs w:val="22"/>
              </w:rPr>
            </w:pPr>
            <w:r w:rsidRPr="00011CB0">
              <w:rPr>
                <w:sz w:val="22"/>
                <w:szCs w:val="22"/>
              </w:rPr>
              <w:t>&lt;.001</w:t>
            </w:r>
          </w:p>
        </w:tc>
      </w:tr>
      <w:tr w:rsidR="00011CB0" w:rsidRPr="00011CB0" w:rsidTr="00011CB0">
        <w:tc>
          <w:tcPr>
            <w:tcW w:w="2718" w:type="dxa"/>
            <w:shd w:val="clear" w:color="auto" w:fill="FFFFFF"/>
          </w:tcPr>
          <w:p w:rsidR="00011CB0" w:rsidRPr="00011CB0" w:rsidRDefault="00011CB0" w:rsidP="00011CB0">
            <w:pPr>
              <w:spacing w:line="240" w:lineRule="auto"/>
              <w:ind w:firstLine="0"/>
              <w:jc w:val="left"/>
              <w:rPr>
                <w:sz w:val="22"/>
                <w:szCs w:val="22"/>
              </w:rPr>
            </w:pPr>
          </w:p>
        </w:tc>
        <w:tc>
          <w:tcPr>
            <w:tcW w:w="1890" w:type="dxa"/>
            <w:shd w:val="clear" w:color="auto" w:fill="FFFFFF"/>
          </w:tcPr>
          <w:p w:rsidR="00011CB0" w:rsidRPr="00011CB0" w:rsidRDefault="00011CB0" w:rsidP="00011CB0">
            <w:pPr>
              <w:spacing w:line="240" w:lineRule="auto"/>
              <w:ind w:firstLine="0"/>
              <w:jc w:val="center"/>
              <w:rPr>
                <w:sz w:val="22"/>
                <w:szCs w:val="22"/>
              </w:rPr>
            </w:pPr>
          </w:p>
        </w:tc>
        <w:tc>
          <w:tcPr>
            <w:tcW w:w="1890" w:type="dxa"/>
            <w:shd w:val="clear" w:color="auto" w:fill="FFFFFF"/>
          </w:tcPr>
          <w:p w:rsidR="00011CB0" w:rsidRPr="00011CB0" w:rsidRDefault="00011CB0" w:rsidP="00011CB0">
            <w:pPr>
              <w:spacing w:line="240" w:lineRule="auto"/>
              <w:ind w:firstLine="0"/>
              <w:jc w:val="center"/>
              <w:rPr>
                <w:sz w:val="22"/>
                <w:szCs w:val="22"/>
              </w:rPr>
            </w:pPr>
          </w:p>
        </w:tc>
        <w:tc>
          <w:tcPr>
            <w:tcW w:w="1890" w:type="dxa"/>
            <w:shd w:val="clear" w:color="auto" w:fill="FFFFFF"/>
          </w:tcPr>
          <w:p w:rsidR="00011CB0" w:rsidRPr="00011CB0" w:rsidRDefault="00011CB0" w:rsidP="00011CB0">
            <w:pPr>
              <w:spacing w:line="240" w:lineRule="auto"/>
              <w:ind w:firstLine="0"/>
              <w:jc w:val="center"/>
              <w:rPr>
                <w:sz w:val="22"/>
                <w:szCs w:val="22"/>
              </w:rPr>
            </w:pPr>
          </w:p>
        </w:tc>
        <w:tc>
          <w:tcPr>
            <w:tcW w:w="962" w:type="dxa"/>
            <w:shd w:val="clear" w:color="auto" w:fill="FFFFFF"/>
          </w:tcPr>
          <w:p w:rsidR="00011CB0" w:rsidRPr="00011CB0" w:rsidRDefault="00011CB0" w:rsidP="00011CB0">
            <w:pPr>
              <w:spacing w:line="240" w:lineRule="auto"/>
              <w:ind w:firstLine="0"/>
              <w:jc w:val="left"/>
              <w:rPr>
                <w:sz w:val="22"/>
                <w:szCs w:val="22"/>
                <w:highlight w:val="yellow"/>
              </w:rPr>
            </w:pPr>
          </w:p>
        </w:tc>
      </w:tr>
      <w:tr w:rsidR="00011CB0" w:rsidRPr="00011CB0" w:rsidTr="00011CB0">
        <w:tc>
          <w:tcPr>
            <w:tcW w:w="2718" w:type="dxa"/>
            <w:shd w:val="clear" w:color="auto" w:fill="FFFFFF"/>
          </w:tcPr>
          <w:p w:rsidR="00011CB0" w:rsidRPr="00011CB0" w:rsidRDefault="00011CB0" w:rsidP="00011CB0">
            <w:pPr>
              <w:spacing w:line="240" w:lineRule="auto"/>
              <w:ind w:firstLine="0"/>
              <w:jc w:val="left"/>
              <w:rPr>
                <w:i/>
                <w:sz w:val="22"/>
                <w:szCs w:val="22"/>
              </w:rPr>
            </w:pPr>
            <w:r w:rsidRPr="00011CB0">
              <w:rPr>
                <w:i/>
                <w:sz w:val="22"/>
                <w:szCs w:val="22"/>
              </w:rPr>
              <w:t>Married</w:t>
            </w:r>
          </w:p>
        </w:tc>
        <w:tc>
          <w:tcPr>
            <w:tcW w:w="1890" w:type="dxa"/>
            <w:shd w:val="clear" w:color="auto" w:fill="FFFFFF"/>
          </w:tcPr>
          <w:p w:rsidR="00011CB0" w:rsidRPr="00011CB0" w:rsidRDefault="00011CB0" w:rsidP="00011CB0">
            <w:pPr>
              <w:spacing w:line="240" w:lineRule="auto"/>
              <w:ind w:firstLine="0"/>
              <w:jc w:val="center"/>
              <w:rPr>
                <w:sz w:val="22"/>
                <w:szCs w:val="22"/>
              </w:rPr>
            </w:pPr>
            <w:r w:rsidRPr="00011CB0">
              <w:rPr>
                <w:sz w:val="22"/>
                <w:szCs w:val="22"/>
              </w:rPr>
              <w:t>116 (26.6%)</w:t>
            </w:r>
          </w:p>
        </w:tc>
        <w:tc>
          <w:tcPr>
            <w:tcW w:w="1890" w:type="dxa"/>
            <w:shd w:val="clear" w:color="auto" w:fill="FFFFFF"/>
          </w:tcPr>
          <w:p w:rsidR="00011CB0" w:rsidRPr="00011CB0" w:rsidRDefault="00011CB0" w:rsidP="00011CB0">
            <w:pPr>
              <w:spacing w:line="240" w:lineRule="auto"/>
              <w:ind w:firstLine="0"/>
              <w:jc w:val="center"/>
              <w:rPr>
                <w:sz w:val="22"/>
                <w:szCs w:val="22"/>
              </w:rPr>
            </w:pPr>
            <w:r w:rsidRPr="00011CB0">
              <w:rPr>
                <w:sz w:val="22"/>
                <w:szCs w:val="22"/>
              </w:rPr>
              <w:t>22 (23.2%)</w:t>
            </w:r>
          </w:p>
        </w:tc>
        <w:tc>
          <w:tcPr>
            <w:tcW w:w="1890" w:type="dxa"/>
            <w:shd w:val="clear" w:color="auto" w:fill="FFFFFF"/>
          </w:tcPr>
          <w:p w:rsidR="00011CB0" w:rsidRPr="00011CB0" w:rsidRDefault="00011CB0" w:rsidP="00011CB0">
            <w:pPr>
              <w:spacing w:line="240" w:lineRule="auto"/>
              <w:ind w:firstLine="0"/>
              <w:jc w:val="center"/>
              <w:rPr>
                <w:sz w:val="22"/>
                <w:szCs w:val="22"/>
              </w:rPr>
            </w:pPr>
            <w:r w:rsidRPr="00011CB0">
              <w:rPr>
                <w:sz w:val="22"/>
                <w:szCs w:val="22"/>
              </w:rPr>
              <w:t>94 (25.0%)</w:t>
            </w:r>
          </w:p>
        </w:tc>
        <w:tc>
          <w:tcPr>
            <w:tcW w:w="962" w:type="dxa"/>
            <w:shd w:val="clear" w:color="auto" w:fill="FFFFFF"/>
          </w:tcPr>
          <w:p w:rsidR="00011CB0" w:rsidRPr="00011CB0" w:rsidRDefault="00011CB0" w:rsidP="00011CB0">
            <w:pPr>
              <w:spacing w:line="240" w:lineRule="auto"/>
              <w:ind w:firstLine="0"/>
              <w:jc w:val="left"/>
              <w:rPr>
                <w:sz w:val="22"/>
                <w:szCs w:val="22"/>
              </w:rPr>
            </w:pPr>
            <w:r w:rsidRPr="00011CB0">
              <w:rPr>
                <w:sz w:val="22"/>
                <w:szCs w:val="22"/>
              </w:rPr>
              <w:t>.790</w:t>
            </w: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rPr>
          <w:trHeight w:val="170"/>
        </w:trPr>
        <w:tc>
          <w:tcPr>
            <w:tcW w:w="2718" w:type="dxa"/>
          </w:tcPr>
          <w:p w:rsidR="00011CB0" w:rsidRPr="00011CB0" w:rsidRDefault="00011CB0" w:rsidP="00011CB0">
            <w:pPr>
              <w:spacing w:line="240" w:lineRule="auto"/>
              <w:ind w:firstLine="0"/>
              <w:jc w:val="left"/>
              <w:rPr>
                <w:i/>
                <w:sz w:val="22"/>
                <w:szCs w:val="22"/>
              </w:rPr>
            </w:pPr>
            <w:r w:rsidRPr="00011CB0">
              <w:rPr>
                <w:i/>
                <w:sz w:val="22"/>
                <w:szCs w:val="22"/>
              </w:rPr>
              <w:t>Education level</w:t>
            </w:r>
          </w:p>
        </w:tc>
        <w:tc>
          <w:tcPr>
            <w:tcW w:w="1890" w:type="dxa"/>
          </w:tcPr>
          <w:p w:rsidR="00011CB0" w:rsidRPr="00011CB0" w:rsidRDefault="00011CB0" w:rsidP="00011CB0">
            <w:pPr>
              <w:spacing w:line="240" w:lineRule="auto"/>
              <w:ind w:firstLine="0"/>
              <w:jc w:val="center"/>
              <w:rPr>
                <w:sz w:val="22"/>
                <w:szCs w:val="22"/>
                <w:highlight w:val="yellow"/>
              </w:rPr>
            </w:pPr>
          </w:p>
        </w:tc>
        <w:tc>
          <w:tcPr>
            <w:tcW w:w="1890" w:type="dxa"/>
          </w:tcPr>
          <w:p w:rsidR="00011CB0" w:rsidRPr="00011CB0" w:rsidRDefault="00011CB0" w:rsidP="00011CB0">
            <w:pPr>
              <w:spacing w:line="240" w:lineRule="auto"/>
              <w:ind w:firstLine="0"/>
              <w:jc w:val="center"/>
              <w:rPr>
                <w:sz w:val="22"/>
                <w:szCs w:val="22"/>
                <w:highlight w:val="yellow"/>
              </w:rPr>
            </w:pPr>
          </w:p>
        </w:tc>
        <w:tc>
          <w:tcPr>
            <w:tcW w:w="1890" w:type="dxa"/>
          </w:tcPr>
          <w:p w:rsidR="00011CB0" w:rsidRPr="00011CB0" w:rsidRDefault="00011CB0" w:rsidP="00011CB0">
            <w:pPr>
              <w:spacing w:line="240" w:lineRule="auto"/>
              <w:ind w:firstLine="0"/>
              <w:jc w:val="center"/>
              <w:rPr>
                <w:sz w:val="22"/>
                <w:szCs w:val="22"/>
                <w:highlight w:val="yellow"/>
              </w:rPr>
            </w:pPr>
          </w:p>
        </w:tc>
        <w:tc>
          <w:tcPr>
            <w:tcW w:w="962" w:type="dxa"/>
          </w:tcPr>
          <w:p w:rsidR="00011CB0" w:rsidRPr="00011CB0" w:rsidRDefault="00011CB0" w:rsidP="00011CB0">
            <w:pPr>
              <w:spacing w:line="240" w:lineRule="auto"/>
              <w:ind w:firstLine="0"/>
              <w:jc w:val="left"/>
              <w:rPr>
                <w:sz w:val="22"/>
                <w:szCs w:val="22"/>
              </w:rPr>
            </w:pPr>
            <w:r w:rsidRPr="00011CB0">
              <w:rPr>
                <w:sz w:val="22"/>
                <w:szCs w:val="22"/>
              </w:rPr>
              <w:t>&lt;.001</w:t>
            </w:r>
          </w:p>
          <w:p w:rsidR="00011CB0" w:rsidRPr="00011CB0" w:rsidRDefault="00011CB0" w:rsidP="00011CB0">
            <w:pPr>
              <w:spacing w:line="240" w:lineRule="auto"/>
              <w:ind w:firstLine="0"/>
              <w:jc w:val="left"/>
              <w:rPr>
                <w:sz w:val="22"/>
                <w:szCs w:val="22"/>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Less than high school</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16 (3.4%)</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8 (8.4%)</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8 (2.1%)</w:t>
            </w: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High school or equivalent</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47 (10.0%)</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15 (15.8%)</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32 (8.5%)</w:t>
            </w:r>
          </w:p>
        </w:tc>
        <w:tc>
          <w:tcPr>
            <w:tcW w:w="962" w:type="dxa"/>
          </w:tcPr>
          <w:p w:rsidR="00011CB0" w:rsidRPr="00011CB0" w:rsidRDefault="00011CB0" w:rsidP="00011CB0">
            <w:pPr>
              <w:spacing w:line="240" w:lineRule="auto"/>
              <w:ind w:firstLine="0"/>
              <w:jc w:val="left"/>
              <w:rPr>
                <w:sz w:val="22"/>
                <w:szCs w:val="22"/>
                <w:highlight w:val="yellow"/>
              </w:rPr>
            </w:pPr>
          </w:p>
        </w:tc>
      </w:tr>
      <w:tr w:rsidR="00C40FFB" w:rsidRPr="00011CB0" w:rsidTr="007A28FD">
        <w:tc>
          <w:tcPr>
            <w:tcW w:w="9350" w:type="dxa"/>
            <w:gridSpan w:val="5"/>
          </w:tcPr>
          <w:p w:rsidR="00C40FFB" w:rsidRPr="00C40FFB" w:rsidRDefault="00C40FFB" w:rsidP="00C40FFB">
            <w:pPr>
              <w:spacing w:line="240" w:lineRule="auto"/>
              <w:ind w:firstLine="0"/>
              <w:jc w:val="left"/>
              <w:rPr>
                <w:rFonts w:ascii="Times New Roman" w:hAnsi="Times New Roman"/>
                <w:b/>
                <w:sz w:val="22"/>
                <w:szCs w:val="22"/>
                <w:highlight w:val="yellow"/>
              </w:rPr>
            </w:pPr>
            <w:r w:rsidRPr="00C40FFB">
              <w:rPr>
                <w:rFonts w:ascii="Times New Roman" w:hAnsi="Times New Roman"/>
                <w:b/>
                <w:sz w:val="22"/>
                <w:szCs w:val="22"/>
              </w:rPr>
              <w:lastRenderedPageBreak/>
              <w:t>Table 1 Continued</w:t>
            </w: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Some College </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210 (44.6%)</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49 (51.6%)</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161 (42.8%)</w:t>
            </w: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Bachelor degree or higher</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198 (42.0%)</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23 (24.2%)</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175 (46.5%)</w:t>
            </w: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highlight w:val="yellow"/>
              </w:rPr>
            </w:pPr>
          </w:p>
        </w:tc>
      </w:tr>
      <w:tr w:rsidR="00011CB0" w:rsidRPr="00011CB0" w:rsidTr="002574B4">
        <w:tc>
          <w:tcPr>
            <w:tcW w:w="2718" w:type="dxa"/>
          </w:tcPr>
          <w:p w:rsidR="00011CB0" w:rsidRPr="00011CB0" w:rsidRDefault="00011CB0" w:rsidP="00011CB0">
            <w:pPr>
              <w:spacing w:line="240" w:lineRule="auto"/>
              <w:ind w:firstLine="0"/>
              <w:jc w:val="left"/>
              <w:rPr>
                <w:i/>
                <w:sz w:val="22"/>
                <w:szCs w:val="22"/>
              </w:rPr>
            </w:pPr>
            <w:r w:rsidRPr="00011CB0">
              <w:rPr>
                <w:i/>
                <w:sz w:val="22"/>
                <w:szCs w:val="22"/>
              </w:rPr>
              <w:t>Employed</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221 (46.9%)</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27 (28.4%)</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194 (51.6%)</w:t>
            </w:r>
          </w:p>
        </w:tc>
        <w:tc>
          <w:tcPr>
            <w:tcW w:w="962" w:type="dxa"/>
          </w:tcPr>
          <w:p w:rsidR="00011CB0" w:rsidRPr="00011CB0" w:rsidRDefault="00011CB0" w:rsidP="00011CB0">
            <w:pPr>
              <w:spacing w:line="240" w:lineRule="auto"/>
              <w:ind w:firstLine="0"/>
              <w:jc w:val="left"/>
              <w:rPr>
                <w:sz w:val="22"/>
                <w:szCs w:val="22"/>
                <w:highlight w:val="yellow"/>
              </w:rPr>
            </w:pPr>
            <w:r w:rsidRPr="00011CB0">
              <w:rPr>
                <w:sz w:val="22"/>
                <w:szCs w:val="22"/>
              </w:rPr>
              <w:t>&lt;.001</w:t>
            </w: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Hours worked/week</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38.9 (14.5)</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12.1 (20.7)</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20.1 (21.7)</w:t>
            </w:r>
          </w:p>
        </w:tc>
        <w:tc>
          <w:tcPr>
            <w:tcW w:w="962" w:type="dxa"/>
          </w:tcPr>
          <w:p w:rsidR="00011CB0" w:rsidRPr="00011CB0" w:rsidRDefault="00011CB0" w:rsidP="00011CB0">
            <w:pPr>
              <w:spacing w:line="240" w:lineRule="auto"/>
              <w:ind w:firstLine="0"/>
              <w:jc w:val="left"/>
              <w:rPr>
                <w:sz w:val="22"/>
                <w:szCs w:val="22"/>
              </w:rPr>
            </w:pPr>
            <w:r w:rsidRPr="00011CB0">
              <w:rPr>
                <w:sz w:val="22"/>
                <w:szCs w:val="22"/>
              </w:rPr>
              <w:t>&lt;.001</w:t>
            </w: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c>
          <w:tcPr>
            <w:tcW w:w="2718" w:type="dxa"/>
          </w:tcPr>
          <w:p w:rsidR="00011CB0" w:rsidRPr="00011CB0" w:rsidRDefault="00011CB0" w:rsidP="00011CB0">
            <w:pPr>
              <w:spacing w:line="240" w:lineRule="auto"/>
              <w:ind w:firstLine="0"/>
              <w:jc w:val="left"/>
              <w:rPr>
                <w:i/>
                <w:sz w:val="22"/>
                <w:szCs w:val="22"/>
              </w:rPr>
            </w:pPr>
            <w:r w:rsidRPr="00011CB0">
              <w:rPr>
                <w:i/>
                <w:sz w:val="22"/>
                <w:szCs w:val="22"/>
              </w:rPr>
              <w:t>Income</w:t>
            </w: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Personal annual income</w:t>
            </w:r>
          </w:p>
          <w:p w:rsidR="00011CB0" w:rsidRPr="00011CB0" w:rsidRDefault="00011CB0" w:rsidP="00011CB0">
            <w:pPr>
              <w:spacing w:line="240" w:lineRule="auto"/>
              <w:ind w:firstLine="0"/>
              <w:jc w:val="left"/>
              <w:rPr>
                <w:sz w:val="22"/>
                <w:szCs w:val="22"/>
              </w:rPr>
            </w:pPr>
            <w:r w:rsidRPr="00011CB0">
              <w:rPr>
                <w:sz w:val="22"/>
                <w:szCs w:val="22"/>
              </w:rPr>
              <w:t xml:space="preserve">  Median</w:t>
            </w:r>
          </w:p>
          <w:p w:rsidR="00011CB0" w:rsidRPr="00011CB0" w:rsidRDefault="00011CB0" w:rsidP="00011CB0">
            <w:pPr>
              <w:spacing w:line="240" w:lineRule="auto"/>
              <w:ind w:firstLine="0"/>
              <w:jc w:val="left"/>
              <w:rPr>
                <w:sz w:val="22"/>
                <w:szCs w:val="22"/>
              </w:rPr>
            </w:pPr>
            <w:r w:rsidRPr="00011CB0">
              <w:rPr>
                <w:sz w:val="22"/>
                <w:szCs w:val="22"/>
              </w:rPr>
              <w:t xml:space="preserve">  Range</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$32,634 ($61,742)</w:t>
            </w:r>
          </w:p>
          <w:p w:rsidR="00011CB0" w:rsidRPr="00011CB0" w:rsidRDefault="00011CB0" w:rsidP="00011CB0">
            <w:pPr>
              <w:spacing w:line="240" w:lineRule="auto"/>
              <w:ind w:firstLine="0"/>
              <w:jc w:val="center"/>
              <w:rPr>
                <w:sz w:val="22"/>
                <w:szCs w:val="22"/>
              </w:rPr>
            </w:pPr>
            <w:r w:rsidRPr="00011CB0">
              <w:rPr>
                <w:sz w:val="22"/>
                <w:szCs w:val="22"/>
              </w:rPr>
              <w:t>$17,000</w:t>
            </w:r>
          </w:p>
          <w:p w:rsidR="00011CB0" w:rsidRPr="00011CB0" w:rsidRDefault="00011CB0" w:rsidP="00011CB0">
            <w:pPr>
              <w:spacing w:line="240" w:lineRule="auto"/>
              <w:ind w:firstLine="0"/>
              <w:jc w:val="center"/>
              <w:rPr>
                <w:sz w:val="22"/>
                <w:szCs w:val="22"/>
              </w:rPr>
            </w:pPr>
            <w:r w:rsidRPr="00011CB0">
              <w:rPr>
                <w:sz w:val="22"/>
                <w:szCs w:val="22"/>
              </w:rPr>
              <w:t>$0-$1,000,000</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$17,615 ($14,652)</w:t>
            </w:r>
          </w:p>
          <w:p w:rsidR="00011CB0" w:rsidRPr="00011CB0" w:rsidRDefault="00011CB0" w:rsidP="00011CB0">
            <w:pPr>
              <w:spacing w:line="240" w:lineRule="auto"/>
              <w:ind w:firstLine="0"/>
              <w:jc w:val="center"/>
              <w:rPr>
                <w:sz w:val="22"/>
                <w:szCs w:val="22"/>
              </w:rPr>
            </w:pPr>
            <w:r w:rsidRPr="00011CB0">
              <w:rPr>
                <w:sz w:val="22"/>
                <w:szCs w:val="22"/>
              </w:rPr>
              <w:t>$10,356</w:t>
            </w:r>
          </w:p>
          <w:p w:rsidR="00011CB0" w:rsidRPr="00011CB0" w:rsidRDefault="00011CB0" w:rsidP="00011CB0">
            <w:pPr>
              <w:spacing w:line="240" w:lineRule="auto"/>
              <w:ind w:firstLine="0"/>
              <w:jc w:val="center"/>
              <w:rPr>
                <w:sz w:val="22"/>
                <w:szCs w:val="22"/>
              </w:rPr>
            </w:pPr>
            <w:r w:rsidRPr="00011CB0">
              <w:rPr>
                <w:sz w:val="22"/>
                <w:szCs w:val="22"/>
              </w:rPr>
              <w:t>$0-$64,000</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$36,455 ($68,252)</w:t>
            </w:r>
          </w:p>
          <w:p w:rsidR="00011CB0" w:rsidRPr="00011CB0" w:rsidRDefault="00011CB0" w:rsidP="00011CB0">
            <w:pPr>
              <w:spacing w:line="240" w:lineRule="auto"/>
              <w:ind w:firstLine="0"/>
              <w:jc w:val="center"/>
              <w:rPr>
                <w:sz w:val="22"/>
                <w:szCs w:val="22"/>
              </w:rPr>
            </w:pPr>
            <w:r w:rsidRPr="00011CB0">
              <w:rPr>
                <w:sz w:val="22"/>
                <w:szCs w:val="22"/>
              </w:rPr>
              <w:t>$21,000</w:t>
            </w:r>
          </w:p>
          <w:p w:rsidR="00011CB0" w:rsidRPr="00011CB0" w:rsidRDefault="00011CB0" w:rsidP="00011CB0">
            <w:pPr>
              <w:spacing w:line="240" w:lineRule="auto"/>
              <w:ind w:firstLine="0"/>
              <w:jc w:val="center"/>
              <w:rPr>
                <w:sz w:val="22"/>
                <w:szCs w:val="22"/>
              </w:rPr>
            </w:pPr>
            <w:r w:rsidRPr="00011CB0">
              <w:rPr>
                <w:sz w:val="22"/>
                <w:szCs w:val="22"/>
              </w:rPr>
              <w:t>$0-$1,000,000</w:t>
            </w:r>
          </w:p>
        </w:tc>
        <w:tc>
          <w:tcPr>
            <w:tcW w:w="962" w:type="dxa"/>
          </w:tcPr>
          <w:p w:rsidR="00011CB0" w:rsidRPr="00011CB0" w:rsidRDefault="00011CB0" w:rsidP="00011CB0">
            <w:pPr>
              <w:spacing w:line="240" w:lineRule="auto"/>
              <w:ind w:firstLine="0"/>
              <w:jc w:val="left"/>
              <w:rPr>
                <w:sz w:val="22"/>
                <w:szCs w:val="22"/>
              </w:rPr>
            </w:pPr>
            <w:r w:rsidRPr="00011CB0">
              <w:rPr>
                <w:sz w:val="22"/>
                <w:szCs w:val="22"/>
              </w:rPr>
              <w:t>&lt;.001</w:t>
            </w: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r w:rsidRPr="00011CB0">
              <w:rPr>
                <w:sz w:val="22"/>
                <w:szCs w:val="22"/>
              </w:rPr>
              <w:t xml:space="preserve">  Household annual income </w:t>
            </w:r>
          </w:p>
          <w:p w:rsidR="00011CB0" w:rsidRPr="00011CB0" w:rsidRDefault="00011CB0" w:rsidP="00011CB0">
            <w:pPr>
              <w:spacing w:line="240" w:lineRule="auto"/>
              <w:ind w:firstLine="0"/>
              <w:jc w:val="left"/>
              <w:rPr>
                <w:sz w:val="22"/>
                <w:szCs w:val="22"/>
              </w:rPr>
            </w:pPr>
            <w:r w:rsidRPr="00011CB0">
              <w:rPr>
                <w:sz w:val="22"/>
                <w:szCs w:val="22"/>
              </w:rPr>
              <w:t xml:space="preserve">   Median</w:t>
            </w:r>
          </w:p>
          <w:p w:rsidR="00011CB0" w:rsidRPr="00011CB0" w:rsidRDefault="00011CB0" w:rsidP="00011CB0">
            <w:pPr>
              <w:spacing w:line="240" w:lineRule="auto"/>
              <w:ind w:firstLine="0"/>
              <w:jc w:val="left"/>
              <w:rPr>
                <w:sz w:val="22"/>
                <w:szCs w:val="22"/>
              </w:rPr>
            </w:pPr>
            <w:r w:rsidRPr="00011CB0">
              <w:rPr>
                <w:sz w:val="22"/>
                <w:szCs w:val="22"/>
              </w:rPr>
              <w:t xml:space="preserve">   Range</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$49,754 ($66,635)</w:t>
            </w:r>
          </w:p>
          <w:p w:rsidR="00011CB0" w:rsidRPr="00011CB0" w:rsidRDefault="00011CB0" w:rsidP="00011CB0">
            <w:pPr>
              <w:spacing w:line="240" w:lineRule="auto"/>
              <w:ind w:firstLine="0"/>
              <w:jc w:val="center"/>
              <w:rPr>
                <w:sz w:val="22"/>
                <w:szCs w:val="22"/>
              </w:rPr>
            </w:pPr>
            <w:r w:rsidRPr="00011CB0">
              <w:rPr>
                <w:sz w:val="22"/>
                <w:szCs w:val="22"/>
              </w:rPr>
              <w:t>$35,000</w:t>
            </w:r>
          </w:p>
          <w:p w:rsidR="00011CB0" w:rsidRPr="00011CB0" w:rsidRDefault="00011CB0" w:rsidP="00011CB0">
            <w:pPr>
              <w:spacing w:line="240" w:lineRule="auto"/>
              <w:ind w:firstLine="0"/>
              <w:jc w:val="center"/>
              <w:rPr>
                <w:sz w:val="22"/>
                <w:szCs w:val="22"/>
              </w:rPr>
            </w:pPr>
            <w:r w:rsidRPr="00011CB0">
              <w:rPr>
                <w:sz w:val="22"/>
                <w:szCs w:val="22"/>
              </w:rPr>
              <w:t>$0-$1,000,000</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$33,220 ($27,987)</w:t>
            </w:r>
          </w:p>
          <w:p w:rsidR="00011CB0" w:rsidRPr="00011CB0" w:rsidRDefault="00011CB0" w:rsidP="00011CB0">
            <w:pPr>
              <w:spacing w:line="240" w:lineRule="auto"/>
              <w:ind w:firstLine="0"/>
              <w:jc w:val="center"/>
              <w:rPr>
                <w:sz w:val="22"/>
                <w:szCs w:val="22"/>
              </w:rPr>
            </w:pPr>
            <w:r w:rsidRPr="00011CB0">
              <w:rPr>
                <w:sz w:val="22"/>
                <w:szCs w:val="22"/>
              </w:rPr>
              <w:t>$25,500</w:t>
            </w:r>
          </w:p>
          <w:p w:rsidR="00011CB0" w:rsidRPr="00011CB0" w:rsidRDefault="00011CB0" w:rsidP="00011CB0">
            <w:pPr>
              <w:spacing w:line="240" w:lineRule="auto"/>
              <w:ind w:firstLine="0"/>
              <w:jc w:val="center"/>
              <w:rPr>
                <w:sz w:val="22"/>
                <w:szCs w:val="22"/>
              </w:rPr>
            </w:pPr>
            <w:r w:rsidRPr="00011CB0">
              <w:rPr>
                <w:sz w:val="22"/>
                <w:szCs w:val="22"/>
              </w:rPr>
              <w:t>$1,000-$120,000</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$53,595 ($33,220)</w:t>
            </w:r>
          </w:p>
          <w:p w:rsidR="00011CB0" w:rsidRPr="00011CB0" w:rsidRDefault="00011CB0" w:rsidP="00011CB0">
            <w:pPr>
              <w:spacing w:line="240" w:lineRule="auto"/>
              <w:ind w:firstLine="0"/>
              <w:jc w:val="center"/>
              <w:rPr>
                <w:sz w:val="22"/>
                <w:szCs w:val="22"/>
              </w:rPr>
            </w:pPr>
            <w:r w:rsidRPr="00011CB0">
              <w:rPr>
                <w:sz w:val="22"/>
                <w:szCs w:val="22"/>
              </w:rPr>
              <w:t>$39,500</w:t>
            </w:r>
          </w:p>
          <w:p w:rsidR="00011CB0" w:rsidRPr="00011CB0" w:rsidRDefault="00011CB0" w:rsidP="00011CB0">
            <w:pPr>
              <w:spacing w:line="240" w:lineRule="auto"/>
              <w:ind w:firstLine="0"/>
              <w:jc w:val="center"/>
              <w:rPr>
                <w:sz w:val="22"/>
                <w:szCs w:val="22"/>
              </w:rPr>
            </w:pPr>
            <w:r w:rsidRPr="00011CB0">
              <w:rPr>
                <w:sz w:val="22"/>
                <w:szCs w:val="22"/>
              </w:rPr>
              <w:t>$0-$1,000,000</w:t>
            </w:r>
          </w:p>
        </w:tc>
        <w:tc>
          <w:tcPr>
            <w:tcW w:w="962" w:type="dxa"/>
          </w:tcPr>
          <w:p w:rsidR="00011CB0" w:rsidRPr="00011CB0" w:rsidRDefault="00011CB0" w:rsidP="00011CB0">
            <w:pPr>
              <w:spacing w:line="240" w:lineRule="auto"/>
              <w:ind w:firstLine="0"/>
              <w:jc w:val="left"/>
              <w:rPr>
                <w:sz w:val="22"/>
                <w:szCs w:val="22"/>
              </w:rPr>
            </w:pPr>
            <w:r w:rsidRPr="00011CB0">
              <w:rPr>
                <w:sz w:val="22"/>
                <w:szCs w:val="22"/>
              </w:rPr>
              <w:t>.020</w:t>
            </w:r>
          </w:p>
        </w:tc>
      </w:tr>
      <w:tr w:rsidR="00011CB0" w:rsidRPr="00011CB0" w:rsidTr="002574B4">
        <w:tc>
          <w:tcPr>
            <w:tcW w:w="2718" w:type="dxa"/>
          </w:tcPr>
          <w:p w:rsidR="00011CB0" w:rsidRPr="00011CB0" w:rsidRDefault="00011CB0" w:rsidP="00011CB0">
            <w:pPr>
              <w:spacing w:line="240" w:lineRule="auto"/>
              <w:ind w:firstLine="0"/>
              <w:jc w:val="left"/>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1890" w:type="dxa"/>
          </w:tcPr>
          <w:p w:rsidR="00011CB0" w:rsidRPr="00011CB0" w:rsidRDefault="00011CB0" w:rsidP="00011CB0">
            <w:pPr>
              <w:spacing w:line="240" w:lineRule="auto"/>
              <w:ind w:firstLine="0"/>
              <w:jc w:val="center"/>
              <w:rPr>
                <w:sz w:val="22"/>
                <w:szCs w:val="22"/>
              </w:rPr>
            </w:pPr>
          </w:p>
        </w:tc>
        <w:tc>
          <w:tcPr>
            <w:tcW w:w="962" w:type="dxa"/>
          </w:tcPr>
          <w:p w:rsidR="00011CB0" w:rsidRPr="00011CB0" w:rsidRDefault="00011CB0" w:rsidP="00011CB0">
            <w:pPr>
              <w:spacing w:line="240" w:lineRule="auto"/>
              <w:ind w:firstLine="0"/>
              <w:jc w:val="left"/>
              <w:rPr>
                <w:sz w:val="22"/>
                <w:szCs w:val="22"/>
              </w:rPr>
            </w:pPr>
          </w:p>
        </w:tc>
      </w:tr>
      <w:tr w:rsidR="00011CB0" w:rsidRPr="00011CB0" w:rsidTr="002574B4">
        <w:tc>
          <w:tcPr>
            <w:tcW w:w="2718" w:type="dxa"/>
          </w:tcPr>
          <w:p w:rsidR="00011CB0" w:rsidRPr="00011CB0" w:rsidRDefault="00011CB0" w:rsidP="00011CB0">
            <w:pPr>
              <w:spacing w:line="240" w:lineRule="auto"/>
              <w:ind w:firstLine="0"/>
              <w:jc w:val="left"/>
              <w:rPr>
                <w:i/>
                <w:sz w:val="22"/>
                <w:szCs w:val="22"/>
              </w:rPr>
            </w:pPr>
            <w:r w:rsidRPr="00011CB0">
              <w:rPr>
                <w:i/>
                <w:sz w:val="22"/>
                <w:szCs w:val="22"/>
              </w:rPr>
              <w:t>Private Health Insurance</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221 (46.9%)</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31 (32.6%)</w:t>
            </w:r>
          </w:p>
        </w:tc>
        <w:tc>
          <w:tcPr>
            <w:tcW w:w="1890" w:type="dxa"/>
          </w:tcPr>
          <w:p w:rsidR="00011CB0" w:rsidRPr="00011CB0" w:rsidRDefault="00011CB0" w:rsidP="00011CB0">
            <w:pPr>
              <w:spacing w:line="240" w:lineRule="auto"/>
              <w:ind w:firstLine="0"/>
              <w:jc w:val="center"/>
              <w:rPr>
                <w:sz w:val="22"/>
                <w:szCs w:val="22"/>
              </w:rPr>
            </w:pPr>
            <w:r w:rsidRPr="00011CB0">
              <w:rPr>
                <w:sz w:val="22"/>
                <w:szCs w:val="22"/>
              </w:rPr>
              <w:t>190 (50.5%)</w:t>
            </w:r>
          </w:p>
        </w:tc>
        <w:tc>
          <w:tcPr>
            <w:tcW w:w="962" w:type="dxa"/>
          </w:tcPr>
          <w:p w:rsidR="00011CB0" w:rsidRPr="00011CB0" w:rsidRDefault="00011CB0" w:rsidP="00011CB0">
            <w:pPr>
              <w:spacing w:line="240" w:lineRule="auto"/>
              <w:ind w:firstLine="0"/>
              <w:jc w:val="left"/>
              <w:rPr>
                <w:sz w:val="22"/>
                <w:szCs w:val="22"/>
              </w:rPr>
            </w:pPr>
            <w:r w:rsidRPr="00011CB0">
              <w:rPr>
                <w:sz w:val="22"/>
                <w:szCs w:val="22"/>
              </w:rPr>
              <w:t>.002</w:t>
            </w:r>
          </w:p>
        </w:tc>
      </w:tr>
    </w:tbl>
    <w:p w:rsidR="00011CB0" w:rsidRDefault="00011CB0" w:rsidP="00334F5E">
      <w:pPr>
        <w:pStyle w:val="Noindent"/>
        <w:rPr>
          <w:b/>
        </w:rPr>
      </w:pPr>
    </w:p>
    <w:p w:rsidR="00011CB0" w:rsidRDefault="00011CB0">
      <w:pPr>
        <w:spacing w:line="240" w:lineRule="auto"/>
        <w:ind w:firstLine="0"/>
        <w:jc w:val="left"/>
        <w:rPr>
          <w:b/>
        </w:rPr>
      </w:pPr>
      <w:r>
        <w:rPr>
          <w:b/>
        </w:rPr>
        <w:br w:type="page"/>
      </w:r>
    </w:p>
    <w:p w:rsidR="00695581" w:rsidRDefault="00695581" w:rsidP="00695581">
      <w:pPr>
        <w:pStyle w:val="Caption"/>
        <w:ind w:firstLine="90"/>
        <w:jc w:val="center"/>
        <w:rPr>
          <w:sz w:val="22"/>
          <w:szCs w:val="22"/>
        </w:rPr>
      </w:pPr>
    </w:p>
    <w:p w:rsidR="009A4378" w:rsidRPr="00695581" w:rsidRDefault="00695581" w:rsidP="00695581">
      <w:pPr>
        <w:pStyle w:val="Caption"/>
        <w:ind w:firstLine="90"/>
        <w:jc w:val="center"/>
        <w:rPr>
          <w:sz w:val="22"/>
          <w:szCs w:val="22"/>
        </w:rPr>
      </w:pPr>
      <w:bookmarkStart w:id="35" w:name="_Toc511655204"/>
      <w:r w:rsidRPr="00695581">
        <w:rPr>
          <w:sz w:val="22"/>
          <w:szCs w:val="22"/>
        </w:rPr>
        <w:t xml:space="preserve">Table </w:t>
      </w:r>
      <w:r w:rsidRPr="00695581">
        <w:rPr>
          <w:sz w:val="22"/>
          <w:szCs w:val="22"/>
        </w:rPr>
        <w:fldChar w:fldCharType="begin"/>
      </w:r>
      <w:r w:rsidRPr="00695581">
        <w:rPr>
          <w:sz w:val="22"/>
          <w:szCs w:val="22"/>
        </w:rPr>
        <w:instrText xml:space="preserve"> SEQ Table \* ARABIC </w:instrText>
      </w:r>
      <w:r w:rsidRPr="00695581">
        <w:rPr>
          <w:sz w:val="22"/>
          <w:szCs w:val="22"/>
        </w:rPr>
        <w:fldChar w:fldCharType="separate"/>
      </w:r>
      <w:r w:rsidR="00BB5D94">
        <w:rPr>
          <w:noProof/>
          <w:sz w:val="22"/>
          <w:szCs w:val="22"/>
        </w:rPr>
        <w:t>2</w:t>
      </w:r>
      <w:r w:rsidRPr="00695581">
        <w:rPr>
          <w:sz w:val="22"/>
          <w:szCs w:val="22"/>
        </w:rPr>
        <w:fldChar w:fldCharType="end"/>
      </w:r>
      <w:r w:rsidRPr="00695581">
        <w:rPr>
          <w:sz w:val="22"/>
          <w:szCs w:val="22"/>
        </w:rPr>
        <w:t>: Secondary Health Outcomes and Psychosocial Functioning</w:t>
      </w:r>
      <w:bookmarkEnd w:id="35"/>
    </w:p>
    <w:tbl>
      <w:tblPr>
        <w:tblStyle w:val="TableGrid4"/>
        <w:tblW w:w="9377" w:type="dxa"/>
        <w:tblLook w:val="04A0" w:firstRow="1" w:lastRow="0" w:firstColumn="1" w:lastColumn="0" w:noHBand="0" w:noVBand="1"/>
      </w:tblPr>
      <w:tblGrid>
        <w:gridCol w:w="2802"/>
        <w:gridCol w:w="1722"/>
        <w:gridCol w:w="1764"/>
        <w:gridCol w:w="1939"/>
        <w:gridCol w:w="1150"/>
      </w:tblGrid>
      <w:tr w:rsidR="00DD57B9" w:rsidRPr="00DD57B9" w:rsidTr="00DD57B9">
        <w:trPr>
          <w:trHeight w:val="222"/>
        </w:trPr>
        <w:tc>
          <w:tcPr>
            <w:tcW w:w="2802" w:type="dxa"/>
          </w:tcPr>
          <w:p w:rsidR="00DD57B9" w:rsidRPr="00DD57B9" w:rsidRDefault="00DD57B9" w:rsidP="00DD57B9">
            <w:pPr>
              <w:spacing w:line="240" w:lineRule="auto"/>
              <w:ind w:firstLine="0"/>
              <w:jc w:val="left"/>
              <w:rPr>
                <w:sz w:val="22"/>
                <w:szCs w:val="22"/>
              </w:rPr>
            </w:pP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Total</w:t>
            </w:r>
          </w:p>
          <w:p w:rsidR="00DD57B9" w:rsidRPr="00DD57B9" w:rsidRDefault="00DD57B9" w:rsidP="00DD57B9">
            <w:pPr>
              <w:spacing w:line="240" w:lineRule="auto"/>
              <w:ind w:firstLine="0"/>
              <w:jc w:val="center"/>
              <w:rPr>
                <w:sz w:val="22"/>
                <w:szCs w:val="22"/>
              </w:rPr>
            </w:pPr>
            <w:r w:rsidRPr="00DD57B9">
              <w:rPr>
                <w:sz w:val="22"/>
                <w:szCs w:val="22"/>
              </w:rPr>
              <w:t xml:space="preserve">N=471 </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Rural Living</w:t>
            </w:r>
          </w:p>
          <w:p w:rsidR="00DD57B9" w:rsidRPr="00DD57B9" w:rsidRDefault="00DD57B9" w:rsidP="00DD57B9">
            <w:pPr>
              <w:spacing w:line="240" w:lineRule="auto"/>
              <w:ind w:firstLine="0"/>
              <w:jc w:val="center"/>
              <w:rPr>
                <w:sz w:val="22"/>
                <w:szCs w:val="22"/>
              </w:rPr>
            </w:pPr>
            <w:r w:rsidRPr="00DD57B9">
              <w:rPr>
                <w:sz w:val="22"/>
                <w:szCs w:val="22"/>
              </w:rPr>
              <w:t>n=95</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Urban Living</w:t>
            </w:r>
          </w:p>
          <w:p w:rsidR="00DD57B9" w:rsidRPr="00DD57B9" w:rsidRDefault="00DD57B9" w:rsidP="00DD57B9">
            <w:pPr>
              <w:spacing w:line="240" w:lineRule="auto"/>
              <w:ind w:firstLine="0"/>
              <w:jc w:val="center"/>
              <w:rPr>
                <w:sz w:val="22"/>
                <w:szCs w:val="22"/>
              </w:rPr>
            </w:pPr>
            <w:r w:rsidRPr="00DD57B9">
              <w:rPr>
                <w:sz w:val="22"/>
                <w:szCs w:val="22"/>
              </w:rPr>
              <w:t>n=376</w:t>
            </w:r>
          </w:p>
        </w:tc>
        <w:tc>
          <w:tcPr>
            <w:tcW w:w="1150" w:type="dxa"/>
          </w:tcPr>
          <w:p w:rsidR="00DD57B9" w:rsidRPr="00DD57B9" w:rsidRDefault="00DD57B9" w:rsidP="00DD57B9">
            <w:pPr>
              <w:spacing w:line="240" w:lineRule="auto"/>
              <w:ind w:firstLine="0"/>
              <w:jc w:val="left"/>
              <w:rPr>
                <w:sz w:val="22"/>
                <w:szCs w:val="22"/>
              </w:rPr>
            </w:pPr>
          </w:p>
        </w:tc>
      </w:tr>
      <w:tr w:rsidR="00DD57B9" w:rsidRPr="00DD57B9" w:rsidTr="00DD57B9">
        <w:trPr>
          <w:trHeight w:val="222"/>
        </w:trPr>
        <w:tc>
          <w:tcPr>
            <w:tcW w:w="2802" w:type="dxa"/>
          </w:tcPr>
          <w:p w:rsidR="00DD57B9" w:rsidRPr="00DD57B9" w:rsidRDefault="00DD57B9" w:rsidP="00DD57B9">
            <w:pPr>
              <w:spacing w:line="240" w:lineRule="auto"/>
              <w:ind w:firstLine="0"/>
              <w:jc w:val="left"/>
              <w:rPr>
                <w:sz w:val="22"/>
                <w:szCs w:val="22"/>
              </w:rPr>
            </w:pPr>
            <w:r w:rsidRPr="00DD57B9">
              <w:rPr>
                <w:sz w:val="22"/>
                <w:szCs w:val="22"/>
              </w:rPr>
              <w:t>Characteristics</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n (%)</w:t>
            </w:r>
          </w:p>
          <w:p w:rsidR="00DD57B9" w:rsidRPr="00DD57B9" w:rsidRDefault="00DD57B9" w:rsidP="00DD57B9">
            <w:pPr>
              <w:spacing w:line="240" w:lineRule="auto"/>
              <w:ind w:firstLine="0"/>
              <w:jc w:val="center"/>
              <w:rPr>
                <w:sz w:val="22"/>
                <w:szCs w:val="22"/>
              </w:rPr>
            </w:pPr>
            <w:r w:rsidRPr="00DD57B9">
              <w:rPr>
                <w:sz w:val="22"/>
                <w:szCs w:val="22"/>
              </w:rPr>
              <w:t>or Mean (SD)</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n (%)</w:t>
            </w:r>
          </w:p>
          <w:p w:rsidR="00DD57B9" w:rsidRPr="00DD57B9" w:rsidRDefault="00DD57B9" w:rsidP="00DD57B9">
            <w:pPr>
              <w:spacing w:line="240" w:lineRule="auto"/>
              <w:ind w:firstLine="0"/>
              <w:jc w:val="center"/>
              <w:rPr>
                <w:sz w:val="22"/>
                <w:szCs w:val="22"/>
              </w:rPr>
            </w:pPr>
            <w:r w:rsidRPr="00DD57B9">
              <w:rPr>
                <w:sz w:val="22"/>
                <w:szCs w:val="22"/>
              </w:rPr>
              <w:t>or Mean (SD)</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n (%)</w:t>
            </w:r>
          </w:p>
          <w:p w:rsidR="00DD57B9" w:rsidRPr="00DD57B9" w:rsidRDefault="00DD57B9" w:rsidP="00DD57B9">
            <w:pPr>
              <w:spacing w:line="240" w:lineRule="auto"/>
              <w:ind w:firstLine="0"/>
              <w:jc w:val="center"/>
              <w:rPr>
                <w:sz w:val="22"/>
                <w:szCs w:val="22"/>
              </w:rPr>
            </w:pPr>
            <w:r w:rsidRPr="00DD57B9">
              <w:rPr>
                <w:sz w:val="22"/>
                <w:szCs w:val="22"/>
              </w:rPr>
              <w:t>or Mean (SD)</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P value</w:t>
            </w:r>
          </w:p>
        </w:tc>
      </w:tr>
      <w:tr w:rsidR="00DD57B9" w:rsidRPr="00DD57B9" w:rsidTr="00DD57B9">
        <w:trPr>
          <w:trHeight w:val="222"/>
        </w:trPr>
        <w:tc>
          <w:tcPr>
            <w:tcW w:w="2802" w:type="dxa"/>
          </w:tcPr>
          <w:p w:rsidR="00DD57B9" w:rsidRPr="00DD57B9" w:rsidRDefault="00DD57B9" w:rsidP="00DD57B9">
            <w:pPr>
              <w:spacing w:line="240" w:lineRule="auto"/>
              <w:ind w:firstLine="0"/>
              <w:jc w:val="left"/>
              <w:rPr>
                <w:i/>
                <w:sz w:val="22"/>
                <w:szCs w:val="22"/>
              </w:rPr>
            </w:pPr>
            <w:r w:rsidRPr="00DD57B9">
              <w:rPr>
                <w:i/>
                <w:sz w:val="22"/>
                <w:szCs w:val="22"/>
              </w:rPr>
              <w:t>Current Pain (yes)</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111 (61.3%)</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20 (62.5%)</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91 (61.1%)</w:t>
            </w:r>
          </w:p>
        </w:tc>
        <w:tc>
          <w:tcPr>
            <w:tcW w:w="1150" w:type="dxa"/>
          </w:tcPr>
          <w:p w:rsidR="00DD57B9" w:rsidRPr="00DD57B9" w:rsidRDefault="00DD57B9" w:rsidP="00DD57B9">
            <w:pPr>
              <w:spacing w:line="240" w:lineRule="auto"/>
              <w:ind w:firstLine="0"/>
              <w:jc w:val="left"/>
              <w:rPr>
                <w:sz w:val="22"/>
                <w:szCs w:val="22"/>
                <w:highlight w:val="green"/>
              </w:rPr>
            </w:pPr>
            <w:r w:rsidRPr="00DD57B9">
              <w:rPr>
                <w:sz w:val="22"/>
                <w:szCs w:val="22"/>
              </w:rPr>
              <w:t>.023</w:t>
            </w:r>
          </w:p>
        </w:tc>
      </w:tr>
      <w:tr w:rsidR="00DD57B9" w:rsidRPr="00DD57B9" w:rsidTr="00DD57B9">
        <w:trPr>
          <w:trHeight w:val="222"/>
        </w:trPr>
        <w:tc>
          <w:tcPr>
            <w:tcW w:w="2802" w:type="dxa"/>
          </w:tcPr>
          <w:p w:rsidR="00DD57B9" w:rsidRPr="00DD57B9" w:rsidRDefault="00DD57B9" w:rsidP="00DD57B9">
            <w:pPr>
              <w:spacing w:line="240" w:lineRule="auto"/>
              <w:ind w:firstLine="0"/>
              <w:jc w:val="left"/>
              <w:rPr>
                <w:i/>
                <w:sz w:val="22"/>
                <w:szCs w:val="22"/>
              </w:rPr>
            </w:pPr>
            <w:r w:rsidRPr="00DD57B9">
              <w:rPr>
                <w:i/>
                <w:sz w:val="22"/>
                <w:szCs w:val="22"/>
              </w:rPr>
              <w:t>Pain Intensity</w:t>
            </w:r>
          </w:p>
        </w:tc>
        <w:tc>
          <w:tcPr>
            <w:tcW w:w="1722" w:type="dxa"/>
          </w:tcPr>
          <w:p w:rsidR="00DD57B9" w:rsidRPr="00DD57B9" w:rsidRDefault="00DD57B9" w:rsidP="00DD57B9">
            <w:pPr>
              <w:spacing w:line="240" w:lineRule="auto"/>
              <w:ind w:firstLine="0"/>
              <w:jc w:val="center"/>
              <w:rPr>
                <w:sz w:val="22"/>
                <w:szCs w:val="22"/>
              </w:rPr>
            </w:pP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2.53 (2.74)</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2.06 (2.33)</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.317</w:t>
            </w:r>
          </w:p>
        </w:tc>
      </w:tr>
      <w:tr w:rsidR="00DD57B9" w:rsidRPr="00DD57B9" w:rsidTr="00DD57B9">
        <w:trPr>
          <w:trHeight w:val="222"/>
        </w:trPr>
        <w:tc>
          <w:tcPr>
            <w:tcW w:w="2802" w:type="dxa"/>
          </w:tcPr>
          <w:p w:rsidR="00DD57B9" w:rsidRPr="00DD57B9" w:rsidRDefault="00DD57B9" w:rsidP="00DD57B9">
            <w:pPr>
              <w:spacing w:line="240" w:lineRule="auto"/>
              <w:ind w:firstLine="0"/>
              <w:jc w:val="left"/>
              <w:rPr>
                <w:i/>
                <w:sz w:val="22"/>
                <w:szCs w:val="22"/>
              </w:rPr>
            </w:pPr>
            <w:r w:rsidRPr="00DD57B9">
              <w:rPr>
                <w:i/>
                <w:sz w:val="22"/>
                <w:szCs w:val="22"/>
              </w:rPr>
              <w:t>Hospitalized in the past year (yes)</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108 (23.0%)</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28 (29.5%)</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80 (21.4%)</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.095</w:t>
            </w:r>
          </w:p>
        </w:tc>
      </w:tr>
      <w:tr w:rsidR="00DD57B9" w:rsidRPr="00DD57B9" w:rsidTr="00DD57B9">
        <w:trPr>
          <w:trHeight w:val="222"/>
        </w:trPr>
        <w:tc>
          <w:tcPr>
            <w:tcW w:w="2802" w:type="dxa"/>
          </w:tcPr>
          <w:p w:rsidR="00DD57B9" w:rsidRPr="00DD57B9" w:rsidRDefault="00DD57B9" w:rsidP="00DD57B9">
            <w:pPr>
              <w:spacing w:line="240" w:lineRule="auto"/>
              <w:ind w:firstLine="0"/>
              <w:jc w:val="left"/>
              <w:rPr>
                <w:i/>
                <w:sz w:val="22"/>
                <w:szCs w:val="22"/>
              </w:rPr>
            </w:pPr>
            <w:r w:rsidRPr="00DD57B9">
              <w:rPr>
                <w:i/>
                <w:sz w:val="22"/>
                <w:szCs w:val="22"/>
              </w:rPr>
              <w:t>Pressure ulcer in the past year(yes)</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153 (32.5%)</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40 (42.1%)</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113 (30.1%)</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.028</w:t>
            </w:r>
          </w:p>
        </w:tc>
      </w:tr>
      <w:tr w:rsidR="00DD57B9" w:rsidRPr="00DD57B9" w:rsidTr="00DD57B9">
        <w:trPr>
          <w:trHeight w:val="222"/>
        </w:trPr>
        <w:tc>
          <w:tcPr>
            <w:tcW w:w="2802" w:type="dxa"/>
          </w:tcPr>
          <w:p w:rsidR="00DD57B9" w:rsidRPr="00DD57B9" w:rsidRDefault="00DD57B9" w:rsidP="00DD57B9">
            <w:pPr>
              <w:spacing w:line="240" w:lineRule="auto"/>
              <w:ind w:firstLine="0"/>
              <w:jc w:val="left"/>
              <w:rPr>
                <w:i/>
                <w:sz w:val="22"/>
                <w:szCs w:val="22"/>
              </w:rPr>
            </w:pPr>
            <w:r w:rsidRPr="00DD57B9">
              <w:rPr>
                <w:i/>
                <w:sz w:val="22"/>
                <w:szCs w:val="22"/>
              </w:rPr>
              <w:t>UTI in the past year (yes)</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326 (69.4%)</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71 (74.7%)</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255 (68.0%)</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.215</w:t>
            </w:r>
          </w:p>
        </w:tc>
      </w:tr>
      <w:tr w:rsidR="00DD57B9" w:rsidRPr="00DD57B9" w:rsidTr="00DD57B9">
        <w:trPr>
          <w:trHeight w:val="222"/>
        </w:trPr>
        <w:tc>
          <w:tcPr>
            <w:tcW w:w="2802" w:type="dxa"/>
          </w:tcPr>
          <w:p w:rsidR="00DD57B9" w:rsidRPr="00DD57B9" w:rsidRDefault="00DD57B9" w:rsidP="00DD57B9">
            <w:pPr>
              <w:spacing w:line="240" w:lineRule="auto"/>
              <w:ind w:firstLine="0"/>
              <w:jc w:val="left"/>
              <w:rPr>
                <w:sz w:val="22"/>
                <w:szCs w:val="22"/>
              </w:rPr>
            </w:pPr>
          </w:p>
        </w:tc>
        <w:tc>
          <w:tcPr>
            <w:tcW w:w="1722" w:type="dxa"/>
          </w:tcPr>
          <w:p w:rsidR="00DD57B9" w:rsidRPr="00DD57B9" w:rsidRDefault="00DD57B9" w:rsidP="00DD57B9">
            <w:pPr>
              <w:spacing w:line="240" w:lineRule="auto"/>
              <w:ind w:firstLine="0"/>
              <w:jc w:val="center"/>
              <w:rPr>
                <w:sz w:val="22"/>
                <w:szCs w:val="22"/>
              </w:rPr>
            </w:pPr>
          </w:p>
        </w:tc>
        <w:tc>
          <w:tcPr>
            <w:tcW w:w="1764" w:type="dxa"/>
          </w:tcPr>
          <w:p w:rsidR="00DD57B9" w:rsidRPr="00DD57B9" w:rsidRDefault="00DD57B9" w:rsidP="00DD57B9">
            <w:pPr>
              <w:spacing w:line="240" w:lineRule="auto"/>
              <w:ind w:firstLine="0"/>
              <w:jc w:val="center"/>
              <w:rPr>
                <w:sz w:val="22"/>
                <w:szCs w:val="22"/>
              </w:rPr>
            </w:pPr>
          </w:p>
        </w:tc>
        <w:tc>
          <w:tcPr>
            <w:tcW w:w="1939" w:type="dxa"/>
          </w:tcPr>
          <w:p w:rsidR="00DD57B9" w:rsidRPr="00DD57B9" w:rsidRDefault="00DD57B9" w:rsidP="00DD57B9">
            <w:pPr>
              <w:spacing w:line="240" w:lineRule="auto"/>
              <w:ind w:firstLine="0"/>
              <w:jc w:val="center"/>
              <w:rPr>
                <w:sz w:val="22"/>
                <w:szCs w:val="22"/>
              </w:rPr>
            </w:pPr>
          </w:p>
        </w:tc>
        <w:tc>
          <w:tcPr>
            <w:tcW w:w="1150" w:type="dxa"/>
          </w:tcPr>
          <w:p w:rsidR="00DD57B9" w:rsidRPr="00DD57B9" w:rsidRDefault="00DD57B9" w:rsidP="00DD57B9">
            <w:pPr>
              <w:spacing w:line="240" w:lineRule="auto"/>
              <w:ind w:firstLine="0"/>
              <w:jc w:val="left"/>
              <w:rPr>
                <w:sz w:val="22"/>
                <w:szCs w:val="22"/>
              </w:rPr>
            </w:pPr>
          </w:p>
        </w:tc>
      </w:tr>
      <w:tr w:rsidR="00DD57B9" w:rsidRPr="00DD57B9" w:rsidTr="00DD57B9">
        <w:trPr>
          <w:trHeight w:val="222"/>
        </w:trPr>
        <w:tc>
          <w:tcPr>
            <w:tcW w:w="2802" w:type="dxa"/>
          </w:tcPr>
          <w:p w:rsidR="00DD57B9" w:rsidRPr="00DD57B9" w:rsidRDefault="00DD57B9" w:rsidP="00DD57B9">
            <w:pPr>
              <w:spacing w:line="240" w:lineRule="auto"/>
              <w:ind w:firstLine="0"/>
              <w:jc w:val="left"/>
              <w:rPr>
                <w:i/>
                <w:sz w:val="22"/>
                <w:szCs w:val="22"/>
              </w:rPr>
            </w:pPr>
            <w:r w:rsidRPr="00DD57B9">
              <w:rPr>
                <w:i/>
                <w:sz w:val="22"/>
                <w:szCs w:val="22"/>
              </w:rPr>
              <w:t>CHART</w:t>
            </w:r>
          </w:p>
        </w:tc>
        <w:tc>
          <w:tcPr>
            <w:tcW w:w="1722" w:type="dxa"/>
          </w:tcPr>
          <w:p w:rsidR="00DD57B9" w:rsidRPr="00DD57B9" w:rsidRDefault="00DD57B9" w:rsidP="00DD57B9">
            <w:pPr>
              <w:spacing w:line="240" w:lineRule="auto"/>
              <w:ind w:firstLine="0"/>
              <w:jc w:val="center"/>
              <w:rPr>
                <w:sz w:val="22"/>
                <w:szCs w:val="22"/>
              </w:rPr>
            </w:pPr>
          </w:p>
        </w:tc>
        <w:tc>
          <w:tcPr>
            <w:tcW w:w="1764" w:type="dxa"/>
          </w:tcPr>
          <w:p w:rsidR="00DD57B9" w:rsidRPr="00DD57B9" w:rsidRDefault="00DD57B9" w:rsidP="00DD57B9">
            <w:pPr>
              <w:spacing w:line="240" w:lineRule="auto"/>
              <w:ind w:firstLine="0"/>
              <w:jc w:val="center"/>
              <w:rPr>
                <w:sz w:val="22"/>
                <w:szCs w:val="22"/>
              </w:rPr>
            </w:pPr>
          </w:p>
        </w:tc>
        <w:tc>
          <w:tcPr>
            <w:tcW w:w="1939" w:type="dxa"/>
          </w:tcPr>
          <w:p w:rsidR="00DD57B9" w:rsidRPr="00DD57B9" w:rsidRDefault="00DD57B9" w:rsidP="00DD57B9">
            <w:pPr>
              <w:spacing w:line="240" w:lineRule="auto"/>
              <w:ind w:firstLine="0"/>
              <w:jc w:val="center"/>
              <w:rPr>
                <w:sz w:val="22"/>
                <w:szCs w:val="22"/>
              </w:rPr>
            </w:pPr>
          </w:p>
        </w:tc>
        <w:tc>
          <w:tcPr>
            <w:tcW w:w="1150" w:type="dxa"/>
          </w:tcPr>
          <w:p w:rsidR="00DD57B9" w:rsidRPr="00DD57B9" w:rsidRDefault="00DD57B9" w:rsidP="00DD57B9">
            <w:pPr>
              <w:spacing w:line="240" w:lineRule="auto"/>
              <w:ind w:firstLine="0"/>
              <w:jc w:val="left"/>
              <w:rPr>
                <w:sz w:val="22"/>
                <w:szCs w:val="22"/>
              </w:rPr>
            </w:pPr>
          </w:p>
        </w:tc>
      </w:tr>
      <w:tr w:rsidR="00DD57B9" w:rsidRPr="00DD57B9" w:rsidTr="00DD57B9">
        <w:trPr>
          <w:trHeight w:val="222"/>
        </w:trPr>
        <w:tc>
          <w:tcPr>
            <w:tcW w:w="2802" w:type="dxa"/>
          </w:tcPr>
          <w:p w:rsidR="00DD57B9" w:rsidRPr="00DD57B9" w:rsidRDefault="00DD57B9" w:rsidP="00DD57B9">
            <w:pPr>
              <w:spacing w:line="240" w:lineRule="auto"/>
              <w:ind w:left="90" w:firstLine="0"/>
              <w:jc w:val="left"/>
              <w:rPr>
                <w:sz w:val="22"/>
                <w:szCs w:val="22"/>
              </w:rPr>
            </w:pPr>
            <w:r w:rsidRPr="00DD57B9">
              <w:rPr>
                <w:sz w:val="22"/>
                <w:szCs w:val="22"/>
              </w:rPr>
              <w:t>Out of pocket medical expenses</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$3,628 ($14,962)</w:t>
            </w:r>
          </w:p>
          <w:p w:rsidR="00DD57B9" w:rsidRPr="00DD57B9" w:rsidRDefault="00DD57B9" w:rsidP="00DD57B9">
            <w:pPr>
              <w:spacing w:line="240" w:lineRule="auto"/>
              <w:ind w:firstLine="0"/>
              <w:jc w:val="center"/>
              <w:rPr>
                <w:sz w:val="22"/>
                <w:szCs w:val="22"/>
              </w:rPr>
            </w:pPr>
            <w:r w:rsidRPr="00DD57B9">
              <w:rPr>
                <w:sz w:val="22"/>
                <w:szCs w:val="22"/>
              </w:rPr>
              <w:t>$0-$250,000</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$1,659 ($3,333)</w:t>
            </w:r>
          </w:p>
          <w:p w:rsidR="00DD57B9" w:rsidRPr="00DD57B9" w:rsidRDefault="00DD57B9" w:rsidP="00DD57B9">
            <w:pPr>
              <w:spacing w:line="240" w:lineRule="auto"/>
              <w:ind w:firstLine="0"/>
              <w:jc w:val="center"/>
              <w:rPr>
                <w:sz w:val="22"/>
                <w:szCs w:val="22"/>
              </w:rPr>
            </w:pPr>
            <w:r w:rsidRPr="00DD57B9">
              <w:rPr>
                <w:sz w:val="22"/>
                <w:szCs w:val="22"/>
              </w:rPr>
              <w:t>$0-$22,800</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$4,094 ($16,528)</w:t>
            </w:r>
          </w:p>
          <w:p w:rsidR="00DD57B9" w:rsidRPr="00DD57B9" w:rsidRDefault="00DD57B9" w:rsidP="00DD57B9">
            <w:pPr>
              <w:spacing w:line="240" w:lineRule="auto"/>
              <w:ind w:firstLine="0"/>
              <w:jc w:val="center"/>
              <w:rPr>
                <w:sz w:val="22"/>
                <w:szCs w:val="22"/>
              </w:rPr>
            </w:pPr>
            <w:r w:rsidRPr="00DD57B9">
              <w:rPr>
                <w:sz w:val="22"/>
                <w:szCs w:val="22"/>
              </w:rPr>
              <w:t>$0-$250,000</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.212</w:t>
            </w:r>
          </w:p>
        </w:tc>
      </w:tr>
      <w:tr w:rsidR="00DD57B9" w:rsidRPr="00DD57B9" w:rsidTr="00DD57B9">
        <w:trPr>
          <w:trHeight w:val="222"/>
        </w:trPr>
        <w:tc>
          <w:tcPr>
            <w:tcW w:w="2802" w:type="dxa"/>
          </w:tcPr>
          <w:p w:rsidR="00DD57B9" w:rsidRPr="00DD57B9" w:rsidRDefault="00DD57B9" w:rsidP="00DD57B9">
            <w:pPr>
              <w:spacing w:line="240" w:lineRule="auto"/>
              <w:ind w:left="90" w:firstLine="0"/>
              <w:jc w:val="left"/>
              <w:rPr>
                <w:sz w:val="22"/>
                <w:szCs w:val="22"/>
              </w:rPr>
            </w:pPr>
            <w:r w:rsidRPr="00DD57B9">
              <w:rPr>
                <w:sz w:val="22"/>
                <w:szCs w:val="22"/>
              </w:rPr>
              <w:t>Hours of paid personal care assistance in 24 hours</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1.5 (3.05)</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.91 (1.99)</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1.65 (3.24)</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.006</w:t>
            </w:r>
          </w:p>
        </w:tc>
      </w:tr>
      <w:tr w:rsidR="00DD57B9" w:rsidRPr="00DD57B9" w:rsidTr="00DD57B9">
        <w:trPr>
          <w:trHeight w:val="222"/>
        </w:trPr>
        <w:tc>
          <w:tcPr>
            <w:tcW w:w="2802" w:type="dxa"/>
          </w:tcPr>
          <w:p w:rsidR="00DD57B9" w:rsidRPr="00DD57B9" w:rsidRDefault="00DD57B9" w:rsidP="00DD57B9">
            <w:pPr>
              <w:spacing w:line="240" w:lineRule="auto"/>
              <w:ind w:left="90" w:firstLine="0"/>
              <w:jc w:val="left"/>
              <w:rPr>
                <w:sz w:val="22"/>
                <w:szCs w:val="22"/>
              </w:rPr>
            </w:pPr>
            <w:r w:rsidRPr="00DD57B9">
              <w:rPr>
                <w:sz w:val="22"/>
                <w:szCs w:val="22"/>
              </w:rPr>
              <w:t>Hours of unpaid personal care assistance in 24 hours</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.66 (1.75)</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.67 (1.34)</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.66 (1.84)</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.965</w:t>
            </w:r>
          </w:p>
          <w:p w:rsidR="00DD57B9" w:rsidRPr="00DD57B9" w:rsidRDefault="00DD57B9" w:rsidP="00DD57B9">
            <w:pPr>
              <w:spacing w:line="240" w:lineRule="auto"/>
              <w:ind w:firstLine="0"/>
              <w:jc w:val="left"/>
              <w:rPr>
                <w:sz w:val="22"/>
                <w:szCs w:val="22"/>
              </w:rPr>
            </w:pPr>
          </w:p>
        </w:tc>
      </w:tr>
      <w:tr w:rsidR="00DD57B9" w:rsidRPr="00DD57B9" w:rsidTr="00DD57B9">
        <w:trPr>
          <w:trHeight w:val="222"/>
        </w:trPr>
        <w:tc>
          <w:tcPr>
            <w:tcW w:w="2802" w:type="dxa"/>
          </w:tcPr>
          <w:p w:rsidR="00DD57B9" w:rsidRPr="00DD57B9" w:rsidRDefault="00DD57B9" w:rsidP="00DD57B9">
            <w:pPr>
              <w:spacing w:line="240" w:lineRule="auto"/>
              <w:ind w:left="90" w:firstLine="0"/>
              <w:jc w:val="left"/>
              <w:rPr>
                <w:sz w:val="22"/>
                <w:szCs w:val="22"/>
              </w:rPr>
            </w:pPr>
            <w:r w:rsidRPr="00DD57B9">
              <w:rPr>
                <w:sz w:val="22"/>
                <w:szCs w:val="22"/>
              </w:rPr>
              <w:t>Physical Independence subtotal</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91.73 (11.93)</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93.06 (10.45)</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91.39 (12.26)</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.227</w:t>
            </w:r>
          </w:p>
        </w:tc>
      </w:tr>
      <w:tr w:rsidR="00DD57B9" w:rsidRPr="00DD57B9" w:rsidTr="00DD57B9">
        <w:trPr>
          <w:trHeight w:val="222"/>
        </w:trPr>
        <w:tc>
          <w:tcPr>
            <w:tcW w:w="2802" w:type="dxa"/>
          </w:tcPr>
          <w:p w:rsidR="00DD57B9" w:rsidRPr="00DD57B9" w:rsidRDefault="00DD57B9" w:rsidP="00DD57B9">
            <w:pPr>
              <w:spacing w:line="240" w:lineRule="auto"/>
              <w:ind w:left="90" w:firstLine="0"/>
              <w:jc w:val="left"/>
              <w:rPr>
                <w:sz w:val="22"/>
                <w:szCs w:val="22"/>
              </w:rPr>
            </w:pPr>
            <w:r w:rsidRPr="00DD57B9">
              <w:rPr>
                <w:sz w:val="22"/>
                <w:szCs w:val="22"/>
              </w:rPr>
              <w:t>Cognitive Independence subtotal</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87.06 (7.67)</w:t>
            </w:r>
          </w:p>
        </w:tc>
        <w:tc>
          <w:tcPr>
            <w:tcW w:w="1764" w:type="dxa"/>
          </w:tcPr>
          <w:p w:rsidR="00DD57B9" w:rsidRPr="00DD57B9" w:rsidRDefault="00DD57B9" w:rsidP="00DD57B9">
            <w:pPr>
              <w:spacing w:line="240" w:lineRule="auto"/>
              <w:ind w:left="720" w:hanging="720"/>
              <w:jc w:val="center"/>
              <w:rPr>
                <w:sz w:val="22"/>
                <w:szCs w:val="22"/>
              </w:rPr>
            </w:pPr>
            <w:r w:rsidRPr="00DD57B9">
              <w:rPr>
                <w:sz w:val="22"/>
                <w:szCs w:val="22"/>
              </w:rPr>
              <w:t>96.38 (10.57)</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97.23 (6.73)</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.332</w:t>
            </w:r>
          </w:p>
        </w:tc>
      </w:tr>
      <w:tr w:rsidR="00DD57B9" w:rsidRPr="00DD57B9" w:rsidTr="00DD57B9">
        <w:trPr>
          <w:trHeight w:val="222"/>
        </w:trPr>
        <w:tc>
          <w:tcPr>
            <w:tcW w:w="2802" w:type="dxa"/>
          </w:tcPr>
          <w:p w:rsidR="00DD57B9" w:rsidRPr="00DD57B9" w:rsidRDefault="00DD57B9" w:rsidP="00DD57B9">
            <w:pPr>
              <w:spacing w:line="240" w:lineRule="auto"/>
              <w:ind w:firstLine="0"/>
              <w:jc w:val="left"/>
              <w:rPr>
                <w:sz w:val="22"/>
                <w:szCs w:val="22"/>
              </w:rPr>
            </w:pPr>
            <w:r w:rsidRPr="00DD57B9">
              <w:rPr>
                <w:sz w:val="22"/>
                <w:szCs w:val="22"/>
              </w:rPr>
              <w:t>Mobility subtotal</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88.45 (17.95)</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83.74 (21.51)</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89.65 (16.74)</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.014</w:t>
            </w:r>
          </w:p>
        </w:tc>
      </w:tr>
      <w:tr w:rsidR="00DD57B9" w:rsidRPr="00DD57B9" w:rsidTr="00DD57B9">
        <w:trPr>
          <w:trHeight w:val="212"/>
        </w:trPr>
        <w:tc>
          <w:tcPr>
            <w:tcW w:w="2802" w:type="dxa"/>
          </w:tcPr>
          <w:p w:rsidR="00DD57B9" w:rsidRPr="00DD57B9" w:rsidRDefault="00DD57B9" w:rsidP="00DD57B9">
            <w:pPr>
              <w:spacing w:line="240" w:lineRule="auto"/>
              <w:ind w:firstLine="0"/>
              <w:jc w:val="left"/>
              <w:rPr>
                <w:sz w:val="22"/>
                <w:szCs w:val="22"/>
                <w:highlight w:val="yellow"/>
              </w:rPr>
            </w:pPr>
            <w:r w:rsidRPr="00DD57B9">
              <w:rPr>
                <w:sz w:val="22"/>
                <w:szCs w:val="22"/>
              </w:rPr>
              <w:t>Occupational subtotal</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75.18 (31.09)</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69.02 (31.3)</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76.74 (30.88)</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.031</w:t>
            </w:r>
          </w:p>
        </w:tc>
      </w:tr>
      <w:tr w:rsidR="00DD57B9" w:rsidRPr="00DD57B9" w:rsidTr="00DD57B9">
        <w:trPr>
          <w:trHeight w:val="212"/>
        </w:trPr>
        <w:tc>
          <w:tcPr>
            <w:tcW w:w="2802" w:type="dxa"/>
            <w:shd w:val="clear" w:color="auto" w:fill="auto"/>
          </w:tcPr>
          <w:p w:rsidR="00DD57B9" w:rsidRPr="00DD57B9" w:rsidRDefault="00DD57B9" w:rsidP="00DD57B9">
            <w:pPr>
              <w:tabs>
                <w:tab w:val="center" w:pos="1419"/>
              </w:tabs>
              <w:spacing w:line="240" w:lineRule="auto"/>
              <w:ind w:firstLine="0"/>
              <w:jc w:val="left"/>
              <w:rPr>
                <w:sz w:val="22"/>
                <w:szCs w:val="22"/>
                <w:highlight w:val="yellow"/>
              </w:rPr>
            </w:pPr>
            <w:r w:rsidRPr="00DD57B9">
              <w:rPr>
                <w:sz w:val="22"/>
                <w:szCs w:val="22"/>
              </w:rPr>
              <w:t>Social Integration subtotal</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90.1 (15.7)</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84.5 (19.4)</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91.6 (14.3)</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&lt;.001</w:t>
            </w:r>
          </w:p>
        </w:tc>
      </w:tr>
      <w:tr w:rsidR="00DD57B9" w:rsidRPr="00DD57B9" w:rsidTr="00DD57B9">
        <w:trPr>
          <w:trHeight w:val="212"/>
        </w:trPr>
        <w:tc>
          <w:tcPr>
            <w:tcW w:w="2802" w:type="dxa"/>
            <w:shd w:val="clear" w:color="auto" w:fill="auto"/>
          </w:tcPr>
          <w:p w:rsidR="00DD57B9" w:rsidRPr="00DD57B9" w:rsidRDefault="00DD57B9" w:rsidP="00DD57B9">
            <w:pPr>
              <w:spacing w:line="240" w:lineRule="auto"/>
              <w:ind w:firstLine="0"/>
              <w:jc w:val="left"/>
              <w:rPr>
                <w:sz w:val="22"/>
                <w:szCs w:val="22"/>
              </w:rPr>
            </w:pPr>
            <w:r w:rsidRPr="00DD57B9">
              <w:rPr>
                <w:sz w:val="22"/>
                <w:szCs w:val="22"/>
              </w:rPr>
              <w:t>Economic Self-sufficiency subtotal</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73.1 (34.1)</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65.8 (34.0)</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74.8 (33.9)</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.049</w:t>
            </w:r>
          </w:p>
        </w:tc>
      </w:tr>
      <w:tr w:rsidR="00DD57B9" w:rsidRPr="00DD57B9" w:rsidTr="00DD57B9">
        <w:trPr>
          <w:trHeight w:val="212"/>
        </w:trPr>
        <w:tc>
          <w:tcPr>
            <w:tcW w:w="2802" w:type="dxa"/>
          </w:tcPr>
          <w:p w:rsidR="00DD57B9" w:rsidRPr="00DD57B9" w:rsidRDefault="00DD57B9" w:rsidP="00DD57B9">
            <w:pPr>
              <w:spacing w:line="240" w:lineRule="auto"/>
              <w:ind w:firstLine="0"/>
              <w:jc w:val="left"/>
              <w:rPr>
                <w:sz w:val="22"/>
                <w:szCs w:val="22"/>
                <w:highlight w:val="yellow"/>
              </w:rPr>
            </w:pPr>
            <w:r w:rsidRPr="00DD57B9">
              <w:rPr>
                <w:i/>
                <w:sz w:val="22"/>
                <w:szCs w:val="22"/>
              </w:rPr>
              <w:t>Anxiety</w:t>
            </w:r>
            <w:r w:rsidRPr="00DD57B9">
              <w:rPr>
                <w:sz w:val="22"/>
                <w:szCs w:val="22"/>
              </w:rPr>
              <w:t xml:space="preserve"> (BAI)</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4.25 (7.55)</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3.13 (5.12)</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4.49 (7.96)</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.355</w:t>
            </w:r>
          </w:p>
        </w:tc>
      </w:tr>
      <w:tr w:rsidR="00DD57B9" w:rsidRPr="00DD57B9" w:rsidTr="00DD57B9">
        <w:trPr>
          <w:trHeight w:val="212"/>
        </w:trPr>
        <w:tc>
          <w:tcPr>
            <w:tcW w:w="2802" w:type="dxa"/>
            <w:shd w:val="clear" w:color="auto" w:fill="auto"/>
          </w:tcPr>
          <w:p w:rsidR="00DD57B9" w:rsidRPr="00DD57B9" w:rsidRDefault="00DD57B9" w:rsidP="00DD57B9">
            <w:pPr>
              <w:tabs>
                <w:tab w:val="center" w:pos="1419"/>
              </w:tabs>
              <w:spacing w:line="240" w:lineRule="auto"/>
              <w:ind w:firstLine="0"/>
              <w:jc w:val="left"/>
              <w:rPr>
                <w:sz w:val="22"/>
                <w:szCs w:val="22"/>
                <w:highlight w:val="yellow"/>
              </w:rPr>
            </w:pPr>
            <w:r w:rsidRPr="00DD57B9">
              <w:rPr>
                <w:i/>
                <w:sz w:val="22"/>
                <w:szCs w:val="22"/>
              </w:rPr>
              <w:t xml:space="preserve">Depression </w:t>
            </w:r>
            <w:r w:rsidRPr="00DD57B9">
              <w:rPr>
                <w:sz w:val="22"/>
                <w:szCs w:val="22"/>
              </w:rPr>
              <w:t>(PHQ9)</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3.51 (4.45)</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3.48 (4.17)</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3.52 (4.53)</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.946</w:t>
            </w:r>
          </w:p>
        </w:tc>
      </w:tr>
      <w:tr w:rsidR="00DD57B9" w:rsidRPr="00DD57B9" w:rsidTr="00DD57B9">
        <w:trPr>
          <w:trHeight w:val="212"/>
        </w:trPr>
        <w:tc>
          <w:tcPr>
            <w:tcW w:w="2802" w:type="dxa"/>
            <w:shd w:val="clear" w:color="auto" w:fill="auto"/>
          </w:tcPr>
          <w:p w:rsidR="00DD57B9" w:rsidRPr="00DD57B9" w:rsidRDefault="00DD57B9" w:rsidP="00DD57B9">
            <w:pPr>
              <w:spacing w:line="240" w:lineRule="auto"/>
              <w:ind w:firstLine="0"/>
              <w:jc w:val="left"/>
              <w:rPr>
                <w:sz w:val="22"/>
                <w:szCs w:val="22"/>
              </w:rPr>
            </w:pPr>
            <w:r w:rsidRPr="00DD57B9">
              <w:rPr>
                <w:i/>
                <w:sz w:val="22"/>
                <w:szCs w:val="22"/>
              </w:rPr>
              <w:t xml:space="preserve">Happiness </w:t>
            </w:r>
            <w:r w:rsidRPr="00DD57B9">
              <w:rPr>
                <w:sz w:val="22"/>
                <w:szCs w:val="22"/>
              </w:rPr>
              <w:t>(GHS)</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5.55 (1.24)</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5.79 (1.02)</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5.50 (1.25)</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.250</w:t>
            </w:r>
          </w:p>
        </w:tc>
      </w:tr>
      <w:tr w:rsidR="00DD57B9" w:rsidRPr="00DD57B9" w:rsidTr="00DD57B9">
        <w:trPr>
          <w:trHeight w:val="212"/>
        </w:trPr>
        <w:tc>
          <w:tcPr>
            <w:tcW w:w="2802" w:type="dxa"/>
            <w:shd w:val="clear" w:color="auto" w:fill="auto"/>
          </w:tcPr>
          <w:p w:rsidR="00DD57B9" w:rsidRPr="00DD57B9" w:rsidRDefault="00DD57B9" w:rsidP="00DD57B9">
            <w:pPr>
              <w:spacing w:line="240" w:lineRule="auto"/>
              <w:ind w:firstLine="0"/>
              <w:jc w:val="left"/>
              <w:rPr>
                <w:i/>
                <w:sz w:val="22"/>
                <w:szCs w:val="22"/>
              </w:rPr>
            </w:pPr>
            <w:r w:rsidRPr="00DD57B9">
              <w:rPr>
                <w:i/>
                <w:sz w:val="22"/>
                <w:szCs w:val="22"/>
              </w:rPr>
              <w:t>Satisfaction with Life (SWL)</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24.12 (7.79)</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23.55 (7.92)</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24.26 (7.76)</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.433</w:t>
            </w:r>
          </w:p>
        </w:tc>
      </w:tr>
      <w:tr w:rsidR="00DD57B9" w:rsidRPr="00DD57B9" w:rsidTr="00DD57B9">
        <w:trPr>
          <w:trHeight w:val="212"/>
        </w:trPr>
        <w:tc>
          <w:tcPr>
            <w:tcW w:w="2802" w:type="dxa"/>
            <w:shd w:val="clear" w:color="auto" w:fill="auto"/>
          </w:tcPr>
          <w:p w:rsidR="00DD57B9" w:rsidRPr="00DD57B9" w:rsidRDefault="00DD57B9" w:rsidP="00DD57B9">
            <w:pPr>
              <w:spacing w:line="240" w:lineRule="auto"/>
              <w:ind w:firstLine="0"/>
              <w:jc w:val="left"/>
              <w:rPr>
                <w:i/>
                <w:sz w:val="22"/>
                <w:szCs w:val="22"/>
              </w:rPr>
            </w:pPr>
            <w:r w:rsidRPr="00DD57B9">
              <w:rPr>
                <w:i/>
                <w:sz w:val="22"/>
                <w:szCs w:val="22"/>
              </w:rPr>
              <w:t>Perceived health (SF12v2)</w:t>
            </w:r>
          </w:p>
        </w:tc>
        <w:tc>
          <w:tcPr>
            <w:tcW w:w="1722" w:type="dxa"/>
          </w:tcPr>
          <w:p w:rsidR="00DD57B9" w:rsidRPr="00DD57B9" w:rsidRDefault="00DD57B9" w:rsidP="00DD57B9">
            <w:pPr>
              <w:spacing w:line="240" w:lineRule="auto"/>
              <w:ind w:firstLine="0"/>
              <w:jc w:val="center"/>
              <w:rPr>
                <w:sz w:val="22"/>
                <w:szCs w:val="22"/>
              </w:rPr>
            </w:pPr>
          </w:p>
        </w:tc>
        <w:tc>
          <w:tcPr>
            <w:tcW w:w="1764" w:type="dxa"/>
          </w:tcPr>
          <w:p w:rsidR="00DD57B9" w:rsidRPr="00DD57B9" w:rsidRDefault="00DD57B9" w:rsidP="00DD57B9">
            <w:pPr>
              <w:spacing w:line="240" w:lineRule="auto"/>
              <w:ind w:firstLine="0"/>
              <w:jc w:val="center"/>
              <w:rPr>
                <w:sz w:val="22"/>
                <w:szCs w:val="22"/>
              </w:rPr>
            </w:pPr>
          </w:p>
        </w:tc>
        <w:tc>
          <w:tcPr>
            <w:tcW w:w="1939" w:type="dxa"/>
          </w:tcPr>
          <w:p w:rsidR="00DD57B9" w:rsidRPr="00DD57B9" w:rsidRDefault="00DD57B9" w:rsidP="00DD57B9">
            <w:pPr>
              <w:spacing w:line="240" w:lineRule="auto"/>
              <w:ind w:firstLine="0"/>
              <w:jc w:val="center"/>
              <w:rPr>
                <w:sz w:val="22"/>
                <w:szCs w:val="22"/>
              </w:rPr>
            </w:pPr>
          </w:p>
        </w:tc>
        <w:tc>
          <w:tcPr>
            <w:tcW w:w="1150" w:type="dxa"/>
          </w:tcPr>
          <w:p w:rsidR="00DD57B9" w:rsidRPr="00DD57B9" w:rsidRDefault="00DD57B9" w:rsidP="00DD57B9">
            <w:pPr>
              <w:spacing w:line="240" w:lineRule="auto"/>
              <w:ind w:firstLine="0"/>
              <w:jc w:val="left"/>
              <w:rPr>
                <w:sz w:val="22"/>
                <w:szCs w:val="22"/>
              </w:rPr>
            </w:pPr>
          </w:p>
        </w:tc>
      </w:tr>
      <w:tr w:rsidR="00DD57B9" w:rsidRPr="00DD57B9" w:rsidTr="00DD57B9">
        <w:trPr>
          <w:trHeight w:val="62"/>
        </w:trPr>
        <w:tc>
          <w:tcPr>
            <w:tcW w:w="2802" w:type="dxa"/>
            <w:shd w:val="clear" w:color="auto" w:fill="auto"/>
          </w:tcPr>
          <w:p w:rsidR="00DD57B9" w:rsidRPr="00DD57B9" w:rsidRDefault="00DD57B9" w:rsidP="00DD57B9">
            <w:pPr>
              <w:spacing w:line="240" w:lineRule="auto"/>
              <w:ind w:firstLine="0"/>
              <w:jc w:val="left"/>
              <w:rPr>
                <w:sz w:val="22"/>
                <w:szCs w:val="22"/>
              </w:rPr>
            </w:pPr>
            <w:r w:rsidRPr="00DD57B9">
              <w:rPr>
                <w:i/>
                <w:sz w:val="22"/>
                <w:szCs w:val="22"/>
              </w:rPr>
              <w:t xml:space="preserve">   </w:t>
            </w:r>
            <w:r w:rsidRPr="00DD57B9">
              <w:rPr>
                <w:sz w:val="22"/>
                <w:szCs w:val="22"/>
              </w:rPr>
              <w:t>Physical component</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42.79 (10.73)</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39.10 (10.62)</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43.58 (10.62)</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.031</w:t>
            </w:r>
          </w:p>
        </w:tc>
      </w:tr>
      <w:tr w:rsidR="00DD57B9" w:rsidRPr="00DD57B9" w:rsidTr="00DD57B9">
        <w:trPr>
          <w:trHeight w:val="212"/>
        </w:trPr>
        <w:tc>
          <w:tcPr>
            <w:tcW w:w="2802" w:type="dxa"/>
            <w:shd w:val="clear" w:color="auto" w:fill="auto"/>
          </w:tcPr>
          <w:p w:rsidR="00DD57B9" w:rsidRPr="00DD57B9" w:rsidRDefault="00DD57B9" w:rsidP="00DD57B9">
            <w:pPr>
              <w:spacing w:line="240" w:lineRule="auto"/>
              <w:ind w:firstLine="0"/>
              <w:jc w:val="left"/>
              <w:rPr>
                <w:sz w:val="22"/>
                <w:szCs w:val="22"/>
              </w:rPr>
            </w:pPr>
            <w:r w:rsidRPr="00DD57B9">
              <w:rPr>
                <w:sz w:val="22"/>
                <w:szCs w:val="22"/>
              </w:rPr>
              <w:t xml:space="preserve">   Mental component</w:t>
            </w:r>
          </w:p>
        </w:tc>
        <w:tc>
          <w:tcPr>
            <w:tcW w:w="1722" w:type="dxa"/>
          </w:tcPr>
          <w:p w:rsidR="00DD57B9" w:rsidRPr="00DD57B9" w:rsidRDefault="00DD57B9" w:rsidP="00DD57B9">
            <w:pPr>
              <w:spacing w:line="240" w:lineRule="auto"/>
              <w:ind w:firstLine="0"/>
              <w:jc w:val="center"/>
              <w:rPr>
                <w:sz w:val="22"/>
                <w:szCs w:val="22"/>
              </w:rPr>
            </w:pPr>
            <w:r w:rsidRPr="00DD57B9">
              <w:rPr>
                <w:sz w:val="22"/>
                <w:szCs w:val="22"/>
              </w:rPr>
              <w:t>55.08 (9.26)</w:t>
            </w:r>
          </w:p>
        </w:tc>
        <w:tc>
          <w:tcPr>
            <w:tcW w:w="1764" w:type="dxa"/>
          </w:tcPr>
          <w:p w:rsidR="00DD57B9" w:rsidRPr="00DD57B9" w:rsidRDefault="00DD57B9" w:rsidP="00DD57B9">
            <w:pPr>
              <w:spacing w:line="240" w:lineRule="auto"/>
              <w:ind w:firstLine="0"/>
              <w:jc w:val="center"/>
              <w:rPr>
                <w:sz w:val="22"/>
                <w:szCs w:val="22"/>
              </w:rPr>
            </w:pPr>
            <w:r w:rsidRPr="00DD57B9">
              <w:rPr>
                <w:sz w:val="22"/>
                <w:szCs w:val="22"/>
              </w:rPr>
              <w:t>57.44 (7.00)</w:t>
            </w:r>
          </w:p>
        </w:tc>
        <w:tc>
          <w:tcPr>
            <w:tcW w:w="1939" w:type="dxa"/>
          </w:tcPr>
          <w:p w:rsidR="00DD57B9" w:rsidRPr="00DD57B9" w:rsidRDefault="00DD57B9" w:rsidP="00DD57B9">
            <w:pPr>
              <w:spacing w:line="240" w:lineRule="auto"/>
              <w:ind w:firstLine="0"/>
              <w:jc w:val="center"/>
              <w:rPr>
                <w:sz w:val="22"/>
                <w:szCs w:val="22"/>
              </w:rPr>
            </w:pPr>
            <w:r w:rsidRPr="00DD57B9">
              <w:rPr>
                <w:sz w:val="22"/>
                <w:szCs w:val="22"/>
              </w:rPr>
              <w:t>54.58 (9.62)</w:t>
            </w:r>
          </w:p>
        </w:tc>
        <w:tc>
          <w:tcPr>
            <w:tcW w:w="1150" w:type="dxa"/>
          </w:tcPr>
          <w:p w:rsidR="00DD57B9" w:rsidRPr="00DD57B9" w:rsidRDefault="00DD57B9" w:rsidP="00DD57B9">
            <w:pPr>
              <w:spacing w:line="240" w:lineRule="auto"/>
              <w:ind w:firstLine="0"/>
              <w:jc w:val="left"/>
              <w:rPr>
                <w:sz w:val="22"/>
                <w:szCs w:val="22"/>
              </w:rPr>
            </w:pPr>
            <w:r w:rsidRPr="00DD57B9">
              <w:rPr>
                <w:sz w:val="22"/>
                <w:szCs w:val="22"/>
              </w:rPr>
              <w:t>.055</w:t>
            </w:r>
          </w:p>
        </w:tc>
      </w:tr>
    </w:tbl>
    <w:p w:rsidR="00DD57B9" w:rsidRDefault="00DD57B9" w:rsidP="00DD57B9">
      <w:pPr>
        <w:ind w:firstLine="0"/>
      </w:pPr>
    </w:p>
    <w:p w:rsidR="00857CB9" w:rsidRDefault="00857CB9" w:rsidP="00DD57B9">
      <w:pPr>
        <w:ind w:firstLine="0"/>
      </w:pPr>
    </w:p>
    <w:p w:rsidR="00857CB9" w:rsidRDefault="00857CB9" w:rsidP="00DD57B9">
      <w:pPr>
        <w:ind w:firstLine="0"/>
      </w:pPr>
    </w:p>
    <w:p w:rsidR="00695581" w:rsidRDefault="00695581" w:rsidP="00DD57B9">
      <w:pPr>
        <w:ind w:firstLine="0"/>
      </w:pPr>
    </w:p>
    <w:p w:rsidR="00695581" w:rsidRPr="00962C5B" w:rsidRDefault="00695581" w:rsidP="00DD57B9">
      <w:pPr>
        <w:ind w:firstLine="0"/>
        <w:rPr>
          <w:b/>
        </w:rPr>
      </w:pPr>
    </w:p>
    <w:p w:rsidR="00695581" w:rsidRPr="00695581" w:rsidRDefault="00695581" w:rsidP="00695581">
      <w:pPr>
        <w:pStyle w:val="Caption"/>
        <w:keepNext/>
        <w:ind w:firstLine="450"/>
        <w:jc w:val="center"/>
        <w:rPr>
          <w:sz w:val="22"/>
          <w:szCs w:val="22"/>
        </w:rPr>
      </w:pPr>
      <w:bookmarkStart w:id="36" w:name="_Toc511655205"/>
      <w:r w:rsidRPr="00695581">
        <w:rPr>
          <w:sz w:val="22"/>
          <w:szCs w:val="22"/>
        </w:rPr>
        <w:t xml:space="preserve">Table </w:t>
      </w:r>
      <w:r w:rsidRPr="00695581">
        <w:rPr>
          <w:sz w:val="22"/>
          <w:szCs w:val="22"/>
        </w:rPr>
        <w:fldChar w:fldCharType="begin"/>
      </w:r>
      <w:r w:rsidRPr="00695581">
        <w:rPr>
          <w:sz w:val="22"/>
          <w:szCs w:val="22"/>
        </w:rPr>
        <w:instrText xml:space="preserve"> SEQ Table \* ARABIC </w:instrText>
      </w:r>
      <w:r w:rsidRPr="00695581">
        <w:rPr>
          <w:sz w:val="22"/>
          <w:szCs w:val="22"/>
        </w:rPr>
        <w:fldChar w:fldCharType="separate"/>
      </w:r>
      <w:r w:rsidR="00BB5D94">
        <w:rPr>
          <w:noProof/>
          <w:sz w:val="22"/>
          <w:szCs w:val="22"/>
        </w:rPr>
        <w:t>3</w:t>
      </w:r>
      <w:r w:rsidRPr="00695581">
        <w:rPr>
          <w:sz w:val="22"/>
          <w:szCs w:val="22"/>
        </w:rPr>
        <w:fldChar w:fldCharType="end"/>
      </w:r>
      <w:r w:rsidRPr="00695581">
        <w:rPr>
          <w:sz w:val="22"/>
          <w:szCs w:val="22"/>
        </w:rPr>
        <w:t>: Logistic Regression - UTI and Pressure Ulcer</w:t>
      </w:r>
      <w:bookmarkEnd w:id="36"/>
    </w:p>
    <w:tbl>
      <w:tblPr>
        <w:tblStyle w:val="TableGrid"/>
        <w:tblW w:w="0" w:type="auto"/>
        <w:tblLook w:val="04A0" w:firstRow="1" w:lastRow="0" w:firstColumn="1" w:lastColumn="0" w:noHBand="0" w:noVBand="1"/>
      </w:tblPr>
      <w:tblGrid>
        <w:gridCol w:w="1870"/>
        <w:gridCol w:w="1870"/>
        <w:gridCol w:w="1870"/>
        <w:gridCol w:w="1870"/>
        <w:gridCol w:w="1870"/>
      </w:tblGrid>
      <w:tr w:rsidR="00EC097B" w:rsidTr="00DE44B3">
        <w:tc>
          <w:tcPr>
            <w:tcW w:w="1870" w:type="dxa"/>
          </w:tcPr>
          <w:p w:rsidR="00EC097B" w:rsidRPr="00740F46" w:rsidRDefault="00EC097B" w:rsidP="00740F46">
            <w:pPr>
              <w:ind w:firstLine="0"/>
              <w:jc w:val="left"/>
              <w:rPr>
                <w:rFonts w:asciiTheme="minorHAnsi" w:hAnsiTheme="minorHAnsi" w:cstheme="minorHAnsi"/>
                <w:sz w:val="18"/>
              </w:rPr>
            </w:pPr>
          </w:p>
        </w:tc>
        <w:tc>
          <w:tcPr>
            <w:tcW w:w="3740" w:type="dxa"/>
            <w:gridSpan w:val="2"/>
          </w:tcPr>
          <w:p w:rsidR="00EC097B" w:rsidRPr="00962C5B" w:rsidRDefault="00EC097B" w:rsidP="00740F46">
            <w:pPr>
              <w:ind w:firstLine="0"/>
              <w:jc w:val="center"/>
              <w:rPr>
                <w:rFonts w:asciiTheme="minorHAnsi" w:hAnsiTheme="minorHAnsi" w:cstheme="minorHAnsi"/>
                <w:sz w:val="22"/>
              </w:rPr>
            </w:pPr>
            <w:r w:rsidRPr="00962C5B">
              <w:rPr>
                <w:rFonts w:asciiTheme="minorHAnsi" w:hAnsiTheme="minorHAnsi" w:cstheme="minorHAnsi"/>
                <w:sz w:val="22"/>
              </w:rPr>
              <w:t>UTI in the Past Year</w:t>
            </w:r>
          </w:p>
        </w:tc>
        <w:tc>
          <w:tcPr>
            <w:tcW w:w="3740" w:type="dxa"/>
            <w:gridSpan w:val="2"/>
          </w:tcPr>
          <w:p w:rsidR="00EC097B" w:rsidRPr="00962C5B" w:rsidRDefault="00EC097B" w:rsidP="00740F46">
            <w:pPr>
              <w:ind w:firstLine="0"/>
              <w:jc w:val="center"/>
              <w:rPr>
                <w:rFonts w:asciiTheme="minorHAnsi" w:hAnsiTheme="minorHAnsi" w:cstheme="minorHAnsi"/>
                <w:sz w:val="22"/>
              </w:rPr>
            </w:pPr>
            <w:r w:rsidRPr="00962C5B">
              <w:rPr>
                <w:rFonts w:asciiTheme="minorHAnsi" w:hAnsiTheme="minorHAnsi" w:cstheme="minorHAnsi"/>
                <w:sz w:val="22"/>
              </w:rPr>
              <w:t>Pressure Ulcer in the Past Year</w:t>
            </w:r>
          </w:p>
        </w:tc>
      </w:tr>
      <w:tr w:rsidR="00740F46" w:rsidTr="00EC097B">
        <w:tc>
          <w:tcPr>
            <w:tcW w:w="1870" w:type="dxa"/>
          </w:tcPr>
          <w:p w:rsidR="00740F46" w:rsidRPr="00962C5B" w:rsidRDefault="00740F46" w:rsidP="00962C5B">
            <w:pPr>
              <w:spacing w:line="240" w:lineRule="auto"/>
              <w:ind w:firstLine="0"/>
              <w:jc w:val="left"/>
              <w:rPr>
                <w:rFonts w:asciiTheme="minorHAnsi" w:hAnsiTheme="minorHAnsi" w:cstheme="minorHAnsi"/>
                <w:sz w:val="22"/>
              </w:rPr>
            </w:pPr>
            <w:r w:rsidRPr="00962C5B">
              <w:rPr>
                <w:rFonts w:asciiTheme="minorHAnsi" w:hAnsiTheme="minorHAnsi" w:cstheme="minorHAnsi"/>
                <w:sz w:val="22"/>
              </w:rPr>
              <w:t>Intercept</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OR (SE)</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P</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OR (SE)</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P</w:t>
            </w:r>
          </w:p>
        </w:tc>
      </w:tr>
      <w:tr w:rsidR="00740F46" w:rsidTr="00EC097B">
        <w:tc>
          <w:tcPr>
            <w:tcW w:w="1870" w:type="dxa"/>
          </w:tcPr>
          <w:p w:rsidR="00740F46" w:rsidRPr="00962C5B" w:rsidRDefault="00740F46" w:rsidP="00962C5B">
            <w:pPr>
              <w:spacing w:line="240" w:lineRule="auto"/>
              <w:ind w:firstLine="0"/>
              <w:jc w:val="left"/>
              <w:rPr>
                <w:rFonts w:asciiTheme="minorHAnsi" w:hAnsiTheme="minorHAnsi" w:cstheme="minorHAnsi"/>
                <w:sz w:val="22"/>
              </w:rPr>
            </w:pPr>
            <w:r w:rsidRPr="00962C5B">
              <w:rPr>
                <w:rFonts w:asciiTheme="minorHAnsi" w:hAnsiTheme="minorHAnsi" w:cstheme="minorHAnsi"/>
                <w:sz w:val="22"/>
              </w:rPr>
              <w:t>Rural-living</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-0.186</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0.511</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-4.20</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0.103</w:t>
            </w:r>
          </w:p>
        </w:tc>
      </w:tr>
      <w:tr w:rsidR="00740F46" w:rsidTr="00EC097B">
        <w:tc>
          <w:tcPr>
            <w:tcW w:w="1870" w:type="dxa"/>
          </w:tcPr>
          <w:p w:rsidR="00740F46" w:rsidRPr="00962C5B" w:rsidRDefault="00740F46" w:rsidP="00962C5B">
            <w:pPr>
              <w:spacing w:line="240" w:lineRule="auto"/>
              <w:ind w:firstLine="0"/>
              <w:jc w:val="left"/>
              <w:rPr>
                <w:rFonts w:asciiTheme="minorHAnsi" w:hAnsiTheme="minorHAnsi" w:cstheme="minorHAnsi"/>
                <w:sz w:val="22"/>
              </w:rPr>
            </w:pPr>
            <w:r w:rsidRPr="00962C5B">
              <w:rPr>
                <w:rFonts w:asciiTheme="minorHAnsi" w:hAnsiTheme="minorHAnsi" w:cstheme="minorHAnsi"/>
                <w:sz w:val="22"/>
              </w:rPr>
              <w:t>Less than High-School</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-0.329</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w:t>
            </w:r>
            <w:r w:rsidR="008812FC" w:rsidRPr="00962C5B">
              <w:rPr>
                <w:rFonts w:asciiTheme="minorHAnsi" w:hAnsiTheme="minorHAnsi" w:cstheme="minorHAnsi"/>
                <w:sz w:val="22"/>
              </w:rPr>
              <w:t>624</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1.727</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0.778</w:t>
            </w:r>
          </w:p>
        </w:tc>
      </w:tr>
      <w:tr w:rsidR="00740F46" w:rsidTr="00EC097B">
        <w:tc>
          <w:tcPr>
            <w:tcW w:w="1870" w:type="dxa"/>
          </w:tcPr>
          <w:p w:rsidR="00740F46" w:rsidRPr="00962C5B" w:rsidRDefault="00740F46" w:rsidP="00962C5B">
            <w:pPr>
              <w:spacing w:line="240" w:lineRule="auto"/>
              <w:ind w:firstLine="0"/>
              <w:jc w:val="left"/>
              <w:rPr>
                <w:rFonts w:asciiTheme="minorHAnsi" w:hAnsiTheme="minorHAnsi" w:cstheme="minorHAnsi"/>
                <w:sz w:val="22"/>
              </w:rPr>
            </w:pPr>
            <w:r w:rsidRPr="00962C5B">
              <w:rPr>
                <w:rFonts w:asciiTheme="minorHAnsi" w:hAnsiTheme="minorHAnsi" w:cstheme="minorHAnsi"/>
                <w:sz w:val="22"/>
              </w:rPr>
              <w:t>Unemployed</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0.484</w:t>
            </w:r>
          </w:p>
        </w:tc>
        <w:tc>
          <w:tcPr>
            <w:tcW w:w="1870" w:type="dxa"/>
          </w:tcPr>
          <w:p w:rsidR="00740F46" w:rsidRPr="00962C5B" w:rsidRDefault="008812FC" w:rsidP="00962C5B">
            <w:pPr>
              <w:spacing w:line="240" w:lineRule="auto"/>
              <w:ind w:firstLine="0"/>
              <w:jc w:val="center"/>
              <w:rPr>
                <w:rFonts w:asciiTheme="minorHAnsi" w:hAnsiTheme="minorHAnsi" w:cstheme="minorHAnsi"/>
                <w:b/>
                <w:sz w:val="22"/>
              </w:rPr>
            </w:pPr>
            <w:r w:rsidRPr="00962C5B">
              <w:rPr>
                <w:rFonts w:asciiTheme="minorHAnsi" w:hAnsiTheme="minorHAnsi" w:cstheme="minorHAnsi"/>
                <w:b/>
                <w:sz w:val="22"/>
              </w:rPr>
              <w:t>0.029</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0.721</w:t>
            </w:r>
          </w:p>
        </w:tc>
        <w:tc>
          <w:tcPr>
            <w:tcW w:w="1870" w:type="dxa"/>
          </w:tcPr>
          <w:p w:rsidR="00740F46" w:rsidRPr="00962C5B" w:rsidRDefault="00740F46" w:rsidP="00962C5B">
            <w:pPr>
              <w:spacing w:line="240" w:lineRule="auto"/>
              <w:ind w:firstLine="0"/>
              <w:jc w:val="center"/>
              <w:rPr>
                <w:rFonts w:asciiTheme="minorHAnsi" w:hAnsiTheme="minorHAnsi" w:cstheme="minorHAnsi"/>
                <w:b/>
                <w:sz w:val="22"/>
              </w:rPr>
            </w:pPr>
            <w:r w:rsidRPr="00962C5B">
              <w:rPr>
                <w:rFonts w:asciiTheme="minorHAnsi" w:hAnsiTheme="minorHAnsi" w:cstheme="minorHAnsi"/>
                <w:b/>
                <w:sz w:val="22"/>
              </w:rPr>
              <w:t>.001</w:t>
            </w:r>
          </w:p>
        </w:tc>
      </w:tr>
      <w:tr w:rsidR="00740F46" w:rsidTr="00EC097B">
        <w:tc>
          <w:tcPr>
            <w:tcW w:w="1870" w:type="dxa"/>
          </w:tcPr>
          <w:p w:rsidR="00740F46" w:rsidRPr="00962C5B" w:rsidRDefault="00740F46" w:rsidP="00962C5B">
            <w:pPr>
              <w:spacing w:line="240" w:lineRule="auto"/>
              <w:ind w:firstLine="0"/>
              <w:jc w:val="left"/>
              <w:rPr>
                <w:rFonts w:asciiTheme="minorHAnsi" w:hAnsiTheme="minorHAnsi" w:cstheme="minorHAnsi"/>
                <w:sz w:val="22"/>
              </w:rPr>
            </w:pPr>
            <w:r w:rsidRPr="00962C5B">
              <w:rPr>
                <w:rFonts w:asciiTheme="minorHAnsi" w:hAnsiTheme="minorHAnsi" w:cstheme="minorHAnsi"/>
                <w:sz w:val="22"/>
              </w:rPr>
              <w:t>Black</w:t>
            </w:r>
          </w:p>
        </w:tc>
        <w:tc>
          <w:tcPr>
            <w:tcW w:w="1870" w:type="dxa"/>
          </w:tcPr>
          <w:p w:rsidR="00740F46" w:rsidRPr="00962C5B" w:rsidRDefault="008812FC"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0.105</w:t>
            </w:r>
          </w:p>
        </w:tc>
        <w:tc>
          <w:tcPr>
            <w:tcW w:w="1870" w:type="dxa"/>
          </w:tcPr>
          <w:p w:rsidR="00740F46" w:rsidRPr="00962C5B" w:rsidRDefault="008812FC"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0.822</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0.276</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.530</w:t>
            </w:r>
          </w:p>
        </w:tc>
      </w:tr>
      <w:tr w:rsidR="00740F46" w:rsidTr="00EC097B">
        <w:tc>
          <w:tcPr>
            <w:tcW w:w="1870" w:type="dxa"/>
          </w:tcPr>
          <w:p w:rsidR="00740F46" w:rsidRPr="00962C5B" w:rsidRDefault="00740F46" w:rsidP="00962C5B">
            <w:pPr>
              <w:spacing w:line="240" w:lineRule="auto"/>
              <w:ind w:firstLine="0"/>
              <w:jc w:val="left"/>
              <w:rPr>
                <w:rFonts w:asciiTheme="minorHAnsi" w:hAnsiTheme="minorHAnsi" w:cstheme="minorHAnsi"/>
                <w:sz w:val="22"/>
              </w:rPr>
            </w:pPr>
            <w:r w:rsidRPr="00962C5B">
              <w:rPr>
                <w:rFonts w:asciiTheme="minorHAnsi" w:hAnsiTheme="minorHAnsi" w:cstheme="minorHAnsi"/>
                <w:sz w:val="22"/>
              </w:rPr>
              <w:t>Hispanic</w:t>
            </w:r>
          </w:p>
        </w:tc>
        <w:tc>
          <w:tcPr>
            <w:tcW w:w="1870" w:type="dxa"/>
          </w:tcPr>
          <w:p w:rsidR="00740F46" w:rsidRPr="00962C5B" w:rsidRDefault="008812FC"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0.285</w:t>
            </w:r>
          </w:p>
        </w:tc>
        <w:tc>
          <w:tcPr>
            <w:tcW w:w="1870" w:type="dxa"/>
          </w:tcPr>
          <w:p w:rsidR="00740F46" w:rsidRPr="00962C5B" w:rsidRDefault="008812FC"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0.494</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-.135</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0.745</w:t>
            </w:r>
          </w:p>
        </w:tc>
      </w:tr>
      <w:tr w:rsidR="00740F46" w:rsidTr="00EC097B">
        <w:tc>
          <w:tcPr>
            <w:tcW w:w="1870" w:type="dxa"/>
          </w:tcPr>
          <w:p w:rsidR="00740F46" w:rsidRPr="00962C5B" w:rsidRDefault="00740F46" w:rsidP="00962C5B">
            <w:pPr>
              <w:spacing w:line="240" w:lineRule="auto"/>
              <w:ind w:firstLine="0"/>
              <w:jc w:val="left"/>
              <w:rPr>
                <w:rFonts w:asciiTheme="minorHAnsi" w:hAnsiTheme="minorHAnsi" w:cstheme="minorHAnsi"/>
                <w:sz w:val="22"/>
              </w:rPr>
            </w:pPr>
            <w:r w:rsidRPr="00962C5B">
              <w:rPr>
                <w:rFonts w:asciiTheme="minorHAnsi" w:hAnsiTheme="minorHAnsi" w:cstheme="minorHAnsi"/>
                <w:sz w:val="22"/>
              </w:rPr>
              <w:t>Publicly-insured</w:t>
            </w:r>
          </w:p>
        </w:tc>
        <w:tc>
          <w:tcPr>
            <w:tcW w:w="1870" w:type="dxa"/>
          </w:tcPr>
          <w:p w:rsidR="00740F46" w:rsidRPr="00962C5B" w:rsidRDefault="008812FC"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-0.478</w:t>
            </w:r>
          </w:p>
        </w:tc>
        <w:tc>
          <w:tcPr>
            <w:tcW w:w="1870" w:type="dxa"/>
          </w:tcPr>
          <w:p w:rsidR="00740F46" w:rsidRPr="00962C5B" w:rsidRDefault="008812FC" w:rsidP="00962C5B">
            <w:pPr>
              <w:spacing w:line="240" w:lineRule="auto"/>
              <w:ind w:firstLine="0"/>
              <w:jc w:val="center"/>
              <w:rPr>
                <w:rFonts w:asciiTheme="minorHAnsi" w:hAnsiTheme="minorHAnsi" w:cstheme="minorHAnsi"/>
                <w:b/>
                <w:sz w:val="22"/>
              </w:rPr>
            </w:pPr>
            <w:r w:rsidRPr="00962C5B">
              <w:rPr>
                <w:rFonts w:asciiTheme="minorHAnsi" w:hAnsiTheme="minorHAnsi" w:cstheme="minorHAnsi"/>
                <w:b/>
                <w:sz w:val="22"/>
              </w:rPr>
              <w:t>0.034</w:t>
            </w:r>
          </w:p>
        </w:tc>
        <w:tc>
          <w:tcPr>
            <w:tcW w:w="1870" w:type="dxa"/>
          </w:tcPr>
          <w:p w:rsidR="00740F46" w:rsidRPr="00962C5B" w:rsidRDefault="00740F46" w:rsidP="00962C5B">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-0.645</w:t>
            </w:r>
          </w:p>
        </w:tc>
        <w:tc>
          <w:tcPr>
            <w:tcW w:w="1870" w:type="dxa"/>
          </w:tcPr>
          <w:p w:rsidR="00740F46" w:rsidRPr="00962C5B" w:rsidRDefault="00740F46" w:rsidP="00962C5B">
            <w:pPr>
              <w:spacing w:line="240" w:lineRule="auto"/>
              <w:ind w:firstLine="0"/>
              <w:jc w:val="center"/>
              <w:rPr>
                <w:rFonts w:asciiTheme="minorHAnsi" w:hAnsiTheme="minorHAnsi" w:cstheme="minorHAnsi"/>
                <w:b/>
                <w:sz w:val="22"/>
              </w:rPr>
            </w:pPr>
            <w:r w:rsidRPr="00962C5B">
              <w:rPr>
                <w:rFonts w:asciiTheme="minorHAnsi" w:hAnsiTheme="minorHAnsi" w:cstheme="minorHAnsi"/>
                <w:b/>
                <w:sz w:val="22"/>
              </w:rPr>
              <w:t>.004</w:t>
            </w:r>
          </w:p>
        </w:tc>
      </w:tr>
    </w:tbl>
    <w:p w:rsidR="00857CB9" w:rsidRDefault="00857CB9" w:rsidP="00DD57B9">
      <w:pPr>
        <w:ind w:firstLine="0"/>
      </w:pPr>
    </w:p>
    <w:p w:rsidR="00695581" w:rsidRPr="00695581" w:rsidRDefault="00695581" w:rsidP="00DD57B9">
      <w:pPr>
        <w:ind w:firstLine="0"/>
        <w:rPr>
          <w:sz w:val="22"/>
          <w:szCs w:val="22"/>
        </w:rPr>
      </w:pPr>
    </w:p>
    <w:p w:rsidR="00695581" w:rsidRPr="00695581" w:rsidRDefault="00695581" w:rsidP="00695581">
      <w:pPr>
        <w:pStyle w:val="Caption"/>
        <w:ind w:firstLine="450"/>
        <w:jc w:val="center"/>
        <w:rPr>
          <w:b w:val="0"/>
          <w:sz w:val="22"/>
          <w:szCs w:val="22"/>
        </w:rPr>
      </w:pPr>
      <w:bookmarkStart w:id="37" w:name="_Toc511655206"/>
      <w:r w:rsidRPr="00695581">
        <w:rPr>
          <w:sz w:val="22"/>
          <w:szCs w:val="22"/>
        </w:rPr>
        <w:t xml:space="preserve">Table </w:t>
      </w:r>
      <w:r w:rsidRPr="00695581">
        <w:rPr>
          <w:sz w:val="22"/>
          <w:szCs w:val="22"/>
        </w:rPr>
        <w:fldChar w:fldCharType="begin"/>
      </w:r>
      <w:r w:rsidRPr="00695581">
        <w:rPr>
          <w:sz w:val="22"/>
          <w:szCs w:val="22"/>
        </w:rPr>
        <w:instrText xml:space="preserve"> SEQ Table \* ARABIC </w:instrText>
      </w:r>
      <w:r w:rsidRPr="00695581">
        <w:rPr>
          <w:sz w:val="22"/>
          <w:szCs w:val="22"/>
        </w:rPr>
        <w:fldChar w:fldCharType="separate"/>
      </w:r>
      <w:r w:rsidR="00BB5D94">
        <w:rPr>
          <w:noProof/>
          <w:sz w:val="22"/>
          <w:szCs w:val="22"/>
        </w:rPr>
        <w:t>4</w:t>
      </w:r>
      <w:r w:rsidRPr="00695581">
        <w:rPr>
          <w:sz w:val="22"/>
          <w:szCs w:val="22"/>
        </w:rPr>
        <w:fldChar w:fldCharType="end"/>
      </w:r>
      <w:r w:rsidRPr="00695581">
        <w:rPr>
          <w:sz w:val="22"/>
          <w:szCs w:val="22"/>
        </w:rPr>
        <w:t>: Logistic Regression - Different Models for Pressure Ulcers</w:t>
      </w:r>
      <w:bookmarkEnd w:id="37"/>
    </w:p>
    <w:tbl>
      <w:tblPr>
        <w:tblStyle w:val="TableGrid"/>
        <w:tblW w:w="0" w:type="auto"/>
        <w:tblLook w:val="04A0" w:firstRow="1" w:lastRow="0" w:firstColumn="1" w:lastColumn="0" w:noHBand="0" w:noVBand="1"/>
      </w:tblPr>
      <w:tblGrid>
        <w:gridCol w:w="1870"/>
        <w:gridCol w:w="1870"/>
        <w:gridCol w:w="1870"/>
        <w:gridCol w:w="1870"/>
        <w:gridCol w:w="1870"/>
      </w:tblGrid>
      <w:tr w:rsidR="00962C5B" w:rsidRPr="00962C5B" w:rsidTr="00DE44B3">
        <w:tc>
          <w:tcPr>
            <w:tcW w:w="1870" w:type="dxa"/>
          </w:tcPr>
          <w:p w:rsidR="00962C5B" w:rsidRPr="00740F46" w:rsidRDefault="00962C5B" w:rsidP="00DE44B3">
            <w:pPr>
              <w:ind w:firstLine="0"/>
              <w:jc w:val="left"/>
              <w:rPr>
                <w:rFonts w:asciiTheme="minorHAnsi" w:hAnsiTheme="minorHAnsi" w:cstheme="minorHAnsi"/>
                <w:sz w:val="18"/>
              </w:rPr>
            </w:pPr>
          </w:p>
        </w:tc>
        <w:tc>
          <w:tcPr>
            <w:tcW w:w="3740" w:type="dxa"/>
            <w:gridSpan w:val="2"/>
          </w:tcPr>
          <w:p w:rsidR="00962C5B" w:rsidRPr="00962C5B" w:rsidRDefault="00962C5B" w:rsidP="00DE44B3">
            <w:pPr>
              <w:ind w:firstLine="0"/>
              <w:jc w:val="center"/>
              <w:rPr>
                <w:rFonts w:asciiTheme="minorHAnsi" w:hAnsiTheme="minorHAnsi" w:cstheme="minorHAnsi"/>
                <w:sz w:val="22"/>
              </w:rPr>
            </w:pPr>
            <w:r>
              <w:rPr>
                <w:rFonts w:asciiTheme="minorHAnsi" w:hAnsiTheme="minorHAnsi" w:cstheme="minorHAnsi"/>
                <w:sz w:val="22"/>
              </w:rPr>
              <w:t>Model 1</w:t>
            </w:r>
          </w:p>
        </w:tc>
        <w:tc>
          <w:tcPr>
            <w:tcW w:w="3740" w:type="dxa"/>
            <w:gridSpan w:val="2"/>
          </w:tcPr>
          <w:p w:rsidR="00962C5B" w:rsidRPr="00962C5B" w:rsidRDefault="00962C5B" w:rsidP="00DE44B3">
            <w:pPr>
              <w:ind w:firstLine="0"/>
              <w:jc w:val="center"/>
              <w:rPr>
                <w:rFonts w:asciiTheme="minorHAnsi" w:hAnsiTheme="minorHAnsi" w:cstheme="minorHAnsi"/>
                <w:sz w:val="22"/>
              </w:rPr>
            </w:pPr>
            <w:r>
              <w:rPr>
                <w:rFonts w:asciiTheme="minorHAnsi" w:hAnsiTheme="minorHAnsi" w:cstheme="minorHAnsi"/>
                <w:sz w:val="22"/>
              </w:rPr>
              <w:t>Model 2</w:t>
            </w:r>
          </w:p>
        </w:tc>
      </w:tr>
      <w:tr w:rsidR="00962C5B" w:rsidRPr="00962C5B" w:rsidTr="00DE44B3">
        <w:tc>
          <w:tcPr>
            <w:tcW w:w="1870" w:type="dxa"/>
          </w:tcPr>
          <w:p w:rsidR="00962C5B" w:rsidRPr="00962C5B" w:rsidRDefault="00962C5B" w:rsidP="00DE44B3">
            <w:pPr>
              <w:spacing w:line="240" w:lineRule="auto"/>
              <w:ind w:firstLine="0"/>
              <w:jc w:val="left"/>
              <w:rPr>
                <w:rFonts w:asciiTheme="minorHAnsi" w:hAnsiTheme="minorHAnsi" w:cstheme="minorHAnsi"/>
                <w:sz w:val="22"/>
              </w:rPr>
            </w:pPr>
            <w:r w:rsidRPr="00962C5B">
              <w:rPr>
                <w:rFonts w:asciiTheme="minorHAnsi" w:hAnsiTheme="minorHAnsi" w:cstheme="minorHAnsi"/>
                <w:sz w:val="22"/>
              </w:rPr>
              <w:t>Intercept</w:t>
            </w:r>
          </w:p>
        </w:tc>
        <w:tc>
          <w:tcPr>
            <w:tcW w:w="1870" w:type="dxa"/>
          </w:tcPr>
          <w:p w:rsidR="00962C5B" w:rsidRPr="00962C5B" w:rsidRDefault="00962C5B" w:rsidP="00DE44B3">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OR (SE)</w:t>
            </w:r>
          </w:p>
        </w:tc>
        <w:tc>
          <w:tcPr>
            <w:tcW w:w="1870" w:type="dxa"/>
          </w:tcPr>
          <w:p w:rsidR="00962C5B" w:rsidRPr="00962C5B" w:rsidRDefault="00962C5B" w:rsidP="00DE44B3">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P</w:t>
            </w:r>
          </w:p>
        </w:tc>
        <w:tc>
          <w:tcPr>
            <w:tcW w:w="1870" w:type="dxa"/>
          </w:tcPr>
          <w:p w:rsidR="00962C5B" w:rsidRPr="00962C5B" w:rsidRDefault="00962C5B" w:rsidP="00DE44B3">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OR (SE)</w:t>
            </w:r>
          </w:p>
        </w:tc>
        <w:tc>
          <w:tcPr>
            <w:tcW w:w="1870" w:type="dxa"/>
          </w:tcPr>
          <w:p w:rsidR="00962C5B" w:rsidRPr="00962C5B" w:rsidRDefault="00962C5B" w:rsidP="00DE44B3">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P</w:t>
            </w:r>
          </w:p>
        </w:tc>
      </w:tr>
      <w:tr w:rsidR="005F3D95" w:rsidRPr="00962C5B" w:rsidTr="00DE44B3">
        <w:tc>
          <w:tcPr>
            <w:tcW w:w="1870" w:type="dxa"/>
          </w:tcPr>
          <w:p w:rsidR="005F3D95" w:rsidRPr="00962C5B" w:rsidRDefault="005F3D95" w:rsidP="005F3D95">
            <w:pPr>
              <w:spacing w:line="240" w:lineRule="auto"/>
              <w:ind w:firstLine="0"/>
              <w:jc w:val="left"/>
              <w:rPr>
                <w:rFonts w:asciiTheme="minorHAnsi" w:hAnsiTheme="minorHAnsi" w:cstheme="minorHAnsi"/>
                <w:sz w:val="22"/>
              </w:rPr>
            </w:pPr>
            <w:r w:rsidRPr="00962C5B">
              <w:rPr>
                <w:rFonts w:asciiTheme="minorHAnsi" w:hAnsiTheme="minorHAnsi" w:cstheme="minorHAnsi"/>
                <w:sz w:val="22"/>
              </w:rPr>
              <w:t>Rural-living</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-4.20</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0.103</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Pr>
                <w:rFonts w:asciiTheme="minorHAnsi" w:hAnsiTheme="minorHAnsi" w:cstheme="minorHAnsi"/>
                <w:sz w:val="22"/>
              </w:rPr>
              <w:t>N/A</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Pr>
                <w:rFonts w:asciiTheme="minorHAnsi" w:hAnsiTheme="minorHAnsi" w:cstheme="minorHAnsi"/>
                <w:sz w:val="22"/>
              </w:rPr>
              <w:t>N/A</w:t>
            </w:r>
          </w:p>
        </w:tc>
      </w:tr>
      <w:tr w:rsidR="005F3D95" w:rsidRPr="00962C5B" w:rsidTr="00DE44B3">
        <w:tc>
          <w:tcPr>
            <w:tcW w:w="1870" w:type="dxa"/>
          </w:tcPr>
          <w:p w:rsidR="005F3D95" w:rsidRPr="00962C5B" w:rsidRDefault="005F3D95" w:rsidP="005F3D95">
            <w:pPr>
              <w:spacing w:line="240" w:lineRule="auto"/>
              <w:ind w:firstLine="0"/>
              <w:jc w:val="left"/>
              <w:rPr>
                <w:rFonts w:asciiTheme="minorHAnsi" w:hAnsiTheme="minorHAnsi" w:cstheme="minorHAnsi"/>
                <w:sz w:val="22"/>
              </w:rPr>
            </w:pPr>
            <w:r w:rsidRPr="00962C5B">
              <w:rPr>
                <w:rFonts w:asciiTheme="minorHAnsi" w:hAnsiTheme="minorHAnsi" w:cstheme="minorHAnsi"/>
                <w:sz w:val="22"/>
              </w:rPr>
              <w:t>Less than High-School</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1.727</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0.778</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Pr>
                <w:rFonts w:asciiTheme="minorHAnsi" w:hAnsiTheme="minorHAnsi" w:cstheme="minorHAnsi"/>
                <w:sz w:val="22"/>
              </w:rPr>
              <w:t>N/A</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Pr>
                <w:rFonts w:asciiTheme="minorHAnsi" w:hAnsiTheme="minorHAnsi" w:cstheme="minorHAnsi"/>
                <w:sz w:val="22"/>
              </w:rPr>
              <w:t>N/A</w:t>
            </w:r>
          </w:p>
        </w:tc>
      </w:tr>
      <w:tr w:rsidR="005F3D95" w:rsidRPr="00962C5B" w:rsidTr="00DE44B3">
        <w:tc>
          <w:tcPr>
            <w:tcW w:w="1870" w:type="dxa"/>
          </w:tcPr>
          <w:p w:rsidR="005F3D95" w:rsidRPr="00962C5B" w:rsidRDefault="005F3D95" w:rsidP="005F3D95">
            <w:pPr>
              <w:spacing w:line="240" w:lineRule="auto"/>
              <w:ind w:firstLine="0"/>
              <w:jc w:val="left"/>
              <w:rPr>
                <w:rFonts w:asciiTheme="minorHAnsi" w:hAnsiTheme="minorHAnsi" w:cstheme="minorHAnsi"/>
                <w:sz w:val="22"/>
              </w:rPr>
            </w:pPr>
            <w:r w:rsidRPr="00962C5B">
              <w:rPr>
                <w:rFonts w:asciiTheme="minorHAnsi" w:hAnsiTheme="minorHAnsi" w:cstheme="minorHAnsi"/>
                <w:sz w:val="22"/>
              </w:rPr>
              <w:t>Unemployed</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0.721</w:t>
            </w:r>
          </w:p>
        </w:tc>
        <w:tc>
          <w:tcPr>
            <w:tcW w:w="1870" w:type="dxa"/>
          </w:tcPr>
          <w:p w:rsidR="005F3D95" w:rsidRPr="00962C5B" w:rsidRDefault="005F3D95" w:rsidP="005F3D95">
            <w:pPr>
              <w:spacing w:line="240" w:lineRule="auto"/>
              <w:ind w:firstLine="0"/>
              <w:jc w:val="center"/>
              <w:rPr>
                <w:rFonts w:asciiTheme="minorHAnsi" w:hAnsiTheme="minorHAnsi" w:cstheme="minorHAnsi"/>
                <w:b/>
                <w:sz w:val="22"/>
              </w:rPr>
            </w:pPr>
            <w:r w:rsidRPr="00962C5B">
              <w:rPr>
                <w:rFonts w:asciiTheme="minorHAnsi" w:hAnsiTheme="minorHAnsi" w:cstheme="minorHAnsi"/>
                <w:b/>
                <w:sz w:val="22"/>
              </w:rPr>
              <w:t>.001</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w:t>
            </w:r>
            <w:r>
              <w:rPr>
                <w:rFonts w:asciiTheme="minorHAnsi" w:hAnsiTheme="minorHAnsi" w:cstheme="minorHAnsi"/>
                <w:sz w:val="22"/>
              </w:rPr>
              <w:t>673</w:t>
            </w:r>
          </w:p>
        </w:tc>
        <w:tc>
          <w:tcPr>
            <w:tcW w:w="1870" w:type="dxa"/>
          </w:tcPr>
          <w:p w:rsidR="005F3D95" w:rsidRPr="00962C5B" w:rsidRDefault="005F3D95" w:rsidP="005F3D95">
            <w:pPr>
              <w:spacing w:line="240" w:lineRule="auto"/>
              <w:ind w:firstLine="0"/>
              <w:jc w:val="center"/>
              <w:rPr>
                <w:rFonts w:asciiTheme="minorHAnsi" w:hAnsiTheme="minorHAnsi" w:cstheme="minorHAnsi"/>
                <w:b/>
                <w:sz w:val="22"/>
              </w:rPr>
            </w:pPr>
            <w:r w:rsidRPr="00962C5B">
              <w:rPr>
                <w:rFonts w:asciiTheme="minorHAnsi" w:hAnsiTheme="minorHAnsi" w:cstheme="minorHAnsi"/>
                <w:b/>
                <w:sz w:val="22"/>
              </w:rPr>
              <w:t>.00</w:t>
            </w:r>
            <w:r>
              <w:rPr>
                <w:rFonts w:asciiTheme="minorHAnsi" w:hAnsiTheme="minorHAnsi" w:cstheme="minorHAnsi"/>
                <w:b/>
                <w:sz w:val="22"/>
              </w:rPr>
              <w:t>2</w:t>
            </w:r>
          </w:p>
        </w:tc>
      </w:tr>
      <w:tr w:rsidR="005F3D95" w:rsidRPr="00962C5B" w:rsidTr="00DE44B3">
        <w:tc>
          <w:tcPr>
            <w:tcW w:w="1870" w:type="dxa"/>
          </w:tcPr>
          <w:p w:rsidR="005F3D95" w:rsidRPr="00962C5B" w:rsidRDefault="005F3D95" w:rsidP="005F3D95">
            <w:pPr>
              <w:spacing w:line="240" w:lineRule="auto"/>
              <w:ind w:firstLine="0"/>
              <w:jc w:val="left"/>
              <w:rPr>
                <w:rFonts w:asciiTheme="minorHAnsi" w:hAnsiTheme="minorHAnsi" w:cstheme="minorHAnsi"/>
                <w:sz w:val="22"/>
              </w:rPr>
            </w:pPr>
            <w:r w:rsidRPr="00962C5B">
              <w:rPr>
                <w:rFonts w:asciiTheme="minorHAnsi" w:hAnsiTheme="minorHAnsi" w:cstheme="minorHAnsi"/>
                <w:sz w:val="22"/>
              </w:rPr>
              <w:t>Black</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0.276</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.530</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Pr>
                <w:rFonts w:asciiTheme="minorHAnsi" w:hAnsiTheme="minorHAnsi" w:cstheme="minorHAnsi"/>
                <w:sz w:val="22"/>
              </w:rPr>
              <w:t>N/A</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Pr>
                <w:rFonts w:asciiTheme="minorHAnsi" w:hAnsiTheme="minorHAnsi" w:cstheme="minorHAnsi"/>
                <w:sz w:val="22"/>
              </w:rPr>
              <w:t>N/A</w:t>
            </w:r>
          </w:p>
        </w:tc>
      </w:tr>
      <w:tr w:rsidR="005F3D95" w:rsidRPr="00962C5B" w:rsidTr="00DE44B3">
        <w:tc>
          <w:tcPr>
            <w:tcW w:w="1870" w:type="dxa"/>
          </w:tcPr>
          <w:p w:rsidR="005F3D95" w:rsidRPr="00962C5B" w:rsidRDefault="005F3D95" w:rsidP="005F3D95">
            <w:pPr>
              <w:spacing w:line="240" w:lineRule="auto"/>
              <w:ind w:firstLine="0"/>
              <w:jc w:val="left"/>
              <w:rPr>
                <w:rFonts w:asciiTheme="minorHAnsi" w:hAnsiTheme="minorHAnsi" w:cstheme="minorHAnsi"/>
                <w:sz w:val="22"/>
              </w:rPr>
            </w:pPr>
            <w:r w:rsidRPr="00962C5B">
              <w:rPr>
                <w:rFonts w:asciiTheme="minorHAnsi" w:hAnsiTheme="minorHAnsi" w:cstheme="minorHAnsi"/>
                <w:sz w:val="22"/>
              </w:rPr>
              <w:t>Hispanic</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-.135</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0.745</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Pr>
                <w:rFonts w:asciiTheme="minorHAnsi" w:hAnsiTheme="minorHAnsi" w:cstheme="minorHAnsi"/>
                <w:sz w:val="22"/>
              </w:rPr>
              <w:t>N/A</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Pr>
                <w:rFonts w:asciiTheme="minorHAnsi" w:hAnsiTheme="minorHAnsi" w:cstheme="minorHAnsi"/>
                <w:sz w:val="22"/>
              </w:rPr>
              <w:t>N/A</w:t>
            </w:r>
          </w:p>
        </w:tc>
      </w:tr>
      <w:tr w:rsidR="005F3D95" w:rsidRPr="00962C5B" w:rsidTr="00DE44B3">
        <w:tc>
          <w:tcPr>
            <w:tcW w:w="1870" w:type="dxa"/>
          </w:tcPr>
          <w:p w:rsidR="005F3D95" w:rsidRPr="00962C5B" w:rsidRDefault="005F3D95" w:rsidP="005F3D95">
            <w:pPr>
              <w:spacing w:line="240" w:lineRule="auto"/>
              <w:ind w:firstLine="0"/>
              <w:jc w:val="left"/>
              <w:rPr>
                <w:rFonts w:asciiTheme="minorHAnsi" w:hAnsiTheme="minorHAnsi" w:cstheme="minorHAnsi"/>
                <w:sz w:val="22"/>
              </w:rPr>
            </w:pPr>
            <w:r w:rsidRPr="00962C5B">
              <w:rPr>
                <w:rFonts w:asciiTheme="minorHAnsi" w:hAnsiTheme="minorHAnsi" w:cstheme="minorHAnsi"/>
                <w:sz w:val="22"/>
              </w:rPr>
              <w:t>Publicly-insured</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-0.645</w:t>
            </w:r>
          </w:p>
        </w:tc>
        <w:tc>
          <w:tcPr>
            <w:tcW w:w="1870" w:type="dxa"/>
          </w:tcPr>
          <w:p w:rsidR="005F3D95" w:rsidRPr="00962C5B" w:rsidRDefault="005F3D95" w:rsidP="005F3D95">
            <w:pPr>
              <w:spacing w:line="240" w:lineRule="auto"/>
              <w:ind w:firstLine="0"/>
              <w:jc w:val="center"/>
              <w:rPr>
                <w:rFonts w:asciiTheme="minorHAnsi" w:hAnsiTheme="minorHAnsi" w:cstheme="minorHAnsi"/>
                <w:b/>
                <w:sz w:val="22"/>
              </w:rPr>
            </w:pPr>
            <w:r w:rsidRPr="00962C5B">
              <w:rPr>
                <w:rFonts w:asciiTheme="minorHAnsi" w:hAnsiTheme="minorHAnsi" w:cstheme="minorHAnsi"/>
                <w:b/>
                <w:sz w:val="22"/>
              </w:rPr>
              <w:t>.004</w:t>
            </w:r>
          </w:p>
        </w:tc>
        <w:tc>
          <w:tcPr>
            <w:tcW w:w="1870" w:type="dxa"/>
          </w:tcPr>
          <w:p w:rsidR="005F3D95" w:rsidRPr="00962C5B" w:rsidRDefault="005F3D95" w:rsidP="005F3D95">
            <w:pPr>
              <w:spacing w:line="240" w:lineRule="auto"/>
              <w:ind w:firstLine="0"/>
              <w:jc w:val="center"/>
              <w:rPr>
                <w:rFonts w:asciiTheme="minorHAnsi" w:hAnsiTheme="minorHAnsi" w:cstheme="minorHAnsi"/>
                <w:sz w:val="22"/>
              </w:rPr>
            </w:pPr>
            <w:r w:rsidRPr="00962C5B">
              <w:rPr>
                <w:rFonts w:asciiTheme="minorHAnsi" w:hAnsiTheme="minorHAnsi" w:cstheme="minorHAnsi"/>
                <w:sz w:val="22"/>
              </w:rPr>
              <w:t>-0.6</w:t>
            </w:r>
            <w:r>
              <w:rPr>
                <w:rFonts w:asciiTheme="minorHAnsi" w:hAnsiTheme="minorHAnsi" w:cstheme="minorHAnsi"/>
                <w:sz w:val="22"/>
              </w:rPr>
              <w:t>11</w:t>
            </w:r>
          </w:p>
        </w:tc>
        <w:tc>
          <w:tcPr>
            <w:tcW w:w="1870" w:type="dxa"/>
          </w:tcPr>
          <w:p w:rsidR="005F3D95" w:rsidRPr="00962C5B" w:rsidRDefault="005F3D95" w:rsidP="005F3D95">
            <w:pPr>
              <w:spacing w:line="240" w:lineRule="auto"/>
              <w:ind w:firstLine="0"/>
              <w:jc w:val="center"/>
              <w:rPr>
                <w:rFonts w:asciiTheme="minorHAnsi" w:hAnsiTheme="minorHAnsi" w:cstheme="minorHAnsi"/>
                <w:b/>
                <w:sz w:val="22"/>
              </w:rPr>
            </w:pPr>
            <w:r w:rsidRPr="00962C5B">
              <w:rPr>
                <w:rFonts w:asciiTheme="minorHAnsi" w:hAnsiTheme="minorHAnsi" w:cstheme="minorHAnsi"/>
                <w:b/>
                <w:sz w:val="22"/>
              </w:rPr>
              <w:t>.00</w:t>
            </w:r>
            <w:r>
              <w:rPr>
                <w:rFonts w:asciiTheme="minorHAnsi" w:hAnsiTheme="minorHAnsi" w:cstheme="minorHAnsi"/>
                <w:b/>
                <w:sz w:val="22"/>
              </w:rPr>
              <w:t>5</w:t>
            </w:r>
          </w:p>
        </w:tc>
      </w:tr>
    </w:tbl>
    <w:p w:rsidR="00962C5B" w:rsidRPr="00DD57B9" w:rsidRDefault="00962C5B" w:rsidP="00DD57B9">
      <w:pPr>
        <w:ind w:firstLine="0"/>
      </w:pPr>
    </w:p>
    <w:p w:rsidR="00DA5BA8" w:rsidRDefault="00DA5BA8" w:rsidP="00DA5BA8">
      <w:pPr>
        <w:pStyle w:val="Heading"/>
      </w:pPr>
      <w:bookmarkStart w:id="38" w:name="_Toc114179904"/>
      <w:bookmarkStart w:id="39" w:name="_Toc114179905"/>
      <w:bookmarkStart w:id="40" w:name="_Toc511655580"/>
      <w:bookmarkEnd w:id="38"/>
      <w:r>
        <w:lastRenderedPageBreak/>
        <w:t>bibliography</w:t>
      </w:r>
      <w:bookmarkEnd w:id="39"/>
      <w:bookmarkEnd w:id="40"/>
    </w:p>
    <w:p w:rsidR="008D5FC2" w:rsidRPr="008D5FC2" w:rsidRDefault="00481310" w:rsidP="008D5FC2">
      <w:pPr>
        <w:widowControl w:val="0"/>
        <w:autoSpaceDE w:val="0"/>
        <w:autoSpaceDN w:val="0"/>
        <w:adjustRightInd w:val="0"/>
        <w:spacing w:after="240" w:line="240" w:lineRule="auto"/>
        <w:ind w:left="480" w:hanging="480"/>
        <w:rPr>
          <w:noProof/>
        </w:rPr>
      </w:pPr>
      <w:r>
        <w:fldChar w:fldCharType="begin" w:fldLock="1"/>
      </w:r>
      <w:r>
        <w:instrText xml:space="preserve">ADDIN Mendeley Bibliography CSL_BIBLIOGRAPHY </w:instrText>
      </w:r>
      <w:r>
        <w:fldChar w:fldCharType="separate"/>
      </w:r>
      <w:r w:rsidR="008D5FC2" w:rsidRPr="008D5FC2">
        <w:rPr>
          <w:noProof/>
        </w:rPr>
        <w:t xml:space="preserve">Aneshensel, C. S., Wight, R. G., Miller-Martinez, D., Botticello, A. L., Karlamangla, A. S., &amp; Seeman, T. E. (2007). Urban neighborhoods and depressive symptoms among older adults. </w:t>
      </w:r>
      <w:r w:rsidR="008D5FC2" w:rsidRPr="008D5FC2">
        <w:rPr>
          <w:i/>
          <w:iCs/>
          <w:noProof/>
        </w:rPr>
        <w:t>The Journals of Gerontology. Series B, Psychological Sciences and Social Sciences</w:t>
      </w:r>
      <w:r w:rsidR="008D5FC2" w:rsidRPr="008D5FC2">
        <w:rPr>
          <w:noProof/>
        </w:rPr>
        <w:t xml:space="preserve">, </w:t>
      </w:r>
      <w:r w:rsidR="008D5FC2" w:rsidRPr="008D5FC2">
        <w:rPr>
          <w:i/>
          <w:iCs/>
          <w:noProof/>
        </w:rPr>
        <w:t>62</w:t>
      </w:r>
      <w:r w:rsidR="008D5FC2" w:rsidRPr="008D5FC2">
        <w:rPr>
          <w:noProof/>
        </w:rPr>
        <w:t>(1), S52–S59. https://doi.org/10.1093/geronb/62.1.S5</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Beck, A. T., Epstein, N., Brown, G., Steer, R. A., &amp; others. (1988). An inventory for measuring clinical anxiety: Psychometric properties. </w:t>
      </w:r>
      <w:r w:rsidRPr="008D5FC2">
        <w:rPr>
          <w:i/>
          <w:iCs/>
          <w:noProof/>
        </w:rPr>
        <w:t>Journal of Consulting and Clinical Psychology</w:t>
      </w:r>
      <w:r w:rsidRPr="008D5FC2">
        <w:rPr>
          <w:noProof/>
        </w:rPr>
        <w:t xml:space="preserve">, </w:t>
      </w:r>
      <w:r w:rsidRPr="008D5FC2">
        <w:rPr>
          <w:i/>
          <w:iCs/>
          <w:noProof/>
        </w:rPr>
        <w:t>56</w:t>
      </w:r>
      <w:r w:rsidRPr="008D5FC2">
        <w:rPr>
          <w:noProof/>
        </w:rPr>
        <w:t>(6), 893–897. https://doi.org/10.1037/0022-006X.56.6.893</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Botticello, A. L., Boninger, M., Charlifue, S., Chen, Y., Fyffe, D., Heinemann, A., … Rohrbach, T. (2016). To What Extent Do Neighborhood Differences Mediate Racial Disparities in Participation After Spinal Cord Injury? </w:t>
      </w:r>
      <w:r w:rsidRPr="008D5FC2">
        <w:rPr>
          <w:i/>
          <w:iCs/>
          <w:noProof/>
        </w:rPr>
        <w:t>Archives of Physical Medicine and Rehabilitation</w:t>
      </w:r>
      <w:r w:rsidRPr="008D5FC2">
        <w:rPr>
          <w:noProof/>
        </w:rPr>
        <w:t xml:space="preserve">, </w:t>
      </w:r>
      <w:r w:rsidRPr="008D5FC2">
        <w:rPr>
          <w:i/>
          <w:iCs/>
          <w:noProof/>
        </w:rPr>
        <w:t>97</w:t>
      </w:r>
      <w:r w:rsidRPr="008D5FC2">
        <w:rPr>
          <w:noProof/>
        </w:rPr>
        <w:t>(10), 1735–1744. https://doi.org/10.1016/j.apmr.2016.04.007</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Botticello, A. L., Chen, Y., Cao, Y., &amp; Tulsky, D. S. (2011). Do communities matter after rehabilitation? The effect of socioeconomic and urban stratification on well-being after spinal cord injury. </w:t>
      </w:r>
      <w:r w:rsidRPr="008D5FC2">
        <w:rPr>
          <w:i/>
          <w:iCs/>
          <w:noProof/>
        </w:rPr>
        <w:t>Archives of Physical Medicine and Rehabilitation</w:t>
      </w:r>
      <w:r w:rsidRPr="008D5FC2">
        <w:rPr>
          <w:noProof/>
        </w:rPr>
        <w:t xml:space="preserve">, </w:t>
      </w:r>
      <w:r w:rsidRPr="008D5FC2">
        <w:rPr>
          <w:i/>
          <w:iCs/>
          <w:noProof/>
        </w:rPr>
        <w:t>92</w:t>
      </w:r>
      <w:r w:rsidRPr="008D5FC2">
        <w:rPr>
          <w:noProof/>
        </w:rPr>
        <w:t>(3), 464–71. https://doi.org/10.1016/j.apmr.2010.08.028</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Botticello, A. L., Chen, Y., &amp; Tulsky, D. S. (2012). Geographic variation in participation for physically disabled adults: the contribution of area economic factors to employment after spinal cord injury. </w:t>
      </w:r>
      <w:r w:rsidRPr="008D5FC2">
        <w:rPr>
          <w:i/>
          <w:iCs/>
          <w:noProof/>
        </w:rPr>
        <w:t>Social Science &amp; Medicine (1982)</w:t>
      </w:r>
      <w:r w:rsidRPr="008D5FC2">
        <w:rPr>
          <w:noProof/>
        </w:rPr>
        <w:t xml:space="preserve">, </w:t>
      </w:r>
      <w:r w:rsidRPr="008D5FC2">
        <w:rPr>
          <w:i/>
          <w:iCs/>
          <w:noProof/>
        </w:rPr>
        <w:t>75</w:t>
      </w:r>
      <w:r w:rsidRPr="008D5FC2">
        <w:rPr>
          <w:noProof/>
        </w:rPr>
        <w:t>(8), 1505–13. https://doi.org/10.1016/j.socscimed.2012.06.010</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Clarke, P., &amp; George, L. K. (2005). The role of the built environment in the disablement process. </w:t>
      </w:r>
      <w:r w:rsidRPr="008D5FC2">
        <w:rPr>
          <w:i/>
          <w:iCs/>
          <w:noProof/>
        </w:rPr>
        <w:t>American Journal of Public Health</w:t>
      </w:r>
      <w:r w:rsidRPr="008D5FC2">
        <w:rPr>
          <w:noProof/>
        </w:rPr>
        <w:t>. https://doi.org/10.2105/AJPH.2004.054494</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Devivo, M. J. (2012). Epidemiology of traumatic spinal cord injury: Trends and future implications. In </w:t>
      </w:r>
      <w:r w:rsidRPr="008D5FC2">
        <w:rPr>
          <w:i/>
          <w:iCs/>
          <w:noProof/>
        </w:rPr>
        <w:t>Spinal Cord</w:t>
      </w:r>
      <w:r w:rsidRPr="008D5FC2">
        <w:rPr>
          <w:noProof/>
        </w:rPr>
        <w:t xml:space="preserve"> (Vol. 50, pp. 365–372). https://doi.org/10.1038/sc.2011.178</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DeVivo, M. J., &amp; Farris, V. (2011). Causes and Costs of Unplanned Hospitalizations Among Persons with Spinal Cord Injury. </w:t>
      </w:r>
      <w:r w:rsidRPr="008D5FC2">
        <w:rPr>
          <w:i/>
          <w:iCs/>
          <w:noProof/>
        </w:rPr>
        <w:t>Topics in Spinal Cord Injury Rehabilitation</w:t>
      </w:r>
      <w:r w:rsidRPr="008D5FC2">
        <w:rPr>
          <w:noProof/>
        </w:rPr>
        <w:t xml:space="preserve">, </w:t>
      </w:r>
      <w:r w:rsidRPr="008D5FC2">
        <w:rPr>
          <w:i/>
          <w:iCs/>
          <w:noProof/>
        </w:rPr>
        <w:t>16</w:t>
      </w:r>
      <w:r w:rsidRPr="008D5FC2">
        <w:rPr>
          <w:noProof/>
        </w:rPr>
        <w:t>(4), 53–61. https://doi.org/10.1310/sci1604-53</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Dijkers, M. P. J. M. (2004). Quality of life of individuals with spinal cord injury: A review of conceptualization, measurement, and research findings. </w:t>
      </w:r>
      <w:r w:rsidRPr="008D5FC2">
        <w:rPr>
          <w:i/>
          <w:iCs/>
          <w:noProof/>
        </w:rPr>
        <w:t>The Journal of Rehabilitation Research and Development</w:t>
      </w:r>
      <w:r w:rsidRPr="008D5FC2">
        <w:rPr>
          <w:noProof/>
        </w:rPr>
        <w:t xml:space="preserve">, </w:t>
      </w:r>
      <w:r w:rsidRPr="008D5FC2">
        <w:rPr>
          <w:i/>
          <w:iCs/>
          <w:noProof/>
        </w:rPr>
        <w:t>42</w:t>
      </w:r>
      <w:r w:rsidRPr="008D5FC2">
        <w:rPr>
          <w:noProof/>
        </w:rPr>
        <w:t>(3sup1), 87. https://doi.org/10.1682/JRRD.2004.08.0100</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Freedman, V. A., Grafova, I. B., Schoeni, R. F., &amp; Rogowski, J. (2008). Neighborhoods and disability in later life. </w:t>
      </w:r>
      <w:r w:rsidRPr="008D5FC2">
        <w:rPr>
          <w:i/>
          <w:iCs/>
          <w:noProof/>
        </w:rPr>
        <w:t>Social Science and Medicine</w:t>
      </w:r>
      <w:r w:rsidRPr="008D5FC2">
        <w:rPr>
          <w:noProof/>
        </w:rPr>
        <w:t xml:space="preserve">, </w:t>
      </w:r>
      <w:r w:rsidRPr="008D5FC2">
        <w:rPr>
          <w:i/>
          <w:iCs/>
          <w:noProof/>
        </w:rPr>
        <w:t>66</w:t>
      </w:r>
      <w:r w:rsidRPr="008D5FC2">
        <w:rPr>
          <w:noProof/>
        </w:rPr>
        <w:t>(11), 2253–2267. https://doi.org/10.1016/j.socscimed.2008.01.013</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lastRenderedPageBreak/>
        <w:t xml:space="preserve">Fyffe, D. C., Botticello, A. L., &amp; Myaskovsky, L. (2011). Vulnerable Groups Living with Spinal Cord Injury. </w:t>
      </w:r>
      <w:r w:rsidRPr="008D5FC2">
        <w:rPr>
          <w:i/>
          <w:iCs/>
          <w:noProof/>
        </w:rPr>
        <w:t>Topics in Spinal Cord Injury Rehabilitation</w:t>
      </w:r>
      <w:r w:rsidRPr="008D5FC2">
        <w:rPr>
          <w:noProof/>
        </w:rPr>
        <w:t xml:space="preserve">, </w:t>
      </w:r>
      <w:r w:rsidRPr="008D5FC2">
        <w:rPr>
          <w:i/>
          <w:iCs/>
          <w:noProof/>
        </w:rPr>
        <w:t>17</w:t>
      </w:r>
      <w:r w:rsidRPr="008D5FC2">
        <w:rPr>
          <w:noProof/>
        </w:rPr>
        <w:t>(2), 1–9. https://doi.org/10.1310/sci1702-01</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Fyffe, D. C., Deutsch, A., Botticello, A. L., Kirshblum, S., &amp; Ottenbacher, K. J. (2014). Racial and ethnic disparities in functioning at discharge and follow-up among patients with motor complete spinal cord injury. </w:t>
      </w:r>
      <w:r w:rsidRPr="008D5FC2">
        <w:rPr>
          <w:i/>
          <w:iCs/>
          <w:noProof/>
        </w:rPr>
        <w:t>Archives of Physical Medicine and Rehabilitation</w:t>
      </w:r>
      <w:r w:rsidRPr="008D5FC2">
        <w:rPr>
          <w:noProof/>
        </w:rPr>
        <w:t xml:space="preserve">, </w:t>
      </w:r>
      <w:r w:rsidRPr="008D5FC2">
        <w:rPr>
          <w:i/>
          <w:iCs/>
          <w:noProof/>
        </w:rPr>
        <w:t>95</w:t>
      </w:r>
      <w:r w:rsidRPr="008D5FC2">
        <w:rPr>
          <w:noProof/>
        </w:rPr>
        <w:t>(11), 2140–2151. https://doi.org/10.1016/j.apmr.2014.07.398</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Goodridge, D., Rogers, M., Klassen, L., Jeffery, B., Knox, K., Rohatinsky, N., &amp; Linassi, G. (2014). Access to health and support services: perspectives of people living with a long-term traumatic spinal cord injury in rural and urban areas. </w:t>
      </w:r>
      <w:r w:rsidRPr="008D5FC2">
        <w:rPr>
          <w:i/>
          <w:iCs/>
          <w:noProof/>
        </w:rPr>
        <w:t>Disability and Rehabilitation</w:t>
      </w:r>
      <w:r w:rsidRPr="008D5FC2">
        <w:rPr>
          <w:noProof/>
        </w:rPr>
        <w:t xml:space="preserve">, </w:t>
      </w:r>
      <w:r w:rsidRPr="008D5FC2">
        <w:rPr>
          <w:i/>
          <w:iCs/>
          <w:noProof/>
        </w:rPr>
        <w:t>8288</w:t>
      </w:r>
      <w:r w:rsidRPr="008D5FC2">
        <w:rPr>
          <w:noProof/>
        </w:rPr>
        <w:t>(October), 1–10. https://doi.org/10.3109/09638288.2014.972593</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Hagglund, K. J., Clay, D. L., &amp; Acuff, M. (1998). Community reintegration for persons with spinal cord injury living in rural America. </w:t>
      </w:r>
      <w:r w:rsidRPr="008D5FC2">
        <w:rPr>
          <w:i/>
          <w:iCs/>
          <w:noProof/>
        </w:rPr>
        <w:t>Topics in Spinal Cord Injury Rehabilitation</w:t>
      </w:r>
      <w:r w:rsidRPr="008D5FC2">
        <w:rPr>
          <w:noProof/>
        </w:rPr>
        <w:t xml:space="preserve">, </w:t>
      </w:r>
      <w:r w:rsidRPr="008D5FC2">
        <w:rPr>
          <w:i/>
          <w:iCs/>
          <w:noProof/>
        </w:rPr>
        <w:t>4</w:t>
      </w:r>
      <w:r w:rsidRPr="008D5FC2">
        <w:rPr>
          <w:noProof/>
        </w:rPr>
        <w:t>(2), 28–40. https://doi.org/10.1310/3502-06MD-F2NK-LBGK</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Hall, K. M., Dijkers, M., Whiteneck, G., Brooks, C. a, Krause, J. S., K.M., H., … J.S., K. (1998). The Craig Handicap Assessment and Reporting Technique (CHART): metric properties and scoring. </w:t>
      </w:r>
      <w:r w:rsidRPr="008D5FC2">
        <w:rPr>
          <w:i/>
          <w:iCs/>
          <w:noProof/>
        </w:rPr>
        <w:t>Topics in Spinal Cord Injury Rehabilitation</w:t>
      </w:r>
      <w:r w:rsidRPr="008D5FC2">
        <w:rPr>
          <w:noProof/>
        </w:rPr>
        <w:t xml:space="preserve">, </w:t>
      </w:r>
      <w:r w:rsidRPr="008D5FC2">
        <w:rPr>
          <w:i/>
          <w:iCs/>
          <w:noProof/>
        </w:rPr>
        <w:t>4</w:t>
      </w:r>
      <w:r w:rsidRPr="008D5FC2">
        <w:rPr>
          <w:noProof/>
        </w:rPr>
        <w:t>(1), 16–30. https://doi.org/10.1310/V5RU-FRFE-50E6-E2NA</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Hwang, M., Chlan, K. M., Vogel, L. C., &amp; Zebracki, K. (2012). Substance use in young adults with pediatric-onset spinal cord injury. </w:t>
      </w:r>
      <w:r w:rsidRPr="008D5FC2">
        <w:rPr>
          <w:i/>
          <w:iCs/>
          <w:noProof/>
        </w:rPr>
        <w:t>Spinal Cord</w:t>
      </w:r>
      <w:r w:rsidRPr="008D5FC2">
        <w:rPr>
          <w:noProof/>
        </w:rPr>
        <w:t xml:space="preserve">, </w:t>
      </w:r>
      <w:r w:rsidRPr="008D5FC2">
        <w:rPr>
          <w:i/>
          <w:iCs/>
          <w:noProof/>
        </w:rPr>
        <w:t>50</w:t>
      </w:r>
      <w:r w:rsidRPr="008D5FC2">
        <w:rPr>
          <w:noProof/>
        </w:rPr>
        <w:t>(7), 497–501. https://doi.org/10.1038/sc.2012.8</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Kim, D., &amp; Kawachi, I. (2006). A multilevel analysis of key forms of community- and individual-level social capital as predictors of self-rated health in the United States. </w:t>
      </w:r>
      <w:r w:rsidRPr="008D5FC2">
        <w:rPr>
          <w:i/>
          <w:iCs/>
          <w:noProof/>
        </w:rPr>
        <w:t>Journal of Urban Health</w:t>
      </w:r>
      <w:r w:rsidRPr="008D5FC2">
        <w:rPr>
          <w:noProof/>
        </w:rPr>
        <w:t xml:space="preserve">, </w:t>
      </w:r>
      <w:r w:rsidRPr="008D5FC2">
        <w:rPr>
          <w:i/>
          <w:iCs/>
          <w:noProof/>
        </w:rPr>
        <w:t>83</w:t>
      </w:r>
      <w:r w:rsidRPr="008D5FC2">
        <w:rPr>
          <w:noProof/>
        </w:rPr>
        <w:t>(5), 813–826. https://doi.org/10.1007/s11524-006-9082-1</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Kirsh, B., Stergiou-Kita, M., Gewurtz, R., Dawson, D., Krupa, T., Lysaght, R., &amp; Shaw, L. (2009). From margins to mainstream: What do we know about work integration for persons with brain injury, mental illness and intellectual disability? </w:t>
      </w:r>
      <w:r w:rsidRPr="008D5FC2">
        <w:rPr>
          <w:i/>
          <w:iCs/>
          <w:noProof/>
        </w:rPr>
        <w:t>Work</w:t>
      </w:r>
      <w:r w:rsidRPr="008D5FC2">
        <w:rPr>
          <w:noProof/>
        </w:rPr>
        <w:t>. https://doi.org/10.3233/WOR-2009-0851</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Liang, H., Tomey, K., Chen, D., Savar, N. L., Rimmer, J. H., &amp; Braunschweig, C. L. (2008). Objective measures of neighborhood environment and self-reported physical activity in spinal cord injured men. </w:t>
      </w:r>
      <w:r w:rsidRPr="008D5FC2">
        <w:rPr>
          <w:i/>
          <w:iCs/>
          <w:noProof/>
        </w:rPr>
        <w:t>Archives of Physical Medicine and Rehabilitation</w:t>
      </w:r>
      <w:r w:rsidRPr="008D5FC2">
        <w:rPr>
          <w:noProof/>
        </w:rPr>
        <w:t xml:space="preserve">, </w:t>
      </w:r>
      <w:r w:rsidRPr="008D5FC2">
        <w:rPr>
          <w:i/>
          <w:iCs/>
          <w:noProof/>
        </w:rPr>
        <w:t>89</w:t>
      </w:r>
      <w:r w:rsidRPr="008D5FC2">
        <w:rPr>
          <w:noProof/>
        </w:rPr>
        <w:t>(8), 1468–1473. https://doi.org/10.1016/j.apmr.2008.01.017</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Lishner, D. M., Richardson, M., Levine, P., &amp; Patrick, D. (1996). Access to Primary Health Care Among Persons With Disabilities in Rural areas: A Summary of the Literature. </w:t>
      </w:r>
      <w:r w:rsidRPr="008D5FC2">
        <w:rPr>
          <w:i/>
          <w:iCs/>
          <w:noProof/>
        </w:rPr>
        <w:t>The Journal of Rural Health</w:t>
      </w:r>
      <w:r w:rsidRPr="008D5FC2">
        <w:rPr>
          <w:noProof/>
        </w:rPr>
        <w:t xml:space="preserve">, </w:t>
      </w:r>
      <w:r w:rsidRPr="008D5FC2">
        <w:rPr>
          <w:i/>
          <w:iCs/>
          <w:noProof/>
        </w:rPr>
        <w:t>12</w:t>
      </w:r>
      <w:r w:rsidRPr="008D5FC2">
        <w:rPr>
          <w:noProof/>
        </w:rPr>
        <w:t>, 45–53. Retrieved from http://www.ncbi.nlm.nih.gov/pubmed/10172606</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Lyubomirsky, S., &amp; Lepper, H. (1999). A measure of subjective hap- piness: Preliminary reliability and construct validation. </w:t>
      </w:r>
      <w:r w:rsidRPr="008D5FC2">
        <w:rPr>
          <w:i/>
          <w:iCs/>
          <w:noProof/>
        </w:rPr>
        <w:t>Social Indicators Research</w:t>
      </w:r>
      <w:r w:rsidRPr="008D5FC2">
        <w:rPr>
          <w:noProof/>
        </w:rPr>
        <w:t xml:space="preserve">, </w:t>
      </w:r>
      <w:r w:rsidRPr="008D5FC2">
        <w:rPr>
          <w:i/>
          <w:iCs/>
          <w:noProof/>
        </w:rPr>
        <w:t>46</w:t>
      </w:r>
      <w:r w:rsidRPr="008D5FC2">
        <w:rPr>
          <w:noProof/>
        </w:rPr>
        <w:t>, 137–155.</w:t>
      </w:r>
    </w:p>
    <w:p w:rsidR="008D5FC2" w:rsidRPr="008D5FC2" w:rsidRDefault="003806AE" w:rsidP="008D5FC2">
      <w:pPr>
        <w:widowControl w:val="0"/>
        <w:autoSpaceDE w:val="0"/>
        <w:autoSpaceDN w:val="0"/>
        <w:adjustRightInd w:val="0"/>
        <w:spacing w:after="240" w:line="240" w:lineRule="auto"/>
        <w:ind w:left="480" w:hanging="480"/>
        <w:rPr>
          <w:noProof/>
        </w:rPr>
      </w:pPr>
      <w:r>
        <w:rPr>
          <w:noProof/>
        </w:rPr>
        <w:lastRenderedPageBreak/>
        <w:t>National Spinal Cord Injury Statistical Center (N</w:t>
      </w:r>
      <w:r w:rsidR="008D5FC2" w:rsidRPr="008D5FC2">
        <w:rPr>
          <w:noProof/>
        </w:rPr>
        <w:t>SCISC</w:t>
      </w:r>
      <w:r>
        <w:rPr>
          <w:noProof/>
        </w:rPr>
        <w:t>)</w:t>
      </w:r>
      <w:r w:rsidR="008D5FC2" w:rsidRPr="008D5FC2">
        <w:rPr>
          <w:noProof/>
        </w:rPr>
        <w:t xml:space="preserve">. (2013). </w:t>
      </w:r>
      <w:r>
        <w:rPr>
          <w:noProof/>
        </w:rPr>
        <w:t>SC</w:t>
      </w:r>
      <w:r w:rsidR="008D5FC2" w:rsidRPr="008D5FC2">
        <w:rPr>
          <w:noProof/>
        </w:rPr>
        <w:t xml:space="preserve">Pavot, W., &amp; Diener, E. (1993). Review of the Satisfaction With Life Scale. </w:t>
      </w:r>
      <w:r w:rsidR="008D5FC2" w:rsidRPr="008D5FC2">
        <w:rPr>
          <w:i/>
          <w:iCs/>
          <w:noProof/>
        </w:rPr>
        <w:t>Psychological Assessment</w:t>
      </w:r>
      <w:r w:rsidR="008D5FC2" w:rsidRPr="008D5FC2">
        <w:rPr>
          <w:noProof/>
        </w:rPr>
        <w:t xml:space="preserve">, </w:t>
      </w:r>
      <w:r w:rsidR="008D5FC2" w:rsidRPr="008D5FC2">
        <w:rPr>
          <w:i/>
          <w:iCs/>
          <w:noProof/>
        </w:rPr>
        <w:t>5</w:t>
      </w:r>
      <w:r w:rsidR="008D5FC2" w:rsidRPr="008D5FC2">
        <w:rPr>
          <w:noProof/>
        </w:rPr>
        <w:t>(June), 164–172. https://doi.org/10.1037/1040-3590.5.2.164</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Pham-Kanter, G. (2009). Social comparisons and health: Can having richer friends and neighbors make you sick? </w:t>
      </w:r>
      <w:r w:rsidRPr="008D5FC2">
        <w:rPr>
          <w:i/>
          <w:iCs/>
          <w:noProof/>
        </w:rPr>
        <w:t>Social Science and Medicine</w:t>
      </w:r>
      <w:r w:rsidRPr="008D5FC2">
        <w:rPr>
          <w:noProof/>
        </w:rPr>
        <w:t xml:space="preserve">, </w:t>
      </w:r>
      <w:r w:rsidRPr="008D5FC2">
        <w:rPr>
          <w:i/>
          <w:iCs/>
          <w:noProof/>
        </w:rPr>
        <w:t>69</w:t>
      </w:r>
      <w:r w:rsidRPr="008D5FC2">
        <w:rPr>
          <w:noProof/>
        </w:rPr>
        <w:t>(3), 335–344. https://doi.org/10.1016/j.socscimed.2009.05.017</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Runciman, W. G. (1966). Relative Deprivation and Social Justice. </w:t>
      </w:r>
      <w:r w:rsidRPr="008D5FC2">
        <w:rPr>
          <w:i/>
          <w:iCs/>
          <w:noProof/>
        </w:rPr>
        <w:t>Journal of Personality &amp; Social Psychology</w:t>
      </w:r>
      <w:r w:rsidRPr="008D5FC2">
        <w:rPr>
          <w:noProof/>
        </w:rPr>
        <w:t xml:space="preserve">, </w:t>
      </w:r>
      <w:r w:rsidRPr="008D5FC2">
        <w:rPr>
          <w:i/>
          <w:iCs/>
          <w:noProof/>
        </w:rPr>
        <w:t>3</w:t>
      </w:r>
      <w:r w:rsidRPr="008D5FC2">
        <w:rPr>
          <w:noProof/>
        </w:rPr>
        <w:t>(5), 611. Retrieved from http://search.ebscohost.com/login.aspx?direct=true&amp;db=sih&amp;AN=16644465&amp;site=ehost-live</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St. Andre, J. R., Smith, B. M., Stroupe, K. T., Burns, S. P., Evans, C. T., Ripley, D. C., … Weaver, F. M. (2011). A Comparison of Costs and Health Care Utilization for Veterans with Traumatic and Nontraumatic Spinal Cord Injury. </w:t>
      </w:r>
      <w:r w:rsidRPr="008D5FC2">
        <w:rPr>
          <w:i/>
          <w:iCs/>
          <w:noProof/>
        </w:rPr>
        <w:t>Topics in Spinal Cord Injury Rehabilitation</w:t>
      </w:r>
      <w:r w:rsidRPr="008D5FC2">
        <w:rPr>
          <w:noProof/>
        </w:rPr>
        <w:t xml:space="preserve">, </w:t>
      </w:r>
      <w:r w:rsidRPr="008D5FC2">
        <w:rPr>
          <w:i/>
          <w:iCs/>
          <w:noProof/>
        </w:rPr>
        <w:t>16</w:t>
      </w:r>
      <w:r w:rsidRPr="008D5FC2">
        <w:rPr>
          <w:noProof/>
        </w:rPr>
        <w:t>(4), 27–42. https://doi.org/10.1310/sci1604-27</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Ware, J. E., Kosinski, M., Bjorner, J. B., Turner-Bowker, D. M., Gandek, B., Maruish, M. E., &amp; others. (2008). </w:t>
      </w:r>
      <w:r w:rsidRPr="008D5FC2">
        <w:rPr>
          <w:i/>
          <w:iCs/>
          <w:noProof/>
        </w:rPr>
        <w:t>User’s manual for the SF-36v2 Health Survey</w:t>
      </w:r>
      <w:r w:rsidRPr="008D5FC2">
        <w:rPr>
          <w:noProof/>
        </w:rPr>
        <w:t>. Quality Metric.</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Whiteneck, G. G., Brooks, C. A., Charlifue, S., Gerhart, K. A., Mellick, D., Overholser, D., &amp; Richardson, G. N. (1992). Guide for use of the CHART. </w:t>
      </w:r>
      <w:r w:rsidRPr="008D5FC2">
        <w:rPr>
          <w:i/>
          <w:iCs/>
          <w:noProof/>
        </w:rPr>
        <w:t>Craig Hospital, Englewood (CO)</w:t>
      </w:r>
      <w:r w:rsidRPr="008D5FC2">
        <w:rPr>
          <w:noProof/>
        </w:rPr>
        <w:t>.</w:t>
      </w:r>
    </w:p>
    <w:p w:rsidR="008D5FC2" w:rsidRPr="008D5FC2" w:rsidRDefault="008D5FC2" w:rsidP="008D5FC2">
      <w:pPr>
        <w:widowControl w:val="0"/>
        <w:autoSpaceDE w:val="0"/>
        <w:autoSpaceDN w:val="0"/>
        <w:adjustRightInd w:val="0"/>
        <w:spacing w:after="240" w:line="240" w:lineRule="auto"/>
        <w:ind w:left="480" w:hanging="480"/>
        <w:rPr>
          <w:noProof/>
        </w:rPr>
      </w:pPr>
      <w:r w:rsidRPr="008D5FC2">
        <w:rPr>
          <w:noProof/>
        </w:rPr>
        <w:t xml:space="preserve">Wight, R. G., Aneshensel, C. S., Miller-Martinez, D., Botticello, A. L., Cummings, J. R., Karlamangla, A. S., &amp; Seeman, T. E. (2006). Urban neighborhood context, educational attainment, and cognitive function among older adults. </w:t>
      </w:r>
      <w:r w:rsidRPr="008D5FC2">
        <w:rPr>
          <w:i/>
          <w:iCs/>
          <w:noProof/>
        </w:rPr>
        <w:t>American Journal of Epidemiology</w:t>
      </w:r>
      <w:r w:rsidRPr="008D5FC2">
        <w:rPr>
          <w:noProof/>
        </w:rPr>
        <w:t xml:space="preserve">, </w:t>
      </w:r>
      <w:r w:rsidRPr="008D5FC2">
        <w:rPr>
          <w:i/>
          <w:iCs/>
          <w:noProof/>
        </w:rPr>
        <w:t>163</w:t>
      </w:r>
      <w:r w:rsidRPr="008D5FC2">
        <w:rPr>
          <w:noProof/>
        </w:rPr>
        <w:t>(12), 1071–1078. https://doi.org/10.1093/aje/kwj176</w:t>
      </w:r>
    </w:p>
    <w:p w:rsidR="007E3828" w:rsidRPr="0010450F" w:rsidRDefault="00481310" w:rsidP="006F4175">
      <w:pPr>
        <w:pStyle w:val="BibliographyEntry"/>
        <w:spacing w:after="100" w:afterAutospacing="1"/>
        <w:rPr>
          <w:strike/>
        </w:rPr>
      </w:pPr>
      <w:r>
        <w:fldChar w:fldCharType="end"/>
      </w:r>
    </w:p>
    <w:p w:rsidR="007E3828" w:rsidRDefault="007E3828" w:rsidP="005F3D95">
      <w:pPr>
        <w:pStyle w:val="BibliographyEntry"/>
        <w:spacing w:after="100" w:afterAutospacing="1"/>
        <w:ind w:left="360" w:firstLine="0"/>
      </w:pPr>
    </w:p>
    <w:p w:rsidR="00EC6149" w:rsidRDefault="00EC6149" w:rsidP="007E3828">
      <w:pPr>
        <w:pStyle w:val="BibliographyEntry"/>
        <w:ind w:left="0" w:firstLine="0"/>
      </w:pPr>
    </w:p>
    <w:p w:rsidR="0056209C" w:rsidRDefault="0056209C" w:rsidP="0056209C">
      <w:pPr>
        <w:pStyle w:val="BibliographyEntry"/>
        <w:ind w:left="0" w:firstLine="0"/>
      </w:pPr>
    </w:p>
    <w:sectPr w:rsidR="0056209C" w:rsidSect="006B112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FD" w:rsidRDefault="007A28FD">
      <w:r>
        <w:separator/>
      </w:r>
    </w:p>
  </w:endnote>
  <w:endnote w:type="continuationSeparator" w:id="0">
    <w:p w:rsidR="007A28FD" w:rsidRDefault="007A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FD" w:rsidRDefault="007A28FD" w:rsidP="006B1124">
    <w:pPr>
      <w:tabs>
        <w:tab w:val="center" w:pos="4680"/>
      </w:tabs>
      <w:ind w:firstLine="0"/>
    </w:pPr>
    <w:r>
      <w:tab/>
    </w:r>
    <w:r>
      <w:fldChar w:fldCharType="begin"/>
    </w:r>
    <w:r>
      <w:instrText xml:space="preserve"> PAGE </w:instrText>
    </w:r>
    <w:r>
      <w:fldChar w:fldCharType="separate"/>
    </w:r>
    <w:r w:rsidR="00EE481E">
      <w:rPr>
        <w:noProof/>
      </w:rPr>
      <w:t>viii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FD" w:rsidRDefault="007A28FD" w:rsidP="006B1124">
    <w:pPr>
      <w:tabs>
        <w:tab w:val="center" w:pos="4680"/>
      </w:tabs>
      <w:ind w:firstLine="0"/>
    </w:pPr>
    <w:r>
      <w:tab/>
    </w:r>
    <w:r>
      <w:fldChar w:fldCharType="begin"/>
    </w:r>
    <w:r>
      <w:instrText xml:space="preserve"> PAGE </w:instrText>
    </w:r>
    <w:r>
      <w:fldChar w:fldCharType="separate"/>
    </w:r>
    <w:r w:rsidR="00EE481E">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FD" w:rsidRDefault="007A28FD">
      <w:r>
        <w:separator/>
      </w:r>
    </w:p>
  </w:footnote>
  <w:footnote w:type="continuationSeparator" w:id="0">
    <w:p w:rsidR="007A28FD" w:rsidRDefault="007A2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0BFC2094"/>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459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E7387C"/>
    <w:multiLevelType w:val="hybridMultilevel"/>
    <w:tmpl w:val="9BB032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9"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025D7A"/>
    <w:multiLevelType w:val="hybridMultilevel"/>
    <w:tmpl w:val="582AC26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8"/>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9"/>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6812"/>
    <w:rsid w:val="00011CB0"/>
    <w:rsid w:val="00035D1E"/>
    <w:rsid w:val="00037CEE"/>
    <w:rsid w:val="00047852"/>
    <w:rsid w:val="0005017C"/>
    <w:rsid w:val="000D1EEA"/>
    <w:rsid w:val="000E2444"/>
    <w:rsid w:val="0010450F"/>
    <w:rsid w:val="00115CB0"/>
    <w:rsid w:val="001269D3"/>
    <w:rsid w:val="00134D38"/>
    <w:rsid w:val="001368A2"/>
    <w:rsid w:val="00150EF7"/>
    <w:rsid w:val="00157F91"/>
    <w:rsid w:val="001A5060"/>
    <w:rsid w:val="001C7CDC"/>
    <w:rsid w:val="001F357C"/>
    <w:rsid w:val="00200B2E"/>
    <w:rsid w:val="002108BF"/>
    <w:rsid w:val="00225C2E"/>
    <w:rsid w:val="00237607"/>
    <w:rsid w:val="00242F0A"/>
    <w:rsid w:val="002574B4"/>
    <w:rsid w:val="002666F0"/>
    <w:rsid w:val="002706BA"/>
    <w:rsid w:val="00276E7E"/>
    <w:rsid w:val="0028782F"/>
    <w:rsid w:val="00294438"/>
    <w:rsid w:val="002A3E96"/>
    <w:rsid w:val="002D01B1"/>
    <w:rsid w:val="002D11E0"/>
    <w:rsid w:val="003000DF"/>
    <w:rsid w:val="00330093"/>
    <w:rsid w:val="00332889"/>
    <w:rsid w:val="00333405"/>
    <w:rsid w:val="00334F5E"/>
    <w:rsid w:val="00337CC7"/>
    <w:rsid w:val="00340BC8"/>
    <w:rsid w:val="00355EF5"/>
    <w:rsid w:val="00367476"/>
    <w:rsid w:val="003806AE"/>
    <w:rsid w:val="003C44EC"/>
    <w:rsid w:val="003D146E"/>
    <w:rsid w:val="00402620"/>
    <w:rsid w:val="00440D75"/>
    <w:rsid w:val="0044237B"/>
    <w:rsid w:val="00447A1E"/>
    <w:rsid w:val="00451363"/>
    <w:rsid w:val="00481310"/>
    <w:rsid w:val="004858AB"/>
    <w:rsid w:val="004B17A6"/>
    <w:rsid w:val="004B7B28"/>
    <w:rsid w:val="004D7AA4"/>
    <w:rsid w:val="004E3B59"/>
    <w:rsid w:val="005115CE"/>
    <w:rsid w:val="0051302C"/>
    <w:rsid w:val="00514CEA"/>
    <w:rsid w:val="00536110"/>
    <w:rsid w:val="00537146"/>
    <w:rsid w:val="0056209C"/>
    <w:rsid w:val="00572FBD"/>
    <w:rsid w:val="005976FA"/>
    <w:rsid w:val="005C412E"/>
    <w:rsid w:val="005C5C73"/>
    <w:rsid w:val="005F21A5"/>
    <w:rsid w:val="005F3D95"/>
    <w:rsid w:val="00636C11"/>
    <w:rsid w:val="006425BF"/>
    <w:rsid w:val="00656EE6"/>
    <w:rsid w:val="00672227"/>
    <w:rsid w:val="00695581"/>
    <w:rsid w:val="006A2917"/>
    <w:rsid w:val="006A5780"/>
    <w:rsid w:val="006B0FC1"/>
    <w:rsid w:val="006B1124"/>
    <w:rsid w:val="006B65AF"/>
    <w:rsid w:val="006F4175"/>
    <w:rsid w:val="006F6B3A"/>
    <w:rsid w:val="006F73B0"/>
    <w:rsid w:val="00716ED4"/>
    <w:rsid w:val="00727817"/>
    <w:rsid w:val="00740F46"/>
    <w:rsid w:val="00775294"/>
    <w:rsid w:val="007A28FD"/>
    <w:rsid w:val="007B3848"/>
    <w:rsid w:val="007B78FD"/>
    <w:rsid w:val="007C6D86"/>
    <w:rsid w:val="007E3828"/>
    <w:rsid w:val="00834193"/>
    <w:rsid w:val="00857CB9"/>
    <w:rsid w:val="008634EE"/>
    <w:rsid w:val="00863D37"/>
    <w:rsid w:val="008650E7"/>
    <w:rsid w:val="008812FC"/>
    <w:rsid w:val="008A110F"/>
    <w:rsid w:val="008A4541"/>
    <w:rsid w:val="008C66AF"/>
    <w:rsid w:val="008D5FC2"/>
    <w:rsid w:val="00901CC9"/>
    <w:rsid w:val="00936D40"/>
    <w:rsid w:val="009515A3"/>
    <w:rsid w:val="00962C5B"/>
    <w:rsid w:val="0096383E"/>
    <w:rsid w:val="0099539E"/>
    <w:rsid w:val="009A4378"/>
    <w:rsid w:val="009A7D42"/>
    <w:rsid w:val="009B1279"/>
    <w:rsid w:val="009C1CC6"/>
    <w:rsid w:val="009E5995"/>
    <w:rsid w:val="00A208D2"/>
    <w:rsid w:val="00A21B32"/>
    <w:rsid w:val="00A27493"/>
    <w:rsid w:val="00A3281F"/>
    <w:rsid w:val="00A35269"/>
    <w:rsid w:val="00A3565E"/>
    <w:rsid w:val="00A4495A"/>
    <w:rsid w:val="00A45F73"/>
    <w:rsid w:val="00A71F60"/>
    <w:rsid w:val="00A72D89"/>
    <w:rsid w:val="00AA2C6A"/>
    <w:rsid w:val="00AA3E52"/>
    <w:rsid w:val="00AB08F3"/>
    <w:rsid w:val="00AB5147"/>
    <w:rsid w:val="00AC4CF3"/>
    <w:rsid w:val="00AE14E0"/>
    <w:rsid w:val="00AF63BC"/>
    <w:rsid w:val="00B2415B"/>
    <w:rsid w:val="00B33801"/>
    <w:rsid w:val="00B424B6"/>
    <w:rsid w:val="00B43BD9"/>
    <w:rsid w:val="00B55A0F"/>
    <w:rsid w:val="00B56F3C"/>
    <w:rsid w:val="00B57E9B"/>
    <w:rsid w:val="00B614F2"/>
    <w:rsid w:val="00B63FD1"/>
    <w:rsid w:val="00B640F9"/>
    <w:rsid w:val="00B73B23"/>
    <w:rsid w:val="00B8007E"/>
    <w:rsid w:val="00B917F0"/>
    <w:rsid w:val="00B972E3"/>
    <w:rsid w:val="00B978DC"/>
    <w:rsid w:val="00BB53CC"/>
    <w:rsid w:val="00BB5D94"/>
    <w:rsid w:val="00BC45D2"/>
    <w:rsid w:val="00C40FFB"/>
    <w:rsid w:val="00C43878"/>
    <w:rsid w:val="00C63888"/>
    <w:rsid w:val="00C9228E"/>
    <w:rsid w:val="00C92C28"/>
    <w:rsid w:val="00CA13BD"/>
    <w:rsid w:val="00CA1E75"/>
    <w:rsid w:val="00CA4B98"/>
    <w:rsid w:val="00CB03F9"/>
    <w:rsid w:val="00CE2FA5"/>
    <w:rsid w:val="00CE7D0D"/>
    <w:rsid w:val="00CF3DE0"/>
    <w:rsid w:val="00D530BC"/>
    <w:rsid w:val="00D53E93"/>
    <w:rsid w:val="00D74CB6"/>
    <w:rsid w:val="00DA5BA8"/>
    <w:rsid w:val="00DD1A0B"/>
    <w:rsid w:val="00DD57B9"/>
    <w:rsid w:val="00DE11CF"/>
    <w:rsid w:val="00DE2341"/>
    <w:rsid w:val="00DE44B3"/>
    <w:rsid w:val="00E35361"/>
    <w:rsid w:val="00E36565"/>
    <w:rsid w:val="00E456F4"/>
    <w:rsid w:val="00E66353"/>
    <w:rsid w:val="00E87743"/>
    <w:rsid w:val="00EA3B92"/>
    <w:rsid w:val="00EC097B"/>
    <w:rsid w:val="00EC6149"/>
    <w:rsid w:val="00ED5613"/>
    <w:rsid w:val="00EE25EE"/>
    <w:rsid w:val="00EE481E"/>
    <w:rsid w:val="00EF4066"/>
    <w:rsid w:val="00F0330D"/>
    <w:rsid w:val="00F17830"/>
    <w:rsid w:val="00F34251"/>
    <w:rsid w:val="00F46A24"/>
    <w:rsid w:val="00F56B64"/>
    <w:rsid w:val="00F71281"/>
    <w:rsid w:val="00F85DEE"/>
    <w:rsid w:val="00F863F2"/>
    <w:rsid w:val="00F91BDB"/>
    <w:rsid w:val="00FB26E7"/>
    <w:rsid w:val="00FE0C45"/>
    <w:rsid w:val="00FE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5:chartTrackingRefBased/>
  <w15:docId w15:val="{7634B851-A170-489D-B6B5-C03ABF90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table" w:customStyle="1" w:styleId="TableGrid1">
    <w:name w:val="Table Grid1"/>
    <w:basedOn w:val="TableNormal"/>
    <w:next w:val="TableGrid"/>
    <w:uiPriority w:val="39"/>
    <w:rsid w:val="00334F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722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227"/>
    <w:rPr>
      <w:rFonts w:ascii="Calibri" w:eastAsia="Calibri" w:hAnsi="Calibri"/>
      <w:sz w:val="24"/>
      <w:szCs w:val="24"/>
    </w:rPr>
  </w:style>
  <w:style w:type="character" w:customStyle="1" w:styleId="hccdpe">
    <w:name w:val="hccdpe"/>
    <w:basedOn w:val="DefaultParagraphFont"/>
    <w:rsid w:val="00537146"/>
  </w:style>
  <w:style w:type="table" w:customStyle="1" w:styleId="TableGrid3">
    <w:name w:val="Table Grid3"/>
    <w:basedOn w:val="TableNormal"/>
    <w:next w:val="TableGrid"/>
    <w:uiPriority w:val="39"/>
    <w:rsid w:val="00011CB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D5613"/>
    <w:pPr>
      <w:keepLines/>
      <w:pageBreakBefore w:val="0"/>
      <w:numPr>
        <w:numId w:val="0"/>
      </w:numPr>
      <w:spacing w:before="240" w:after="0" w:line="259" w:lineRule="auto"/>
      <w:jc w:val="left"/>
      <w:outlineLvl w:val="9"/>
    </w:pPr>
    <w:rPr>
      <w:rFonts w:asciiTheme="majorHAnsi" w:eastAsiaTheme="majorEastAsia" w:hAnsiTheme="majorHAnsi" w:cstheme="majorBidi"/>
      <w:b w:val="0"/>
      <w:bCs w:val="0"/>
      <w:caps w:val="0"/>
      <w:color w:val="2F5496" w:themeColor="accent1" w:themeShade="BF"/>
      <w:sz w:val="32"/>
      <w:szCs w:val="32"/>
    </w:rPr>
  </w:style>
  <w:style w:type="table" w:customStyle="1" w:styleId="TableGrid4">
    <w:name w:val="Table Grid4"/>
    <w:basedOn w:val="TableNormal"/>
    <w:next w:val="TableGrid"/>
    <w:uiPriority w:val="39"/>
    <w:rsid w:val="00DD57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B32"/>
    <w:pPr>
      <w:ind w:left="720"/>
      <w:contextualSpacing/>
    </w:pPr>
  </w:style>
  <w:style w:type="paragraph" w:styleId="BalloonText">
    <w:name w:val="Balloon Text"/>
    <w:basedOn w:val="Normal"/>
    <w:link w:val="BalloonTextChar"/>
    <w:rsid w:val="00BB5D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B5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E45B-FDD3-4455-94BA-206676CB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TotalTime>
  <Pages>30</Pages>
  <Words>5540</Words>
  <Characters>301662</Characters>
  <Application>Microsoft Office Word</Application>
  <DocSecurity>0</DocSecurity>
  <Lines>2513</Lines>
  <Paragraphs>613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306589</CharactersWithSpaces>
  <SharedDoc>false</SharedDoc>
  <HLinks>
    <vt:vector size="84" baseType="variant">
      <vt:variant>
        <vt:i4>1441850</vt:i4>
      </vt:variant>
      <vt:variant>
        <vt:i4>92</vt:i4>
      </vt:variant>
      <vt:variant>
        <vt:i4>0</vt:i4>
      </vt:variant>
      <vt:variant>
        <vt:i4>5</vt:i4>
      </vt:variant>
      <vt:variant>
        <vt:lpwstr/>
      </vt:variant>
      <vt:variant>
        <vt:lpwstr>_Toc114179887</vt:lpwstr>
      </vt:variant>
      <vt:variant>
        <vt:i4>1966139</vt:i4>
      </vt:variant>
      <vt:variant>
        <vt:i4>83</vt:i4>
      </vt:variant>
      <vt:variant>
        <vt:i4>0</vt:i4>
      </vt:variant>
      <vt:variant>
        <vt:i4>5</vt:i4>
      </vt:variant>
      <vt:variant>
        <vt:lpwstr/>
      </vt:variant>
      <vt:variant>
        <vt:lpwstr>_Toc114179905</vt:lpwstr>
      </vt:variant>
      <vt:variant>
        <vt:i4>1966139</vt:i4>
      </vt:variant>
      <vt:variant>
        <vt:i4>77</vt:i4>
      </vt:variant>
      <vt:variant>
        <vt:i4>0</vt:i4>
      </vt:variant>
      <vt:variant>
        <vt:i4>5</vt:i4>
      </vt:variant>
      <vt:variant>
        <vt:lpwstr/>
      </vt:variant>
      <vt:variant>
        <vt:lpwstr>_Toc114179904</vt:lpwstr>
      </vt:variant>
      <vt:variant>
        <vt:i4>1966139</vt:i4>
      </vt:variant>
      <vt:variant>
        <vt:i4>71</vt:i4>
      </vt:variant>
      <vt:variant>
        <vt:i4>0</vt:i4>
      </vt:variant>
      <vt:variant>
        <vt:i4>5</vt:i4>
      </vt:variant>
      <vt:variant>
        <vt:lpwstr/>
      </vt:variant>
      <vt:variant>
        <vt:lpwstr>_Toc114179903</vt:lpwstr>
      </vt:variant>
      <vt:variant>
        <vt:i4>1966139</vt:i4>
      </vt:variant>
      <vt:variant>
        <vt:i4>65</vt:i4>
      </vt:variant>
      <vt:variant>
        <vt:i4>0</vt:i4>
      </vt:variant>
      <vt:variant>
        <vt:i4>5</vt:i4>
      </vt:variant>
      <vt:variant>
        <vt:lpwstr/>
      </vt:variant>
      <vt:variant>
        <vt:lpwstr>_Toc114179902</vt:lpwstr>
      </vt:variant>
      <vt:variant>
        <vt:i4>1966139</vt:i4>
      </vt:variant>
      <vt:variant>
        <vt:i4>59</vt:i4>
      </vt:variant>
      <vt:variant>
        <vt:i4>0</vt:i4>
      </vt:variant>
      <vt:variant>
        <vt:i4>5</vt:i4>
      </vt:variant>
      <vt:variant>
        <vt:lpwstr/>
      </vt:variant>
      <vt:variant>
        <vt:lpwstr>_Toc114179901</vt:lpwstr>
      </vt:variant>
      <vt:variant>
        <vt:i4>1966139</vt:i4>
      </vt:variant>
      <vt:variant>
        <vt:i4>53</vt:i4>
      </vt:variant>
      <vt:variant>
        <vt:i4>0</vt:i4>
      </vt:variant>
      <vt:variant>
        <vt:i4>5</vt:i4>
      </vt:variant>
      <vt:variant>
        <vt:lpwstr/>
      </vt:variant>
      <vt:variant>
        <vt:lpwstr>_Toc114179900</vt:lpwstr>
      </vt:variant>
      <vt:variant>
        <vt:i4>1507386</vt:i4>
      </vt:variant>
      <vt:variant>
        <vt:i4>47</vt:i4>
      </vt:variant>
      <vt:variant>
        <vt:i4>0</vt:i4>
      </vt:variant>
      <vt:variant>
        <vt:i4>5</vt:i4>
      </vt:variant>
      <vt:variant>
        <vt:lpwstr/>
      </vt:variant>
      <vt:variant>
        <vt:lpwstr>_Toc114179899</vt:lpwstr>
      </vt:variant>
      <vt:variant>
        <vt:i4>1507386</vt:i4>
      </vt:variant>
      <vt:variant>
        <vt:i4>41</vt:i4>
      </vt:variant>
      <vt:variant>
        <vt:i4>0</vt:i4>
      </vt:variant>
      <vt:variant>
        <vt:i4>5</vt:i4>
      </vt:variant>
      <vt:variant>
        <vt:lpwstr/>
      </vt:variant>
      <vt:variant>
        <vt:lpwstr>_Toc114179898</vt:lpwstr>
      </vt:variant>
      <vt:variant>
        <vt:i4>1507386</vt:i4>
      </vt:variant>
      <vt:variant>
        <vt:i4>35</vt:i4>
      </vt:variant>
      <vt:variant>
        <vt:i4>0</vt:i4>
      </vt:variant>
      <vt:variant>
        <vt:i4>5</vt:i4>
      </vt:variant>
      <vt:variant>
        <vt:lpwstr/>
      </vt:variant>
      <vt:variant>
        <vt:lpwstr>_Toc114179897</vt:lpwstr>
      </vt:variant>
      <vt:variant>
        <vt:i4>1507386</vt:i4>
      </vt:variant>
      <vt:variant>
        <vt:i4>29</vt:i4>
      </vt:variant>
      <vt:variant>
        <vt:i4>0</vt:i4>
      </vt:variant>
      <vt:variant>
        <vt:i4>5</vt:i4>
      </vt:variant>
      <vt:variant>
        <vt:lpwstr/>
      </vt:variant>
      <vt:variant>
        <vt:lpwstr>_Toc114179896</vt:lpwstr>
      </vt:variant>
      <vt:variant>
        <vt:i4>1507386</vt:i4>
      </vt:variant>
      <vt:variant>
        <vt:i4>23</vt:i4>
      </vt:variant>
      <vt:variant>
        <vt:i4>0</vt:i4>
      </vt:variant>
      <vt:variant>
        <vt:i4>5</vt:i4>
      </vt:variant>
      <vt:variant>
        <vt:lpwstr/>
      </vt:variant>
      <vt:variant>
        <vt:lpwstr>_Toc114179895</vt:lpwstr>
      </vt:variant>
      <vt:variant>
        <vt:i4>1507386</vt:i4>
      </vt:variant>
      <vt:variant>
        <vt:i4>17</vt:i4>
      </vt:variant>
      <vt:variant>
        <vt:i4>0</vt:i4>
      </vt:variant>
      <vt:variant>
        <vt:i4>5</vt:i4>
      </vt:variant>
      <vt:variant>
        <vt:lpwstr/>
      </vt:variant>
      <vt:variant>
        <vt:lpwstr>_Toc114179894</vt:lpwstr>
      </vt:variant>
      <vt:variant>
        <vt:i4>1507386</vt:i4>
      </vt:variant>
      <vt:variant>
        <vt:i4>11</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2</cp:revision>
  <cp:lastPrinted>2019-05-31T18:07:00Z</cp:lastPrinted>
  <dcterms:created xsi:type="dcterms:W3CDTF">2019-05-31T19:32:00Z</dcterms:created>
  <dcterms:modified xsi:type="dcterms:W3CDTF">2019-05-31T19:32:00Z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5444b849-816f-3de4-82d0-bafa0598600f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http://www.zotero.org/styles/springer-vancouver-brackets</vt:lpwstr>
  </property>
  <property fmtid="{D5CDD505-2E9C-101B-9397-08002B2CF9AE}" pid="24" name="Mendeley Recent Style Name 9_1">
    <vt:lpwstr>Springer Vancouver (brackets)</vt:lpwstr>
  </property>
</Properties>
</file>